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drawings/drawing3.xml" ContentType="application/vnd.openxmlformats-officedocument.drawingml.chartshapes+xml"/>
  <Override PartName="/word/charts/chart8.xml" ContentType="application/vnd.openxmlformats-officedocument.drawingml.chart+xml"/>
  <Override PartName="/word/drawings/drawing4.xml" ContentType="application/vnd.openxmlformats-officedocument.drawingml.chartshapes+xml"/>
  <Override PartName="/word/charts/chart9.xml" ContentType="application/vnd.openxmlformats-officedocument.drawingml.chart+xml"/>
  <Override PartName="/word/drawings/drawing5.xml" ContentType="application/vnd.openxmlformats-officedocument.drawingml.chartshapes+xml"/>
  <Override PartName="/word/charts/chart10.xml" ContentType="application/vnd.openxmlformats-officedocument.drawingml.chart+xml"/>
  <Override PartName="/word/drawings/drawing6.xml" ContentType="application/vnd.openxmlformats-officedocument.drawingml.chartshapes+xml"/>
  <Override PartName="/word/charts/chart11.xml" ContentType="application/vnd.openxmlformats-officedocument.drawingml.chart+xml"/>
  <Override PartName="/word/drawings/drawing7.xml" ContentType="application/vnd.openxmlformats-officedocument.drawingml.chartshapes+xml"/>
  <Override PartName="/word/charts/chart12.xml" ContentType="application/vnd.openxmlformats-officedocument.drawingml.chart+xml"/>
  <Override PartName="/word/drawings/drawing8.xml" ContentType="application/vnd.openxmlformats-officedocument.drawingml.chartshapes+xml"/>
  <Override PartName="/word/charts/chart13.xml" ContentType="application/vnd.openxmlformats-officedocument.drawingml.chart+xml"/>
  <Override PartName="/word/drawings/drawing9.xml" ContentType="application/vnd.openxmlformats-officedocument.drawingml.chartshapes+xml"/>
  <Override PartName="/word/charts/chart14.xml" ContentType="application/vnd.openxmlformats-officedocument.drawingml.chart+xml"/>
  <Override PartName="/word/drawings/drawing10.xml" ContentType="application/vnd.openxmlformats-officedocument.drawingml.chartshapes+xml"/>
  <Override PartName="/word/charts/chart15.xml" ContentType="application/vnd.openxmlformats-officedocument.drawingml.chart+xml"/>
  <Override PartName="/word/drawings/drawing11.xml" ContentType="application/vnd.openxmlformats-officedocument.drawingml.chartshapes+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drawings/drawing12.xml" ContentType="application/vnd.openxmlformats-officedocument.drawingml.chartshapes+xml"/>
  <Override PartName="/word/charts/chart28.xml" ContentType="application/vnd.openxmlformats-officedocument.drawingml.chart+xml"/>
  <Override PartName="/word/drawings/drawing13.xml" ContentType="application/vnd.openxmlformats-officedocument.drawingml.chartshapes+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drawings/drawing14.xml" ContentType="application/vnd.openxmlformats-officedocument.drawingml.chartshapes+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drawings/drawing15.xml" ContentType="application/vnd.openxmlformats-officedocument.drawingml.chartshapes+xml"/>
  <Override PartName="/word/charts/chart40.xml" ContentType="application/vnd.openxmlformats-officedocument.drawingml.chart+xml"/>
  <Override PartName="/word/drawings/drawing16.xml" ContentType="application/vnd.openxmlformats-officedocument.drawingml.chartshapes+xml"/>
  <Override PartName="/word/charts/chart41.xml" ContentType="application/vnd.openxmlformats-officedocument.drawingml.chart+xml"/>
  <Override PartName="/word/drawings/drawing17.xml" ContentType="application/vnd.openxmlformats-officedocument.drawingml.chartshapes+xml"/>
  <Override PartName="/word/charts/chart42.xml" ContentType="application/vnd.openxmlformats-officedocument.drawingml.chart+xml"/>
  <Override PartName="/word/charts/chart4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9A4" w:rsidRPr="005D4128" w:rsidRDefault="00AC49A4" w:rsidP="003C0513">
      <w:pPr>
        <w:pStyle w:val="Heading1"/>
      </w:pPr>
      <w:bookmarkStart w:id="0" w:name="_Toc340695030"/>
      <w:bookmarkStart w:id="1" w:name="_Toc340837880"/>
      <w:r w:rsidRPr="005D4128">
        <w:t xml:space="preserve">The impacts of surface mining restoration efforts on soil dwelling nematode </w:t>
      </w:r>
      <w:r w:rsidRPr="00BE13E6">
        <w:t>communities in the Appalachian region</w:t>
      </w:r>
      <w:bookmarkEnd w:id="0"/>
      <w:bookmarkEnd w:id="1"/>
    </w:p>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Pr="0013299A" w:rsidRDefault="00AC49A4" w:rsidP="003C0513">
      <w:pPr>
        <w:jc w:val="center"/>
        <w:rPr>
          <w:rFonts w:cs="Times New Roman"/>
          <w:sz w:val="28"/>
          <w:szCs w:val="28"/>
        </w:rPr>
      </w:pPr>
    </w:p>
    <w:p w:rsidR="00AC49A4" w:rsidRPr="0013299A" w:rsidRDefault="00AC49A4" w:rsidP="003C0513">
      <w:pPr>
        <w:jc w:val="center"/>
        <w:rPr>
          <w:rFonts w:cs="Times New Roman"/>
          <w:sz w:val="28"/>
          <w:szCs w:val="28"/>
        </w:rPr>
      </w:pPr>
      <w:r>
        <w:rPr>
          <w:rFonts w:cs="Times New Roman"/>
          <w:sz w:val="28"/>
          <w:szCs w:val="28"/>
        </w:rPr>
        <w:t xml:space="preserve">A </w:t>
      </w:r>
      <w:r w:rsidRPr="0013299A">
        <w:rPr>
          <w:rFonts w:cs="Times New Roman"/>
          <w:sz w:val="28"/>
          <w:szCs w:val="28"/>
        </w:rPr>
        <w:t>Thesis</w:t>
      </w:r>
      <w:r>
        <w:rPr>
          <w:rFonts w:cs="Times New Roman"/>
          <w:sz w:val="28"/>
          <w:szCs w:val="28"/>
        </w:rPr>
        <w:t xml:space="preserve"> Presented for</w:t>
      </w:r>
    </w:p>
    <w:p w:rsidR="00AC49A4" w:rsidRPr="0013299A" w:rsidRDefault="00AC49A4" w:rsidP="003C0513">
      <w:pPr>
        <w:spacing w:line="360" w:lineRule="auto"/>
        <w:jc w:val="center"/>
        <w:rPr>
          <w:rFonts w:cs="Times New Roman"/>
          <w:sz w:val="28"/>
          <w:szCs w:val="28"/>
        </w:rPr>
      </w:pPr>
      <w:r>
        <w:rPr>
          <w:rFonts w:cs="Times New Roman"/>
          <w:sz w:val="28"/>
          <w:szCs w:val="28"/>
        </w:rPr>
        <w:t xml:space="preserve">The </w:t>
      </w:r>
      <w:r w:rsidRPr="0013299A">
        <w:rPr>
          <w:rFonts w:cs="Times New Roman"/>
          <w:sz w:val="28"/>
          <w:szCs w:val="28"/>
        </w:rPr>
        <w:t>Master of Science</w:t>
      </w:r>
      <w:r>
        <w:rPr>
          <w:rFonts w:cs="Times New Roman"/>
          <w:sz w:val="28"/>
          <w:szCs w:val="28"/>
        </w:rPr>
        <w:t xml:space="preserve"> Degree</w:t>
      </w:r>
    </w:p>
    <w:p w:rsidR="00AC49A4" w:rsidRPr="0013299A" w:rsidRDefault="00AC49A4" w:rsidP="003C0513">
      <w:pPr>
        <w:spacing w:line="360" w:lineRule="auto"/>
        <w:jc w:val="center"/>
        <w:rPr>
          <w:rFonts w:cs="Times New Roman"/>
          <w:sz w:val="28"/>
          <w:szCs w:val="28"/>
        </w:rPr>
      </w:pPr>
      <w:r w:rsidRPr="0013299A">
        <w:rPr>
          <w:rFonts w:cs="Times New Roman"/>
          <w:sz w:val="28"/>
          <w:szCs w:val="28"/>
        </w:rPr>
        <w:t>University of Tennessee</w:t>
      </w:r>
    </w:p>
    <w:p w:rsidR="00AC49A4" w:rsidRDefault="00AC49A4" w:rsidP="003C0513">
      <w:pPr>
        <w:spacing w:line="360" w:lineRule="auto"/>
        <w:jc w:val="center"/>
        <w:rPr>
          <w:rFonts w:cs="Times New Roman"/>
          <w:sz w:val="28"/>
          <w:szCs w:val="28"/>
        </w:rPr>
      </w:pPr>
      <w:r w:rsidRPr="0013299A">
        <w:rPr>
          <w:rFonts w:cs="Times New Roman"/>
          <w:sz w:val="28"/>
          <w:szCs w:val="28"/>
        </w:rPr>
        <w:t>December, 2012</w:t>
      </w:r>
    </w:p>
    <w:p w:rsidR="00AC49A4" w:rsidRDefault="00AC49A4" w:rsidP="003C0513">
      <w:pPr>
        <w:jc w:val="center"/>
        <w:rPr>
          <w:rFonts w:cs="Times New Roman"/>
          <w:sz w:val="28"/>
          <w:szCs w:val="28"/>
        </w:rPr>
      </w:pPr>
    </w:p>
    <w:p w:rsidR="00AC49A4" w:rsidRDefault="00AC49A4" w:rsidP="003C0513">
      <w:pPr>
        <w:jc w:val="center"/>
        <w:rPr>
          <w:rFonts w:cs="Times New Roman"/>
          <w:sz w:val="28"/>
          <w:szCs w:val="28"/>
        </w:rPr>
      </w:pPr>
    </w:p>
    <w:p w:rsidR="00AC49A4" w:rsidRDefault="00AC49A4" w:rsidP="003C0513">
      <w:pPr>
        <w:jc w:val="center"/>
        <w:rPr>
          <w:rFonts w:cs="Times New Roman"/>
          <w:sz w:val="28"/>
          <w:szCs w:val="28"/>
        </w:rPr>
      </w:pPr>
    </w:p>
    <w:p w:rsidR="00AC49A4" w:rsidRDefault="00AC49A4" w:rsidP="003C0513">
      <w:pPr>
        <w:jc w:val="center"/>
        <w:rPr>
          <w:rFonts w:cs="Times New Roman"/>
          <w:sz w:val="28"/>
          <w:szCs w:val="28"/>
        </w:rPr>
      </w:pPr>
    </w:p>
    <w:p w:rsidR="00AC49A4" w:rsidRDefault="00AC49A4" w:rsidP="003C0513">
      <w:pPr>
        <w:jc w:val="center"/>
        <w:rPr>
          <w:rFonts w:cs="Times New Roman"/>
          <w:sz w:val="28"/>
          <w:szCs w:val="28"/>
        </w:rPr>
      </w:pPr>
    </w:p>
    <w:p w:rsidR="00AC49A4" w:rsidRDefault="00AC49A4" w:rsidP="003C0513">
      <w:pPr>
        <w:jc w:val="center"/>
        <w:rPr>
          <w:rFonts w:cs="Times New Roman"/>
          <w:sz w:val="28"/>
          <w:szCs w:val="28"/>
        </w:rPr>
      </w:pPr>
    </w:p>
    <w:p w:rsidR="00AC49A4" w:rsidRDefault="00AC49A4" w:rsidP="003C0513">
      <w:pPr>
        <w:jc w:val="center"/>
        <w:rPr>
          <w:rFonts w:cs="Times New Roman"/>
          <w:sz w:val="28"/>
          <w:szCs w:val="28"/>
        </w:rPr>
      </w:pPr>
    </w:p>
    <w:p w:rsidR="00AC49A4" w:rsidRPr="0013299A" w:rsidRDefault="00AC49A4" w:rsidP="003C0513">
      <w:pPr>
        <w:jc w:val="center"/>
        <w:rPr>
          <w:rFonts w:cs="Times New Roman"/>
          <w:sz w:val="28"/>
          <w:szCs w:val="28"/>
        </w:rPr>
      </w:pPr>
      <w:r>
        <w:rPr>
          <w:rFonts w:cs="Times New Roman"/>
          <w:sz w:val="28"/>
          <w:szCs w:val="28"/>
        </w:rPr>
        <w:t xml:space="preserve">Haley </w:t>
      </w:r>
      <w:proofErr w:type="spellStart"/>
      <w:r>
        <w:rPr>
          <w:rFonts w:cs="Times New Roman"/>
          <w:sz w:val="28"/>
          <w:szCs w:val="28"/>
        </w:rPr>
        <w:t>Shae</w:t>
      </w:r>
      <w:proofErr w:type="spellEnd"/>
      <w:r>
        <w:rPr>
          <w:rFonts w:cs="Times New Roman"/>
          <w:sz w:val="28"/>
          <w:szCs w:val="28"/>
        </w:rPr>
        <w:t xml:space="preserve"> Smith</w:t>
      </w:r>
    </w:p>
    <w:p w:rsidR="00AC49A4" w:rsidRPr="0013299A"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Pr="000A05D6" w:rsidRDefault="00AC49A4" w:rsidP="003C0513">
      <w:pPr>
        <w:pStyle w:val="Heading1"/>
        <w:jc w:val="left"/>
      </w:pPr>
    </w:p>
    <w:p w:rsidR="000D7E4D" w:rsidRDefault="000D7E4D" w:rsidP="003C0513">
      <w:pPr>
        <w:pStyle w:val="Heading1"/>
        <w:sectPr w:rsidR="000D7E4D" w:rsidSect="003C0513">
          <w:footerReference w:type="default" r:id="rId9"/>
          <w:pgSz w:w="12240" w:h="15840"/>
          <w:pgMar w:top="1440" w:right="1440" w:bottom="1440" w:left="1440" w:header="720" w:footer="720" w:gutter="0"/>
          <w:pgNumType w:fmt="lowerRoman" w:start="1"/>
          <w:cols w:space="720"/>
          <w:docGrid w:linePitch="360"/>
        </w:sectPr>
      </w:pPr>
    </w:p>
    <w:p w:rsidR="00AC49A4" w:rsidRDefault="00AC49A4" w:rsidP="003C0513">
      <w:pPr>
        <w:pStyle w:val="Heading1"/>
      </w:pPr>
      <w:bookmarkStart w:id="2" w:name="_Toc340837881"/>
      <w:r>
        <w:lastRenderedPageBreak/>
        <w:t>Dedication</w:t>
      </w:r>
      <w:bookmarkEnd w:id="2"/>
    </w:p>
    <w:p w:rsidR="00AC49A4" w:rsidRPr="008937B9" w:rsidRDefault="00AC49A4" w:rsidP="003C0513"/>
    <w:p w:rsidR="00AC49A4" w:rsidRDefault="00AC49A4" w:rsidP="003C0513">
      <w:pPr>
        <w:jc w:val="center"/>
      </w:pPr>
      <w:r>
        <w:t>This work is dedicated to my mother for teaching me patience, my father for teaching me to be stubborn, and Jack for teaching me to use both wisely.</w:t>
      </w:r>
    </w:p>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pPr>
        <w:spacing w:after="200" w:line="276" w:lineRule="auto"/>
      </w:pPr>
      <w:r>
        <w:br w:type="page"/>
      </w:r>
    </w:p>
    <w:p w:rsidR="00AC49A4" w:rsidRPr="0013299A" w:rsidRDefault="00AC49A4" w:rsidP="003C0513">
      <w:pPr>
        <w:pStyle w:val="Heading1"/>
        <w:jc w:val="left"/>
      </w:pPr>
    </w:p>
    <w:p w:rsidR="00AC49A4" w:rsidRDefault="00AC49A4" w:rsidP="003C0513">
      <w:pPr>
        <w:pStyle w:val="Heading1"/>
      </w:pPr>
      <w:bookmarkStart w:id="3" w:name="_Toc340837882"/>
      <w:r>
        <w:t>Acknowledgements</w:t>
      </w:r>
      <w:bookmarkEnd w:id="3"/>
    </w:p>
    <w:p w:rsidR="00AC49A4" w:rsidRPr="006B4197" w:rsidRDefault="00AC49A4" w:rsidP="003C0513"/>
    <w:p w:rsidR="00AC49A4" w:rsidRPr="006B4197" w:rsidRDefault="00AC49A4" w:rsidP="003C0513"/>
    <w:p w:rsidR="00AC49A4" w:rsidRDefault="00AC49A4" w:rsidP="003C0513">
      <w:pPr>
        <w:ind w:firstLine="720"/>
        <w:rPr>
          <w:rFonts w:cs="Times New Roman"/>
          <w:sz w:val="24"/>
          <w:szCs w:val="24"/>
        </w:rPr>
      </w:pPr>
      <w:r w:rsidRPr="007A0518">
        <w:rPr>
          <w:rFonts w:cs="Times New Roman"/>
          <w:sz w:val="24"/>
          <w:szCs w:val="24"/>
        </w:rPr>
        <w:t>I would like to express my gratitude to Professor Ernest Bernard for his guidance and support during my graduate program.  Special thanks are due to Drs</w:t>
      </w:r>
      <w:r>
        <w:rPr>
          <w:rFonts w:cs="Times New Roman"/>
          <w:sz w:val="24"/>
          <w:szCs w:val="24"/>
        </w:rPr>
        <w:t>.</w:t>
      </w:r>
      <w:r w:rsidRPr="007A0518">
        <w:rPr>
          <w:rFonts w:cs="Times New Roman"/>
          <w:sz w:val="24"/>
          <w:szCs w:val="24"/>
        </w:rPr>
        <w:t xml:space="preserve"> Bonnie </w:t>
      </w:r>
      <w:proofErr w:type="spellStart"/>
      <w:r w:rsidRPr="007A0518">
        <w:rPr>
          <w:rFonts w:cs="Times New Roman"/>
          <w:sz w:val="24"/>
          <w:szCs w:val="24"/>
        </w:rPr>
        <w:t>Ownley</w:t>
      </w:r>
      <w:proofErr w:type="spellEnd"/>
      <w:r w:rsidRPr="007A0518">
        <w:rPr>
          <w:rFonts w:cs="Times New Roman"/>
          <w:sz w:val="24"/>
          <w:szCs w:val="24"/>
        </w:rPr>
        <w:t xml:space="preserve"> and Jennifer Franklin for serving on my committee.  Thank you to the many land managers who allowed me access to mine sites and invaluable information, including Carl Zipper, Vic Davis, and Patrick Angel.  Thank you to </w:t>
      </w:r>
      <w:r>
        <w:rPr>
          <w:rFonts w:cs="Times New Roman"/>
          <w:sz w:val="24"/>
          <w:szCs w:val="24"/>
        </w:rPr>
        <w:t xml:space="preserve">Dr. </w:t>
      </w:r>
      <w:r w:rsidRPr="007A0518">
        <w:rPr>
          <w:rFonts w:cs="Times New Roman"/>
          <w:sz w:val="24"/>
          <w:szCs w:val="24"/>
        </w:rPr>
        <w:t xml:space="preserve">David Butler for the use of his lab and equipment, and numerous laboratory technicians who assisted with various aspects of this project, including Amy Gail, Sarah </w:t>
      </w:r>
      <w:proofErr w:type="spellStart"/>
      <w:r w:rsidRPr="007A0518">
        <w:rPr>
          <w:rFonts w:cs="Times New Roman"/>
          <w:sz w:val="24"/>
          <w:szCs w:val="24"/>
        </w:rPr>
        <w:t>Eicher-Inwood</w:t>
      </w:r>
      <w:proofErr w:type="spellEnd"/>
      <w:r w:rsidRPr="007A0518">
        <w:rPr>
          <w:rFonts w:cs="Times New Roman"/>
          <w:sz w:val="24"/>
          <w:szCs w:val="24"/>
        </w:rPr>
        <w:t>, L</w:t>
      </w:r>
      <w:r>
        <w:rPr>
          <w:rFonts w:cs="Times New Roman"/>
          <w:sz w:val="24"/>
          <w:szCs w:val="24"/>
        </w:rPr>
        <w:t xml:space="preserve">aura </w:t>
      </w:r>
      <w:proofErr w:type="spellStart"/>
      <w:r>
        <w:rPr>
          <w:rFonts w:cs="Times New Roman"/>
          <w:sz w:val="24"/>
          <w:szCs w:val="24"/>
        </w:rPr>
        <w:t>Poplawski</w:t>
      </w:r>
      <w:proofErr w:type="spellEnd"/>
      <w:r>
        <w:rPr>
          <w:rFonts w:cs="Times New Roman"/>
          <w:sz w:val="24"/>
          <w:szCs w:val="24"/>
        </w:rPr>
        <w:t xml:space="preserve">, and Jack </w:t>
      </w:r>
      <w:proofErr w:type="spellStart"/>
      <w:r>
        <w:rPr>
          <w:rFonts w:cs="Times New Roman"/>
          <w:sz w:val="24"/>
          <w:szCs w:val="24"/>
        </w:rPr>
        <w:t>Lipkin</w:t>
      </w:r>
      <w:proofErr w:type="spellEnd"/>
      <w:r>
        <w:rPr>
          <w:rFonts w:cs="Times New Roman"/>
          <w:sz w:val="24"/>
          <w:szCs w:val="24"/>
        </w:rPr>
        <w:t>.</w:t>
      </w: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AC49A4" w:rsidRDefault="00AC49A4" w:rsidP="003C0513">
      <w:pPr>
        <w:ind w:firstLine="720"/>
        <w:rPr>
          <w:rFonts w:cs="Times New Roman"/>
          <w:sz w:val="24"/>
          <w:szCs w:val="24"/>
        </w:rPr>
      </w:pPr>
    </w:p>
    <w:p w:rsidR="000D7E4D" w:rsidRDefault="000D7E4D" w:rsidP="003C0513">
      <w:pPr>
        <w:ind w:firstLine="720"/>
        <w:rPr>
          <w:rFonts w:cs="Times New Roman"/>
          <w:sz w:val="24"/>
          <w:szCs w:val="24"/>
        </w:rPr>
      </w:pPr>
    </w:p>
    <w:p w:rsidR="00AC49A4" w:rsidRPr="00CE5338" w:rsidRDefault="00AC49A4" w:rsidP="003C0513">
      <w:pPr>
        <w:ind w:firstLine="720"/>
        <w:rPr>
          <w:rFonts w:cs="Times New Roman"/>
          <w:sz w:val="24"/>
          <w:szCs w:val="24"/>
        </w:rPr>
      </w:pPr>
    </w:p>
    <w:p w:rsidR="00AC49A4" w:rsidRDefault="00AC49A4" w:rsidP="003C0513">
      <w:pPr>
        <w:pStyle w:val="Heading1"/>
      </w:pPr>
      <w:bookmarkStart w:id="4" w:name="_Toc340837883"/>
      <w:r>
        <w:lastRenderedPageBreak/>
        <w:t>Table of Contents</w:t>
      </w:r>
      <w:bookmarkEnd w:id="4"/>
    </w:p>
    <w:sdt>
      <w:sdtPr>
        <w:rPr>
          <w:rFonts w:ascii="Times New Roman" w:eastAsiaTheme="minorHAnsi" w:hAnsi="Times New Roman" w:cstheme="minorBidi"/>
          <w:b w:val="0"/>
          <w:bCs w:val="0"/>
          <w:color w:val="auto"/>
          <w:sz w:val="22"/>
          <w:szCs w:val="22"/>
          <w:lang w:eastAsia="en-US"/>
        </w:rPr>
        <w:id w:val="-382409506"/>
        <w:docPartObj>
          <w:docPartGallery w:val="Table of Contents"/>
          <w:docPartUnique/>
        </w:docPartObj>
      </w:sdtPr>
      <w:sdtEndPr>
        <w:rPr>
          <w:rFonts w:cs="Times New Roman"/>
          <w:noProof/>
        </w:rPr>
      </w:sdtEndPr>
      <w:sdtContent>
        <w:p w:rsidR="00AC49A4" w:rsidRPr="003C0513" w:rsidRDefault="00AC49A4">
          <w:pPr>
            <w:pStyle w:val="TOCHeading"/>
            <w:rPr>
              <w:rFonts w:ascii="Times New Roman" w:hAnsi="Times New Roman" w:cs="Times New Roman"/>
            </w:rPr>
          </w:pPr>
        </w:p>
        <w:p w:rsidR="000D7E4D" w:rsidRPr="000D7E4D" w:rsidRDefault="00AC49A4" w:rsidP="000D7E4D">
          <w:pPr>
            <w:pStyle w:val="TOC1"/>
            <w:tabs>
              <w:tab w:val="right" w:leader="dot" w:pos="9350"/>
            </w:tabs>
            <w:rPr>
              <w:rFonts w:ascii="Times New Roman" w:hAnsi="Times New Roman" w:cs="Times New Roman"/>
              <w:noProof/>
              <w:lang w:eastAsia="en-US"/>
            </w:rPr>
          </w:pPr>
          <w:r w:rsidRPr="000D7E4D">
            <w:rPr>
              <w:rFonts w:ascii="Times New Roman" w:hAnsi="Times New Roman" w:cs="Times New Roman"/>
            </w:rPr>
            <w:fldChar w:fldCharType="begin"/>
          </w:r>
          <w:r w:rsidRPr="000D7E4D">
            <w:rPr>
              <w:rFonts w:ascii="Times New Roman" w:hAnsi="Times New Roman" w:cs="Times New Roman"/>
            </w:rPr>
            <w:instrText xml:space="preserve"> TOC \o "1-3" \h \z \u </w:instrText>
          </w:r>
          <w:r w:rsidRPr="000D7E4D">
            <w:rPr>
              <w:rFonts w:ascii="Times New Roman" w:hAnsi="Times New Roman" w:cs="Times New Roman"/>
            </w:rPr>
            <w:fldChar w:fldCharType="separate"/>
          </w:r>
        </w:p>
        <w:p w:rsidR="000D7E4D" w:rsidRPr="000D7E4D" w:rsidRDefault="000D7E4D">
          <w:pPr>
            <w:pStyle w:val="TOC1"/>
            <w:tabs>
              <w:tab w:val="right" w:leader="dot" w:pos="9350"/>
            </w:tabs>
            <w:rPr>
              <w:rFonts w:ascii="Times New Roman" w:hAnsi="Times New Roman" w:cs="Times New Roman"/>
              <w:noProof/>
              <w:lang w:eastAsia="en-US"/>
            </w:rPr>
          </w:pPr>
          <w:hyperlink w:anchor="_Toc340837885" w:history="1">
            <w:r w:rsidRPr="000D7E4D">
              <w:rPr>
                <w:rStyle w:val="Hyperlink"/>
                <w:rFonts w:ascii="Times New Roman" w:hAnsi="Times New Roman" w:cs="Times New Roman"/>
                <w:noProof/>
              </w:rPr>
              <w:t>Abstract</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_Toc340837885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86" w:history="1">
            <w:r w:rsidRPr="000D7E4D">
              <w:rPr>
                <w:rStyle w:val="Hyperlink"/>
                <w:rFonts w:ascii="Times New Roman" w:hAnsi="Times New Roman" w:cs="Times New Roman"/>
                <w:noProof/>
              </w:rPr>
              <w:t>The status of post-mining restoration in the southeastern United States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_Toc340837886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2</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87" w:history="1">
            <w:r w:rsidRPr="000D7E4D">
              <w:rPr>
                <w:rStyle w:val="Hyperlink"/>
                <w:rFonts w:ascii="Times New Roman" w:hAnsi="Times New Roman" w:cs="Times New Roman"/>
                <w:noProof/>
              </w:rPr>
              <w:t>Impacts of nematodes on above and below-ground dynamics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_Toc340837887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7</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88" w:history="1">
            <w:r w:rsidRPr="000D7E4D">
              <w:rPr>
                <w:rStyle w:val="Hyperlink"/>
                <w:rFonts w:ascii="Times New Roman" w:hAnsi="Times New Roman" w:cs="Times New Roman"/>
                <w:noProof/>
              </w:rPr>
              <w:t>Methods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_Toc340837888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10</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89" w:history="1">
            <w:r w:rsidRPr="000D7E4D">
              <w:rPr>
                <w:rStyle w:val="Hyperlink"/>
                <w:rFonts w:ascii="Times New Roman" w:hAnsi="Times New Roman" w:cs="Times New Roman"/>
                <w:noProof/>
              </w:rPr>
              <w:t>Objective 1 and 2 methods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_Toc340837889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11</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90" w:history="1">
            <w:r w:rsidRPr="000D7E4D">
              <w:rPr>
                <w:rStyle w:val="Hyperlink"/>
                <w:rFonts w:ascii="Times New Roman" w:hAnsi="Times New Roman" w:cs="Times New Roman"/>
                <w:noProof/>
              </w:rPr>
              <w:t>Objective 3 methods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_Toc340837890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13</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91" w:history="1">
            <w:r w:rsidRPr="000D7E4D">
              <w:rPr>
                <w:rStyle w:val="Hyperlink"/>
                <w:rFonts w:ascii="Times New Roman" w:hAnsi="Times New Roman" w:cs="Times New Roman"/>
                <w:noProof/>
              </w:rPr>
              <w:t>Results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_Toc340837891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17</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92" w:history="1">
            <w:r w:rsidRPr="000D7E4D">
              <w:rPr>
                <w:rStyle w:val="Hyperlink"/>
                <w:rFonts w:ascii="Times New Roman" w:hAnsi="Times New Roman" w:cs="Times New Roman"/>
                <w:noProof/>
              </w:rPr>
              <w:t>Trophic Abundance</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_Toc340837892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17</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93" w:history="1">
            <w:r w:rsidRPr="000D7E4D">
              <w:rPr>
                <w:rStyle w:val="Hyperlink"/>
                <w:rFonts w:ascii="Times New Roman" w:hAnsi="Times New Roman" w:cs="Times New Roman"/>
                <w:noProof/>
              </w:rPr>
              <w:t>Richness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_Toc340837893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18</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94" w:history="1">
            <w:r w:rsidRPr="000D7E4D">
              <w:rPr>
                <w:rStyle w:val="Hyperlink"/>
                <w:rFonts w:ascii="Times New Roman" w:hAnsi="Times New Roman" w:cs="Times New Roman"/>
                <w:noProof/>
              </w:rPr>
              <w:t>Shannon Diversity</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_Toc340837894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22</w:t>
            </w:r>
            <w:r w:rsidRPr="000D7E4D">
              <w:rPr>
                <w:rFonts w:ascii="Times New Roman" w:hAnsi="Times New Roman" w:cs="Times New Roman"/>
                <w:noProof/>
                <w:webHidden/>
              </w:rPr>
              <w:fldChar w:fldCharType="end"/>
            </w:r>
          </w:hyperlink>
        </w:p>
        <w:p w:rsidR="000D7E4D" w:rsidRPr="000D7E4D" w:rsidRDefault="000D7E4D">
          <w:pPr>
            <w:pStyle w:val="TOC2"/>
            <w:tabs>
              <w:tab w:val="right" w:leader="dot" w:pos="9350"/>
            </w:tabs>
            <w:rPr>
              <w:rFonts w:ascii="Times New Roman" w:hAnsi="Times New Roman" w:cs="Times New Roman"/>
              <w:noProof/>
              <w:lang w:eastAsia="en-US"/>
            </w:rPr>
          </w:pPr>
          <w:hyperlink w:anchor="_Toc340837895" w:history="1">
            <w:r w:rsidRPr="000D7E4D">
              <w:rPr>
                <w:rStyle w:val="Hyperlink"/>
                <w:rFonts w:ascii="Times New Roman" w:hAnsi="Times New Roman" w:cs="Times New Roman"/>
                <w:noProof/>
              </w:rPr>
              <w:t>Greenhouse Results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_Toc340837895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31</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96" w:history="1">
            <w:r w:rsidRPr="000D7E4D">
              <w:rPr>
                <w:rStyle w:val="Hyperlink"/>
                <w:rFonts w:ascii="Times New Roman" w:hAnsi="Times New Roman" w:cs="Times New Roman"/>
                <w:noProof/>
              </w:rPr>
              <w:t>Discussion</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_Toc340837896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44</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97" w:history="1">
            <w:r w:rsidRPr="000D7E4D">
              <w:rPr>
                <w:rStyle w:val="Hyperlink"/>
                <w:rFonts w:ascii="Times New Roman" w:hAnsi="Times New Roman" w:cs="Times New Roman"/>
                <w:noProof/>
              </w:rPr>
              <w:t>Conclusions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_Toc340837897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49</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98" w:history="1">
            <w:r w:rsidRPr="000D7E4D">
              <w:rPr>
                <w:rStyle w:val="Hyperlink"/>
                <w:rFonts w:ascii="Times New Roman" w:hAnsi="Times New Roman" w:cs="Times New Roman"/>
                <w:noProof/>
              </w:rPr>
              <w:t>References</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_Toc340837898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50</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899" w:history="1">
            <w:r w:rsidRPr="000D7E4D">
              <w:rPr>
                <w:rStyle w:val="Hyperlink"/>
                <w:rFonts w:ascii="Times New Roman" w:hAnsi="Times New Roman" w:cs="Times New Roman"/>
                <w:noProof/>
              </w:rPr>
              <w:t>Appendix</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_Toc340837899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54</w:t>
            </w:r>
            <w:r w:rsidRPr="000D7E4D">
              <w:rPr>
                <w:rFonts w:ascii="Times New Roman" w:hAnsi="Times New Roman" w:cs="Times New Roman"/>
                <w:noProof/>
                <w:webHidden/>
              </w:rPr>
              <w:fldChar w:fldCharType="end"/>
            </w:r>
          </w:hyperlink>
        </w:p>
        <w:p w:rsidR="000D7E4D" w:rsidRPr="000D7E4D" w:rsidRDefault="000D7E4D">
          <w:pPr>
            <w:pStyle w:val="TOC1"/>
            <w:tabs>
              <w:tab w:val="right" w:leader="dot" w:pos="9350"/>
            </w:tabs>
            <w:rPr>
              <w:rFonts w:ascii="Times New Roman" w:hAnsi="Times New Roman" w:cs="Times New Roman"/>
              <w:noProof/>
              <w:lang w:eastAsia="en-US"/>
            </w:rPr>
          </w:pPr>
          <w:hyperlink w:anchor="_Toc340837900" w:history="1">
            <w:r w:rsidRPr="000D7E4D">
              <w:rPr>
                <w:rStyle w:val="Hyperlink"/>
                <w:rFonts w:ascii="Times New Roman" w:hAnsi="Times New Roman" w:cs="Times New Roman"/>
                <w:noProof/>
              </w:rPr>
              <w:t>Vitae</w:t>
            </w:r>
            <w:r w:rsidRPr="000D7E4D">
              <w:rPr>
                <w:rFonts w:ascii="Times New Roman" w:hAnsi="Times New Roman" w:cs="Times New Roman"/>
                <w:noProof/>
                <w:webHidden/>
              </w:rPr>
              <w:tab/>
            </w:r>
            <w:r w:rsidRPr="000D7E4D">
              <w:rPr>
                <w:rFonts w:ascii="Times New Roman" w:hAnsi="Times New Roman" w:cs="Times New Roman"/>
                <w:noProof/>
                <w:webHidden/>
              </w:rPr>
              <w:fldChar w:fldCharType="begin"/>
            </w:r>
            <w:r w:rsidRPr="000D7E4D">
              <w:rPr>
                <w:rFonts w:ascii="Times New Roman" w:hAnsi="Times New Roman" w:cs="Times New Roman"/>
                <w:noProof/>
                <w:webHidden/>
              </w:rPr>
              <w:instrText xml:space="preserve"> PAGEREF _Toc340837900 \h </w:instrText>
            </w:r>
            <w:r w:rsidRPr="000D7E4D">
              <w:rPr>
                <w:rFonts w:ascii="Times New Roman" w:hAnsi="Times New Roman" w:cs="Times New Roman"/>
                <w:noProof/>
                <w:webHidden/>
              </w:rPr>
            </w:r>
            <w:r w:rsidRPr="000D7E4D">
              <w:rPr>
                <w:rFonts w:ascii="Times New Roman" w:hAnsi="Times New Roman" w:cs="Times New Roman"/>
                <w:noProof/>
                <w:webHidden/>
              </w:rPr>
              <w:fldChar w:fldCharType="separate"/>
            </w:r>
            <w:r w:rsidRPr="000D7E4D">
              <w:rPr>
                <w:rFonts w:ascii="Times New Roman" w:hAnsi="Times New Roman" w:cs="Times New Roman"/>
                <w:noProof/>
                <w:webHidden/>
              </w:rPr>
              <w:t>62</w:t>
            </w:r>
            <w:r w:rsidRPr="000D7E4D">
              <w:rPr>
                <w:rFonts w:ascii="Times New Roman" w:hAnsi="Times New Roman" w:cs="Times New Roman"/>
                <w:noProof/>
                <w:webHidden/>
              </w:rPr>
              <w:fldChar w:fldCharType="end"/>
            </w:r>
          </w:hyperlink>
        </w:p>
        <w:p w:rsidR="00AC49A4" w:rsidRPr="00CE000F" w:rsidRDefault="00AC49A4">
          <w:pPr>
            <w:rPr>
              <w:rFonts w:cs="Times New Roman"/>
            </w:rPr>
          </w:pPr>
          <w:r w:rsidRPr="000D7E4D">
            <w:rPr>
              <w:rFonts w:cs="Times New Roman"/>
              <w:b/>
              <w:bCs/>
              <w:noProof/>
            </w:rPr>
            <w:fldChar w:fldCharType="end"/>
          </w:r>
        </w:p>
      </w:sdtContent>
    </w:sdt>
    <w:p w:rsidR="00AC49A4" w:rsidRDefault="00AC49A4" w:rsidP="003C0513">
      <w:pPr>
        <w:pStyle w:val="Heading1"/>
      </w:pPr>
    </w:p>
    <w:p w:rsidR="00AC49A4" w:rsidRDefault="00AC49A4" w:rsidP="003C0513"/>
    <w:p w:rsidR="00C01E4C" w:rsidRDefault="00C01E4C" w:rsidP="003C0513">
      <w:pPr>
        <w:sectPr w:rsidR="00C01E4C" w:rsidSect="000D7E4D">
          <w:footerReference w:type="default" r:id="rId10"/>
          <w:pgSz w:w="12240" w:h="15840"/>
          <w:pgMar w:top="1440" w:right="1440" w:bottom="1440" w:left="1440" w:header="720" w:footer="720" w:gutter="0"/>
          <w:pgNumType w:fmt="lowerRoman" w:start="2"/>
          <w:cols w:space="720"/>
          <w:docGrid w:linePitch="360"/>
        </w:sectPr>
      </w:pPr>
    </w:p>
    <w:p w:rsidR="003C0513" w:rsidRDefault="003C0513" w:rsidP="003C0513"/>
    <w:p w:rsidR="00AC49A4" w:rsidRDefault="00AC49A4" w:rsidP="003C0513"/>
    <w:p w:rsidR="00AC49A4" w:rsidRDefault="00AC49A4" w:rsidP="003C0513">
      <w:pPr>
        <w:pStyle w:val="Heading1"/>
      </w:pPr>
      <w:bookmarkStart w:id="5" w:name="_Toc340837884"/>
      <w:r>
        <w:t>List of Tables and Figures</w:t>
      </w:r>
      <w:bookmarkEnd w:id="5"/>
    </w:p>
    <w:p w:rsidR="00AC49A4" w:rsidRDefault="00AC49A4">
      <w:pPr>
        <w:pStyle w:val="TableofFigures"/>
        <w:tabs>
          <w:tab w:val="right" w:leader="dot" w:pos="9350"/>
        </w:tabs>
        <w:rPr>
          <w:rFonts w:asciiTheme="minorHAnsi" w:eastAsiaTheme="minorEastAsia" w:hAnsiTheme="minorHAnsi"/>
          <w:noProof/>
        </w:rPr>
      </w:pPr>
      <w:r>
        <w:fldChar w:fldCharType="begin"/>
      </w:r>
      <w:r>
        <w:instrText xml:space="preserve"> TOC \h \z \c "Fig." </w:instrText>
      </w:r>
      <w:r>
        <w:fldChar w:fldCharType="separate"/>
      </w:r>
      <w:hyperlink w:anchor="_Toc340749991" w:history="1">
        <w:r w:rsidRPr="007906D3">
          <w:rPr>
            <w:rStyle w:val="Hyperlink"/>
            <w:noProof/>
          </w:rPr>
          <w:t xml:space="preserve">Fig. 1: Nematode abundance in Forestry Reclamation Approach (FRA) soils and Surface Mine Control and Reclamation Act soils (SMCRA) over a chronosequence, as well as an un-mined forest soil control.:. Bars represent mean values </w:t>
        </w:r>
        <w:r w:rsidRPr="007906D3">
          <w:rPr>
            <w:rStyle w:val="Hyperlink"/>
            <w:rFonts w:cs="Times New Roman"/>
            <w:noProof/>
          </w:rPr>
          <w:t>±</w:t>
        </w:r>
        <w:r w:rsidRPr="007906D3">
          <w:rPr>
            <w:rStyle w:val="Hyperlink"/>
            <w:noProof/>
          </w:rPr>
          <w:t xml:space="preserve"> standard error.</w:t>
        </w:r>
        <w:r>
          <w:rPr>
            <w:noProof/>
            <w:webHidden/>
          </w:rPr>
          <w:tab/>
        </w:r>
        <w:r>
          <w:rPr>
            <w:noProof/>
            <w:webHidden/>
          </w:rPr>
          <w:fldChar w:fldCharType="begin"/>
        </w:r>
        <w:r>
          <w:rPr>
            <w:noProof/>
            <w:webHidden/>
          </w:rPr>
          <w:instrText xml:space="preserve"> PAGEREF _Toc340749991 \h </w:instrText>
        </w:r>
        <w:r>
          <w:rPr>
            <w:noProof/>
            <w:webHidden/>
          </w:rPr>
        </w:r>
        <w:r>
          <w:rPr>
            <w:noProof/>
            <w:webHidden/>
          </w:rPr>
          <w:fldChar w:fldCharType="separate"/>
        </w:r>
        <w:r>
          <w:rPr>
            <w:noProof/>
            <w:webHidden/>
          </w:rPr>
          <w:t>26</w:t>
        </w:r>
        <w:r>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2" w:history="1">
        <w:r w:rsidR="00AC49A4" w:rsidRPr="007906D3">
          <w:rPr>
            <w:rStyle w:val="Hyperlink"/>
            <w:noProof/>
          </w:rPr>
          <w:t xml:space="preserve">Fig. 2: Trophic abundance among Forestry Reclamation Approach (FRA), Surface Mining control and Reclamation Act (SMCRA), and forest soils based on block (TN, VA, and KY).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_Toc340749992 \h </w:instrText>
        </w:r>
        <w:r w:rsidR="00AC49A4">
          <w:rPr>
            <w:noProof/>
            <w:webHidden/>
          </w:rPr>
        </w:r>
        <w:r w:rsidR="00AC49A4">
          <w:rPr>
            <w:noProof/>
            <w:webHidden/>
          </w:rPr>
          <w:fldChar w:fldCharType="separate"/>
        </w:r>
        <w:r w:rsidR="00AC49A4">
          <w:rPr>
            <w:noProof/>
            <w:webHidden/>
          </w:rPr>
          <w:t>27</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3" w:history="1">
        <w:r w:rsidR="00AC49A4" w:rsidRPr="007906D3">
          <w:rPr>
            <w:rStyle w:val="Hyperlink"/>
            <w:noProof/>
          </w:rPr>
          <w:t xml:space="preserve">Fig. 3: Nematode richness in Forestry Reclamation Approach (FRA) soils, and Surface Mining Control and Reclamation Act soils (SMCRA) over a chronosequence, as well as an un-mined forest control.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_Toc340749993 \h </w:instrText>
        </w:r>
        <w:r w:rsidR="00AC49A4">
          <w:rPr>
            <w:noProof/>
            <w:webHidden/>
          </w:rPr>
        </w:r>
        <w:r w:rsidR="00AC49A4">
          <w:rPr>
            <w:noProof/>
            <w:webHidden/>
          </w:rPr>
          <w:fldChar w:fldCharType="separate"/>
        </w:r>
        <w:r w:rsidR="00AC49A4">
          <w:rPr>
            <w:noProof/>
            <w:webHidden/>
          </w:rPr>
          <w:t>28</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4" w:history="1">
        <w:r w:rsidR="00AC49A4" w:rsidRPr="007906D3">
          <w:rPr>
            <w:rStyle w:val="Hyperlink"/>
            <w:noProof/>
          </w:rPr>
          <w:t xml:space="preserve">Fig. 4: Morphospecies richness among Forestry Reclamation Approach (FRA), Surface Mining Control and Reclamation Act (SMCRA), and un-mined soils based on block (TN, VA, and KY).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_Toc340749994 \h </w:instrText>
        </w:r>
        <w:r w:rsidR="00AC49A4">
          <w:rPr>
            <w:noProof/>
            <w:webHidden/>
          </w:rPr>
        </w:r>
        <w:r w:rsidR="00AC49A4">
          <w:rPr>
            <w:noProof/>
            <w:webHidden/>
          </w:rPr>
          <w:fldChar w:fldCharType="separate"/>
        </w:r>
        <w:r w:rsidR="00AC49A4">
          <w:rPr>
            <w:noProof/>
            <w:webHidden/>
          </w:rPr>
          <w:t>29</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5" w:history="1">
        <w:r w:rsidR="00AC49A4" w:rsidRPr="007906D3">
          <w:rPr>
            <w:rStyle w:val="Hyperlink"/>
            <w:noProof/>
          </w:rPr>
          <w:t xml:space="preserve">Fig. 5: Trophic richness among Forestry Reclamation Approach (FRA), Surface Mining Control and Reclamation Act (SMCRA), and forest soils based on block (TN, VA, and KY).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_Toc340749995 \h </w:instrText>
        </w:r>
        <w:r w:rsidR="00AC49A4">
          <w:rPr>
            <w:noProof/>
            <w:webHidden/>
          </w:rPr>
        </w:r>
        <w:r w:rsidR="00AC49A4">
          <w:rPr>
            <w:noProof/>
            <w:webHidden/>
          </w:rPr>
          <w:fldChar w:fldCharType="separate"/>
        </w:r>
        <w:r w:rsidR="00AC49A4">
          <w:rPr>
            <w:noProof/>
            <w:webHidden/>
          </w:rPr>
          <w:t>31</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6" w:history="1">
        <w:r w:rsidR="00AC49A4" w:rsidRPr="007906D3">
          <w:rPr>
            <w:rStyle w:val="Hyperlink"/>
            <w:noProof/>
          </w:rPr>
          <w:t xml:space="preserve">Fig. 6: Shannon Diversity of nematode morphospecies in Forestry Reclamation Approach (FRA) soils, and Surface Mining Control and Reclamation Act soils (SMCRA) over a chronosequence, as well as an un-mined forest control.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_Toc340749996 \h </w:instrText>
        </w:r>
        <w:r w:rsidR="00AC49A4">
          <w:rPr>
            <w:noProof/>
            <w:webHidden/>
          </w:rPr>
        </w:r>
        <w:r w:rsidR="00AC49A4">
          <w:rPr>
            <w:noProof/>
            <w:webHidden/>
          </w:rPr>
          <w:fldChar w:fldCharType="separate"/>
        </w:r>
        <w:r w:rsidR="00AC49A4">
          <w:rPr>
            <w:noProof/>
            <w:webHidden/>
          </w:rPr>
          <w:t>32</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7" w:history="1">
        <w:r w:rsidR="00AC49A4" w:rsidRPr="007906D3">
          <w:rPr>
            <w:rStyle w:val="Hyperlink"/>
            <w:noProof/>
          </w:rPr>
          <w:t xml:space="preserve">Fig. 7 Shannon diversity of nematodes among Forestry Reclamation Approach (FRA), Surface Mining Control and Reclamation soils (SMCRA), and intact forest soils in Virginia.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_Toc340749997 \h </w:instrText>
        </w:r>
        <w:r w:rsidR="00AC49A4">
          <w:rPr>
            <w:noProof/>
            <w:webHidden/>
          </w:rPr>
        </w:r>
        <w:r w:rsidR="00AC49A4">
          <w:rPr>
            <w:noProof/>
            <w:webHidden/>
          </w:rPr>
          <w:fldChar w:fldCharType="separate"/>
        </w:r>
        <w:r w:rsidR="00AC49A4">
          <w:rPr>
            <w:noProof/>
            <w:webHidden/>
          </w:rPr>
          <w:t>32</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8" w:history="1">
        <w:r w:rsidR="00AC49A4" w:rsidRPr="007906D3">
          <w:rPr>
            <w:rStyle w:val="Hyperlink"/>
            <w:noProof/>
          </w:rPr>
          <w:t xml:space="preserve">Fig. 8: Shannon Diversity of nematodes among Forestry Reclamation Approach (FRA), Surface Mining Control and Reclamation Act soils, and intact forest soils in Tennessee.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_Toc340749998 \h </w:instrText>
        </w:r>
        <w:r w:rsidR="00AC49A4">
          <w:rPr>
            <w:noProof/>
            <w:webHidden/>
          </w:rPr>
        </w:r>
        <w:r w:rsidR="00AC49A4">
          <w:rPr>
            <w:noProof/>
            <w:webHidden/>
          </w:rPr>
          <w:fldChar w:fldCharType="separate"/>
        </w:r>
        <w:r w:rsidR="00AC49A4">
          <w:rPr>
            <w:noProof/>
            <w:webHidden/>
          </w:rPr>
          <w:t>33</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49999" w:history="1">
        <w:r w:rsidR="00AC49A4" w:rsidRPr="007906D3">
          <w:rPr>
            <w:rStyle w:val="Hyperlink"/>
            <w:noProof/>
          </w:rPr>
          <w:t xml:space="preserve">Fig. 9: Shannon Diversity of nematodes among forestry Reclamation Approach soils(FRA), Surface Mining Control and Reclamation Act soils (SMCRA), and intact forest soils in Kentucky.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_Toc340749999 \h </w:instrText>
        </w:r>
        <w:r w:rsidR="00AC49A4">
          <w:rPr>
            <w:noProof/>
            <w:webHidden/>
          </w:rPr>
        </w:r>
        <w:r w:rsidR="00AC49A4">
          <w:rPr>
            <w:noProof/>
            <w:webHidden/>
          </w:rPr>
          <w:fldChar w:fldCharType="separate"/>
        </w:r>
        <w:r w:rsidR="00AC49A4">
          <w:rPr>
            <w:noProof/>
            <w:webHidden/>
          </w:rPr>
          <w:t>33</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0" w:history="1">
        <w:r w:rsidR="00AC49A4" w:rsidRPr="007906D3">
          <w:rPr>
            <w:rStyle w:val="Hyperlink"/>
            <w:noProof/>
          </w:rPr>
          <w:t>Fig. 10: Canonical correspondence analysis of environmental traits and associated nematode morphospecies</w:t>
        </w:r>
        <w:r w:rsidR="00AC49A4">
          <w:rPr>
            <w:noProof/>
            <w:webHidden/>
          </w:rPr>
          <w:tab/>
        </w:r>
        <w:r w:rsidR="00AC49A4">
          <w:rPr>
            <w:noProof/>
            <w:webHidden/>
          </w:rPr>
          <w:fldChar w:fldCharType="begin"/>
        </w:r>
        <w:r w:rsidR="00AC49A4">
          <w:rPr>
            <w:noProof/>
            <w:webHidden/>
          </w:rPr>
          <w:instrText xml:space="preserve"> PAGEREF _Toc340750000 \h </w:instrText>
        </w:r>
        <w:r w:rsidR="00AC49A4">
          <w:rPr>
            <w:noProof/>
            <w:webHidden/>
          </w:rPr>
        </w:r>
        <w:r w:rsidR="00AC49A4">
          <w:rPr>
            <w:noProof/>
            <w:webHidden/>
          </w:rPr>
          <w:fldChar w:fldCharType="separate"/>
        </w:r>
        <w:r w:rsidR="00AC49A4">
          <w:rPr>
            <w:noProof/>
            <w:webHidden/>
          </w:rPr>
          <w:t>35</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1" w:history="1">
        <w:r w:rsidR="00AC49A4" w:rsidRPr="007906D3">
          <w:rPr>
            <w:rStyle w:val="Hyperlink"/>
            <w:noProof/>
          </w:rPr>
          <w:t>Fig. 11: Canonical Correspondance Analysis of environmental traits and tree species presence in relation to nematode morphosecies abundance.</w:t>
        </w:r>
        <w:r w:rsidR="00AC49A4">
          <w:rPr>
            <w:noProof/>
            <w:webHidden/>
          </w:rPr>
          <w:tab/>
        </w:r>
        <w:r w:rsidR="00AC49A4">
          <w:rPr>
            <w:noProof/>
            <w:webHidden/>
          </w:rPr>
          <w:fldChar w:fldCharType="begin"/>
        </w:r>
        <w:r w:rsidR="00AC49A4">
          <w:rPr>
            <w:noProof/>
            <w:webHidden/>
          </w:rPr>
          <w:instrText xml:space="preserve"> PAGEREF _Toc340750001 \h </w:instrText>
        </w:r>
        <w:r w:rsidR="00AC49A4">
          <w:rPr>
            <w:noProof/>
            <w:webHidden/>
          </w:rPr>
        </w:r>
        <w:r w:rsidR="00AC49A4">
          <w:rPr>
            <w:noProof/>
            <w:webHidden/>
          </w:rPr>
          <w:fldChar w:fldCharType="separate"/>
        </w:r>
        <w:r w:rsidR="00AC49A4">
          <w:rPr>
            <w:noProof/>
            <w:webHidden/>
          </w:rPr>
          <w:t>36</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2" w:history="1">
        <w:r w:rsidR="00AC49A4" w:rsidRPr="007906D3">
          <w:rPr>
            <w:rStyle w:val="Hyperlink"/>
            <w:noProof/>
          </w:rPr>
          <w:t>Fig. 12: Indicator species, as selected by canonical analysis, over time in both FRA and SMCRA treatments in TN, VA, KY.</w:t>
        </w:r>
        <w:r w:rsidR="00AC49A4">
          <w:rPr>
            <w:noProof/>
            <w:webHidden/>
          </w:rPr>
          <w:tab/>
        </w:r>
        <w:r w:rsidR="00AC49A4">
          <w:rPr>
            <w:noProof/>
            <w:webHidden/>
          </w:rPr>
          <w:fldChar w:fldCharType="begin"/>
        </w:r>
        <w:r w:rsidR="00AC49A4">
          <w:rPr>
            <w:noProof/>
            <w:webHidden/>
          </w:rPr>
          <w:instrText xml:space="preserve"> PAGEREF _Toc340750002 \h </w:instrText>
        </w:r>
        <w:r w:rsidR="00AC49A4">
          <w:rPr>
            <w:noProof/>
            <w:webHidden/>
          </w:rPr>
        </w:r>
        <w:r w:rsidR="00AC49A4">
          <w:rPr>
            <w:noProof/>
            <w:webHidden/>
          </w:rPr>
          <w:fldChar w:fldCharType="separate"/>
        </w:r>
        <w:r w:rsidR="00AC49A4">
          <w:rPr>
            <w:noProof/>
            <w:webHidden/>
          </w:rPr>
          <w:t>37</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3" w:history="1">
        <w:r w:rsidR="00AC49A4" w:rsidRPr="007906D3">
          <w:rPr>
            <w:rStyle w:val="Hyperlink"/>
            <w:noProof/>
          </w:rPr>
          <w:t>Fig. 13: Maturity index of nematode communities from three mine sites across time based on management technique.</w:t>
        </w:r>
        <w:r w:rsidR="00AC49A4">
          <w:rPr>
            <w:noProof/>
            <w:webHidden/>
          </w:rPr>
          <w:tab/>
        </w:r>
        <w:r w:rsidR="00AC49A4">
          <w:rPr>
            <w:noProof/>
            <w:webHidden/>
          </w:rPr>
          <w:fldChar w:fldCharType="begin"/>
        </w:r>
        <w:r w:rsidR="00AC49A4">
          <w:rPr>
            <w:noProof/>
            <w:webHidden/>
          </w:rPr>
          <w:instrText xml:space="preserve"> PAGEREF _Toc340750003 \h </w:instrText>
        </w:r>
        <w:r w:rsidR="00AC49A4">
          <w:rPr>
            <w:noProof/>
            <w:webHidden/>
          </w:rPr>
        </w:r>
        <w:r w:rsidR="00AC49A4">
          <w:rPr>
            <w:noProof/>
            <w:webHidden/>
          </w:rPr>
          <w:fldChar w:fldCharType="separate"/>
        </w:r>
        <w:r w:rsidR="00AC49A4">
          <w:rPr>
            <w:noProof/>
            <w:webHidden/>
          </w:rPr>
          <w:t>38</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4" w:history="1">
        <w:r w:rsidR="00AC49A4" w:rsidRPr="007906D3">
          <w:rPr>
            <w:rStyle w:val="Hyperlink"/>
            <w:noProof/>
          </w:rPr>
          <w:t>Fig. 14: Ratio of c-p 5 to c-p 1 nematodes within samples based on management treatment across a chronosequence among three location blocks.</w:t>
        </w:r>
        <w:r w:rsidR="00AC49A4">
          <w:rPr>
            <w:noProof/>
            <w:webHidden/>
          </w:rPr>
          <w:tab/>
        </w:r>
        <w:r w:rsidR="00AC49A4">
          <w:rPr>
            <w:noProof/>
            <w:webHidden/>
          </w:rPr>
          <w:fldChar w:fldCharType="begin"/>
        </w:r>
        <w:r w:rsidR="00AC49A4">
          <w:rPr>
            <w:noProof/>
            <w:webHidden/>
          </w:rPr>
          <w:instrText xml:space="preserve"> PAGEREF _Toc340750004 \h </w:instrText>
        </w:r>
        <w:r w:rsidR="00AC49A4">
          <w:rPr>
            <w:noProof/>
            <w:webHidden/>
          </w:rPr>
        </w:r>
        <w:r w:rsidR="00AC49A4">
          <w:rPr>
            <w:noProof/>
            <w:webHidden/>
          </w:rPr>
          <w:fldChar w:fldCharType="separate"/>
        </w:r>
        <w:r w:rsidR="00AC49A4">
          <w:rPr>
            <w:noProof/>
            <w:webHidden/>
          </w:rPr>
          <w:t>39</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5" w:history="1">
        <w:r w:rsidR="00AC49A4" w:rsidRPr="007906D3">
          <w:rPr>
            <w:rStyle w:val="Hyperlink"/>
            <w:noProof/>
          </w:rPr>
          <w:t xml:space="preserve">Fig. 15: Above and below-ground plant biomass of C. canadensis seedlings grown in intact soils from Tennessee site.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_Toc340750005 \h </w:instrText>
        </w:r>
        <w:r w:rsidR="00AC49A4">
          <w:rPr>
            <w:noProof/>
            <w:webHidden/>
          </w:rPr>
        </w:r>
        <w:r w:rsidR="00AC49A4">
          <w:rPr>
            <w:noProof/>
            <w:webHidden/>
          </w:rPr>
          <w:fldChar w:fldCharType="separate"/>
        </w:r>
        <w:r w:rsidR="00AC49A4">
          <w:rPr>
            <w:noProof/>
            <w:webHidden/>
          </w:rPr>
          <w:t>40</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6" w:history="1">
        <w:r w:rsidR="00AC49A4" w:rsidRPr="007906D3">
          <w:rPr>
            <w:rStyle w:val="Hyperlink"/>
            <w:noProof/>
          </w:rPr>
          <w:t xml:space="preserve">Fig. 16: Leaf Carbon: Nitrogen ratio of C. canadensis seedlings grown in intact soils from a Tennessee surface mine and neighboring forest.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_Toc340750006 \h </w:instrText>
        </w:r>
        <w:r w:rsidR="00AC49A4">
          <w:rPr>
            <w:noProof/>
            <w:webHidden/>
          </w:rPr>
        </w:r>
        <w:r w:rsidR="00AC49A4">
          <w:rPr>
            <w:noProof/>
            <w:webHidden/>
          </w:rPr>
          <w:fldChar w:fldCharType="separate"/>
        </w:r>
        <w:r w:rsidR="00AC49A4">
          <w:rPr>
            <w:noProof/>
            <w:webHidden/>
          </w:rPr>
          <w:t>40</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7" w:history="1">
        <w:r w:rsidR="00AC49A4" w:rsidRPr="007906D3">
          <w:rPr>
            <w:rStyle w:val="Hyperlink"/>
            <w:noProof/>
          </w:rPr>
          <w:t xml:space="preserve">Fig. 17: Leaf Nitrogen content of C. canadensis seedlings grown in intact soils from a Tennessee surface mine and neighboring forest. Bars represent mean values </w:t>
        </w:r>
        <w:r w:rsidR="00AC49A4" w:rsidRPr="007906D3">
          <w:rPr>
            <w:rStyle w:val="Hyperlink"/>
            <w:rFonts w:cs="Times New Roman"/>
            <w:noProof/>
          </w:rPr>
          <w:t>±</w:t>
        </w:r>
        <w:r w:rsidR="00AC49A4" w:rsidRPr="007906D3">
          <w:rPr>
            <w:rStyle w:val="Hyperlink"/>
            <w:noProof/>
          </w:rPr>
          <w:t xml:space="preserve"> standard error.  Means with different letters are significantly different according to a Tukey’s test at P=0.05.</w:t>
        </w:r>
        <w:r w:rsidR="00AC49A4">
          <w:rPr>
            <w:noProof/>
            <w:webHidden/>
          </w:rPr>
          <w:tab/>
        </w:r>
        <w:r w:rsidR="00AC49A4">
          <w:rPr>
            <w:noProof/>
            <w:webHidden/>
          </w:rPr>
          <w:fldChar w:fldCharType="begin"/>
        </w:r>
        <w:r w:rsidR="00AC49A4">
          <w:rPr>
            <w:noProof/>
            <w:webHidden/>
          </w:rPr>
          <w:instrText xml:space="preserve"> PAGEREF _Toc340750007 \h </w:instrText>
        </w:r>
        <w:r w:rsidR="00AC49A4">
          <w:rPr>
            <w:noProof/>
            <w:webHidden/>
          </w:rPr>
        </w:r>
        <w:r w:rsidR="00AC49A4">
          <w:rPr>
            <w:noProof/>
            <w:webHidden/>
          </w:rPr>
          <w:fldChar w:fldCharType="separate"/>
        </w:r>
        <w:r w:rsidR="00AC49A4">
          <w:rPr>
            <w:noProof/>
            <w:webHidden/>
          </w:rPr>
          <w:t>41</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8" w:history="1">
        <w:r w:rsidR="00AC49A4" w:rsidRPr="007906D3">
          <w:rPr>
            <w:rStyle w:val="Hyperlink"/>
            <w:noProof/>
          </w:rPr>
          <w:t xml:space="preserve">Fig. 18: Above and Below-ground Plant Biomass of  C. canadensis seedlings grown in soils from a one-year-old Forestry Reclamation Approach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_Toc340750008 \h </w:instrText>
        </w:r>
        <w:r w:rsidR="00AC49A4">
          <w:rPr>
            <w:noProof/>
            <w:webHidden/>
          </w:rPr>
        </w:r>
        <w:r w:rsidR="00AC49A4">
          <w:rPr>
            <w:noProof/>
            <w:webHidden/>
          </w:rPr>
          <w:fldChar w:fldCharType="separate"/>
        </w:r>
        <w:r w:rsidR="00AC49A4">
          <w:rPr>
            <w:noProof/>
            <w:webHidden/>
          </w:rPr>
          <w:t>42</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09" w:history="1">
        <w:r w:rsidR="00AC49A4" w:rsidRPr="007906D3">
          <w:rPr>
            <w:rStyle w:val="Hyperlink"/>
            <w:noProof/>
          </w:rPr>
          <w:t xml:space="preserve">Fig. 19  Leaf nitrogen content of C. canadensis seedlings grown in soils from a one-year-old Forestry Reclamation Approach site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_Toc340750009 \h </w:instrText>
        </w:r>
        <w:r w:rsidR="00AC49A4">
          <w:rPr>
            <w:noProof/>
            <w:webHidden/>
          </w:rPr>
        </w:r>
        <w:r w:rsidR="00AC49A4">
          <w:rPr>
            <w:noProof/>
            <w:webHidden/>
          </w:rPr>
          <w:fldChar w:fldCharType="separate"/>
        </w:r>
        <w:r w:rsidR="00AC49A4">
          <w:rPr>
            <w:noProof/>
            <w:webHidden/>
          </w:rPr>
          <w:t>42</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0" w:history="1">
        <w:r w:rsidR="00AC49A4" w:rsidRPr="007906D3">
          <w:rPr>
            <w:rStyle w:val="Hyperlink"/>
            <w:noProof/>
          </w:rPr>
          <w:t xml:space="preserve">Fig. 20: Leaf carbon:nitrogen ratio of </w:t>
        </w:r>
        <w:r w:rsidR="00AC49A4" w:rsidRPr="007906D3">
          <w:rPr>
            <w:rStyle w:val="Hyperlink"/>
            <w:i/>
            <w:noProof/>
          </w:rPr>
          <w:t>C. canadensis</w:t>
        </w:r>
        <w:r w:rsidR="00AC49A4" w:rsidRPr="007906D3">
          <w:rPr>
            <w:rStyle w:val="Hyperlink"/>
            <w:noProof/>
          </w:rPr>
          <w:t xml:space="preserve"> seedlings grown in soils from a one-year-old Forestry Reclamation Approach site (FRA) with the indicated nematode community added: intact control soils, defaunated control,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_Toc340750010 \h </w:instrText>
        </w:r>
        <w:r w:rsidR="00AC49A4">
          <w:rPr>
            <w:noProof/>
            <w:webHidden/>
          </w:rPr>
        </w:r>
        <w:r w:rsidR="00AC49A4">
          <w:rPr>
            <w:noProof/>
            <w:webHidden/>
          </w:rPr>
          <w:fldChar w:fldCharType="separate"/>
        </w:r>
        <w:r w:rsidR="00AC49A4">
          <w:rPr>
            <w:noProof/>
            <w:webHidden/>
          </w:rPr>
          <w:t>43</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1" w:history="1">
        <w:r w:rsidR="00AC49A4" w:rsidRPr="007906D3">
          <w:rPr>
            <w:rStyle w:val="Hyperlink"/>
            <w:noProof/>
          </w:rPr>
          <w:t xml:space="preserve">Fig. 21:Above and below-ground plant biomass of  C. canadensis seedlings grown in soils from a one-year-old Surface Mining Control and Reclamation act site with the indicated nematode community added: intact control nematodes, defaunated control nematodes, fore 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_Toc340750011 \h </w:instrText>
        </w:r>
        <w:r w:rsidR="00AC49A4">
          <w:rPr>
            <w:noProof/>
            <w:webHidden/>
          </w:rPr>
        </w:r>
        <w:r w:rsidR="00AC49A4">
          <w:rPr>
            <w:noProof/>
            <w:webHidden/>
          </w:rPr>
          <w:fldChar w:fldCharType="separate"/>
        </w:r>
        <w:r w:rsidR="00AC49A4">
          <w:rPr>
            <w:noProof/>
            <w:webHidden/>
          </w:rPr>
          <w:t>43</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2" w:history="1">
        <w:r w:rsidR="00AC49A4" w:rsidRPr="007906D3">
          <w:rPr>
            <w:rStyle w:val="Hyperlink"/>
            <w:noProof/>
          </w:rPr>
          <w:t>Fig. 22</w:t>
        </w:r>
        <w:r w:rsidR="00AC49A4" w:rsidRPr="007906D3">
          <w:rPr>
            <w:rStyle w:val="Hyperlink"/>
            <w:rFonts w:cs="Times New Roman"/>
            <w:noProof/>
          </w:rPr>
          <w:t xml:space="preserve">:Leaf nitrogen content of </w:t>
        </w:r>
        <w:r w:rsidR="00AC49A4" w:rsidRPr="007906D3">
          <w:rPr>
            <w:rStyle w:val="Hyperlink"/>
            <w:rFonts w:cs="Times New Roman"/>
            <w:i/>
            <w:noProof/>
          </w:rPr>
          <w:t xml:space="preserve">C. canadensis </w:t>
        </w:r>
        <w:r w:rsidR="00AC49A4" w:rsidRPr="007906D3">
          <w:rPr>
            <w:rStyle w:val="Hyperlink"/>
            <w:rFonts w:cs="Times New Roman"/>
            <w:noProof/>
          </w:rPr>
          <w:t xml:space="preserve">seedlings grown in soils from a one-year-old Surface Mine Control and Reclamation Act site with the indicated nematode community added: </w:t>
        </w:r>
        <w:r w:rsidR="00AC49A4" w:rsidRPr="007906D3">
          <w:rPr>
            <w:rStyle w:val="Hyperlink"/>
            <w:noProof/>
          </w:rPr>
          <w:t xml:space="preserve">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_Toc340750012 \h </w:instrText>
        </w:r>
        <w:r w:rsidR="00AC49A4">
          <w:rPr>
            <w:noProof/>
            <w:webHidden/>
          </w:rPr>
        </w:r>
        <w:r w:rsidR="00AC49A4">
          <w:rPr>
            <w:noProof/>
            <w:webHidden/>
          </w:rPr>
          <w:fldChar w:fldCharType="separate"/>
        </w:r>
        <w:r w:rsidR="00AC49A4">
          <w:rPr>
            <w:noProof/>
            <w:webHidden/>
          </w:rPr>
          <w:t>44</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3" w:history="1">
        <w:r w:rsidR="00AC49A4" w:rsidRPr="007906D3">
          <w:rPr>
            <w:rStyle w:val="Hyperlink"/>
            <w:noProof/>
          </w:rPr>
          <w:t>Fig. 23</w:t>
        </w:r>
        <w:r w:rsidR="00AC49A4" w:rsidRPr="007906D3">
          <w:rPr>
            <w:rStyle w:val="Hyperlink"/>
            <w:rFonts w:cs="Times New Roman"/>
            <w:noProof/>
          </w:rPr>
          <w:t xml:space="preserve">:  Leaf carbon:nitrogen ratio of </w:t>
        </w:r>
        <w:r w:rsidR="00AC49A4" w:rsidRPr="007906D3">
          <w:rPr>
            <w:rStyle w:val="Hyperlink"/>
            <w:rFonts w:cs="Times New Roman"/>
            <w:i/>
            <w:noProof/>
          </w:rPr>
          <w:t xml:space="preserve">C. canadensis </w:t>
        </w:r>
        <w:r w:rsidR="00AC49A4" w:rsidRPr="007906D3">
          <w:rPr>
            <w:rStyle w:val="Hyperlink"/>
            <w:rFonts w:cs="Times New Roman"/>
            <w:noProof/>
          </w:rPr>
          <w:t xml:space="preserve">seedlings grown in soils from a one-year-old Surface Mining Control and Reclamation Act site with the indicated nematode community added: </w:t>
        </w:r>
        <w:r w:rsidR="00AC49A4" w:rsidRPr="007906D3">
          <w:rPr>
            <w:rStyle w:val="Hyperlink"/>
            <w:noProof/>
          </w:rPr>
          <w:t xml:space="preserve">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  Letters indicate significant differences between groups.</w:t>
        </w:r>
        <w:r w:rsidR="00AC49A4">
          <w:rPr>
            <w:noProof/>
            <w:webHidden/>
          </w:rPr>
          <w:tab/>
        </w:r>
        <w:r w:rsidR="00AC49A4">
          <w:rPr>
            <w:noProof/>
            <w:webHidden/>
          </w:rPr>
          <w:fldChar w:fldCharType="begin"/>
        </w:r>
        <w:r w:rsidR="00AC49A4">
          <w:rPr>
            <w:noProof/>
            <w:webHidden/>
          </w:rPr>
          <w:instrText xml:space="preserve"> PAGEREF _Toc340750013 \h </w:instrText>
        </w:r>
        <w:r w:rsidR="00AC49A4">
          <w:rPr>
            <w:noProof/>
            <w:webHidden/>
          </w:rPr>
        </w:r>
        <w:r w:rsidR="00AC49A4">
          <w:rPr>
            <w:noProof/>
            <w:webHidden/>
          </w:rPr>
          <w:fldChar w:fldCharType="separate"/>
        </w:r>
        <w:r w:rsidR="00AC49A4">
          <w:rPr>
            <w:noProof/>
            <w:webHidden/>
          </w:rPr>
          <w:t>45</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4" w:history="1">
        <w:r w:rsidR="00AC49A4" w:rsidRPr="007906D3">
          <w:rPr>
            <w:rStyle w:val="Hyperlink"/>
            <w:noProof/>
          </w:rPr>
          <w:t>Fig. 24</w:t>
        </w:r>
        <w:r w:rsidR="00AC49A4" w:rsidRPr="007906D3">
          <w:rPr>
            <w:rStyle w:val="Hyperlink"/>
            <w:rFonts w:cs="Times New Roman"/>
            <w:noProof/>
          </w:rPr>
          <w:t xml:space="preserve">: Above and Below-ground Plant Biomass of </w:t>
        </w:r>
        <w:r w:rsidR="00AC49A4" w:rsidRPr="007906D3">
          <w:rPr>
            <w:rStyle w:val="Hyperlink"/>
            <w:rFonts w:cs="Times New Roman"/>
            <w:i/>
            <w:noProof/>
          </w:rPr>
          <w:t>C. canadensis</w:t>
        </w:r>
        <w:r w:rsidR="00AC49A4" w:rsidRPr="007906D3">
          <w:rPr>
            <w:rStyle w:val="Hyperlink"/>
            <w:rFonts w:cs="Times New Roman"/>
            <w:noProof/>
          </w:rPr>
          <w:t xml:space="preserve"> seedlings grown in soils from a fifteen-year-old Forestry Reclamation Approach  site with the indicated nematode community adde: </w:t>
        </w:r>
        <w:r w:rsidR="00AC49A4" w:rsidRPr="007906D3">
          <w:rPr>
            <w:rStyle w:val="Hyperlink"/>
            <w:noProof/>
          </w:rPr>
          <w:t xml:space="preserve">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  Letters indicate significant differences between groups.</w:t>
        </w:r>
        <w:r w:rsidR="00AC49A4">
          <w:rPr>
            <w:noProof/>
            <w:webHidden/>
          </w:rPr>
          <w:tab/>
        </w:r>
        <w:r w:rsidR="00AC49A4">
          <w:rPr>
            <w:noProof/>
            <w:webHidden/>
          </w:rPr>
          <w:fldChar w:fldCharType="begin"/>
        </w:r>
        <w:r w:rsidR="00AC49A4">
          <w:rPr>
            <w:noProof/>
            <w:webHidden/>
          </w:rPr>
          <w:instrText xml:space="preserve"> PAGEREF _Toc340750014 \h </w:instrText>
        </w:r>
        <w:r w:rsidR="00AC49A4">
          <w:rPr>
            <w:noProof/>
            <w:webHidden/>
          </w:rPr>
        </w:r>
        <w:r w:rsidR="00AC49A4">
          <w:rPr>
            <w:noProof/>
            <w:webHidden/>
          </w:rPr>
          <w:fldChar w:fldCharType="separate"/>
        </w:r>
        <w:r w:rsidR="00AC49A4">
          <w:rPr>
            <w:noProof/>
            <w:webHidden/>
          </w:rPr>
          <w:t>46</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5" w:history="1">
        <w:r w:rsidR="00AC49A4" w:rsidRPr="007906D3">
          <w:rPr>
            <w:rStyle w:val="Hyperlink"/>
            <w:noProof/>
          </w:rPr>
          <w:t>Fig. 25</w:t>
        </w:r>
        <w:r w:rsidR="00AC49A4" w:rsidRPr="007906D3">
          <w:rPr>
            <w:rStyle w:val="Hyperlink"/>
            <w:rFonts w:cs="Times New Roman"/>
            <w:noProof/>
          </w:rPr>
          <w:t xml:space="preserve">: Leaf nitrogen content of </w:t>
        </w:r>
        <w:r w:rsidR="00AC49A4" w:rsidRPr="007906D3">
          <w:rPr>
            <w:rStyle w:val="Hyperlink"/>
            <w:rFonts w:cs="Times New Roman"/>
            <w:i/>
            <w:noProof/>
          </w:rPr>
          <w:t xml:space="preserve">C. canadensis </w:t>
        </w:r>
        <w:r w:rsidR="00AC49A4" w:rsidRPr="007906D3">
          <w:rPr>
            <w:rStyle w:val="Hyperlink"/>
            <w:rFonts w:cs="Times New Roman"/>
            <w:noProof/>
          </w:rPr>
          <w:t xml:space="preserve">seedlings grown in soils from a fifteen-year-old Forestry Reclamation Approach site with the indicated nematode community added : </w:t>
        </w:r>
        <w:r w:rsidR="00AC49A4" w:rsidRPr="007906D3">
          <w:rPr>
            <w:rStyle w:val="Hyperlink"/>
            <w:noProof/>
          </w:rPr>
          <w:t xml:space="preserve">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  Letters indicate significant differences between groups.</w:t>
        </w:r>
        <w:r w:rsidR="00AC49A4">
          <w:rPr>
            <w:noProof/>
            <w:webHidden/>
          </w:rPr>
          <w:tab/>
        </w:r>
        <w:r w:rsidR="00AC49A4">
          <w:rPr>
            <w:noProof/>
            <w:webHidden/>
          </w:rPr>
          <w:fldChar w:fldCharType="begin"/>
        </w:r>
        <w:r w:rsidR="00AC49A4">
          <w:rPr>
            <w:noProof/>
            <w:webHidden/>
          </w:rPr>
          <w:instrText xml:space="preserve"> PAGEREF _Toc340750015 \h </w:instrText>
        </w:r>
        <w:r w:rsidR="00AC49A4">
          <w:rPr>
            <w:noProof/>
            <w:webHidden/>
          </w:rPr>
        </w:r>
        <w:r w:rsidR="00AC49A4">
          <w:rPr>
            <w:noProof/>
            <w:webHidden/>
          </w:rPr>
          <w:fldChar w:fldCharType="separate"/>
        </w:r>
        <w:r w:rsidR="00AC49A4">
          <w:rPr>
            <w:noProof/>
            <w:webHidden/>
          </w:rPr>
          <w:t>46</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6" w:history="1">
        <w:r w:rsidR="00AC49A4" w:rsidRPr="007906D3">
          <w:rPr>
            <w:rStyle w:val="Hyperlink"/>
            <w:noProof/>
          </w:rPr>
          <w:t xml:space="preserve">Fig. 26: </w:t>
        </w:r>
        <w:r w:rsidR="00AC49A4" w:rsidRPr="007906D3">
          <w:rPr>
            <w:rStyle w:val="Hyperlink"/>
            <w:rFonts w:cs="Times New Roman"/>
            <w:noProof/>
          </w:rPr>
          <w:t xml:space="preserve"> Leaf carbon:nitrogen ratio of </w:t>
        </w:r>
        <w:r w:rsidR="00AC49A4" w:rsidRPr="007906D3">
          <w:rPr>
            <w:rStyle w:val="Hyperlink"/>
            <w:rFonts w:cs="Times New Roman"/>
            <w:i/>
            <w:noProof/>
          </w:rPr>
          <w:t xml:space="preserve">C. canadensis </w:t>
        </w:r>
        <w:r w:rsidR="00AC49A4" w:rsidRPr="007906D3">
          <w:rPr>
            <w:rStyle w:val="Hyperlink"/>
            <w:rFonts w:cs="Times New Roman"/>
            <w:noProof/>
          </w:rPr>
          <w:t xml:space="preserve">seedlings grown in soils from a fifteen-year-old Forestry Reclamation Approach site with the indicated nematode community added: </w:t>
        </w:r>
        <w:r w:rsidR="00AC49A4" w:rsidRPr="007906D3">
          <w:rPr>
            <w:rStyle w:val="Hyperlink"/>
            <w:noProof/>
          </w:rPr>
          <w:t xml:space="preserve">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w:t>
        </w:r>
        <w:r w:rsidR="00AC49A4" w:rsidRPr="007906D3">
          <w:rPr>
            <w:rStyle w:val="Hyperlink"/>
            <w:rFonts w:cs="Times New Roman"/>
            <w:noProof/>
          </w:rPr>
          <w:t>±</w:t>
        </w:r>
        <w:r w:rsidR="00AC49A4" w:rsidRPr="007906D3">
          <w:rPr>
            <w:rStyle w:val="Hyperlink"/>
            <w:noProof/>
          </w:rPr>
          <w:t xml:space="preserve"> standard error.  Letters indicate significant differences between groups. Bars represent mean values </w:t>
        </w:r>
        <w:r w:rsidR="00AC49A4" w:rsidRPr="007906D3">
          <w:rPr>
            <w:rStyle w:val="Hyperlink"/>
            <w:rFonts w:cs="Times New Roman"/>
            <w:noProof/>
          </w:rPr>
          <w:t>±</w:t>
        </w:r>
        <w:r w:rsidR="00AC49A4" w:rsidRPr="007906D3">
          <w:rPr>
            <w:rStyle w:val="Hyperlink"/>
            <w:noProof/>
          </w:rPr>
          <w:t xml:space="preserve"> standard error.</w:t>
        </w:r>
        <w:r w:rsidR="00AC49A4">
          <w:rPr>
            <w:noProof/>
            <w:webHidden/>
          </w:rPr>
          <w:tab/>
        </w:r>
        <w:r w:rsidR="00AC49A4">
          <w:rPr>
            <w:noProof/>
            <w:webHidden/>
          </w:rPr>
          <w:fldChar w:fldCharType="begin"/>
        </w:r>
        <w:r w:rsidR="00AC49A4">
          <w:rPr>
            <w:noProof/>
            <w:webHidden/>
          </w:rPr>
          <w:instrText xml:space="preserve"> PAGEREF _Toc340750016 \h </w:instrText>
        </w:r>
        <w:r w:rsidR="00AC49A4">
          <w:rPr>
            <w:noProof/>
            <w:webHidden/>
          </w:rPr>
        </w:r>
        <w:r w:rsidR="00AC49A4">
          <w:rPr>
            <w:noProof/>
            <w:webHidden/>
          </w:rPr>
          <w:fldChar w:fldCharType="separate"/>
        </w:r>
        <w:r w:rsidR="00AC49A4">
          <w:rPr>
            <w:noProof/>
            <w:webHidden/>
          </w:rPr>
          <w:t>47</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7" w:history="1">
        <w:r w:rsidR="00AC49A4" w:rsidRPr="007906D3">
          <w:rPr>
            <w:rStyle w:val="Hyperlink"/>
            <w:noProof/>
          </w:rPr>
          <w:t xml:space="preserve">Fig. 27: Above and Below-ground Plant Biomass of  </w:t>
        </w:r>
        <w:r w:rsidR="00AC49A4" w:rsidRPr="007906D3">
          <w:rPr>
            <w:rStyle w:val="Hyperlink"/>
            <w:i/>
            <w:noProof/>
          </w:rPr>
          <w:t>C. canadensis</w:t>
        </w:r>
        <w:r w:rsidR="00AC49A4" w:rsidRPr="007906D3">
          <w:rPr>
            <w:rStyle w:val="Hyperlink"/>
            <w:noProof/>
          </w:rPr>
          <w:t xml:space="preserve"> seedlings grown in soils from a fifteen-year-old Surface Mining Control and Reclamation Act site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 standard error.</w:t>
        </w:r>
        <w:r w:rsidR="00AC49A4">
          <w:rPr>
            <w:noProof/>
            <w:webHidden/>
          </w:rPr>
          <w:tab/>
        </w:r>
        <w:r w:rsidR="00AC49A4">
          <w:rPr>
            <w:noProof/>
            <w:webHidden/>
          </w:rPr>
          <w:fldChar w:fldCharType="begin"/>
        </w:r>
        <w:r w:rsidR="00AC49A4">
          <w:rPr>
            <w:noProof/>
            <w:webHidden/>
          </w:rPr>
          <w:instrText xml:space="preserve"> PAGEREF _Toc340750017 \h </w:instrText>
        </w:r>
        <w:r w:rsidR="00AC49A4">
          <w:rPr>
            <w:noProof/>
            <w:webHidden/>
          </w:rPr>
        </w:r>
        <w:r w:rsidR="00AC49A4">
          <w:rPr>
            <w:noProof/>
            <w:webHidden/>
          </w:rPr>
          <w:fldChar w:fldCharType="separate"/>
        </w:r>
        <w:r w:rsidR="00AC49A4">
          <w:rPr>
            <w:noProof/>
            <w:webHidden/>
          </w:rPr>
          <w:t>48</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8" w:history="1">
        <w:r w:rsidR="00AC49A4" w:rsidRPr="007906D3">
          <w:rPr>
            <w:rStyle w:val="Hyperlink"/>
            <w:noProof/>
          </w:rPr>
          <w:t xml:space="preserve">Fig. 28:  Leaf nitrogen content of </w:t>
        </w:r>
        <w:r w:rsidR="00AC49A4" w:rsidRPr="007906D3">
          <w:rPr>
            <w:rStyle w:val="Hyperlink"/>
            <w:i/>
            <w:noProof/>
          </w:rPr>
          <w:t xml:space="preserve">C. canadensis </w:t>
        </w:r>
        <w:r w:rsidR="00AC49A4" w:rsidRPr="007906D3">
          <w:rPr>
            <w:rStyle w:val="Hyperlink"/>
            <w:noProof/>
          </w:rPr>
          <w:t>seedlings grown in soils from a fifteen-year-old Surface Mining Control and Reclamation Act site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 standard error.  Letters indicate significant differences between groups.</w:t>
        </w:r>
        <w:r w:rsidR="00AC49A4">
          <w:rPr>
            <w:noProof/>
            <w:webHidden/>
          </w:rPr>
          <w:tab/>
        </w:r>
        <w:r w:rsidR="00AC49A4">
          <w:rPr>
            <w:noProof/>
            <w:webHidden/>
          </w:rPr>
          <w:fldChar w:fldCharType="begin"/>
        </w:r>
        <w:r w:rsidR="00AC49A4">
          <w:rPr>
            <w:noProof/>
            <w:webHidden/>
          </w:rPr>
          <w:instrText xml:space="preserve"> PAGEREF _Toc340750018 \h </w:instrText>
        </w:r>
        <w:r w:rsidR="00AC49A4">
          <w:rPr>
            <w:noProof/>
            <w:webHidden/>
          </w:rPr>
        </w:r>
        <w:r w:rsidR="00AC49A4">
          <w:rPr>
            <w:noProof/>
            <w:webHidden/>
          </w:rPr>
          <w:fldChar w:fldCharType="separate"/>
        </w:r>
        <w:r w:rsidR="00AC49A4">
          <w:rPr>
            <w:noProof/>
            <w:webHidden/>
          </w:rPr>
          <w:t>49</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19" w:history="1">
        <w:r w:rsidR="00AC49A4" w:rsidRPr="007906D3">
          <w:rPr>
            <w:rStyle w:val="Hyperlink"/>
            <w:noProof/>
          </w:rPr>
          <w:t xml:space="preserve">Fig. 29: Leaf carbon:nitrogen ratio of </w:t>
        </w:r>
        <w:r w:rsidR="00AC49A4" w:rsidRPr="007906D3">
          <w:rPr>
            <w:rStyle w:val="Hyperlink"/>
            <w:i/>
            <w:noProof/>
          </w:rPr>
          <w:t xml:space="preserve">C. canadensis </w:t>
        </w:r>
        <w:r w:rsidR="00AC49A4" w:rsidRPr="007906D3">
          <w:rPr>
            <w:rStyle w:val="Hyperlink"/>
            <w:noProof/>
          </w:rPr>
          <w:t>seedlings grown in soils from a fifteen-year-old Forestry Reclamation Approach site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 standard error.  Letters indicate significant differences between groups.</w:t>
        </w:r>
        <w:r w:rsidR="00AC49A4">
          <w:rPr>
            <w:noProof/>
            <w:webHidden/>
          </w:rPr>
          <w:tab/>
        </w:r>
        <w:r w:rsidR="00AC49A4">
          <w:rPr>
            <w:noProof/>
            <w:webHidden/>
          </w:rPr>
          <w:fldChar w:fldCharType="begin"/>
        </w:r>
        <w:r w:rsidR="00AC49A4">
          <w:rPr>
            <w:noProof/>
            <w:webHidden/>
          </w:rPr>
          <w:instrText xml:space="preserve"> PAGEREF _Toc340750019 \h </w:instrText>
        </w:r>
        <w:r w:rsidR="00AC49A4">
          <w:rPr>
            <w:noProof/>
            <w:webHidden/>
          </w:rPr>
        </w:r>
        <w:r w:rsidR="00AC49A4">
          <w:rPr>
            <w:noProof/>
            <w:webHidden/>
          </w:rPr>
          <w:fldChar w:fldCharType="separate"/>
        </w:r>
        <w:r w:rsidR="00AC49A4">
          <w:rPr>
            <w:noProof/>
            <w:webHidden/>
          </w:rPr>
          <w:t>49</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20" w:history="1">
        <w:r w:rsidR="00AC49A4" w:rsidRPr="007906D3">
          <w:rPr>
            <w:rStyle w:val="Hyperlink"/>
            <w:noProof/>
          </w:rPr>
          <w:t xml:space="preserve">Fig. 30: Above and Below-ground Plant Biomass of </w:t>
        </w:r>
        <w:r w:rsidR="00AC49A4" w:rsidRPr="007906D3">
          <w:rPr>
            <w:rStyle w:val="Hyperlink"/>
            <w:i/>
            <w:noProof/>
          </w:rPr>
          <w:t>C. canadensis</w:t>
        </w:r>
        <w:r w:rsidR="00AC49A4" w:rsidRPr="007906D3">
          <w:rPr>
            <w:rStyle w:val="Hyperlink"/>
            <w:noProof/>
          </w:rPr>
          <w:t xml:space="preserve"> seedlings grown in soils from an un-mined forest site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 standard error.  Letters indicate significant differences between groups.</w:t>
        </w:r>
        <w:r w:rsidR="00AC49A4">
          <w:rPr>
            <w:noProof/>
            <w:webHidden/>
          </w:rPr>
          <w:tab/>
        </w:r>
        <w:r w:rsidR="00AC49A4">
          <w:rPr>
            <w:noProof/>
            <w:webHidden/>
          </w:rPr>
          <w:fldChar w:fldCharType="begin"/>
        </w:r>
        <w:r w:rsidR="00AC49A4">
          <w:rPr>
            <w:noProof/>
            <w:webHidden/>
          </w:rPr>
          <w:instrText xml:space="preserve"> PAGEREF _Toc340750020 \h </w:instrText>
        </w:r>
        <w:r w:rsidR="00AC49A4">
          <w:rPr>
            <w:noProof/>
            <w:webHidden/>
          </w:rPr>
        </w:r>
        <w:r w:rsidR="00AC49A4">
          <w:rPr>
            <w:noProof/>
            <w:webHidden/>
          </w:rPr>
          <w:fldChar w:fldCharType="separate"/>
        </w:r>
        <w:r w:rsidR="00AC49A4">
          <w:rPr>
            <w:noProof/>
            <w:webHidden/>
          </w:rPr>
          <w:t>50</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21" w:history="1">
        <w:r w:rsidR="00AC49A4" w:rsidRPr="007906D3">
          <w:rPr>
            <w:rStyle w:val="Hyperlink"/>
            <w:noProof/>
          </w:rPr>
          <w:t xml:space="preserve">Fig. 31:  Leaf nitrogen content of </w:t>
        </w:r>
        <w:r w:rsidR="00AC49A4" w:rsidRPr="007906D3">
          <w:rPr>
            <w:rStyle w:val="Hyperlink"/>
            <w:i/>
            <w:noProof/>
          </w:rPr>
          <w:t xml:space="preserve">C. canadensis </w:t>
        </w:r>
        <w:r w:rsidR="00AC49A4" w:rsidRPr="007906D3">
          <w:rPr>
            <w:rStyle w:val="Hyperlink"/>
            <w:noProof/>
          </w:rPr>
          <w:t>seedlings grown in soils from an un-mined forest site with the indicated nematode community added:intact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 standard error.</w:t>
        </w:r>
        <w:r w:rsidR="00AC49A4">
          <w:rPr>
            <w:noProof/>
            <w:webHidden/>
          </w:rPr>
          <w:tab/>
        </w:r>
        <w:r w:rsidR="00AC49A4">
          <w:rPr>
            <w:noProof/>
            <w:webHidden/>
          </w:rPr>
          <w:fldChar w:fldCharType="begin"/>
        </w:r>
        <w:r w:rsidR="00AC49A4">
          <w:rPr>
            <w:noProof/>
            <w:webHidden/>
          </w:rPr>
          <w:instrText xml:space="preserve"> PAGEREF _Toc340750021 \h </w:instrText>
        </w:r>
        <w:r w:rsidR="00AC49A4">
          <w:rPr>
            <w:noProof/>
            <w:webHidden/>
          </w:rPr>
        </w:r>
        <w:r w:rsidR="00AC49A4">
          <w:rPr>
            <w:noProof/>
            <w:webHidden/>
          </w:rPr>
          <w:fldChar w:fldCharType="separate"/>
        </w:r>
        <w:r w:rsidR="00AC49A4">
          <w:rPr>
            <w:noProof/>
            <w:webHidden/>
          </w:rPr>
          <w:t>51</w:t>
        </w:r>
        <w:r w:rsidR="00AC49A4">
          <w:rPr>
            <w:noProof/>
            <w:webHidden/>
          </w:rPr>
          <w:fldChar w:fldCharType="end"/>
        </w:r>
      </w:hyperlink>
    </w:p>
    <w:p w:rsidR="00AC49A4" w:rsidRDefault="003C0513">
      <w:pPr>
        <w:pStyle w:val="TableofFigures"/>
        <w:tabs>
          <w:tab w:val="right" w:leader="dot" w:pos="9350"/>
        </w:tabs>
        <w:rPr>
          <w:rFonts w:asciiTheme="minorHAnsi" w:eastAsiaTheme="minorEastAsia" w:hAnsiTheme="minorHAnsi"/>
          <w:noProof/>
        </w:rPr>
      </w:pPr>
      <w:hyperlink w:anchor="_Toc340750022" w:history="1">
        <w:r w:rsidR="00AC49A4" w:rsidRPr="007906D3">
          <w:rPr>
            <w:rStyle w:val="Hyperlink"/>
            <w:noProof/>
          </w:rPr>
          <w:t xml:space="preserve">Fig. 32:  Leaf carbon:nitrogen ratio of </w:t>
        </w:r>
        <w:r w:rsidR="00AC49A4" w:rsidRPr="007906D3">
          <w:rPr>
            <w:rStyle w:val="Hyperlink"/>
            <w:i/>
            <w:noProof/>
          </w:rPr>
          <w:t xml:space="preserve">C. canadensis </w:t>
        </w:r>
        <w:r w:rsidR="00AC49A4" w:rsidRPr="007906D3">
          <w:rPr>
            <w:rStyle w:val="Hyperlink"/>
            <w:noProof/>
          </w:rPr>
          <w:t>seedlings grown in soils from un-mine forest site with the indicated nematode community added: intact control nematodes, defaunated control nematodes, forest nematodes, FRA one- year-old nematode communities, FRA fifteen-year-old communities, Surface Mine Control and Reclamation Act (SMCRA) one-year-old nematode communities, SMCRA fifteen-year-old nematodes communities . Bars represent mean values ± standard error.</w:t>
        </w:r>
        <w:r w:rsidR="00AC49A4">
          <w:rPr>
            <w:noProof/>
            <w:webHidden/>
          </w:rPr>
          <w:tab/>
        </w:r>
        <w:r w:rsidR="00AC49A4">
          <w:rPr>
            <w:noProof/>
            <w:webHidden/>
          </w:rPr>
          <w:fldChar w:fldCharType="begin"/>
        </w:r>
        <w:r w:rsidR="00AC49A4">
          <w:rPr>
            <w:noProof/>
            <w:webHidden/>
          </w:rPr>
          <w:instrText xml:space="preserve"> PAGEREF _Toc340750022 \h </w:instrText>
        </w:r>
        <w:r w:rsidR="00AC49A4">
          <w:rPr>
            <w:noProof/>
            <w:webHidden/>
          </w:rPr>
        </w:r>
        <w:r w:rsidR="00AC49A4">
          <w:rPr>
            <w:noProof/>
            <w:webHidden/>
          </w:rPr>
          <w:fldChar w:fldCharType="separate"/>
        </w:r>
        <w:r w:rsidR="00AC49A4">
          <w:rPr>
            <w:noProof/>
            <w:webHidden/>
          </w:rPr>
          <w:t>51</w:t>
        </w:r>
        <w:r w:rsidR="00AC49A4">
          <w:rPr>
            <w:noProof/>
            <w:webHidden/>
          </w:rPr>
          <w:fldChar w:fldCharType="end"/>
        </w:r>
      </w:hyperlink>
    </w:p>
    <w:p w:rsidR="00AC49A4" w:rsidRPr="00602CBB" w:rsidRDefault="00AC49A4" w:rsidP="003C0513">
      <w:r>
        <w:fldChar w:fldCharType="end"/>
      </w:r>
    </w:p>
    <w:p w:rsidR="00AC49A4" w:rsidRPr="00602CBB"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Pr>
        <w:pStyle w:val="Title"/>
        <w:sectPr w:rsidR="00AC49A4" w:rsidSect="000D7E4D">
          <w:pgSz w:w="12240" w:h="15840"/>
          <w:pgMar w:top="1440" w:right="1440" w:bottom="1440" w:left="1440" w:header="720" w:footer="720" w:gutter="0"/>
          <w:pgNumType w:fmt="lowerRoman" w:start="2"/>
          <w:cols w:space="720"/>
          <w:docGrid w:linePitch="360"/>
        </w:sectPr>
      </w:pPr>
    </w:p>
    <w:p w:rsidR="00AC49A4" w:rsidRPr="003C0513" w:rsidRDefault="00AC49A4" w:rsidP="003C0513">
      <w:pPr>
        <w:pStyle w:val="Heading1"/>
      </w:pPr>
      <w:bookmarkStart w:id="6" w:name="_Toc340837885"/>
      <w:r w:rsidRPr="003C0513">
        <w:lastRenderedPageBreak/>
        <w:t>Abstract</w:t>
      </w:r>
      <w:bookmarkEnd w:id="6"/>
    </w:p>
    <w:p w:rsidR="00AC49A4" w:rsidRPr="0013299A" w:rsidRDefault="00AC49A4" w:rsidP="003C0513"/>
    <w:p w:rsidR="00AC49A4" w:rsidRPr="00BA7280" w:rsidRDefault="00AC49A4" w:rsidP="003C0513">
      <w:pPr>
        <w:spacing w:line="480" w:lineRule="auto"/>
        <w:ind w:firstLine="720"/>
        <w:rPr>
          <w:rFonts w:cs="Times New Roman"/>
          <w:sz w:val="24"/>
          <w:szCs w:val="24"/>
        </w:rPr>
      </w:pPr>
      <w:bookmarkStart w:id="7" w:name="_GoBack"/>
      <w:r w:rsidRPr="00BA7280">
        <w:rPr>
          <w:rFonts w:cs="Times New Roman"/>
          <w:sz w:val="24"/>
          <w:szCs w:val="24"/>
        </w:rPr>
        <w:t>Traditional restoration of post mining sites in the southeastern U.S. utilizes methods that discourage above and below-ground succession of native flora</w:t>
      </w:r>
      <w:r>
        <w:rPr>
          <w:rFonts w:cs="Times New Roman"/>
          <w:sz w:val="24"/>
          <w:szCs w:val="24"/>
        </w:rPr>
        <w:t>l</w:t>
      </w:r>
      <w:r w:rsidRPr="00BA7280">
        <w:rPr>
          <w:rFonts w:cs="Times New Roman"/>
          <w:sz w:val="24"/>
          <w:szCs w:val="24"/>
        </w:rPr>
        <w:t xml:space="preserve"> and fauna</w:t>
      </w:r>
      <w:r>
        <w:rPr>
          <w:rFonts w:cs="Times New Roman"/>
          <w:sz w:val="24"/>
          <w:szCs w:val="24"/>
        </w:rPr>
        <w:t>l</w:t>
      </w:r>
      <w:r w:rsidRPr="00BA7280">
        <w:rPr>
          <w:rFonts w:cs="Times New Roman"/>
          <w:sz w:val="24"/>
          <w:szCs w:val="24"/>
        </w:rPr>
        <w:t xml:space="preserve"> communities.  Recent advances in mining restoration techniques proposed by the Appalachian Regional Reforestation Initiative (ARRI) ha</w:t>
      </w:r>
      <w:r>
        <w:rPr>
          <w:rFonts w:cs="Times New Roman"/>
          <w:sz w:val="24"/>
          <w:szCs w:val="24"/>
        </w:rPr>
        <w:t>ve</w:t>
      </w:r>
      <w:r w:rsidRPr="00BA7280">
        <w:rPr>
          <w:rFonts w:cs="Times New Roman"/>
          <w:sz w:val="24"/>
          <w:szCs w:val="24"/>
        </w:rPr>
        <w:t xml:space="preserve"> improved </w:t>
      </w:r>
      <w:r>
        <w:rPr>
          <w:rFonts w:cs="Times New Roman"/>
          <w:sz w:val="24"/>
          <w:szCs w:val="24"/>
        </w:rPr>
        <w:t>above-ground</w:t>
      </w:r>
      <w:r w:rsidRPr="00BA7280">
        <w:rPr>
          <w:rFonts w:cs="Times New Roman"/>
          <w:sz w:val="24"/>
          <w:szCs w:val="24"/>
        </w:rPr>
        <w:t xml:space="preserve"> plant succession and growth rates in reclaimed sites</w:t>
      </w:r>
      <w:r>
        <w:rPr>
          <w:rFonts w:cs="Times New Roman"/>
          <w:sz w:val="24"/>
          <w:szCs w:val="24"/>
        </w:rPr>
        <w:t xml:space="preserve"> by developing the Forestry Reclamation Approach (FRA), a process that discourages substrate compaction and encourages native plant succession.</w:t>
      </w:r>
      <w:r w:rsidRPr="00BA7280">
        <w:rPr>
          <w:rFonts w:cs="Times New Roman"/>
          <w:sz w:val="24"/>
          <w:szCs w:val="24"/>
        </w:rPr>
        <w:t xml:space="preserve"> The below</w:t>
      </w:r>
      <w:r>
        <w:rPr>
          <w:rFonts w:cs="Times New Roman"/>
          <w:sz w:val="24"/>
          <w:szCs w:val="24"/>
        </w:rPr>
        <w:t>-</w:t>
      </w:r>
      <w:r w:rsidRPr="00BA7280">
        <w:rPr>
          <w:rFonts w:cs="Times New Roman"/>
          <w:sz w:val="24"/>
          <w:szCs w:val="24"/>
        </w:rPr>
        <w:t xml:space="preserve">ground component of these reclaimed areas remains </w:t>
      </w:r>
      <w:proofErr w:type="spellStart"/>
      <w:r w:rsidRPr="00BA7280">
        <w:rPr>
          <w:rFonts w:cs="Times New Roman"/>
          <w:sz w:val="24"/>
          <w:szCs w:val="24"/>
        </w:rPr>
        <w:t>undescribed</w:t>
      </w:r>
      <w:proofErr w:type="spellEnd"/>
      <w:r w:rsidRPr="00BA7280">
        <w:rPr>
          <w:rFonts w:cs="Times New Roman"/>
          <w:sz w:val="24"/>
          <w:szCs w:val="24"/>
        </w:rPr>
        <w:t>, however. Below</w:t>
      </w:r>
      <w:r>
        <w:rPr>
          <w:rFonts w:cs="Times New Roman"/>
          <w:sz w:val="24"/>
          <w:szCs w:val="24"/>
        </w:rPr>
        <w:t>-</w:t>
      </w:r>
      <w:r w:rsidRPr="00BA7280">
        <w:rPr>
          <w:rFonts w:cs="Times New Roman"/>
          <w:sz w:val="24"/>
          <w:szCs w:val="24"/>
        </w:rPr>
        <w:t>ground invertebrate communities in mining restoration sites have been largely ignored, despite their potential importance to the long-term recovery of these profoundly disturbed sites.</w:t>
      </w:r>
      <w:r>
        <w:rPr>
          <w:rFonts w:cs="Times New Roman"/>
          <w:sz w:val="24"/>
          <w:szCs w:val="24"/>
        </w:rPr>
        <w:t xml:space="preserve"> Nematode communities were measured in both traditional and FRA reclaimed sites using a chronosequence to measures community shifts over time, as well as intact un-mined forests.  Nematodes were identified to </w:t>
      </w:r>
      <w:proofErr w:type="spellStart"/>
      <w:r>
        <w:rPr>
          <w:rFonts w:cs="Times New Roman"/>
          <w:sz w:val="24"/>
          <w:szCs w:val="24"/>
        </w:rPr>
        <w:t>morphospecies</w:t>
      </w:r>
      <w:proofErr w:type="spellEnd"/>
      <w:r>
        <w:rPr>
          <w:rFonts w:cs="Times New Roman"/>
          <w:sz w:val="24"/>
          <w:szCs w:val="24"/>
        </w:rPr>
        <w:t xml:space="preserve"> and by trophic groups.</w:t>
      </w:r>
      <w:r w:rsidRPr="00BA7280">
        <w:rPr>
          <w:rFonts w:cs="Times New Roman"/>
          <w:sz w:val="24"/>
          <w:szCs w:val="24"/>
        </w:rPr>
        <w:t xml:space="preserve"> </w:t>
      </w:r>
      <w:r>
        <w:rPr>
          <w:rFonts w:cs="Times New Roman"/>
          <w:sz w:val="24"/>
          <w:szCs w:val="24"/>
        </w:rPr>
        <w:t>This study demonstrated that species</w:t>
      </w:r>
      <w:r w:rsidRPr="00BA7280">
        <w:rPr>
          <w:rFonts w:cs="Times New Roman"/>
          <w:sz w:val="24"/>
          <w:szCs w:val="24"/>
        </w:rPr>
        <w:t xml:space="preserve"> </w:t>
      </w:r>
      <w:r>
        <w:rPr>
          <w:rFonts w:cs="Times New Roman"/>
          <w:sz w:val="24"/>
          <w:szCs w:val="24"/>
        </w:rPr>
        <w:t>r</w:t>
      </w:r>
      <w:r w:rsidRPr="00BA7280">
        <w:rPr>
          <w:rFonts w:cs="Times New Roman"/>
          <w:sz w:val="24"/>
          <w:szCs w:val="24"/>
        </w:rPr>
        <w:t xml:space="preserve">ichness, Shannon diversity, and abundance measures became similar to forested sites in reclaimed sites between nine and fifteen years since reclamation. Less coarse analyses, including abundance of indicator </w:t>
      </w:r>
      <w:proofErr w:type="spellStart"/>
      <w:r w:rsidRPr="00BA7280">
        <w:rPr>
          <w:rFonts w:cs="Times New Roman"/>
          <w:sz w:val="24"/>
          <w:szCs w:val="24"/>
        </w:rPr>
        <w:t>morphospecies</w:t>
      </w:r>
      <w:proofErr w:type="spellEnd"/>
      <w:r w:rsidRPr="00BA7280">
        <w:rPr>
          <w:rFonts w:cs="Times New Roman"/>
          <w:sz w:val="24"/>
          <w:szCs w:val="24"/>
        </w:rPr>
        <w:t xml:space="preserve"> and trophic abundances showed a deficit of nematode taxa remains, even in older sites.  </w:t>
      </w:r>
      <w:r>
        <w:rPr>
          <w:rFonts w:cs="Times New Roman"/>
          <w:sz w:val="24"/>
          <w:szCs w:val="24"/>
        </w:rPr>
        <w:t xml:space="preserve">Bacteria-feeding nematodes </w:t>
      </w:r>
      <w:r w:rsidRPr="00BA7280">
        <w:rPr>
          <w:rFonts w:cs="Times New Roman"/>
          <w:sz w:val="24"/>
          <w:szCs w:val="24"/>
        </w:rPr>
        <w:t xml:space="preserve">increased over time in both FRA and </w:t>
      </w:r>
      <w:r>
        <w:rPr>
          <w:rFonts w:cs="Times New Roman"/>
          <w:sz w:val="24"/>
          <w:szCs w:val="24"/>
        </w:rPr>
        <w:t>traditional reclamation sites, while plant feeding nematodes</w:t>
      </w:r>
      <w:r w:rsidRPr="00BA7280">
        <w:rPr>
          <w:rFonts w:cs="Times New Roman"/>
          <w:sz w:val="24"/>
          <w:szCs w:val="24"/>
        </w:rPr>
        <w:t xml:space="preserve"> increased later in the </w:t>
      </w:r>
      <w:proofErr w:type="spellStart"/>
      <w:r w:rsidRPr="00BA7280">
        <w:rPr>
          <w:rFonts w:cs="Times New Roman"/>
          <w:sz w:val="24"/>
          <w:szCs w:val="24"/>
        </w:rPr>
        <w:t>choronosequence</w:t>
      </w:r>
      <w:proofErr w:type="spellEnd"/>
      <w:r w:rsidRPr="00BA7280">
        <w:rPr>
          <w:rFonts w:cs="Times New Roman"/>
          <w:sz w:val="24"/>
          <w:szCs w:val="24"/>
        </w:rPr>
        <w:t xml:space="preserve"> of both treatments.  Genera such as </w:t>
      </w:r>
      <w:proofErr w:type="spellStart"/>
      <w:r w:rsidRPr="00BA7280">
        <w:rPr>
          <w:rFonts w:cs="Times New Roman"/>
          <w:i/>
          <w:sz w:val="24"/>
          <w:szCs w:val="24"/>
        </w:rPr>
        <w:t>Ogma</w:t>
      </w:r>
      <w:proofErr w:type="spellEnd"/>
      <w:r w:rsidRPr="00BA7280">
        <w:rPr>
          <w:rFonts w:cs="Times New Roman"/>
          <w:i/>
          <w:sz w:val="24"/>
          <w:szCs w:val="24"/>
        </w:rPr>
        <w:t xml:space="preserve">, </w:t>
      </w:r>
      <w:proofErr w:type="spellStart"/>
      <w:r w:rsidRPr="00BA7280">
        <w:rPr>
          <w:rFonts w:cs="Times New Roman"/>
          <w:i/>
          <w:sz w:val="24"/>
          <w:szCs w:val="24"/>
        </w:rPr>
        <w:t>Xiph</w:t>
      </w:r>
      <w:r>
        <w:rPr>
          <w:rFonts w:cs="Times New Roman"/>
          <w:i/>
          <w:sz w:val="24"/>
          <w:szCs w:val="24"/>
        </w:rPr>
        <w:t>i</w:t>
      </w:r>
      <w:r w:rsidRPr="00BA7280">
        <w:rPr>
          <w:rFonts w:cs="Times New Roman"/>
          <w:i/>
          <w:sz w:val="24"/>
          <w:szCs w:val="24"/>
        </w:rPr>
        <w:t>nema</w:t>
      </w:r>
      <w:proofErr w:type="spellEnd"/>
      <w:r w:rsidRPr="00BA7280">
        <w:rPr>
          <w:rFonts w:cs="Times New Roman"/>
          <w:i/>
          <w:sz w:val="24"/>
          <w:szCs w:val="24"/>
        </w:rPr>
        <w:t xml:space="preserve">, </w:t>
      </w:r>
      <w:proofErr w:type="spellStart"/>
      <w:r w:rsidRPr="00BA7280">
        <w:rPr>
          <w:rFonts w:cs="Times New Roman"/>
          <w:i/>
          <w:sz w:val="24"/>
          <w:szCs w:val="24"/>
        </w:rPr>
        <w:t>Teratocephalus</w:t>
      </w:r>
      <w:proofErr w:type="spellEnd"/>
      <w:r w:rsidRPr="00BA7280">
        <w:rPr>
          <w:rFonts w:cs="Times New Roman"/>
          <w:i/>
          <w:sz w:val="24"/>
          <w:szCs w:val="24"/>
        </w:rPr>
        <w:t xml:space="preserve">, and </w:t>
      </w:r>
      <w:proofErr w:type="spellStart"/>
      <w:r w:rsidRPr="00BA7280">
        <w:rPr>
          <w:rFonts w:cs="Times New Roman"/>
          <w:i/>
          <w:sz w:val="24"/>
          <w:szCs w:val="24"/>
        </w:rPr>
        <w:t>Acrob</w:t>
      </w:r>
      <w:r>
        <w:rPr>
          <w:rFonts w:cs="Times New Roman"/>
          <w:i/>
          <w:sz w:val="24"/>
          <w:szCs w:val="24"/>
        </w:rPr>
        <w:t>e</w:t>
      </w:r>
      <w:r w:rsidRPr="00BA7280">
        <w:rPr>
          <w:rFonts w:cs="Times New Roman"/>
          <w:i/>
          <w:sz w:val="24"/>
          <w:szCs w:val="24"/>
        </w:rPr>
        <w:t>les</w:t>
      </w:r>
      <w:proofErr w:type="spellEnd"/>
      <w:r w:rsidRPr="00BA7280">
        <w:rPr>
          <w:rFonts w:cs="Times New Roman"/>
          <w:sz w:val="24"/>
          <w:szCs w:val="24"/>
        </w:rPr>
        <w:t xml:space="preserve"> </w:t>
      </w:r>
      <w:r>
        <w:rPr>
          <w:rFonts w:cs="Times New Roman"/>
          <w:sz w:val="24"/>
          <w:szCs w:val="24"/>
        </w:rPr>
        <w:t>were</w:t>
      </w:r>
      <w:r w:rsidRPr="00BA7280">
        <w:rPr>
          <w:rFonts w:cs="Times New Roman"/>
          <w:sz w:val="24"/>
          <w:szCs w:val="24"/>
        </w:rPr>
        <w:t xml:space="preserve"> indicative of intact forest sites and </w:t>
      </w:r>
      <w:r>
        <w:rPr>
          <w:rFonts w:cs="Times New Roman"/>
          <w:sz w:val="24"/>
          <w:szCs w:val="24"/>
        </w:rPr>
        <w:t xml:space="preserve">were </w:t>
      </w:r>
      <w:r w:rsidRPr="00BA7280">
        <w:rPr>
          <w:rFonts w:cs="Times New Roman"/>
          <w:sz w:val="24"/>
          <w:szCs w:val="24"/>
        </w:rPr>
        <w:t>under</w:t>
      </w:r>
      <w:r>
        <w:rPr>
          <w:rFonts w:cs="Times New Roman"/>
          <w:sz w:val="24"/>
          <w:szCs w:val="24"/>
        </w:rPr>
        <w:t>-</w:t>
      </w:r>
      <w:r w:rsidRPr="00BA7280">
        <w:rPr>
          <w:rFonts w:cs="Times New Roman"/>
          <w:sz w:val="24"/>
          <w:szCs w:val="24"/>
        </w:rPr>
        <w:t>represented in disturbed sites.  Nematode communities may have bottom</w:t>
      </w:r>
      <w:r>
        <w:rPr>
          <w:rFonts w:cs="Times New Roman"/>
          <w:sz w:val="24"/>
          <w:szCs w:val="24"/>
        </w:rPr>
        <w:t>-</w:t>
      </w:r>
      <w:r w:rsidRPr="00BA7280">
        <w:rPr>
          <w:rFonts w:cs="Times New Roman"/>
          <w:sz w:val="24"/>
          <w:szCs w:val="24"/>
        </w:rPr>
        <w:t xml:space="preserve">up effects on plants, and can have inhibitory effects on both the nutrient status and biomass of plants when nematode abundances are low or plant parasites </w:t>
      </w:r>
      <w:r>
        <w:rPr>
          <w:rFonts w:cs="Times New Roman"/>
          <w:sz w:val="24"/>
          <w:szCs w:val="24"/>
        </w:rPr>
        <w:t>abundances are high.</w:t>
      </w:r>
    </w:p>
    <w:p w:rsidR="00AC49A4" w:rsidRPr="00BA7280" w:rsidRDefault="00AC49A4" w:rsidP="003C0513">
      <w:pPr>
        <w:pStyle w:val="Heading1"/>
      </w:pPr>
      <w:bookmarkStart w:id="8" w:name="_Toc340837886"/>
      <w:bookmarkEnd w:id="7"/>
      <w:r w:rsidRPr="00BA7280">
        <w:lastRenderedPageBreak/>
        <w:t>The status of post-mining restoration in the southeastern United States</w:t>
      </w:r>
      <w:bookmarkEnd w:id="8"/>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Coal power generates 41% of electricity worldwide, and 49% of electricity in the United States </w:t>
      </w:r>
      <w:r w:rsidRPr="00BA7280">
        <w:rPr>
          <w:rFonts w:cs="Times New Roman"/>
          <w:noProof/>
          <w:sz w:val="24"/>
          <w:szCs w:val="24"/>
        </w:rPr>
        <w:t>(World Coal Association 2012)</w:t>
      </w:r>
      <w:r w:rsidRPr="00BA7280">
        <w:rPr>
          <w:rFonts w:cs="Times New Roman"/>
          <w:sz w:val="24"/>
          <w:szCs w:val="24"/>
        </w:rPr>
        <w:t xml:space="preserve">.  Surface coal mining accounts for 67% of coal production within the United States </w:t>
      </w:r>
      <w:r w:rsidRPr="00BA7280">
        <w:rPr>
          <w:rFonts w:cs="Times New Roman"/>
          <w:noProof/>
          <w:sz w:val="24"/>
          <w:szCs w:val="24"/>
        </w:rPr>
        <w:t>(World Coal Institute 2005</w:t>
      </w:r>
      <w:proofErr w:type="gramStart"/>
      <w:r w:rsidRPr="00BA7280">
        <w:rPr>
          <w:rFonts w:cs="Times New Roman"/>
          <w:noProof/>
          <w:sz w:val="24"/>
          <w:szCs w:val="24"/>
        </w:rPr>
        <w:t>)</w:t>
      </w:r>
      <w:r w:rsidRPr="00BA7280">
        <w:rPr>
          <w:rFonts w:cs="Times New Roman"/>
          <w:sz w:val="24"/>
          <w:szCs w:val="24"/>
        </w:rPr>
        <w:t xml:space="preserve"> .</w:t>
      </w:r>
      <w:proofErr w:type="gramEnd"/>
      <w:r w:rsidRPr="00BA7280">
        <w:rPr>
          <w:rFonts w:cs="Times New Roman"/>
          <w:sz w:val="24"/>
          <w:szCs w:val="24"/>
        </w:rPr>
        <w:t xml:space="preserve"> This method requires the removal of plant and soil using land-moving equipment.  Underlying rock and coal is removed using explosives and moved </w:t>
      </w:r>
      <w:r>
        <w:rPr>
          <w:rFonts w:cs="Times New Roman"/>
          <w:sz w:val="24"/>
          <w:szCs w:val="24"/>
        </w:rPr>
        <w:t>to an adjacent area</w:t>
      </w:r>
      <w:r w:rsidRPr="00BA7280">
        <w:rPr>
          <w:rFonts w:cs="Times New Roman"/>
          <w:sz w:val="24"/>
          <w:szCs w:val="24"/>
        </w:rPr>
        <w:t xml:space="preserve">.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The Office of Surface Mining estimates that from 1978-1999</w:t>
      </w:r>
      <w:r>
        <w:rPr>
          <w:rFonts w:cs="Times New Roman"/>
          <w:sz w:val="24"/>
          <w:szCs w:val="24"/>
        </w:rPr>
        <w:t>,</w:t>
      </w:r>
      <w:r w:rsidRPr="00BA7280">
        <w:rPr>
          <w:rFonts w:cs="Times New Roman"/>
          <w:sz w:val="24"/>
          <w:szCs w:val="24"/>
        </w:rPr>
        <w:t xml:space="preserve"> in the United States</w:t>
      </w:r>
      <w:r>
        <w:rPr>
          <w:rFonts w:cs="Times New Roman"/>
          <w:sz w:val="24"/>
          <w:szCs w:val="24"/>
        </w:rPr>
        <w:t>,</w:t>
      </w:r>
      <w:r w:rsidRPr="00BA7280">
        <w:rPr>
          <w:rFonts w:cs="Times New Roman"/>
          <w:sz w:val="24"/>
          <w:szCs w:val="24"/>
        </w:rPr>
        <w:t xml:space="preserve"> over 500,000 hectares were disrupted by surface mining techniques </w:t>
      </w:r>
      <w:r w:rsidRPr="00BA7280">
        <w:rPr>
          <w:rFonts w:cs="Times New Roman"/>
          <w:noProof/>
          <w:sz w:val="24"/>
          <w:szCs w:val="24"/>
        </w:rPr>
        <w:t>(Office of Surface Mining 1999)</w:t>
      </w:r>
      <w:r w:rsidRPr="00BA7280">
        <w:rPr>
          <w:rFonts w:cs="Times New Roman"/>
          <w:sz w:val="24"/>
          <w:szCs w:val="24"/>
        </w:rPr>
        <w:t xml:space="preserve"> and it is estimated that an equivalent area of land was disturbed prior to this time. In 2009, surface mining disturbed over 42,000 hectares in Appalachia </w:t>
      </w:r>
      <w:r w:rsidRPr="00BA7280">
        <w:rPr>
          <w:rFonts w:cs="Times New Roman"/>
          <w:noProof/>
          <w:sz w:val="24"/>
          <w:szCs w:val="24"/>
        </w:rPr>
        <w:t>(Office of Surface Mining Reclamation and Enforcement 2009)</w:t>
      </w:r>
      <w:r w:rsidRPr="00BA7280">
        <w:rPr>
          <w:rFonts w:cs="Times New Roman"/>
          <w:sz w:val="24"/>
          <w:szCs w:val="24"/>
        </w:rPr>
        <w:t xml:space="preserve">.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Prior to 1977, restoration requirements of surface mined sites in the United States were left to the discretion of each state.  Numerous human health and safety issues were created by a lack of regulation of abandoned mine sites.  Some of these issues included water quality degradation, landslides, esthetic p</w:t>
      </w:r>
      <w:r>
        <w:rPr>
          <w:rFonts w:cs="Times New Roman"/>
          <w:sz w:val="24"/>
          <w:szCs w:val="24"/>
        </w:rPr>
        <w:t>roblems,</w:t>
      </w:r>
      <w:r w:rsidRPr="00BA7280">
        <w:rPr>
          <w:rFonts w:cs="Times New Roman"/>
          <w:sz w:val="24"/>
          <w:szCs w:val="24"/>
        </w:rPr>
        <w:t xml:space="preserve"> </w:t>
      </w:r>
      <w:proofErr w:type="gramStart"/>
      <w:r w:rsidRPr="00BA7280">
        <w:rPr>
          <w:rFonts w:cs="Times New Roman"/>
          <w:sz w:val="24"/>
          <w:szCs w:val="24"/>
        </w:rPr>
        <w:t>decrease</w:t>
      </w:r>
      <w:proofErr w:type="gramEnd"/>
      <w:r w:rsidRPr="00BA7280">
        <w:rPr>
          <w:rFonts w:cs="Times New Roman"/>
          <w:sz w:val="24"/>
          <w:szCs w:val="24"/>
        </w:rPr>
        <w:t xml:space="preserve"> in economically viable land for forage and timber, as well as loss of environmental services </w:t>
      </w:r>
      <w:r w:rsidRPr="00BA7280">
        <w:rPr>
          <w:rFonts w:cs="Times New Roman"/>
          <w:noProof/>
          <w:sz w:val="24"/>
          <w:szCs w:val="24"/>
        </w:rPr>
        <w:t>(Angel</w:t>
      </w:r>
      <w:r w:rsidRPr="00BA7280">
        <w:rPr>
          <w:rFonts w:cs="Times New Roman"/>
          <w:i/>
          <w:noProof/>
          <w:sz w:val="24"/>
          <w:szCs w:val="24"/>
        </w:rPr>
        <w:t xml:space="preserve"> et al.</w:t>
      </w:r>
      <w:r w:rsidRPr="00BA7280">
        <w:rPr>
          <w:rFonts w:cs="Times New Roman"/>
          <w:noProof/>
          <w:sz w:val="24"/>
          <w:szCs w:val="24"/>
        </w:rPr>
        <w:t xml:space="preserve"> 2005)</w:t>
      </w:r>
      <w:r w:rsidRPr="00BA7280">
        <w:rPr>
          <w:rFonts w:cs="Times New Roman"/>
          <w:sz w:val="24"/>
          <w:szCs w:val="24"/>
        </w:rPr>
        <w:t>.  These issues disproportionately affected impoverished communities in the Appalachian region.</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In 1977, the Surface Mining Control and Reclamation Act (SMCRA)  was passed, creating an agency to oversee the required restoration of former surface mine sites as well as creating a fund for the restoration of abandoned sites. The O</w:t>
      </w:r>
      <w:r>
        <w:rPr>
          <w:rFonts w:cs="Times New Roman"/>
          <w:sz w:val="24"/>
          <w:szCs w:val="24"/>
        </w:rPr>
        <w:t>ffice of Surface Mining enforces</w:t>
      </w:r>
      <w:r w:rsidRPr="00BA7280">
        <w:rPr>
          <w:rFonts w:cs="Times New Roman"/>
          <w:sz w:val="24"/>
          <w:szCs w:val="24"/>
        </w:rPr>
        <w:t xml:space="preserve"> the law</w:t>
      </w:r>
      <w:r>
        <w:rPr>
          <w:rFonts w:cs="Times New Roman"/>
          <w:sz w:val="24"/>
          <w:szCs w:val="24"/>
        </w:rPr>
        <w:t>,</w:t>
      </w:r>
      <w:r w:rsidRPr="00BA7280">
        <w:rPr>
          <w:rFonts w:cs="Times New Roman"/>
          <w:sz w:val="24"/>
          <w:szCs w:val="24"/>
        </w:rPr>
        <w:t xml:space="preserve"> which require</w:t>
      </w:r>
      <w:r>
        <w:rPr>
          <w:rFonts w:cs="Times New Roman"/>
          <w:sz w:val="24"/>
          <w:szCs w:val="24"/>
        </w:rPr>
        <w:t>s</w:t>
      </w:r>
      <w:r w:rsidRPr="00BA7280">
        <w:rPr>
          <w:rFonts w:cs="Times New Roman"/>
          <w:sz w:val="24"/>
          <w:szCs w:val="24"/>
        </w:rPr>
        <w:t xml:space="preserve"> mine operators to put money into a bond which would be relinquished in three phases once established reclamation criteria were met.</w:t>
      </w:r>
    </w:p>
    <w:p w:rsidR="00AC49A4" w:rsidRPr="00BA7280" w:rsidRDefault="00AC49A4" w:rsidP="003C0513">
      <w:pPr>
        <w:spacing w:line="480" w:lineRule="auto"/>
        <w:ind w:firstLine="720"/>
        <w:rPr>
          <w:rFonts w:cs="Times New Roman"/>
          <w:sz w:val="24"/>
          <w:szCs w:val="24"/>
        </w:rPr>
      </w:pPr>
    </w:p>
    <w:p w:rsidR="00AC49A4" w:rsidRPr="00BA7280" w:rsidRDefault="00AC49A4" w:rsidP="003C0513">
      <w:pPr>
        <w:spacing w:line="480" w:lineRule="auto"/>
        <w:rPr>
          <w:rFonts w:cs="Times New Roman"/>
          <w:sz w:val="24"/>
          <w:szCs w:val="24"/>
        </w:rPr>
      </w:pPr>
      <w:r w:rsidRPr="00BA7280">
        <w:rPr>
          <w:rFonts w:cs="Times New Roman"/>
          <w:sz w:val="24"/>
          <w:szCs w:val="24"/>
        </w:rPr>
        <w:lastRenderedPageBreak/>
        <w:t xml:space="preserve"> The phases are as follows:</w:t>
      </w:r>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ind w:left="720"/>
        <w:rPr>
          <w:rFonts w:cs="Times New Roman"/>
          <w:sz w:val="24"/>
          <w:szCs w:val="24"/>
        </w:rPr>
      </w:pPr>
      <w:r w:rsidRPr="00BA7280">
        <w:rPr>
          <w:rFonts w:cs="Times New Roman"/>
          <w:i/>
          <w:sz w:val="24"/>
          <w:szCs w:val="24"/>
        </w:rPr>
        <w:t>Phase I</w:t>
      </w:r>
      <w:r w:rsidRPr="00BA7280">
        <w:rPr>
          <w:rFonts w:cs="Times New Roman"/>
          <w:sz w:val="24"/>
          <w:szCs w:val="24"/>
        </w:rPr>
        <w:t>: Phase I constitutes return of topography to its original contour or an approved variation thereof.</w:t>
      </w:r>
    </w:p>
    <w:p w:rsidR="00AC49A4" w:rsidRPr="00BA7280" w:rsidRDefault="00AC49A4" w:rsidP="003C0513">
      <w:pPr>
        <w:spacing w:line="480" w:lineRule="auto"/>
        <w:ind w:left="720"/>
        <w:rPr>
          <w:rFonts w:cs="Times New Roman"/>
          <w:sz w:val="24"/>
          <w:szCs w:val="24"/>
        </w:rPr>
      </w:pPr>
      <w:r w:rsidRPr="00BA7280">
        <w:rPr>
          <w:rFonts w:cs="Times New Roman"/>
          <w:i/>
          <w:sz w:val="24"/>
          <w:szCs w:val="24"/>
        </w:rPr>
        <w:t>Phase II</w:t>
      </w:r>
      <w:r w:rsidRPr="00BA7280">
        <w:rPr>
          <w:rFonts w:cs="Times New Roman"/>
          <w:sz w:val="24"/>
          <w:szCs w:val="24"/>
        </w:rPr>
        <w:t xml:space="preserve">: Verifies that plant cover or other erosion control methods have been used at the site to stabilize substrate and safeguard against erosion. Additionally, the site must not contribute to stream sedimentation. </w:t>
      </w:r>
    </w:p>
    <w:p w:rsidR="00AC49A4" w:rsidRPr="00BA7280" w:rsidRDefault="00AC49A4" w:rsidP="003C0513">
      <w:pPr>
        <w:spacing w:line="480" w:lineRule="auto"/>
        <w:ind w:left="720"/>
        <w:rPr>
          <w:rFonts w:cs="Times New Roman"/>
          <w:sz w:val="24"/>
          <w:szCs w:val="24"/>
        </w:rPr>
      </w:pPr>
      <w:r w:rsidRPr="00BA7280">
        <w:rPr>
          <w:rFonts w:cs="Times New Roman"/>
          <w:i/>
          <w:sz w:val="24"/>
          <w:szCs w:val="24"/>
        </w:rPr>
        <w:t>Phase III</w:t>
      </w:r>
      <w:r w:rsidRPr="00BA7280">
        <w:rPr>
          <w:rFonts w:cs="Times New Roman"/>
          <w:sz w:val="24"/>
          <w:szCs w:val="24"/>
        </w:rPr>
        <w:t xml:space="preserve">: Certifies that the site has met remediation standards set by the Office of Surface Mining in the areas of restoration and site stabilization </w:t>
      </w:r>
      <w:r w:rsidRPr="00BA7280">
        <w:rPr>
          <w:rFonts w:cs="Times New Roman"/>
          <w:noProof/>
          <w:sz w:val="24"/>
          <w:szCs w:val="24"/>
        </w:rPr>
        <w:t>(Office of Surface Mining Reclamation and Enforcement 2007)</w:t>
      </w:r>
      <w:r w:rsidRPr="00BA7280">
        <w:rPr>
          <w:rFonts w:cs="Times New Roman"/>
          <w:sz w:val="24"/>
          <w:szCs w:val="24"/>
        </w:rPr>
        <w:t>.</w:t>
      </w:r>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While the SMCRA had immediate positive impacts on communities by decreasing the number of mine wall collapses and landslides, the act’s emphasis on erosion control led to mechanical compaction of substrate using land-moving equipment, and planting of fast growing</w:t>
      </w:r>
      <w:r>
        <w:rPr>
          <w:rFonts w:cs="Times New Roman"/>
          <w:sz w:val="24"/>
          <w:szCs w:val="24"/>
        </w:rPr>
        <w:t>,</w:t>
      </w:r>
      <w:r w:rsidRPr="00BA7280">
        <w:rPr>
          <w:rFonts w:cs="Times New Roman"/>
          <w:sz w:val="24"/>
          <w:szCs w:val="24"/>
        </w:rPr>
        <w:t xml:space="preserve"> aggressive</w:t>
      </w:r>
      <w:r>
        <w:rPr>
          <w:rFonts w:cs="Times New Roman"/>
          <w:sz w:val="24"/>
          <w:szCs w:val="24"/>
        </w:rPr>
        <w:t>,</w:t>
      </w:r>
      <w:r w:rsidRPr="00BA7280">
        <w:rPr>
          <w:rFonts w:cs="Times New Roman"/>
          <w:sz w:val="24"/>
          <w:szCs w:val="24"/>
        </w:rPr>
        <w:t xml:space="preserve"> non-native ground covers. </w:t>
      </w:r>
      <w:r>
        <w:rPr>
          <w:rFonts w:cs="Times New Roman"/>
          <w:sz w:val="24"/>
          <w:szCs w:val="24"/>
        </w:rPr>
        <w:t xml:space="preserve">The </w:t>
      </w:r>
      <w:r w:rsidRPr="00BA7280">
        <w:rPr>
          <w:rFonts w:cs="Times New Roman"/>
          <w:sz w:val="24"/>
          <w:szCs w:val="24"/>
        </w:rPr>
        <w:t>SMCRA</w:t>
      </w:r>
      <w:r>
        <w:rPr>
          <w:rFonts w:cs="Times New Roman"/>
          <w:sz w:val="24"/>
          <w:szCs w:val="24"/>
        </w:rPr>
        <w:t xml:space="preserve"> </w:t>
      </w:r>
      <w:r w:rsidRPr="00BA7280">
        <w:rPr>
          <w:rFonts w:cs="Times New Roman"/>
          <w:sz w:val="24"/>
          <w:szCs w:val="24"/>
        </w:rPr>
        <w:t>does not prioritize restoration of ecosystem processes such as native plant succession, soil formation or nutrient cycling.  In the process of achieving phase requirements, negative effects</w:t>
      </w:r>
      <w:r>
        <w:rPr>
          <w:rFonts w:cs="Times New Roman"/>
          <w:sz w:val="24"/>
          <w:szCs w:val="24"/>
        </w:rPr>
        <w:t>,</w:t>
      </w:r>
      <w:r w:rsidRPr="00BA7280">
        <w:rPr>
          <w:rFonts w:cs="Times New Roman"/>
          <w:sz w:val="24"/>
          <w:szCs w:val="24"/>
        </w:rPr>
        <w:t xml:space="preserve"> such as failure to establish native plant communities</w:t>
      </w:r>
      <w:r>
        <w:rPr>
          <w:rFonts w:cs="Times New Roman"/>
          <w:sz w:val="24"/>
          <w:szCs w:val="24"/>
        </w:rPr>
        <w:t>,</w:t>
      </w:r>
      <w:r w:rsidRPr="00BA7280">
        <w:rPr>
          <w:rFonts w:cs="Times New Roman"/>
          <w:sz w:val="24"/>
          <w:szCs w:val="24"/>
        </w:rPr>
        <w:t xml:space="preserve"> were further exacerbated by the execution of methods to meet the requirem</w:t>
      </w:r>
      <w:r>
        <w:rPr>
          <w:rFonts w:cs="Times New Roman"/>
          <w:sz w:val="24"/>
          <w:szCs w:val="24"/>
        </w:rPr>
        <w:t xml:space="preserve">ents, such as soil compaction.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Traditional SMCRA mining techniques remove topsoil and plant material</w:t>
      </w:r>
      <w:r>
        <w:rPr>
          <w:rFonts w:cs="Times New Roman"/>
          <w:sz w:val="24"/>
          <w:szCs w:val="24"/>
        </w:rPr>
        <w:t xml:space="preserve"> along with the overburden.</w:t>
      </w:r>
      <w:r w:rsidRPr="00BA7280">
        <w:rPr>
          <w:rFonts w:cs="Times New Roman"/>
          <w:sz w:val="24"/>
          <w:szCs w:val="24"/>
        </w:rPr>
        <w:t xml:space="preserve"> The </w:t>
      </w:r>
      <w:r>
        <w:rPr>
          <w:rFonts w:cs="Times New Roman"/>
          <w:sz w:val="24"/>
          <w:szCs w:val="24"/>
        </w:rPr>
        <w:t>overburden</w:t>
      </w:r>
      <w:r w:rsidRPr="00BA7280">
        <w:rPr>
          <w:rFonts w:cs="Times New Roman"/>
          <w:sz w:val="24"/>
          <w:szCs w:val="24"/>
        </w:rPr>
        <w:t>, typically shale and un</w:t>
      </w:r>
      <w:r>
        <w:rPr>
          <w:rFonts w:cs="Times New Roman"/>
          <w:sz w:val="24"/>
          <w:szCs w:val="24"/>
        </w:rPr>
        <w:t>-</w:t>
      </w:r>
      <w:r w:rsidRPr="00BA7280">
        <w:rPr>
          <w:rFonts w:cs="Times New Roman"/>
          <w:sz w:val="24"/>
          <w:szCs w:val="24"/>
        </w:rPr>
        <w:t>decomposed limestone (or gray limestone), is returned following the conclusion of commercial mining on a site.  Mechanical compaction is utilized to decrease short</w:t>
      </w:r>
      <w:r>
        <w:rPr>
          <w:rFonts w:cs="Times New Roman"/>
          <w:sz w:val="24"/>
          <w:szCs w:val="24"/>
        </w:rPr>
        <w:t>-</w:t>
      </w:r>
      <w:r w:rsidRPr="00BA7280">
        <w:rPr>
          <w:rFonts w:cs="Times New Roman"/>
          <w:sz w:val="24"/>
          <w:szCs w:val="24"/>
        </w:rPr>
        <w:t xml:space="preserve">term landslide danger, which decreases porosity and water infiltration. </w:t>
      </w:r>
      <w:r w:rsidRPr="00BA7280">
        <w:rPr>
          <w:rFonts w:cs="Times New Roman"/>
          <w:sz w:val="24"/>
          <w:szCs w:val="24"/>
        </w:rPr>
        <w:lastRenderedPageBreak/>
        <w:t xml:space="preserve">The site is then planted with agricultural grasses and herbaceous cover such as </w:t>
      </w:r>
      <w:proofErr w:type="spellStart"/>
      <w:r w:rsidRPr="00BA7280">
        <w:rPr>
          <w:rFonts w:cs="Times New Roman"/>
          <w:i/>
          <w:sz w:val="24"/>
          <w:szCs w:val="24"/>
        </w:rPr>
        <w:t>Festuca</w:t>
      </w:r>
      <w:proofErr w:type="spellEnd"/>
      <w:r w:rsidRPr="00BA7280">
        <w:rPr>
          <w:rFonts w:cs="Times New Roman"/>
          <w:i/>
          <w:sz w:val="24"/>
          <w:szCs w:val="24"/>
        </w:rPr>
        <w:t xml:space="preserve"> </w:t>
      </w:r>
      <w:proofErr w:type="spellStart"/>
      <w:r w:rsidRPr="00BA7280">
        <w:rPr>
          <w:rFonts w:cs="Times New Roman"/>
          <w:i/>
          <w:sz w:val="24"/>
          <w:szCs w:val="24"/>
        </w:rPr>
        <w:t>arundinaceae</w:t>
      </w:r>
      <w:proofErr w:type="spellEnd"/>
      <w:r w:rsidRPr="00BA7280">
        <w:rPr>
          <w:rFonts w:cs="Times New Roman"/>
          <w:i/>
          <w:sz w:val="24"/>
          <w:szCs w:val="24"/>
        </w:rPr>
        <w:t xml:space="preserve">, </w:t>
      </w:r>
      <w:proofErr w:type="spellStart"/>
      <w:r w:rsidRPr="00BA7280">
        <w:rPr>
          <w:rFonts w:cs="Times New Roman"/>
          <w:i/>
          <w:sz w:val="24"/>
          <w:szCs w:val="24"/>
        </w:rPr>
        <w:t>Sericea</w:t>
      </w:r>
      <w:proofErr w:type="spellEnd"/>
      <w:r w:rsidRPr="00BA7280">
        <w:rPr>
          <w:rFonts w:cs="Times New Roman"/>
          <w:i/>
          <w:sz w:val="24"/>
          <w:szCs w:val="24"/>
        </w:rPr>
        <w:t xml:space="preserve"> lespedeza</w:t>
      </w:r>
      <w:r w:rsidRPr="00BA7280">
        <w:rPr>
          <w:rFonts w:cs="Times New Roman"/>
          <w:sz w:val="24"/>
          <w:szCs w:val="24"/>
        </w:rPr>
        <w:t xml:space="preserve"> and other</w:t>
      </w:r>
      <w:r>
        <w:rPr>
          <w:rFonts w:cs="Times New Roman"/>
          <w:sz w:val="24"/>
          <w:szCs w:val="24"/>
        </w:rPr>
        <w:t>,</w:t>
      </w:r>
      <w:r w:rsidRPr="00BA7280">
        <w:rPr>
          <w:rFonts w:cs="Times New Roman"/>
          <w:sz w:val="24"/>
          <w:szCs w:val="24"/>
        </w:rPr>
        <w:t xml:space="preserve"> often non-native</w:t>
      </w:r>
      <w:r>
        <w:rPr>
          <w:rFonts w:cs="Times New Roman"/>
          <w:sz w:val="24"/>
          <w:szCs w:val="24"/>
        </w:rPr>
        <w:t>,</w:t>
      </w:r>
      <w:r w:rsidRPr="00BA7280">
        <w:rPr>
          <w:rFonts w:cs="Times New Roman"/>
          <w:sz w:val="24"/>
          <w:szCs w:val="24"/>
        </w:rPr>
        <w:t xml:space="preserve"> plants to further avoid erosion and runoff. </w:t>
      </w:r>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rPr>
          <w:rFonts w:cs="Times New Roman"/>
          <w:sz w:val="24"/>
          <w:szCs w:val="24"/>
        </w:rPr>
      </w:pPr>
      <w:r w:rsidRPr="00BA7280">
        <w:rPr>
          <w:rFonts w:cs="Times New Roman"/>
          <w:sz w:val="24"/>
          <w:szCs w:val="24"/>
        </w:rPr>
        <w:t xml:space="preserve">Traditional restoration techniques undertaken to meet SMCRA standards discourage return of above and </w:t>
      </w:r>
      <w:r>
        <w:rPr>
          <w:rFonts w:cs="Times New Roman"/>
          <w:sz w:val="24"/>
          <w:szCs w:val="24"/>
        </w:rPr>
        <w:t>below-ground</w:t>
      </w:r>
      <w:r w:rsidRPr="00BA7280">
        <w:rPr>
          <w:rFonts w:cs="Times New Roman"/>
          <w:sz w:val="24"/>
          <w:szCs w:val="24"/>
        </w:rPr>
        <w:t xml:space="preserve"> </w:t>
      </w:r>
      <w:r>
        <w:rPr>
          <w:rFonts w:cs="Times New Roman"/>
          <w:sz w:val="24"/>
          <w:szCs w:val="24"/>
        </w:rPr>
        <w:t xml:space="preserve">communities </w:t>
      </w:r>
      <w:r w:rsidRPr="00BA7280">
        <w:rPr>
          <w:rFonts w:cs="Times New Roman"/>
          <w:sz w:val="24"/>
          <w:szCs w:val="24"/>
        </w:rPr>
        <w:t>to pre-mining conditions in the following ways:</w:t>
      </w:r>
    </w:p>
    <w:p w:rsidR="00AC49A4" w:rsidRPr="00BA7280" w:rsidRDefault="00AC49A4" w:rsidP="003C0513">
      <w:pPr>
        <w:spacing w:line="480" w:lineRule="auto"/>
        <w:rPr>
          <w:rFonts w:cs="Times New Roman"/>
          <w:sz w:val="24"/>
          <w:szCs w:val="24"/>
        </w:rPr>
      </w:pPr>
    </w:p>
    <w:p w:rsidR="00AC49A4" w:rsidRDefault="00AC49A4" w:rsidP="003C0513">
      <w:pPr>
        <w:spacing w:line="480" w:lineRule="auto"/>
        <w:rPr>
          <w:rFonts w:cs="Times New Roman"/>
          <w:sz w:val="24"/>
          <w:szCs w:val="24"/>
        </w:rPr>
      </w:pPr>
      <w:r>
        <w:rPr>
          <w:rFonts w:cs="Times New Roman"/>
          <w:sz w:val="24"/>
          <w:szCs w:val="24"/>
        </w:rPr>
        <w:t xml:space="preserve">   </w:t>
      </w:r>
      <w:r w:rsidRPr="00602CBB">
        <w:rPr>
          <w:rFonts w:cs="Times New Roman"/>
          <w:sz w:val="24"/>
          <w:szCs w:val="24"/>
        </w:rPr>
        <w:t>a. Compaction of soils decreases the pore-space that is conducive to soil fauna habitat</w:t>
      </w:r>
    </w:p>
    <w:p w:rsidR="00AC49A4" w:rsidRDefault="00AC49A4" w:rsidP="003C0513">
      <w:pPr>
        <w:pStyle w:val="ListParagraph"/>
        <w:tabs>
          <w:tab w:val="left" w:pos="270"/>
        </w:tabs>
        <w:spacing w:line="480" w:lineRule="auto"/>
        <w:ind w:left="270" w:hanging="180"/>
        <w:rPr>
          <w:rFonts w:cs="Times New Roman"/>
          <w:sz w:val="24"/>
          <w:szCs w:val="24"/>
        </w:rPr>
      </w:pPr>
      <w:r>
        <w:rPr>
          <w:rFonts w:cs="Times New Roman"/>
          <w:sz w:val="24"/>
          <w:szCs w:val="24"/>
        </w:rPr>
        <w:t xml:space="preserve">   </w:t>
      </w:r>
      <w:r w:rsidRPr="00602CBB">
        <w:rPr>
          <w:rFonts w:cs="Times New Roman"/>
          <w:sz w:val="24"/>
          <w:szCs w:val="24"/>
        </w:rPr>
        <w:t xml:space="preserve"> </w:t>
      </w:r>
      <w:proofErr w:type="gramStart"/>
      <w:r w:rsidRPr="00602CBB">
        <w:rPr>
          <w:rFonts w:cs="Times New Roman"/>
          <w:sz w:val="24"/>
          <w:szCs w:val="24"/>
        </w:rPr>
        <w:t>and</w:t>
      </w:r>
      <w:proofErr w:type="gramEnd"/>
      <w:r w:rsidRPr="00602CBB">
        <w:rPr>
          <w:rFonts w:cs="Times New Roman"/>
          <w:sz w:val="24"/>
          <w:szCs w:val="24"/>
        </w:rPr>
        <w:t xml:space="preserve"> native </w:t>
      </w:r>
      <w:proofErr w:type="spellStart"/>
      <w:r w:rsidRPr="00602CBB">
        <w:rPr>
          <w:rFonts w:cs="Times New Roman"/>
          <w:sz w:val="24"/>
          <w:szCs w:val="24"/>
        </w:rPr>
        <w:t>plantsuccession</w:t>
      </w:r>
      <w:proofErr w:type="spellEnd"/>
      <w:r w:rsidRPr="00602CBB">
        <w:rPr>
          <w:rFonts w:cs="Times New Roman"/>
          <w:sz w:val="24"/>
          <w:szCs w:val="24"/>
        </w:rPr>
        <w:t xml:space="preserve">. Compacted soils increase damage from drought and nutrient </w:t>
      </w:r>
      <w:r>
        <w:rPr>
          <w:rFonts w:cs="Times New Roman"/>
          <w:sz w:val="24"/>
          <w:szCs w:val="24"/>
        </w:rPr>
        <w:t xml:space="preserve">    </w:t>
      </w:r>
    </w:p>
    <w:p w:rsidR="00AC49A4" w:rsidRPr="00602CBB" w:rsidRDefault="00AC49A4" w:rsidP="003C0513">
      <w:pPr>
        <w:pStyle w:val="ListParagraph"/>
        <w:spacing w:line="480" w:lineRule="auto"/>
        <w:ind w:left="270"/>
        <w:rPr>
          <w:rFonts w:cs="Times New Roman"/>
          <w:sz w:val="24"/>
          <w:szCs w:val="24"/>
        </w:rPr>
      </w:pPr>
      <w:r>
        <w:rPr>
          <w:rFonts w:cs="Times New Roman"/>
          <w:sz w:val="24"/>
          <w:szCs w:val="24"/>
        </w:rPr>
        <w:t xml:space="preserve"> </w:t>
      </w:r>
      <w:proofErr w:type="gramStart"/>
      <w:r w:rsidRPr="00602CBB">
        <w:rPr>
          <w:rFonts w:cs="Times New Roman"/>
          <w:sz w:val="24"/>
          <w:szCs w:val="24"/>
        </w:rPr>
        <w:t>problems</w:t>
      </w:r>
      <w:proofErr w:type="gramEnd"/>
      <w:r w:rsidRPr="00602CBB">
        <w:rPr>
          <w:rFonts w:cs="Times New Roman"/>
          <w:sz w:val="24"/>
          <w:szCs w:val="24"/>
        </w:rPr>
        <w:t xml:space="preserve">. </w:t>
      </w:r>
      <w:r w:rsidRPr="00602CBB">
        <w:rPr>
          <w:rFonts w:cs="Times New Roman"/>
          <w:noProof/>
          <w:sz w:val="24"/>
          <w:szCs w:val="24"/>
        </w:rPr>
        <w:t>(Dittmer &amp; Schrader 2000; Bassett</w:t>
      </w:r>
      <w:r w:rsidRPr="00602CBB">
        <w:rPr>
          <w:rFonts w:cs="Times New Roman"/>
          <w:i/>
          <w:noProof/>
          <w:sz w:val="24"/>
          <w:szCs w:val="24"/>
        </w:rPr>
        <w:t xml:space="preserve"> et al.</w:t>
      </w:r>
      <w:r w:rsidRPr="00602CBB">
        <w:rPr>
          <w:rFonts w:cs="Times New Roman"/>
          <w:noProof/>
          <w:sz w:val="24"/>
          <w:szCs w:val="24"/>
        </w:rPr>
        <w:t xml:space="preserve"> 2005; Groninger</w:t>
      </w:r>
      <w:r w:rsidRPr="00602CBB">
        <w:rPr>
          <w:rFonts w:cs="Times New Roman"/>
          <w:i/>
          <w:noProof/>
          <w:sz w:val="24"/>
          <w:szCs w:val="24"/>
        </w:rPr>
        <w:t xml:space="preserve"> et al.</w:t>
      </w:r>
      <w:r w:rsidRPr="00602CBB">
        <w:rPr>
          <w:rFonts w:cs="Times New Roman"/>
          <w:noProof/>
          <w:sz w:val="24"/>
          <w:szCs w:val="24"/>
        </w:rPr>
        <w:t xml:space="preserve"> 2007; Wang</w:t>
      </w:r>
      <w:r w:rsidRPr="00602CBB">
        <w:rPr>
          <w:rFonts w:cs="Times New Roman"/>
          <w:i/>
          <w:noProof/>
          <w:sz w:val="24"/>
          <w:szCs w:val="24"/>
        </w:rPr>
        <w:t xml:space="preserve"> et al.</w:t>
      </w:r>
      <w:r>
        <w:rPr>
          <w:rFonts w:cs="Times New Roman"/>
          <w:noProof/>
          <w:sz w:val="24"/>
          <w:szCs w:val="24"/>
        </w:rPr>
        <w:t xml:space="preserve"> </w:t>
      </w:r>
      <w:r w:rsidRPr="00602CBB">
        <w:rPr>
          <w:rFonts w:cs="Times New Roman"/>
          <w:noProof/>
          <w:sz w:val="24"/>
          <w:szCs w:val="24"/>
        </w:rPr>
        <w:t>2008)</w:t>
      </w:r>
      <w:r w:rsidRPr="00602CBB">
        <w:rPr>
          <w:rFonts w:cs="Times New Roman"/>
          <w:sz w:val="24"/>
          <w:szCs w:val="24"/>
        </w:rPr>
        <w:t>;</w:t>
      </w:r>
    </w:p>
    <w:p w:rsidR="00AC49A4" w:rsidRPr="00602CBB" w:rsidRDefault="00AC49A4" w:rsidP="003C0513">
      <w:pPr>
        <w:spacing w:line="480" w:lineRule="auto"/>
        <w:ind w:left="270"/>
        <w:rPr>
          <w:rFonts w:cs="Times New Roman"/>
          <w:sz w:val="24"/>
          <w:szCs w:val="24"/>
        </w:rPr>
      </w:pPr>
      <w:r>
        <w:rPr>
          <w:rFonts w:cs="Times New Roman"/>
          <w:sz w:val="24"/>
          <w:szCs w:val="24"/>
        </w:rPr>
        <w:t xml:space="preserve">b. </w:t>
      </w:r>
      <w:r w:rsidRPr="00602CBB">
        <w:rPr>
          <w:rFonts w:cs="Times New Roman"/>
          <w:sz w:val="24"/>
          <w:szCs w:val="24"/>
        </w:rPr>
        <w:t xml:space="preserve">Soils devoid of soil organic matter (SOM) harbor considerably less soil fauna, and low nutrient environments will depress growth of native persistent plant species </w:t>
      </w:r>
      <w:r w:rsidRPr="00602CBB">
        <w:rPr>
          <w:rFonts w:cs="Times New Roman"/>
          <w:noProof/>
          <w:sz w:val="24"/>
          <w:szCs w:val="24"/>
        </w:rPr>
        <w:t>(Abdul-Kareem 1984)</w:t>
      </w:r>
      <w:r w:rsidRPr="00602CBB">
        <w:rPr>
          <w:rFonts w:cs="Times New Roman"/>
          <w:sz w:val="24"/>
          <w:szCs w:val="24"/>
        </w:rPr>
        <w:t>;</w:t>
      </w:r>
    </w:p>
    <w:p w:rsidR="00AC49A4" w:rsidRPr="00602CBB" w:rsidRDefault="00AC49A4" w:rsidP="003C0513">
      <w:pPr>
        <w:spacing w:line="480" w:lineRule="auto"/>
        <w:ind w:left="270"/>
        <w:rPr>
          <w:rFonts w:cs="Times New Roman"/>
          <w:sz w:val="24"/>
          <w:szCs w:val="24"/>
        </w:rPr>
      </w:pPr>
      <w:r>
        <w:rPr>
          <w:rFonts w:cs="Times New Roman"/>
          <w:sz w:val="24"/>
          <w:szCs w:val="24"/>
        </w:rPr>
        <w:t xml:space="preserve">c. </w:t>
      </w:r>
      <w:r w:rsidRPr="00602CBB">
        <w:rPr>
          <w:rFonts w:cs="Times New Roman"/>
          <w:sz w:val="24"/>
          <w:szCs w:val="24"/>
        </w:rPr>
        <w:t xml:space="preserve">Non-native plants foster </w:t>
      </w:r>
      <w:proofErr w:type="spellStart"/>
      <w:r w:rsidRPr="00602CBB">
        <w:rPr>
          <w:rFonts w:cs="Times New Roman"/>
          <w:sz w:val="24"/>
          <w:szCs w:val="24"/>
        </w:rPr>
        <w:t>depauperate</w:t>
      </w:r>
      <w:proofErr w:type="spellEnd"/>
      <w:r w:rsidRPr="00602CBB">
        <w:rPr>
          <w:rFonts w:cs="Times New Roman"/>
          <w:sz w:val="24"/>
          <w:szCs w:val="24"/>
        </w:rPr>
        <w:t xml:space="preserve"> soil communities and change nutrient dynamics within that system </w:t>
      </w:r>
      <w:r w:rsidRPr="00602CBB">
        <w:rPr>
          <w:rFonts w:cs="Times New Roman"/>
          <w:noProof/>
          <w:sz w:val="24"/>
          <w:szCs w:val="24"/>
        </w:rPr>
        <w:t>(Reinhart &amp; Callaway 2006; Scharfy</w:t>
      </w:r>
      <w:r w:rsidRPr="00602CBB">
        <w:rPr>
          <w:rFonts w:cs="Times New Roman"/>
          <w:i/>
          <w:noProof/>
          <w:sz w:val="24"/>
          <w:szCs w:val="24"/>
        </w:rPr>
        <w:t xml:space="preserve"> et al.</w:t>
      </w:r>
      <w:r w:rsidRPr="00602CBB">
        <w:rPr>
          <w:rFonts w:cs="Times New Roman"/>
          <w:noProof/>
          <w:sz w:val="24"/>
          <w:szCs w:val="24"/>
        </w:rPr>
        <w:t xml:space="preserve"> 2009; Gandhi &amp; Herms 2010)</w:t>
      </w:r>
      <w:r w:rsidRPr="00602CBB">
        <w:rPr>
          <w:rFonts w:cs="Times New Roman"/>
          <w:sz w:val="24"/>
          <w:szCs w:val="24"/>
        </w:rPr>
        <w:t>.</w:t>
      </w:r>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ind w:firstLine="270"/>
        <w:rPr>
          <w:rFonts w:cs="Times New Roman"/>
          <w:sz w:val="24"/>
          <w:szCs w:val="24"/>
        </w:rPr>
      </w:pPr>
      <w:r w:rsidRPr="00BA7280">
        <w:rPr>
          <w:rFonts w:cs="Times New Roman"/>
          <w:sz w:val="24"/>
          <w:szCs w:val="24"/>
        </w:rPr>
        <w:t>Recently, the Appalachian Regional Reforestation Initiative (ARRI), which is comprised of researchers in association wit</w:t>
      </w:r>
      <w:r>
        <w:rPr>
          <w:rFonts w:cs="Times New Roman"/>
          <w:sz w:val="24"/>
          <w:szCs w:val="24"/>
        </w:rPr>
        <w:t>h the Office of Surface Mining,</w:t>
      </w:r>
      <w:r w:rsidRPr="00BA7280">
        <w:rPr>
          <w:rFonts w:cs="Times New Roman"/>
          <w:sz w:val="24"/>
          <w:szCs w:val="24"/>
        </w:rPr>
        <w:t xml:space="preserve"> proposed new approaches for reclamation of coal-mined land, which </w:t>
      </w:r>
      <w:r>
        <w:rPr>
          <w:rFonts w:cs="Times New Roman"/>
          <w:sz w:val="24"/>
          <w:szCs w:val="24"/>
        </w:rPr>
        <w:t>have been shown</w:t>
      </w:r>
      <w:r w:rsidRPr="00BA7280">
        <w:rPr>
          <w:rFonts w:cs="Times New Roman"/>
          <w:sz w:val="24"/>
          <w:szCs w:val="24"/>
        </w:rPr>
        <w:t xml:space="preserve"> to increase the rate of </w:t>
      </w:r>
      <w:r>
        <w:rPr>
          <w:rFonts w:cs="Times New Roman"/>
          <w:sz w:val="24"/>
          <w:szCs w:val="24"/>
        </w:rPr>
        <w:t xml:space="preserve">native </w:t>
      </w:r>
      <w:r w:rsidRPr="00BA7280">
        <w:rPr>
          <w:rFonts w:cs="Times New Roman"/>
          <w:sz w:val="24"/>
          <w:szCs w:val="24"/>
        </w:rPr>
        <w:t>plant succession in post-mining areas.</w:t>
      </w:r>
      <w:r>
        <w:rPr>
          <w:rFonts w:cs="Times New Roman"/>
          <w:sz w:val="24"/>
          <w:szCs w:val="24"/>
        </w:rPr>
        <w:t xml:space="preserve">  </w:t>
      </w:r>
      <w:r w:rsidRPr="00BA7280">
        <w:rPr>
          <w:rFonts w:cs="Times New Roman"/>
          <w:sz w:val="24"/>
          <w:szCs w:val="24"/>
        </w:rPr>
        <w:t xml:space="preserve">This method is referred to as the Forestry Reclamation Approach (FRA).  The FRA is a cost-effective approach to mining restoration with the purpose </w:t>
      </w:r>
      <w:r w:rsidRPr="00BA7280">
        <w:rPr>
          <w:rFonts w:cs="Times New Roman"/>
          <w:sz w:val="24"/>
          <w:szCs w:val="24"/>
        </w:rPr>
        <w:lastRenderedPageBreak/>
        <w:t xml:space="preserve">of developing wildlife habitat, watershed protection, and other ecosystem services </w:t>
      </w:r>
      <w:r w:rsidRPr="00BA7280">
        <w:rPr>
          <w:rFonts w:cs="Times New Roman"/>
          <w:noProof/>
          <w:sz w:val="24"/>
          <w:szCs w:val="24"/>
        </w:rPr>
        <w:t>(Angel</w:t>
      </w:r>
      <w:r w:rsidRPr="00BA7280">
        <w:rPr>
          <w:rFonts w:cs="Times New Roman"/>
          <w:i/>
          <w:noProof/>
          <w:sz w:val="24"/>
          <w:szCs w:val="24"/>
        </w:rPr>
        <w:t xml:space="preserve"> et al.</w:t>
      </w:r>
      <w:r w:rsidRPr="00BA7280">
        <w:rPr>
          <w:rFonts w:cs="Times New Roman"/>
          <w:noProof/>
          <w:sz w:val="24"/>
          <w:szCs w:val="24"/>
        </w:rPr>
        <w:t xml:space="preserve"> 2005)</w:t>
      </w:r>
      <w:r w:rsidRPr="00BA7280">
        <w:rPr>
          <w:rFonts w:cs="Times New Roman"/>
          <w:sz w:val="24"/>
          <w:szCs w:val="24"/>
        </w:rPr>
        <w:t>.</w:t>
      </w:r>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rPr>
          <w:rFonts w:cs="Times New Roman"/>
          <w:sz w:val="24"/>
          <w:szCs w:val="24"/>
        </w:rPr>
      </w:pPr>
      <w:r w:rsidRPr="00BA7280">
        <w:rPr>
          <w:rFonts w:cs="Times New Roman"/>
          <w:sz w:val="24"/>
          <w:szCs w:val="24"/>
        </w:rPr>
        <w:t>The techniques proposed by ARRI include:</w:t>
      </w:r>
    </w:p>
    <w:p w:rsidR="00AC49A4" w:rsidRPr="00BA7280" w:rsidRDefault="00AC49A4" w:rsidP="003C0513">
      <w:pPr>
        <w:pStyle w:val="ListParagraph"/>
        <w:spacing w:line="480" w:lineRule="auto"/>
        <w:ind w:left="0"/>
        <w:rPr>
          <w:rFonts w:cs="Times New Roman"/>
          <w:sz w:val="24"/>
          <w:szCs w:val="24"/>
        </w:rPr>
      </w:pPr>
      <w:r w:rsidRPr="00BA7280">
        <w:rPr>
          <w:rFonts w:cs="Times New Roman"/>
          <w:sz w:val="24"/>
          <w:szCs w:val="24"/>
        </w:rPr>
        <w:t xml:space="preserve"> </w:t>
      </w:r>
    </w:p>
    <w:p w:rsidR="00AC49A4" w:rsidRPr="00BA7280" w:rsidRDefault="00AC49A4" w:rsidP="003C0513">
      <w:pPr>
        <w:pStyle w:val="ListParagraph"/>
        <w:numPr>
          <w:ilvl w:val="0"/>
          <w:numId w:val="2"/>
        </w:numPr>
        <w:spacing w:line="480" w:lineRule="auto"/>
        <w:rPr>
          <w:rFonts w:cs="Times New Roman"/>
          <w:sz w:val="24"/>
          <w:szCs w:val="24"/>
        </w:rPr>
      </w:pPr>
      <w:r w:rsidRPr="00BA7280">
        <w:rPr>
          <w:rFonts w:cs="Times New Roman"/>
          <w:sz w:val="24"/>
          <w:szCs w:val="24"/>
        </w:rPr>
        <w:t>Create a loosely graded planting medium, comprised of soil or decayed limestone (also referred to as brown limestone) to avoid compaction.</w:t>
      </w:r>
    </w:p>
    <w:p w:rsidR="00AC49A4" w:rsidRPr="00BA7280" w:rsidRDefault="00AC49A4" w:rsidP="003C0513">
      <w:pPr>
        <w:pStyle w:val="ListParagraph"/>
        <w:spacing w:line="480" w:lineRule="auto"/>
        <w:ind w:left="0" w:firstLine="360"/>
        <w:rPr>
          <w:rFonts w:cs="Times New Roman"/>
          <w:sz w:val="24"/>
          <w:szCs w:val="24"/>
        </w:rPr>
      </w:pPr>
      <w:r w:rsidRPr="00BA7280">
        <w:rPr>
          <w:rFonts w:cs="Times New Roman"/>
          <w:sz w:val="24"/>
          <w:szCs w:val="24"/>
        </w:rPr>
        <w:t>b.   Plant ground covers that are compatible with native tree succession.</w:t>
      </w:r>
    </w:p>
    <w:p w:rsidR="00AC49A4" w:rsidRDefault="00AC49A4" w:rsidP="003C0513">
      <w:pPr>
        <w:pStyle w:val="ListParagraph"/>
        <w:spacing w:line="480" w:lineRule="auto"/>
        <w:ind w:left="360"/>
        <w:rPr>
          <w:rFonts w:cs="Times New Roman"/>
          <w:sz w:val="24"/>
          <w:szCs w:val="24"/>
        </w:rPr>
      </w:pPr>
      <w:r w:rsidRPr="00BA7280">
        <w:rPr>
          <w:rFonts w:cs="Times New Roman"/>
          <w:sz w:val="24"/>
          <w:szCs w:val="24"/>
        </w:rPr>
        <w:t xml:space="preserve">c.   Plant early-establishing native tree species as well as later successional tree species </w:t>
      </w:r>
    </w:p>
    <w:p w:rsidR="00AC49A4" w:rsidRPr="00BA7280" w:rsidRDefault="00AC49A4" w:rsidP="003C0513">
      <w:pPr>
        <w:pStyle w:val="ListParagraph"/>
        <w:spacing w:line="480" w:lineRule="auto"/>
        <w:ind w:left="360"/>
        <w:rPr>
          <w:rFonts w:cs="Times New Roman"/>
          <w:noProof/>
          <w:sz w:val="24"/>
          <w:szCs w:val="24"/>
        </w:rPr>
      </w:pPr>
      <w:r>
        <w:rPr>
          <w:rFonts w:cs="Times New Roman"/>
          <w:sz w:val="24"/>
          <w:szCs w:val="24"/>
        </w:rPr>
        <w:t xml:space="preserve">     </w:t>
      </w:r>
      <w:r w:rsidRPr="00BA7280">
        <w:rPr>
          <w:rFonts w:cs="Times New Roman"/>
          <w:noProof/>
          <w:sz w:val="24"/>
          <w:szCs w:val="24"/>
        </w:rPr>
        <w:t>(Angel</w:t>
      </w:r>
      <w:r w:rsidRPr="00BA7280">
        <w:rPr>
          <w:rFonts w:cs="Times New Roman"/>
          <w:i/>
          <w:noProof/>
          <w:sz w:val="24"/>
          <w:szCs w:val="24"/>
        </w:rPr>
        <w:t xml:space="preserve"> et al.</w:t>
      </w:r>
      <w:r w:rsidRPr="00BA7280">
        <w:rPr>
          <w:rFonts w:cs="Times New Roman"/>
          <w:noProof/>
          <w:sz w:val="24"/>
          <w:szCs w:val="24"/>
        </w:rPr>
        <w:t xml:space="preserve"> 2005)</w:t>
      </w:r>
      <w:r w:rsidRPr="00BA7280">
        <w:rPr>
          <w:rFonts w:cs="Times New Roman"/>
          <w:sz w:val="24"/>
          <w:szCs w:val="24"/>
        </w:rPr>
        <w:t xml:space="preserve">. </w:t>
      </w:r>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ind w:firstLine="360"/>
        <w:rPr>
          <w:rFonts w:cs="Times New Roman"/>
          <w:sz w:val="24"/>
          <w:szCs w:val="24"/>
        </w:rPr>
      </w:pPr>
      <w:r w:rsidRPr="00BA7280">
        <w:rPr>
          <w:rFonts w:cs="Times New Roman"/>
          <w:sz w:val="24"/>
          <w:szCs w:val="24"/>
        </w:rPr>
        <w:t xml:space="preserve">ARRI methods have been shown to be highly successful in increasing native plant growth and diversity </w:t>
      </w:r>
      <w:r w:rsidRPr="00BA7280">
        <w:rPr>
          <w:rFonts w:cs="Times New Roman"/>
          <w:noProof/>
          <w:sz w:val="24"/>
          <w:szCs w:val="24"/>
        </w:rPr>
        <w:t>(Angel</w:t>
      </w:r>
      <w:r w:rsidRPr="00BA7280">
        <w:rPr>
          <w:rFonts w:cs="Times New Roman"/>
          <w:i/>
          <w:noProof/>
          <w:sz w:val="24"/>
          <w:szCs w:val="24"/>
        </w:rPr>
        <w:t xml:space="preserve"> et al.</w:t>
      </w:r>
      <w:r w:rsidRPr="00BA7280">
        <w:rPr>
          <w:rFonts w:cs="Times New Roman"/>
          <w:noProof/>
          <w:sz w:val="24"/>
          <w:szCs w:val="24"/>
        </w:rPr>
        <w:t xml:space="preserve"> 2005; Groninger</w:t>
      </w:r>
      <w:r w:rsidRPr="00BA7280">
        <w:rPr>
          <w:rFonts w:cs="Times New Roman"/>
          <w:i/>
          <w:noProof/>
          <w:sz w:val="24"/>
          <w:szCs w:val="24"/>
        </w:rPr>
        <w:t xml:space="preserve"> et al.</w:t>
      </w:r>
      <w:r w:rsidRPr="00BA7280">
        <w:rPr>
          <w:rFonts w:cs="Times New Roman"/>
          <w:noProof/>
          <w:sz w:val="24"/>
          <w:szCs w:val="24"/>
        </w:rPr>
        <w:t xml:space="preserve"> 2007)</w:t>
      </w:r>
      <w:r w:rsidRPr="00BA7280">
        <w:rPr>
          <w:rFonts w:cs="Times New Roman"/>
          <w:sz w:val="24"/>
          <w:szCs w:val="24"/>
        </w:rPr>
        <w:t xml:space="preserve">. While ARRI methods create an </w:t>
      </w:r>
      <w:r>
        <w:rPr>
          <w:rFonts w:cs="Times New Roman"/>
          <w:sz w:val="24"/>
          <w:szCs w:val="24"/>
        </w:rPr>
        <w:t>above-ground</w:t>
      </w:r>
      <w:r w:rsidRPr="00BA7280">
        <w:rPr>
          <w:rFonts w:cs="Times New Roman"/>
          <w:sz w:val="24"/>
          <w:szCs w:val="24"/>
        </w:rPr>
        <w:t xml:space="preserve"> plant community that is more similar to pre-disturbed conditions, there are few</w:t>
      </w:r>
      <w:r>
        <w:rPr>
          <w:rFonts w:cs="Times New Roman"/>
          <w:sz w:val="24"/>
          <w:szCs w:val="24"/>
        </w:rPr>
        <w:t xml:space="preserve"> studies</w:t>
      </w:r>
      <w:r w:rsidRPr="00BA7280">
        <w:rPr>
          <w:rFonts w:cs="Times New Roman"/>
          <w:sz w:val="24"/>
          <w:szCs w:val="24"/>
        </w:rPr>
        <w:t xml:space="preserve"> on </w:t>
      </w:r>
      <w:r>
        <w:rPr>
          <w:rFonts w:cs="Times New Roman"/>
          <w:sz w:val="24"/>
          <w:szCs w:val="24"/>
        </w:rPr>
        <w:t>below-ground</w:t>
      </w:r>
      <w:r w:rsidRPr="00BA7280">
        <w:rPr>
          <w:rFonts w:cs="Times New Roman"/>
          <w:sz w:val="24"/>
          <w:szCs w:val="24"/>
        </w:rPr>
        <w:t xml:space="preserve"> community composition and succession</w:t>
      </w:r>
      <w:r>
        <w:rPr>
          <w:rFonts w:cs="Times New Roman"/>
          <w:sz w:val="24"/>
          <w:szCs w:val="24"/>
        </w:rPr>
        <w:t>, especially within the Appalachian region</w:t>
      </w:r>
      <w:r w:rsidRPr="00BA7280">
        <w:rPr>
          <w:rFonts w:cs="Times New Roman"/>
          <w:sz w:val="24"/>
          <w:szCs w:val="24"/>
        </w:rPr>
        <w:t xml:space="preserve"> </w:t>
      </w:r>
      <w:r w:rsidRPr="00BA7280">
        <w:rPr>
          <w:rFonts w:cs="Times New Roman"/>
          <w:noProof/>
          <w:sz w:val="24"/>
          <w:szCs w:val="24"/>
        </w:rPr>
        <w:t>(Frouz</w:t>
      </w:r>
      <w:r w:rsidRPr="00BA7280">
        <w:rPr>
          <w:rFonts w:cs="Times New Roman"/>
          <w:i/>
          <w:noProof/>
          <w:sz w:val="24"/>
          <w:szCs w:val="24"/>
        </w:rPr>
        <w:t xml:space="preserve"> et al.</w:t>
      </w:r>
      <w:r w:rsidRPr="00BA7280">
        <w:rPr>
          <w:rFonts w:cs="Times New Roman"/>
          <w:noProof/>
          <w:sz w:val="24"/>
          <w:szCs w:val="24"/>
        </w:rPr>
        <w:t xml:space="preserve"> 2008; Helingerova</w:t>
      </w:r>
      <w:r w:rsidRPr="00BA7280">
        <w:rPr>
          <w:rFonts w:cs="Times New Roman"/>
          <w:i/>
          <w:noProof/>
          <w:sz w:val="24"/>
          <w:szCs w:val="24"/>
        </w:rPr>
        <w:t xml:space="preserve"> et al.</w:t>
      </w:r>
      <w:r w:rsidRPr="00BA7280">
        <w:rPr>
          <w:rFonts w:cs="Times New Roman"/>
          <w:noProof/>
          <w:sz w:val="24"/>
          <w:szCs w:val="24"/>
        </w:rPr>
        <w:t xml:space="preserve"> 2010)</w:t>
      </w:r>
      <w:r w:rsidRPr="00BA7280">
        <w:rPr>
          <w:rFonts w:cs="Times New Roman"/>
          <w:sz w:val="24"/>
          <w:szCs w:val="24"/>
        </w:rPr>
        <w:t>.  Most studies looking at nematodes as a proxy for ecosystem function do not identify nematodes beyond their trophic group.</w:t>
      </w:r>
      <w:r>
        <w:rPr>
          <w:rFonts w:cs="Times New Roman"/>
          <w:sz w:val="24"/>
          <w:szCs w:val="24"/>
        </w:rPr>
        <w:t xml:space="preserve"> </w:t>
      </w:r>
    </w:p>
    <w:p w:rsidR="00AC49A4" w:rsidRPr="00BA7280" w:rsidRDefault="00AC49A4" w:rsidP="003C0513">
      <w:pPr>
        <w:spacing w:line="480" w:lineRule="auto"/>
        <w:ind w:firstLine="360"/>
        <w:rPr>
          <w:rFonts w:cs="Times New Roman"/>
          <w:sz w:val="24"/>
          <w:szCs w:val="24"/>
        </w:rPr>
      </w:pPr>
      <w:r>
        <w:rPr>
          <w:rFonts w:cs="Times New Roman"/>
          <w:sz w:val="24"/>
          <w:szCs w:val="24"/>
        </w:rPr>
        <w:t>Below-ground</w:t>
      </w:r>
      <w:r w:rsidRPr="00BA7280">
        <w:rPr>
          <w:rFonts w:cs="Times New Roman"/>
          <w:sz w:val="24"/>
          <w:szCs w:val="24"/>
        </w:rPr>
        <w:t xml:space="preserve"> and </w:t>
      </w:r>
      <w:r>
        <w:rPr>
          <w:rFonts w:cs="Times New Roman"/>
          <w:sz w:val="24"/>
          <w:szCs w:val="24"/>
        </w:rPr>
        <w:t>above-ground</w:t>
      </w:r>
      <w:r w:rsidRPr="00BA7280">
        <w:rPr>
          <w:rFonts w:cs="Times New Roman"/>
          <w:sz w:val="24"/>
          <w:szCs w:val="24"/>
        </w:rPr>
        <w:t xml:space="preserve"> communities are intrinsically linked and the restoration of </w:t>
      </w:r>
      <w:r>
        <w:rPr>
          <w:rFonts w:cs="Times New Roman"/>
          <w:sz w:val="24"/>
          <w:szCs w:val="24"/>
        </w:rPr>
        <w:t>below-ground</w:t>
      </w:r>
      <w:r w:rsidRPr="00BA7280">
        <w:rPr>
          <w:rFonts w:cs="Times New Roman"/>
          <w:sz w:val="24"/>
          <w:szCs w:val="24"/>
        </w:rPr>
        <w:t xml:space="preserve"> communities is vital if site function is to be restored (</w:t>
      </w:r>
      <w:r>
        <w:rPr>
          <w:rFonts w:cs="Times New Roman"/>
          <w:sz w:val="24"/>
          <w:szCs w:val="24"/>
        </w:rPr>
        <w:t>T</w:t>
      </w:r>
      <w:r w:rsidRPr="00BA7280">
        <w:rPr>
          <w:rFonts w:cs="Times New Roman"/>
          <w:sz w:val="24"/>
          <w:szCs w:val="24"/>
        </w:rPr>
        <w:t xml:space="preserve">able 1). Though the two communities are interdependent, they do not necessarily mirror each other in structure, rates of succession, or complexity </w:t>
      </w:r>
      <w:r w:rsidRPr="00BA7280">
        <w:rPr>
          <w:rFonts w:cs="Times New Roman"/>
          <w:noProof/>
          <w:sz w:val="24"/>
          <w:szCs w:val="24"/>
        </w:rPr>
        <w:t>(Kardol &amp; Wardle 2010)</w:t>
      </w:r>
      <w:r w:rsidRPr="00BA7280">
        <w:rPr>
          <w:rFonts w:cs="Times New Roman"/>
          <w:sz w:val="24"/>
          <w:szCs w:val="24"/>
        </w:rPr>
        <w:t xml:space="preserve">. Therefore, a diverse plant community may lack a functioning </w:t>
      </w:r>
      <w:r>
        <w:rPr>
          <w:rFonts w:cs="Times New Roman"/>
          <w:sz w:val="24"/>
          <w:szCs w:val="24"/>
        </w:rPr>
        <w:t>below-ground component.  With below</w:t>
      </w:r>
      <w:r w:rsidRPr="00BA7280">
        <w:rPr>
          <w:rFonts w:cs="Times New Roman"/>
          <w:sz w:val="24"/>
          <w:szCs w:val="24"/>
        </w:rPr>
        <w:t xml:space="preserve"> and </w:t>
      </w:r>
      <w:r>
        <w:rPr>
          <w:rFonts w:cs="Times New Roman"/>
          <w:sz w:val="24"/>
          <w:szCs w:val="24"/>
        </w:rPr>
        <w:t>above-ground</w:t>
      </w:r>
      <w:r w:rsidRPr="00BA7280">
        <w:rPr>
          <w:rFonts w:cs="Times New Roman"/>
          <w:sz w:val="24"/>
          <w:szCs w:val="24"/>
        </w:rPr>
        <w:t xml:space="preserve"> systems so intrinsically linked, it is unlikely that above-ground succession will continue on a path similar to </w:t>
      </w:r>
      <w:r w:rsidRPr="00BA7280">
        <w:rPr>
          <w:rFonts w:cs="Times New Roman"/>
          <w:sz w:val="24"/>
          <w:szCs w:val="24"/>
        </w:rPr>
        <w:lastRenderedPageBreak/>
        <w:t xml:space="preserve">that of an intact system without similarly functioning below-ground dynamics and food webs </w:t>
      </w:r>
      <w:r w:rsidRPr="00BA7280">
        <w:rPr>
          <w:rFonts w:cs="Times New Roman"/>
          <w:noProof/>
          <w:sz w:val="24"/>
          <w:szCs w:val="24"/>
        </w:rPr>
        <w:t>(van der Putten</w:t>
      </w:r>
      <w:r w:rsidRPr="00BA7280">
        <w:rPr>
          <w:rFonts w:cs="Times New Roman"/>
          <w:i/>
          <w:noProof/>
          <w:sz w:val="24"/>
          <w:szCs w:val="24"/>
        </w:rPr>
        <w:t xml:space="preserve"> et al.</w:t>
      </w:r>
      <w:r w:rsidRPr="00BA7280">
        <w:rPr>
          <w:rFonts w:cs="Times New Roman"/>
          <w:noProof/>
          <w:sz w:val="24"/>
          <w:szCs w:val="24"/>
        </w:rPr>
        <w:t xml:space="preserve"> 2009)</w:t>
      </w:r>
      <w:r w:rsidRPr="00BA7280">
        <w:rPr>
          <w:rFonts w:cs="Times New Roman"/>
          <w:sz w:val="24"/>
          <w:szCs w:val="24"/>
        </w:rPr>
        <w:t>.  Secondarily, there are numerous other ecosystem services performed by soil communities that may be lost or dimin</w:t>
      </w:r>
      <w:r>
        <w:rPr>
          <w:rFonts w:cs="Times New Roman"/>
          <w:sz w:val="24"/>
          <w:szCs w:val="24"/>
        </w:rPr>
        <w:t>i</w:t>
      </w:r>
      <w:r w:rsidRPr="00BA7280">
        <w:rPr>
          <w:rFonts w:cs="Times New Roman"/>
          <w:sz w:val="24"/>
          <w:szCs w:val="24"/>
        </w:rPr>
        <w:t>shed from post-mining sites.</w:t>
      </w:r>
    </w:p>
    <w:p w:rsidR="00AC49A4" w:rsidRPr="00BA7280" w:rsidRDefault="00AC49A4" w:rsidP="003C0513">
      <w:pPr>
        <w:spacing w:line="480" w:lineRule="auto"/>
        <w:rPr>
          <w:rFonts w:cs="Times New Roman"/>
          <w:sz w:val="24"/>
          <w:szCs w:val="24"/>
          <w:u w:val="single"/>
        </w:rPr>
      </w:pPr>
    </w:p>
    <w:tbl>
      <w:tblPr>
        <w:tblW w:w="7120" w:type="dxa"/>
        <w:tblInd w:w="93" w:type="dxa"/>
        <w:tblLook w:val="04A0" w:firstRow="1" w:lastRow="0" w:firstColumn="1" w:lastColumn="0" w:noHBand="0" w:noVBand="1"/>
      </w:tblPr>
      <w:tblGrid>
        <w:gridCol w:w="960"/>
        <w:gridCol w:w="960"/>
        <w:gridCol w:w="960"/>
        <w:gridCol w:w="960"/>
        <w:gridCol w:w="960"/>
        <w:gridCol w:w="1360"/>
        <w:gridCol w:w="960"/>
      </w:tblGrid>
      <w:tr w:rsidR="00AC49A4" w:rsidRPr="00BA7280" w:rsidTr="003C0513">
        <w:trPr>
          <w:trHeight w:val="300"/>
        </w:trPr>
        <w:tc>
          <w:tcPr>
            <w:tcW w:w="960" w:type="dxa"/>
            <w:tcBorders>
              <w:top w:val="nil"/>
              <w:left w:val="nil"/>
              <w:bottom w:val="nil"/>
              <w:right w:val="nil"/>
            </w:tcBorders>
            <w:shd w:val="clear" w:color="auto" w:fill="auto"/>
            <w:noWrap/>
            <w:vAlign w:val="bottom"/>
            <w:hideMark/>
          </w:tcPr>
          <w:p w:rsidR="00AC49A4" w:rsidRPr="00BA7280" w:rsidRDefault="00AC49A4" w:rsidP="003C0513">
            <w:pPr>
              <w:spacing w:after="200" w:line="276"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1360" w:type="dxa"/>
            <w:tcBorders>
              <w:top w:val="nil"/>
              <w:left w:val="nil"/>
              <w:bottom w:val="nil"/>
              <w:right w:val="nil"/>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r>
    </w:tbl>
    <w:p w:rsidR="00AC49A4" w:rsidRPr="008937B9" w:rsidRDefault="00AC49A4" w:rsidP="003C0513">
      <w:pPr>
        <w:rPr>
          <w:rFonts w:cs="Times New Roman"/>
          <w:sz w:val="24"/>
          <w:szCs w:val="24"/>
        </w:rPr>
      </w:pPr>
      <w:r w:rsidRPr="008937B9">
        <w:t xml:space="preserve">Table </w:t>
      </w:r>
      <w:fldSimple w:instr=" SEQ Table \* ARABIC ">
        <w:r>
          <w:rPr>
            <w:noProof/>
          </w:rPr>
          <w:t>1</w:t>
        </w:r>
      </w:fldSimple>
      <w:r w:rsidRPr="008937B9">
        <w:t>: Selection of above and below-ground interactions</w:t>
      </w:r>
    </w:p>
    <w:tbl>
      <w:tblPr>
        <w:tblW w:w="8928" w:type="dxa"/>
        <w:tblLook w:val="04A0" w:firstRow="1" w:lastRow="0" w:firstColumn="1" w:lastColumn="0" w:noHBand="0" w:noVBand="1"/>
      </w:tblPr>
      <w:tblGrid>
        <w:gridCol w:w="6228"/>
        <w:gridCol w:w="2700"/>
      </w:tblGrid>
      <w:tr w:rsidR="00AC49A4" w:rsidRPr="00B46DEC" w:rsidTr="003C0513">
        <w:trPr>
          <w:trHeight w:val="460"/>
        </w:trPr>
        <w:tc>
          <w:tcPr>
            <w:tcW w:w="6228" w:type="dxa"/>
            <w:tcBorders>
              <w:bottom w:val="single" w:sz="4" w:space="0" w:color="auto"/>
            </w:tcBorders>
            <w:noWrap/>
            <w:vAlign w:val="center"/>
            <w:hideMark/>
          </w:tcPr>
          <w:p w:rsidR="00AC49A4" w:rsidRPr="00D47D9F" w:rsidRDefault="00AC49A4" w:rsidP="003C0513">
            <w:pPr>
              <w:rPr>
                <w:rFonts w:eastAsia="Times New Roman" w:cs="Times New Roman"/>
                <w:i/>
                <w:iCs/>
                <w:color w:val="000000"/>
                <w:sz w:val="20"/>
                <w:szCs w:val="20"/>
              </w:rPr>
            </w:pPr>
            <w:r w:rsidRPr="00D47D9F">
              <w:rPr>
                <w:rFonts w:eastAsia="Times New Roman" w:cs="Times New Roman"/>
                <w:i/>
                <w:iCs/>
                <w:color w:val="000000"/>
                <w:sz w:val="20"/>
                <w:szCs w:val="20"/>
              </w:rPr>
              <w:t xml:space="preserve">Impacts of </w:t>
            </w:r>
            <w:r>
              <w:rPr>
                <w:rFonts w:eastAsia="Times New Roman" w:cs="Times New Roman"/>
                <w:i/>
                <w:iCs/>
                <w:color w:val="000000"/>
                <w:sz w:val="20"/>
                <w:szCs w:val="20"/>
              </w:rPr>
              <w:t>below-ground</w:t>
            </w:r>
            <w:r w:rsidRPr="00D47D9F">
              <w:rPr>
                <w:rFonts w:eastAsia="Times New Roman" w:cs="Times New Roman"/>
                <w:i/>
                <w:iCs/>
                <w:color w:val="000000"/>
                <w:sz w:val="20"/>
                <w:szCs w:val="20"/>
              </w:rPr>
              <w:t xml:space="preserve"> communities on </w:t>
            </w:r>
            <w:r>
              <w:rPr>
                <w:rFonts w:eastAsia="Times New Roman" w:cs="Times New Roman"/>
                <w:i/>
                <w:iCs/>
                <w:color w:val="000000"/>
                <w:sz w:val="20"/>
                <w:szCs w:val="20"/>
              </w:rPr>
              <w:t>above-ground</w:t>
            </w:r>
            <w:r w:rsidRPr="00D47D9F">
              <w:rPr>
                <w:rFonts w:eastAsia="Times New Roman" w:cs="Times New Roman"/>
                <w:i/>
                <w:iCs/>
                <w:color w:val="000000"/>
                <w:sz w:val="20"/>
                <w:szCs w:val="20"/>
              </w:rPr>
              <w:t xml:space="preserve"> flora</w:t>
            </w:r>
          </w:p>
        </w:tc>
        <w:tc>
          <w:tcPr>
            <w:tcW w:w="2700" w:type="dxa"/>
            <w:tcBorders>
              <w:bottom w:val="single" w:sz="4" w:space="0" w:color="auto"/>
            </w:tcBorders>
            <w:noWrap/>
            <w:vAlign w:val="center"/>
            <w:hideMark/>
          </w:tcPr>
          <w:p w:rsidR="00AC49A4" w:rsidRPr="00D47D9F" w:rsidRDefault="00AC49A4" w:rsidP="003C0513">
            <w:pPr>
              <w:rPr>
                <w:rFonts w:eastAsia="Times New Roman" w:cs="Times New Roman"/>
                <w:iCs/>
                <w:color w:val="000000"/>
                <w:sz w:val="20"/>
                <w:szCs w:val="20"/>
              </w:rPr>
            </w:pPr>
            <w:r w:rsidRPr="00D47D9F">
              <w:rPr>
                <w:rFonts w:eastAsia="Times New Roman" w:cs="Times New Roman"/>
                <w:i/>
                <w:iCs/>
                <w:color w:val="000000"/>
                <w:sz w:val="20"/>
                <w:szCs w:val="20"/>
              </w:rPr>
              <w:t> </w:t>
            </w:r>
            <w:r>
              <w:rPr>
                <w:rFonts w:eastAsia="Times New Roman" w:cs="Times New Roman"/>
                <w:i/>
                <w:iCs/>
                <w:color w:val="000000"/>
                <w:sz w:val="20"/>
                <w:szCs w:val="20"/>
              </w:rPr>
              <w:t>Reference</w:t>
            </w:r>
          </w:p>
        </w:tc>
      </w:tr>
      <w:tr w:rsidR="00AC49A4" w:rsidRPr="00B46DEC" w:rsidTr="003C0513">
        <w:trPr>
          <w:trHeight w:val="460"/>
        </w:trPr>
        <w:tc>
          <w:tcPr>
            <w:tcW w:w="6228" w:type="dxa"/>
            <w:tcBorders>
              <w:top w:val="single" w:sz="4" w:space="0" w:color="auto"/>
            </w:tcBorders>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Dispersal of plant pathogens by soil </w:t>
            </w:r>
            <w:proofErr w:type="spellStart"/>
            <w:r w:rsidRPr="00D47D9F">
              <w:rPr>
                <w:rFonts w:eastAsia="Times New Roman" w:cs="Times New Roman"/>
                <w:color w:val="000000"/>
                <w:sz w:val="20"/>
                <w:szCs w:val="20"/>
              </w:rPr>
              <w:t>mesofauna</w:t>
            </w:r>
            <w:proofErr w:type="spellEnd"/>
          </w:p>
        </w:tc>
        <w:tc>
          <w:tcPr>
            <w:tcW w:w="2700" w:type="dxa"/>
            <w:tcBorders>
              <w:top w:val="single" w:sz="4" w:space="0" w:color="auto"/>
            </w:tcBorders>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r w:rsidRPr="00D47D9F">
              <w:rPr>
                <w:rFonts w:eastAsia="Times New Roman" w:cs="Times New Roman"/>
                <w:color w:val="000000"/>
                <w:sz w:val="20"/>
                <w:szCs w:val="20"/>
              </w:rPr>
              <w:t xml:space="preserve">Van der </w:t>
            </w:r>
            <w:proofErr w:type="spellStart"/>
            <w:r>
              <w:rPr>
                <w:rFonts w:eastAsia="Times New Roman" w:cs="Times New Roman"/>
                <w:color w:val="000000"/>
                <w:sz w:val="20"/>
                <w:szCs w:val="20"/>
              </w:rPr>
              <w:t>P</w:t>
            </w:r>
            <w:r w:rsidRPr="00D47D9F">
              <w:rPr>
                <w:rFonts w:eastAsia="Times New Roman" w:cs="Times New Roman"/>
                <w:color w:val="000000"/>
                <w:sz w:val="20"/>
                <w:szCs w:val="20"/>
              </w:rPr>
              <w:t>utten</w:t>
            </w:r>
            <w:proofErr w:type="spellEnd"/>
            <w:r w:rsidRPr="00D47D9F">
              <w:rPr>
                <w:rFonts w:eastAsia="Times New Roman" w:cs="Times New Roman"/>
                <w:color w:val="000000"/>
                <w:sz w:val="20"/>
                <w:szCs w:val="20"/>
              </w:rPr>
              <w:t xml:space="preserve"> </w:t>
            </w:r>
            <w:r>
              <w:rPr>
                <w:rFonts w:eastAsia="Times New Roman" w:cs="Times New Roman"/>
                <w:color w:val="000000"/>
                <w:sz w:val="20"/>
                <w:szCs w:val="20"/>
              </w:rPr>
              <w:t>2001)</w:t>
            </w:r>
          </w:p>
        </w:tc>
      </w:tr>
      <w:tr w:rsidR="00AC49A4" w:rsidRPr="00B46DEC" w:rsidTr="003C0513">
        <w:trPr>
          <w:trHeight w:val="46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Root grazers impact on </w:t>
            </w:r>
            <w:r>
              <w:rPr>
                <w:rFonts w:eastAsia="Times New Roman" w:cs="Times New Roman"/>
                <w:color w:val="000000"/>
                <w:sz w:val="20"/>
                <w:szCs w:val="20"/>
              </w:rPr>
              <w:t>above-ground</w:t>
            </w:r>
            <w:r w:rsidRPr="00D47D9F">
              <w:rPr>
                <w:rFonts w:eastAsia="Times New Roman" w:cs="Times New Roman"/>
                <w:color w:val="000000"/>
                <w:sz w:val="20"/>
                <w:szCs w:val="20"/>
              </w:rPr>
              <w:t xml:space="preserve"> </w:t>
            </w:r>
            <w:proofErr w:type="spellStart"/>
            <w:r w:rsidRPr="00D47D9F">
              <w:rPr>
                <w:rFonts w:eastAsia="Times New Roman" w:cs="Times New Roman"/>
                <w:color w:val="000000"/>
                <w:sz w:val="20"/>
                <w:szCs w:val="20"/>
              </w:rPr>
              <w:t>turp</w:t>
            </w:r>
            <w:r>
              <w:rPr>
                <w:rFonts w:eastAsia="Times New Roman" w:cs="Times New Roman"/>
                <w:color w:val="000000"/>
                <w:sz w:val="20"/>
                <w:szCs w:val="20"/>
              </w:rPr>
              <w:t>e</w:t>
            </w:r>
            <w:r w:rsidRPr="00D47D9F">
              <w:rPr>
                <w:rFonts w:eastAsia="Times New Roman" w:cs="Times New Roman"/>
                <w:color w:val="000000"/>
                <w:sz w:val="20"/>
                <w:szCs w:val="20"/>
              </w:rPr>
              <w:t>noid</w:t>
            </w:r>
            <w:proofErr w:type="spellEnd"/>
            <w:r w:rsidRPr="00D47D9F">
              <w:rPr>
                <w:rFonts w:eastAsia="Times New Roman" w:cs="Times New Roman"/>
                <w:color w:val="000000"/>
                <w:sz w:val="20"/>
                <w:szCs w:val="20"/>
              </w:rPr>
              <w:t xml:space="preserve"> production</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r w:rsidRPr="00D47D9F">
              <w:rPr>
                <w:rFonts w:eastAsia="Times New Roman" w:cs="Times New Roman"/>
                <w:color w:val="000000"/>
                <w:sz w:val="20"/>
                <w:szCs w:val="20"/>
              </w:rPr>
              <w:t xml:space="preserve">Van der </w:t>
            </w:r>
            <w:proofErr w:type="spellStart"/>
            <w:r>
              <w:rPr>
                <w:rFonts w:eastAsia="Times New Roman" w:cs="Times New Roman"/>
                <w:color w:val="000000"/>
                <w:sz w:val="20"/>
                <w:szCs w:val="20"/>
              </w:rPr>
              <w:t>P</w:t>
            </w:r>
            <w:r w:rsidRPr="00D47D9F">
              <w:rPr>
                <w:rFonts w:eastAsia="Times New Roman" w:cs="Times New Roman"/>
                <w:color w:val="000000"/>
                <w:sz w:val="20"/>
                <w:szCs w:val="20"/>
              </w:rPr>
              <w:t>utten</w:t>
            </w:r>
            <w:proofErr w:type="spellEnd"/>
            <w:r w:rsidRPr="00D47D9F">
              <w:rPr>
                <w:rFonts w:eastAsia="Times New Roman" w:cs="Times New Roman"/>
                <w:color w:val="000000"/>
                <w:sz w:val="20"/>
                <w:szCs w:val="20"/>
              </w:rPr>
              <w:t xml:space="preserve"> 2001</w:t>
            </w:r>
            <w:r>
              <w:rPr>
                <w:rFonts w:eastAsia="Times New Roman" w:cs="Times New Roman"/>
                <w:color w:val="000000"/>
                <w:sz w:val="20"/>
                <w:szCs w:val="20"/>
              </w:rPr>
              <w:t>)</w:t>
            </w:r>
          </w:p>
        </w:tc>
      </w:tr>
      <w:tr w:rsidR="00AC49A4" w:rsidRPr="00B46DEC" w:rsidTr="003C0513">
        <w:trPr>
          <w:trHeight w:val="460"/>
        </w:trPr>
        <w:tc>
          <w:tcPr>
            <w:tcW w:w="6228" w:type="dxa"/>
            <w:noWrap/>
            <w:vAlign w:val="center"/>
            <w:hideMark/>
          </w:tcPr>
          <w:p w:rsidR="00AC49A4" w:rsidRPr="00D47D9F" w:rsidRDefault="00AC49A4" w:rsidP="003C0513">
            <w:pPr>
              <w:ind w:left="180"/>
              <w:rPr>
                <w:rFonts w:cs="Times New Roman"/>
                <w:sz w:val="20"/>
                <w:szCs w:val="20"/>
              </w:rPr>
            </w:pPr>
            <w:r w:rsidRPr="00D47D9F">
              <w:rPr>
                <w:rFonts w:eastAsia="Times New Roman" w:cs="Times New Roman"/>
                <w:color w:val="000000"/>
                <w:sz w:val="20"/>
                <w:szCs w:val="20"/>
              </w:rPr>
              <w:t>Nematode parasitism of plant root grazers</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r w:rsidRPr="00D47D9F">
              <w:rPr>
                <w:rFonts w:eastAsia="Times New Roman" w:cs="Times New Roman"/>
                <w:color w:val="000000"/>
                <w:sz w:val="20"/>
                <w:szCs w:val="20"/>
              </w:rPr>
              <w:t xml:space="preserve">Van </w:t>
            </w:r>
            <w:proofErr w:type="spellStart"/>
            <w:r>
              <w:rPr>
                <w:rFonts w:eastAsia="Times New Roman" w:cs="Times New Roman"/>
                <w:color w:val="000000"/>
                <w:sz w:val="20"/>
                <w:szCs w:val="20"/>
              </w:rPr>
              <w:t>T</w:t>
            </w:r>
            <w:r w:rsidRPr="00D47D9F">
              <w:rPr>
                <w:rFonts w:eastAsia="Times New Roman" w:cs="Times New Roman"/>
                <w:color w:val="000000"/>
                <w:sz w:val="20"/>
                <w:szCs w:val="20"/>
              </w:rPr>
              <w:t>ol</w:t>
            </w:r>
            <w:proofErr w:type="spellEnd"/>
            <w:r w:rsidRPr="00D47D9F">
              <w:rPr>
                <w:rFonts w:eastAsia="Times New Roman" w:cs="Times New Roman"/>
                <w:color w:val="000000"/>
                <w:sz w:val="20"/>
                <w:szCs w:val="20"/>
              </w:rPr>
              <w:t xml:space="preserve"> 2001</w:t>
            </w:r>
            <w:r>
              <w:rPr>
                <w:rFonts w:eastAsia="Times New Roman" w:cs="Times New Roman"/>
                <w:color w:val="000000"/>
                <w:sz w:val="20"/>
                <w:szCs w:val="20"/>
              </w:rPr>
              <w:t xml:space="preserve">, Reynolds 2003, De </w:t>
            </w:r>
            <w:proofErr w:type="spellStart"/>
            <w:r>
              <w:rPr>
                <w:rFonts w:eastAsia="Times New Roman" w:cs="Times New Roman"/>
                <w:color w:val="000000"/>
                <w:sz w:val="20"/>
                <w:szCs w:val="20"/>
              </w:rPr>
              <w:t>Deyn</w:t>
            </w:r>
            <w:proofErr w:type="spellEnd"/>
            <w:r>
              <w:rPr>
                <w:rFonts w:eastAsia="Times New Roman" w:cs="Times New Roman"/>
                <w:color w:val="000000"/>
                <w:sz w:val="20"/>
                <w:szCs w:val="20"/>
              </w:rPr>
              <w:t xml:space="preserve"> 2004)</w:t>
            </w:r>
          </w:p>
        </w:tc>
      </w:tr>
      <w:tr w:rsidR="00AC49A4" w:rsidRPr="00B46DEC" w:rsidTr="003C0513">
        <w:trPr>
          <w:trHeight w:val="46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Pr>
                <w:rFonts w:eastAsia="Times New Roman" w:cs="Times New Roman"/>
                <w:color w:val="000000"/>
                <w:sz w:val="20"/>
                <w:szCs w:val="20"/>
              </w:rPr>
              <w:t>Above-ground</w:t>
            </w:r>
            <w:r w:rsidRPr="00D47D9F">
              <w:rPr>
                <w:rFonts w:eastAsia="Times New Roman" w:cs="Times New Roman"/>
                <w:color w:val="000000"/>
                <w:sz w:val="20"/>
                <w:szCs w:val="20"/>
              </w:rPr>
              <w:t xml:space="preserve"> nutrient translocation due to </w:t>
            </w:r>
            <w:r>
              <w:rPr>
                <w:rFonts w:eastAsia="Times New Roman" w:cs="Times New Roman"/>
                <w:color w:val="000000"/>
                <w:sz w:val="20"/>
                <w:szCs w:val="20"/>
              </w:rPr>
              <w:t>below-ground</w:t>
            </w:r>
            <w:r w:rsidRPr="00D47D9F">
              <w:rPr>
                <w:rFonts w:eastAsia="Times New Roman" w:cs="Times New Roman"/>
                <w:color w:val="000000"/>
                <w:sz w:val="20"/>
                <w:szCs w:val="20"/>
              </w:rPr>
              <w:t xml:space="preserve"> grazing</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(Stanton 1988, Ingham 1985)</w:t>
            </w:r>
          </w:p>
        </w:tc>
      </w:tr>
      <w:tr w:rsidR="00AC49A4" w:rsidRPr="00B46DEC" w:rsidTr="003C0513">
        <w:trPr>
          <w:trHeight w:val="46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Increase of </w:t>
            </w:r>
            <w:r>
              <w:rPr>
                <w:rFonts w:eastAsia="Times New Roman" w:cs="Times New Roman"/>
                <w:color w:val="000000"/>
                <w:sz w:val="20"/>
                <w:szCs w:val="20"/>
              </w:rPr>
              <w:t>a</w:t>
            </w:r>
            <w:r w:rsidRPr="00D47D9F">
              <w:rPr>
                <w:rFonts w:eastAsia="Times New Roman" w:cs="Times New Roman"/>
                <w:color w:val="000000"/>
                <w:sz w:val="20"/>
                <w:szCs w:val="20"/>
              </w:rPr>
              <w:t>mmonium nitrate due to nematode diversity</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r w:rsidRPr="00D47D9F">
              <w:rPr>
                <w:rFonts w:eastAsia="Times New Roman" w:cs="Times New Roman"/>
                <w:color w:val="000000"/>
                <w:sz w:val="20"/>
                <w:szCs w:val="20"/>
              </w:rPr>
              <w:t>Ingham 1985</w:t>
            </w:r>
            <w:r>
              <w:rPr>
                <w:rFonts w:eastAsia="Times New Roman" w:cs="Times New Roman"/>
                <w:color w:val="000000"/>
                <w:sz w:val="20"/>
                <w:szCs w:val="20"/>
              </w:rPr>
              <w:t xml:space="preserve">, </w:t>
            </w:r>
            <w:proofErr w:type="spellStart"/>
            <w:r>
              <w:rPr>
                <w:rFonts w:eastAsia="Times New Roman" w:cs="Times New Roman"/>
                <w:color w:val="000000"/>
                <w:sz w:val="20"/>
                <w:szCs w:val="20"/>
              </w:rPr>
              <w:t>Villenave</w:t>
            </w:r>
            <w:proofErr w:type="spellEnd"/>
            <w:r>
              <w:rPr>
                <w:rFonts w:eastAsia="Times New Roman" w:cs="Times New Roman"/>
                <w:color w:val="000000"/>
                <w:sz w:val="20"/>
                <w:szCs w:val="20"/>
              </w:rPr>
              <w:t xml:space="preserve"> 2004)</w:t>
            </w:r>
          </w:p>
        </w:tc>
      </w:tr>
      <w:tr w:rsidR="00AC49A4" w:rsidRPr="00B46DEC" w:rsidTr="003C0513">
        <w:trPr>
          <w:trHeight w:val="460"/>
        </w:trPr>
        <w:tc>
          <w:tcPr>
            <w:tcW w:w="6228" w:type="dxa"/>
            <w:noWrap/>
            <w:vAlign w:val="center"/>
          </w:tcPr>
          <w:p w:rsidR="00AC49A4" w:rsidRPr="00D47D9F" w:rsidRDefault="00AC49A4" w:rsidP="003C0513">
            <w:pPr>
              <w:ind w:left="180"/>
              <w:rPr>
                <w:rFonts w:eastAsia="Times New Roman" w:cs="Times New Roman"/>
                <w:color w:val="000000"/>
                <w:sz w:val="20"/>
                <w:szCs w:val="20"/>
              </w:rPr>
            </w:pPr>
          </w:p>
        </w:tc>
        <w:tc>
          <w:tcPr>
            <w:tcW w:w="2700" w:type="dxa"/>
            <w:noWrap/>
            <w:vAlign w:val="center"/>
          </w:tcPr>
          <w:p w:rsidR="00AC49A4" w:rsidRDefault="00AC49A4" w:rsidP="003C0513">
            <w:pPr>
              <w:rPr>
                <w:rFonts w:eastAsia="Times New Roman" w:cs="Times New Roman"/>
                <w:color w:val="000000"/>
                <w:sz w:val="20"/>
                <w:szCs w:val="20"/>
              </w:rPr>
            </w:pPr>
          </w:p>
        </w:tc>
      </w:tr>
      <w:tr w:rsidR="00AC49A4" w:rsidRPr="00B46DEC" w:rsidTr="003C0513">
        <w:trPr>
          <w:trHeight w:val="46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Soil </w:t>
            </w:r>
            <w:proofErr w:type="spellStart"/>
            <w:r w:rsidRPr="00D47D9F">
              <w:rPr>
                <w:rFonts w:eastAsia="Times New Roman" w:cs="Times New Roman"/>
                <w:color w:val="000000"/>
                <w:sz w:val="20"/>
                <w:szCs w:val="20"/>
              </w:rPr>
              <w:t>mesofauna</w:t>
            </w:r>
            <w:proofErr w:type="spellEnd"/>
            <w:r w:rsidRPr="00D47D9F">
              <w:rPr>
                <w:rFonts w:eastAsia="Times New Roman" w:cs="Times New Roman"/>
                <w:color w:val="000000"/>
                <w:sz w:val="20"/>
                <w:szCs w:val="20"/>
              </w:rPr>
              <w:t xml:space="preserve"> contributes up to 30% of N mineralization</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proofErr w:type="spellStart"/>
            <w:r w:rsidRPr="00D47D9F">
              <w:rPr>
                <w:rFonts w:eastAsia="Times New Roman" w:cs="Times New Roman"/>
                <w:color w:val="000000"/>
                <w:sz w:val="20"/>
                <w:szCs w:val="20"/>
              </w:rPr>
              <w:t>Verhoef</w:t>
            </w:r>
            <w:proofErr w:type="spellEnd"/>
            <w:r w:rsidRPr="00D47D9F">
              <w:rPr>
                <w:rFonts w:eastAsia="Times New Roman" w:cs="Times New Roman"/>
                <w:color w:val="000000"/>
                <w:sz w:val="20"/>
                <w:szCs w:val="20"/>
              </w:rPr>
              <w:t xml:space="preserve"> and </w:t>
            </w:r>
            <w:proofErr w:type="spellStart"/>
            <w:r w:rsidRPr="00D47D9F">
              <w:rPr>
                <w:rFonts w:eastAsia="Times New Roman" w:cs="Times New Roman"/>
                <w:color w:val="000000"/>
                <w:sz w:val="20"/>
                <w:szCs w:val="20"/>
              </w:rPr>
              <w:t>Brussaard</w:t>
            </w:r>
            <w:proofErr w:type="spellEnd"/>
            <w:r w:rsidRPr="00D47D9F">
              <w:rPr>
                <w:rFonts w:eastAsia="Times New Roman" w:cs="Times New Roman"/>
                <w:color w:val="000000"/>
                <w:sz w:val="20"/>
                <w:szCs w:val="20"/>
              </w:rPr>
              <w:t xml:space="preserve"> 1990</w:t>
            </w:r>
            <w:r>
              <w:rPr>
                <w:rFonts w:eastAsia="Times New Roman" w:cs="Times New Roman"/>
                <w:color w:val="000000"/>
                <w:sz w:val="20"/>
                <w:szCs w:val="20"/>
              </w:rPr>
              <w:t>)</w:t>
            </w:r>
          </w:p>
        </w:tc>
      </w:tr>
      <w:tr w:rsidR="00AC49A4" w:rsidRPr="00B46DEC" w:rsidTr="003C0513">
        <w:trPr>
          <w:trHeight w:val="46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Soil </w:t>
            </w:r>
            <w:proofErr w:type="spellStart"/>
            <w:r w:rsidRPr="00D47D9F">
              <w:rPr>
                <w:rFonts w:eastAsia="Times New Roman" w:cs="Times New Roman"/>
                <w:color w:val="000000"/>
                <w:sz w:val="20"/>
                <w:szCs w:val="20"/>
              </w:rPr>
              <w:t>mesofauna</w:t>
            </w:r>
            <w:proofErr w:type="spellEnd"/>
            <w:r w:rsidRPr="00D47D9F">
              <w:rPr>
                <w:rFonts w:eastAsia="Times New Roman" w:cs="Times New Roman"/>
                <w:color w:val="000000"/>
                <w:sz w:val="20"/>
                <w:szCs w:val="20"/>
              </w:rPr>
              <w:t xml:space="preserve"> diversity increases seedling nutrient status, biomass</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noProof/>
                <w:color w:val="000000"/>
                <w:sz w:val="20"/>
                <w:szCs w:val="20"/>
              </w:rPr>
              <w:t>(Laakso &amp; Setala 1999)</w:t>
            </w:r>
          </w:p>
        </w:tc>
      </w:tr>
      <w:tr w:rsidR="00AC49A4" w:rsidRPr="00B46DEC" w:rsidTr="003C0513">
        <w:trPr>
          <w:trHeight w:val="460"/>
        </w:trPr>
        <w:tc>
          <w:tcPr>
            <w:tcW w:w="8928" w:type="dxa"/>
            <w:gridSpan w:val="2"/>
            <w:noWrap/>
            <w:vAlign w:val="center"/>
            <w:hideMark/>
          </w:tcPr>
          <w:p w:rsidR="00AC49A4" w:rsidRPr="00D47D9F" w:rsidRDefault="00AC49A4" w:rsidP="003C0513">
            <w:pPr>
              <w:rPr>
                <w:rFonts w:cs="Times New Roman"/>
                <w:sz w:val="20"/>
                <w:szCs w:val="20"/>
              </w:rPr>
            </w:pPr>
          </w:p>
        </w:tc>
      </w:tr>
      <w:tr w:rsidR="00AC49A4" w:rsidRPr="00B46DEC" w:rsidTr="003C0513">
        <w:trPr>
          <w:trHeight w:val="460"/>
        </w:trPr>
        <w:tc>
          <w:tcPr>
            <w:tcW w:w="6228" w:type="dxa"/>
            <w:tcBorders>
              <w:bottom w:val="single" w:sz="4" w:space="0" w:color="auto"/>
            </w:tcBorders>
            <w:noWrap/>
            <w:vAlign w:val="center"/>
            <w:hideMark/>
          </w:tcPr>
          <w:p w:rsidR="00AC49A4" w:rsidRPr="00D47D9F" w:rsidRDefault="00AC49A4" w:rsidP="003C0513">
            <w:pPr>
              <w:rPr>
                <w:rFonts w:eastAsia="Times New Roman" w:cs="Times New Roman"/>
                <w:i/>
                <w:iCs/>
                <w:color w:val="000000"/>
                <w:sz w:val="20"/>
                <w:szCs w:val="20"/>
              </w:rPr>
            </w:pPr>
            <w:r w:rsidRPr="00D47D9F">
              <w:rPr>
                <w:rFonts w:eastAsia="Times New Roman" w:cs="Times New Roman"/>
                <w:i/>
                <w:iCs/>
                <w:color w:val="000000"/>
                <w:sz w:val="20"/>
                <w:szCs w:val="20"/>
              </w:rPr>
              <w:t xml:space="preserve">Impacts of </w:t>
            </w:r>
            <w:r>
              <w:rPr>
                <w:rFonts w:eastAsia="Times New Roman" w:cs="Times New Roman"/>
                <w:i/>
                <w:iCs/>
                <w:color w:val="000000"/>
                <w:sz w:val="20"/>
                <w:szCs w:val="20"/>
              </w:rPr>
              <w:t>above-ground</w:t>
            </w:r>
            <w:r w:rsidRPr="00D47D9F">
              <w:rPr>
                <w:rFonts w:eastAsia="Times New Roman" w:cs="Times New Roman"/>
                <w:i/>
                <w:iCs/>
                <w:color w:val="000000"/>
                <w:sz w:val="20"/>
                <w:szCs w:val="20"/>
              </w:rPr>
              <w:t xml:space="preserve"> flora on </w:t>
            </w:r>
            <w:r>
              <w:rPr>
                <w:rFonts w:eastAsia="Times New Roman" w:cs="Times New Roman"/>
                <w:i/>
                <w:iCs/>
                <w:color w:val="000000"/>
                <w:sz w:val="20"/>
                <w:szCs w:val="20"/>
              </w:rPr>
              <w:t>below-ground</w:t>
            </w:r>
            <w:r w:rsidRPr="00D47D9F">
              <w:rPr>
                <w:rFonts w:eastAsia="Times New Roman" w:cs="Times New Roman"/>
                <w:i/>
                <w:iCs/>
                <w:color w:val="000000"/>
                <w:sz w:val="20"/>
                <w:szCs w:val="20"/>
              </w:rPr>
              <w:t xml:space="preserve"> communities</w:t>
            </w:r>
          </w:p>
        </w:tc>
        <w:tc>
          <w:tcPr>
            <w:tcW w:w="2700" w:type="dxa"/>
            <w:tcBorders>
              <w:bottom w:val="single" w:sz="4" w:space="0" w:color="auto"/>
            </w:tcBorders>
            <w:noWrap/>
            <w:vAlign w:val="center"/>
            <w:hideMark/>
          </w:tcPr>
          <w:p w:rsidR="00AC49A4" w:rsidRPr="00D47D9F" w:rsidRDefault="00AC49A4" w:rsidP="003C0513">
            <w:pPr>
              <w:rPr>
                <w:rFonts w:eastAsia="Times New Roman" w:cs="Times New Roman"/>
                <w:i/>
                <w:iCs/>
                <w:color w:val="000000"/>
                <w:sz w:val="20"/>
                <w:szCs w:val="20"/>
              </w:rPr>
            </w:pPr>
            <w:r w:rsidRPr="00D47D9F">
              <w:rPr>
                <w:rFonts w:eastAsia="Times New Roman" w:cs="Times New Roman"/>
                <w:i/>
                <w:iCs/>
                <w:color w:val="000000"/>
                <w:sz w:val="20"/>
                <w:szCs w:val="20"/>
              </w:rPr>
              <w:t> </w:t>
            </w:r>
            <w:r>
              <w:rPr>
                <w:rFonts w:eastAsia="Times New Roman" w:cs="Times New Roman"/>
                <w:i/>
                <w:iCs/>
                <w:color w:val="000000"/>
                <w:sz w:val="20"/>
                <w:szCs w:val="20"/>
              </w:rPr>
              <w:t>Reference</w:t>
            </w:r>
          </w:p>
        </w:tc>
      </w:tr>
      <w:tr w:rsidR="00AC49A4" w:rsidRPr="00B46DEC" w:rsidTr="003C0513">
        <w:trPr>
          <w:trHeight w:val="460"/>
        </w:trPr>
        <w:tc>
          <w:tcPr>
            <w:tcW w:w="6228" w:type="dxa"/>
            <w:tcBorders>
              <w:top w:val="single" w:sz="4" w:space="0" w:color="auto"/>
            </w:tcBorders>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Plant root exudate impacts </w:t>
            </w:r>
            <w:proofErr w:type="spellStart"/>
            <w:r w:rsidRPr="00D47D9F">
              <w:rPr>
                <w:rFonts w:eastAsia="Times New Roman" w:cs="Times New Roman"/>
                <w:color w:val="000000"/>
                <w:sz w:val="20"/>
                <w:szCs w:val="20"/>
              </w:rPr>
              <w:t>rhizosphere</w:t>
            </w:r>
            <w:proofErr w:type="spellEnd"/>
            <w:r w:rsidRPr="00D47D9F">
              <w:rPr>
                <w:rFonts w:eastAsia="Times New Roman" w:cs="Times New Roman"/>
                <w:color w:val="000000"/>
                <w:sz w:val="20"/>
                <w:szCs w:val="20"/>
              </w:rPr>
              <w:t xml:space="preserve"> microbial community</w:t>
            </w:r>
          </w:p>
        </w:tc>
        <w:tc>
          <w:tcPr>
            <w:tcW w:w="2700" w:type="dxa"/>
            <w:tcBorders>
              <w:top w:val="single" w:sz="4" w:space="0" w:color="auto"/>
            </w:tcBorders>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proofErr w:type="spellStart"/>
            <w:r>
              <w:rPr>
                <w:rFonts w:eastAsia="Times New Roman" w:cs="Times New Roman"/>
                <w:color w:val="000000"/>
                <w:sz w:val="20"/>
                <w:szCs w:val="20"/>
              </w:rPr>
              <w:t>Verhoef</w:t>
            </w:r>
            <w:proofErr w:type="spellEnd"/>
            <w:r>
              <w:rPr>
                <w:rFonts w:eastAsia="Times New Roman" w:cs="Times New Roman"/>
                <w:color w:val="000000"/>
                <w:sz w:val="20"/>
                <w:szCs w:val="20"/>
              </w:rPr>
              <w:t xml:space="preserve"> and </w:t>
            </w:r>
            <w:proofErr w:type="spellStart"/>
            <w:r>
              <w:rPr>
                <w:rFonts w:eastAsia="Times New Roman" w:cs="Times New Roman"/>
                <w:color w:val="000000"/>
                <w:sz w:val="20"/>
                <w:szCs w:val="20"/>
              </w:rPr>
              <w:t>Brussard</w:t>
            </w:r>
            <w:proofErr w:type="spellEnd"/>
            <w:r>
              <w:rPr>
                <w:rFonts w:eastAsia="Times New Roman" w:cs="Times New Roman"/>
                <w:color w:val="000000"/>
                <w:sz w:val="20"/>
                <w:szCs w:val="20"/>
              </w:rPr>
              <w:t xml:space="preserve"> 1990</w:t>
            </w:r>
            <w:r w:rsidRPr="00D47D9F">
              <w:rPr>
                <w:rFonts w:eastAsia="Times New Roman" w:cs="Times New Roman"/>
                <w:color w:val="000000"/>
                <w:sz w:val="20"/>
                <w:szCs w:val="20"/>
              </w:rPr>
              <w:t xml:space="preserve">, </w:t>
            </w:r>
            <w:proofErr w:type="spellStart"/>
            <w:r>
              <w:rPr>
                <w:rFonts w:eastAsia="Times New Roman" w:cs="Times New Roman"/>
                <w:color w:val="000000"/>
                <w:sz w:val="20"/>
                <w:szCs w:val="20"/>
              </w:rPr>
              <w:t>Villenave</w:t>
            </w:r>
            <w:proofErr w:type="spellEnd"/>
            <w:r>
              <w:rPr>
                <w:rFonts w:eastAsia="Times New Roman" w:cs="Times New Roman"/>
                <w:color w:val="000000"/>
                <w:sz w:val="20"/>
                <w:szCs w:val="20"/>
              </w:rPr>
              <w:t xml:space="preserve"> 2004)</w:t>
            </w:r>
          </w:p>
        </w:tc>
      </w:tr>
      <w:tr w:rsidR="00AC49A4" w:rsidRPr="00B46DEC" w:rsidTr="003C0513">
        <w:trPr>
          <w:trHeight w:val="46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Plants create spatial variations in microbial populations</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proofErr w:type="spellStart"/>
            <w:r>
              <w:rPr>
                <w:rFonts w:eastAsia="Times New Roman" w:cs="Times New Roman"/>
                <w:color w:val="000000"/>
                <w:sz w:val="20"/>
                <w:szCs w:val="20"/>
              </w:rPr>
              <w:t>Yeates</w:t>
            </w:r>
            <w:proofErr w:type="spellEnd"/>
            <w:r>
              <w:rPr>
                <w:rFonts w:eastAsia="Times New Roman" w:cs="Times New Roman"/>
                <w:color w:val="000000"/>
                <w:sz w:val="20"/>
                <w:szCs w:val="20"/>
              </w:rPr>
              <w:t xml:space="preserve"> 1999,</w:t>
            </w:r>
            <w:r w:rsidRPr="00D47D9F">
              <w:rPr>
                <w:rFonts w:eastAsia="Times New Roman" w:cs="Times New Roman"/>
                <w:color w:val="000000"/>
                <w:sz w:val="20"/>
                <w:szCs w:val="20"/>
              </w:rPr>
              <w:t>Miniaci 2007</w:t>
            </w:r>
            <w:r>
              <w:rPr>
                <w:rFonts w:eastAsia="Times New Roman" w:cs="Times New Roman"/>
                <w:color w:val="000000"/>
                <w:sz w:val="20"/>
                <w:szCs w:val="20"/>
              </w:rPr>
              <w:t>)</w:t>
            </w:r>
          </w:p>
        </w:tc>
      </w:tr>
      <w:tr w:rsidR="00AC49A4" w:rsidRPr="00B46DEC" w:rsidTr="003C0513">
        <w:trPr>
          <w:trHeight w:val="638"/>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Certain root exudates may select for beneficial microbes beneficial to plant growth</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 xml:space="preserve">(De </w:t>
            </w:r>
            <w:proofErr w:type="spellStart"/>
            <w:r>
              <w:rPr>
                <w:rFonts w:eastAsia="Times New Roman" w:cs="Times New Roman"/>
                <w:color w:val="000000"/>
                <w:sz w:val="20"/>
                <w:szCs w:val="20"/>
              </w:rPr>
              <w:t>Deyn</w:t>
            </w:r>
            <w:proofErr w:type="spellEnd"/>
            <w:r>
              <w:rPr>
                <w:rFonts w:eastAsia="Times New Roman" w:cs="Times New Roman"/>
                <w:color w:val="000000"/>
                <w:sz w:val="20"/>
                <w:szCs w:val="20"/>
              </w:rPr>
              <w:t xml:space="preserve"> 2004, </w:t>
            </w:r>
            <w:proofErr w:type="spellStart"/>
            <w:r>
              <w:rPr>
                <w:rFonts w:eastAsia="Times New Roman" w:cs="Times New Roman"/>
                <w:color w:val="000000"/>
                <w:sz w:val="20"/>
                <w:szCs w:val="20"/>
              </w:rPr>
              <w:t>Yeates</w:t>
            </w:r>
            <w:proofErr w:type="spellEnd"/>
            <w:r>
              <w:rPr>
                <w:rFonts w:eastAsia="Times New Roman" w:cs="Times New Roman"/>
                <w:color w:val="000000"/>
                <w:sz w:val="20"/>
                <w:szCs w:val="20"/>
              </w:rPr>
              <w:t xml:space="preserve"> 2007)</w:t>
            </w:r>
          </w:p>
        </w:tc>
      </w:tr>
      <w:tr w:rsidR="00AC49A4" w:rsidRPr="00B46DEC" w:rsidTr="003C0513">
        <w:trPr>
          <w:trHeight w:val="62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Plants alter microbial communities, making soils hospitable to other soil fauna and plants</w:t>
            </w:r>
          </w:p>
        </w:tc>
        <w:tc>
          <w:tcPr>
            <w:tcW w:w="2700" w:type="dxa"/>
            <w:noWrap/>
            <w:vAlign w:val="center"/>
            <w:hideMark/>
          </w:tcPr>
          <w:p w:rsidR="00AC49A4" w:rsidRPr="00D47D9F" w:rsidRDefault="00AC49A4" w:rsidP="003C0513">
            <w:pPr>
              <w:rPr>
                <w:rFonts w:eastAsia="Times New Roman" w:cs="Times New Roman"/>
                <w:color w:val="000000"/>
                <w:sz w:val="20"/>
                <w:szCs w:val="20"/>
              </w:rPr>
            </w:pPr>
            <w:r>
              <w:rPr>
                <w:rFonts w:eastAsia="Times New Roman" w:cs="Times New Roman"/>
                <w:color w:val="000000"/>
                <w:sz w:val="20"/>
                <w:szCs w:val="20"/>
              </w:rPr>
              <w:t>(</w:t>
            </w:r>
            <w:proofErr w:type="spellStart"/>
            <w:r>
              <w:rPr>
                <w:rFonts w:eastAsia="Times New Roman" w:cs="Times New Roman"/>
                <w:color w:val="000000"/>
                <w:sz w:val="20"/>
                <w:szCs w:val="20"/>
              </w:rPr>
              <w:t>Yeates</w:t>
            </w:r>
            <w:proofErr w:type="spellEnd"/>
            <w:r>
              <w:rPr>
                <w:rFonts w:eastAsia="Times New Roman" w:cs="Times New Roman"/>
                <w:color w:val="000000"/>
                <w:sz w:val="20"/>
                <w:szCs w:val="20"/>
              </w:rPr>
              <w:t xml:space="preserve"> 1999, </w:t>
            </w:r>
            <w:proofErr w:type="spellStart"/>
            <w:r>
              <w:rPr>
                <w:rFonts w:eastAsia="Times New Roman" w:cs="Times New Roman"/>
                <w:color w:val="000000"/>
                <w:sz w:val="20"/>
                <w:szCs w:val="20"/>
              </w:rPr>
              <w:t>Kardol</w:t>
            </w:r>
            <w:proofErr w:type="spellEnd"/>
            <w:r>
              <w:rPr>
                <w:rFonts w:eastAsia="Times New Roman" w:cs="Times New Roman"/>
                <w:color w:val="000000"/>
                <w:sz w:val="20"/>
                <w:szCs w:val="20"/>
              </w:rPr>
              <w:t xml:space="preserve"> 2007)</w:t>
            </w:r>
          </w:p>
        </w:tc>
      </w:tr>
      <w:tr w:rsidR="00AC49A4" w:rsidRPr="00B46DEC" w:rsidTr="003C0513">
        <w:trPr>
          <w:trHeight w:val="620"/>
        </w:trPr>
        <w:tc>
          <w:tcPr>
            <w:tcW w:w="6228" w:type="dxa"/>
            <w:noWrap/>
            <w:vAlign w:val="center"/>
            <w:hideMark/>
          </w:tcPr>
          <w:p w:rsidR="00AC49A4" w:rsidRPr="00D47D9F" w:rsidRDefault="00AC49A4" w:rsidP="003C0513">
            <w:pPr>
              <w:ind w:left="180"/>
              <w:rPr>
                <w:rFonts w:eastAsia="Times New Roman" w:cs="Times New Roman"/>
                <w:color w:val="000000"/>
                <w:sz w:val="20"/>
                <w:szCs w:val="20"/>
              </w:rPr>
            </w:pPr>
            <w:r w:rsidRPr="00D47D9F">
              <w:rPr>
                <w:rFonts w:eastAsia="Times New Roman" w:cs="Times New Roman"/>
                <w:color w:val="000000"/>
                <w:sz w:val="20"/>
                <w:szCs w:val="20"/>
              </w:rPr>
              <w:t xml:space="preserve">Plant litter quality impacts microbial growth and  </w:t>
            </w:r>
            <w:proofErr w:type="spellStart"/>
            <w:r w:rsidRPr="00D47D9F">
              <w:rPr>
                <w:rFonts w:eastAsia="Times New Roman" w:cs="Times New Roman"/>
                <w:color w:val="000000"/>
                <w:sz w:val="20"/>
                <w:szCs w:val="20"/>
              </w:rPr>
              <w:t>mesofauna</w:t>
            </w:r>
            <w:r>
              <w:rPr>
                <w:rFonts w:eastAsia="Times New Roman" w:cs="Times New Roman"/>
                <w:color w:val="000000"/>
                <w:sz w:val="20"/>
                <w:szCs w:val="20"/>
              </w:rPr>
              <w:t>l</w:t>
            </w:r>
            <w:proofErr w:type="spellEnd"/>
            <w:r w:rsidRPr="00D47D9F">
              <w:rPr>
                <w:rFonts w:eastAsia="Times New Roman" w:cs="Times New Roman"/>
                <w:color w:val="000000"/>
                <w:sz w:val="20"/>
                <w:szCs w:val="20"/>
              </w:rPr>
              <w:t xml:space="preserve"> communities</w:t>
            </w:r>
          </w:p>
        </w:tc>
        <w:tc>
          <w:tcPr>
            <w:tcW w:w="2700" w:type="dxa"/>
            <w:noWrap/>
            <w:vAlign w:val="center"/>
            <w:hideMark/>
          </w:tcPr>
          <w:p w:rsidR="00AC49A4" w:rsidRPr="00D47D9F" w:rsidRDefault="00AC49A4" w:rsidP="003C0513">
            <w:pPr>
              <w:rPr>
                <w:rFonts w:cs="Times New Roman"/>
                <w:sz w:val="20"/>
                <w:szCs w:val="20"/>
              </w:rPr>
            </w:pPr>
            <w:r w:rsidRPr="00D702B7">
              <w:rPr>
                <w:rFonts w:cs="Times New Roman"/>
                <w:sz w:val="20"/>
                <w:szCs w:val="20"/>
              </w:rPr>
              <w:t>(</w:t>
            </w:r>
            <w:proofErr w:type="spellStart"/>
            <w:r w:rsidRPr="00D702B7">
              <w:rPr>
                <w:rFonts w:cs="Times New Roman"/>
                <w:sz w:val="20"/>
                <w:szCs w:val="20"/>
              </w:rPr>
              <w:t>Yeates</w:t>
            </w:r>
            <w:proofErr w:type="spellEnd"/>
            <w:r w:rsidRPr="00D702B7">
              <w:rPr>
                <w:rFonts w:cs="Times New Roman"/>
                <w:sz w:val="20"/>
                <w:szCs w:val="20"/>
              </w:rPr>
              <w:t xml:space="preserve"> 1999)</w:t>
            </w:r>
          </w:p>
        </w:tc>
      </w:tr>
    </w:tbl>
    <w:p w:rsidR="00AC49A4" w:rsidRDefault="00AC49A4" w:rsidP="003C0513">
      <w:pPr>
        <w:spacing w:line="480" w:lineRule="auto"/>
        <w:rPr>
          <w:rFonts w:cs="Times New Roman"/>
          <w:sz w:val="24"/>
          <w:szCs w:val="24"/>
        </w:rPr>
      </w:pPr>
    </w:p>
    <w:p w:rsidR="00AC49A4" w:rsidRDefault="00AC49A4" w:rsidP="003C0513">
      <w:pPr>
        <w:spacing w:line="480" w:lineRule="auto"/>
        <w:rPr>
          <w:rFonts w:cs="Times New Roman"/>
          <w:sz w:val="24"/>
          <w:szCs w:val="24"/>
        </w:rPr>
      </w:pPr>
    </w:p>
    <w:p w:rsidR="00AC49A4" w:rsidRPr="00BA7280" w:rsidRDefault="00AC49A4" w:rsidP="003C0513">
      <w:pPr>
        <w:spacing w:line="480" w:lineRule="auto"/>
        <w:rPr>
          <w:rFonts w:cs="Times New Roman"/>
          <w:sz w:val="24"/>
          <w:szCs w:val="24"/>
        </w:rPr>
      </w:pPr>
    </w:p>
    <w:p w:rsidR="00AC49A4" w:rsidRPr="008937B9" w:rsidRDefault="00AC49A4" w:rsidP="003C0513">
      <w:pPr>
        <w:pStyle w:val="Heading2"/>
      </w:pPr>
      <w:bookmarkStart w:id="9" w:name="_Toc340837887"/>
      <w:r w:rsidRPr="008937B9">
        <w:lastRenderedPageBreak/>
        <w:t>Impacts of nematodes on above and below-ground dynamics</w:t>
      </w:r>
      <w:bookmarkEnd w:id="9"/>
    </w:p>
    <w:p w:rsidR="00AC49A4" w:rsidRPr="00BA7280" w:rsidRDefault="00AC49A4" w:rsidP="003C0513">
      <w:pPr>
        <w:spacing w:line="480" w:lineRule="auto"/>
        <w:rPr>
          <w:rFonts w:cs="Times New Roman"/>
          <w:sz w:val="24"/>
          <w:szCs w:val="24"/>
        </w:rPr>
      </w:pP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Nematodes are early colonizers of disturbed sites, and colonization has been seen in coal-spoils in about </w:t>
      </w:r>
      <w:r>
        <w:rPr>
          <w:rFonts w:cs="Times New Roman"/>
          <w:sz w:val="24"/>
          <w:szCs w:val="24"/>
        </w:rPr>
        <w:t>20</w:t>
      </w:r>
      <w:r w:rsidRPr="00BA7280">
        <w:rPr>
          <w:rFonts w:cs="Times New Roman"/>
          <w:sz w:val="24"/>
          <w:szCs w:val="24"/>
        </w:rPr>
        <w:t xml:space="preserve"> days </w:t>
      </w:r>
      <w:r w:rsidRPr="00BA7280">
        <w:rPr>
          <w:rFonts w:cs="Times New Roman"/>
          <w:noProof/>
          <w:sz w:val="24"/>
          <w:szCs w:val="24"/>
        </w:rPr>
        <w:t>(Wanner 1998)</w:t>
      </w:r>
      <w:r w:rsidRPr="00BA7280">
        <w:rPr>
          <w:rFonts w:cs="Times New Roman"/>
          <w:sz w:val="24"/>
          <w:szCs w:val="24"/>
        </w:rPr>
        <w:t xml:space="preserve">. </w:t>
      </w:r>
      <w:r>
        <w:rPr>
          <w:rFonts w:cs="Times New Roman"/>
          <w:sz w:val="24"/>
          <w:szCs w:val="24"/>
        </w:rPr>
        <w:t>Nematodes</w:t>
      </w:r>
      <w:r w:rsidRPr="00BA7280">
        <w:rPr>
          <w:rFonts w:cs="Times New Roman"/>
          <w:sz w:val="24"/>
          <w:szCs w:val="24"/>
        </w:rPr>
        <w:t xml:space="preserve"> are ubiquitous in the soil environment, with abundances reaching up to 2.9 x 10</w:t>
      </w:r>
      <w:r w:rsidRPr="00BA7280">
        <w:rPr>
          <w:rFonts w:cs="Times New Roman"/>
          <w:sz w:val="24"/>
          <w:szCs w:val="24"/>
          <w:vertAlign w:val="superscript"/>
        </w:rPr>
        <w:t>7</w:t>
      </w:r>
      <w:r w:rsidRPr="00BA7280">
        <w:rPr>
          <w:rFonts w:cs="Times New Roman"/>
          <w:sz w:val="24"/>
          <w:szCs w:val="24"/>
        </w:rPr>
        <w:t>/m</w:t>
      </w:r>
      <w:r w:rsidRPr="00BA7280">
        <w:rPr>
          <w:rFonts w:cs="Times New Roman"/>
          <w:sz w:val="24"/>
          <w:szCs w:val="24"/>
          <w:vertAlign w:val="superscript"/>
        </w:rPr>
        <w:t>2</w:t>
      </w:r>
      <w:r w:rsidRPr="00BA7280">
        <w:rPr>
          <w:rFonts w:cs="Times New Roman"/>
          <w:sz w:val="24"/>
          <w:szCs w:val="24"/>
        </w:rPr>
        <w:t xml:space="preserve"> in a mixed hardwood forest type </w:t>
      </w:r>
      <w:r w:rsidRPr="00BA7280">
        <w:rPr>
          <w:rFonts w:cs="Times New Roman"/>
          <w:noProof/>
          <w:sz w:val="24"/>
          <w:szCs w:val="24"/>
        </w:rPr>
        <w:t>(Sohlenius 1980)</w:t>
      </w:r>
      <w:r w:rsidRPr="00BA7280">
        <w:rPr>
          <w:rFonts w:cs="Times New Roman"/>
          <w:sz w:val="24"/>
          <w:szCs w:val="24"/>
        </w:rPr>
        <w:t xml:space="preserve">.  Nematodes typically appear earlier than larger </w:t>
      </w:r>
      <w:proofErr w:type="spellStart"/>
      <w:r w:rsidRPr="00BA7280">
        <w:rPr>
          <w:rFonts w:cs="Times New Roman"/>
          <w:sz w:val="24"/>
          <w:szCs w:val="24"/>
        </w:rPr>
        <w:t>mesofauna</w:t>
      </w:r>
      <w:proofErr w:type="spellEnd"/>
      <w:r w:rsidRPr="00BA7280">
        <w:rPr>
          <w:rFonts w:cs="Times New Roman"/>
          <w:sz w:val="24"/>
          <w:szCs w:val="24"/>
        </w:rPr>
        <w:t xml:space="preserve"> species such as </w:t>
      </w:r>
      <w:proofErr w:type="gramStart"/>
      <w:r w:rsidRPr="00BA7280">
        <w:rPr>
          <w:rFonts w:cs="Times New Roman"/>
          <w:sz w:val="24"/>
          <w:szCs w:val="24"/>
        </w:rPr>
        <w:t xml:space="preserve">earthworms  </w:t>
      </w:r>
      <w:r w:rsidRPr="00BA7280">
        <w:rPr>
          <w:rFonts w:cs="Times New Roman"/>
          <w:noProof/>
          <w:sz w:val="24"/>
          <w:szCs w:val="24"/>
        </w:rPr>
        <w:t>(</w:t>
      </w:r>
      <w:proofErr w:type="gramEnd"/>
      <w:r w:rsidRPr="00BA7280">
        <w:rPr>
          <w:rFonts w:cs="Times New Roman"/>
          <w:noProof/>
          <w:sz w:val="24"/>
          <w:szCs w:val="24"/>
        </w:rPr>
        <w:t>Hutle 2001)</w:t>
      </w:r>
      <w:r w:rsidRPr="00BA7280">
        <w:rPr>
          <w:rFonts w:cs="Times New Roman"/>
          <w:sz w:val="24"/>
          <w:szCs w:val="24"/>
        </w:rPr>
        <w:t>.</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Nematodes are the most abundant metazoans in the soil </w:t>
      </w:r>
      <w:r w:rsidRPr="00BA7280">
        <w:rPr>
          <w:rFonts w:cs="Times New Roman"/>
          <w:noProof/>
          <w:sz w:val="24"/>
          <w:szCs w:val="24"/>
        </w:rPr>
        <w:t>(Bernard 1991)</w:t>
      </w:r>
      <w:r>
        <w:rPr>
          <w:rFonts w:cs="Times New Roman"/>
          <w:sz w:val="24"/>
          <w:szCs w:val="24"/>
        </w:rPr>
        <w:t xml:space="preserve"> and have roles at</w:t>
      </w:r>
      <w:r w:rsidRPr="00BA7280">
        <w:rPr>
          <w:rFonts w:cs="Times New Roman"/>
          <w:sz w:val="24"/>
          <w:szCs w:val="24"/>
        </w:rPr>
        <w:t xml:space="preserve"> numerous trophic levels.  All nematodes feed on living organisms; they may be root parasites, fungal grazers, bacterial feeders, or predators of other soil fauna.  Some species are omnivores, and trophic groups may vary based on age group. For instance, some </w:t>
      </w:r>
      <w:proofErr w:type="spellStart"/>
      <w:r w:rsidRPr="00BA7280">
        <w:rPr>
          <w:rFonts w:cs="Times New Roman"/>
          <w:sz w:val="24"/>
          <w:szCs w:val="24"/>
        </w:rPr>
        <w:t>mononchid</w:t>
      </w:r>
      <w:proofErr w:type="spellEnd"/>
      <w:r w:rsidRPr="00BA7280">
        <w:rPr>
          <w:rFonts w:cs="Times New Roman"/>
          <w:sz w:val="24"/>
          <w:szCs w:val="24"/>
        </w:rPr>
        <w:t xml:space="preserve"> nematodes feed on bacteria in early juvenile stages, and later become predators on </w:t>
      </w:r>
      <w:r>
        <w:rPr>
          <w:rFonts w:cs="Times New Roman"/>
          <w:sz w:val="24"/>
          <w:szCs w:val="24"/>
        </w:rPr>
        <w:t>other nematodes as they mature.</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Free-living soil-dwelling nematodes play important roles in nutrient dynamics by consuming soil fauna and </w:t>
      </w:r>
      <w:proofErr w:type="spellStart"/>
      <w:r w:rsidRPr="00BA7280">
        <w:rPr>
          <w:rFonts w:cs="Times New Roman"/>
          <w:sz w:val="24"/>
          <w:szCs w:val="24"/>
        </w:rPr>
        <w:t>microflora</w:t>
      </w:r>
      <w:proofErr w:type="spellEnd"/>
      <w:r w:rsidRPr="00BA7280">
        <w:rPr>
          <w:rFonts w:cs="Times New Roman"/>
          <w:sz w:val="24"/>
          <w:szCs w:val="24"/>
        </w:rPr>
        <w:t xml:space="preserve">, expediting nutrient transfer within soil systems into plant-available forms </w:t>
      </w:r>
      <w:r w:rsidRPr="00BA7280">
        <w:rPr>
          <w:rFonts w:cs="Times New Roman"/>
          <w:noProof/>
          <w:sz w:val="24"/>
          <w:szCs w:val="24"/>
        </w:rPr>
        <w:t>(Clarholm 1985)</w:t>
      </w:r>
      <w:r w:rsidRPr="00BA7280">
        <w:rPr>
          <w:rFonts w:cs="Times New Roman"/>
          <w:sz w:val="24"/>
          <w:szCs w:val="24"/>
        </w:rPr>
        <w:t xml:space="preserve">.  Several studies have shown that a high diversity in soil </w:t>
      </w:r>
      <w:proofErr w:type="spellStart"/>
      <w:r w:rsidRPr="00BA7280">
        <w:rPr>
          <w:rFonts w:cs="Times New Roman"/>
          <w:sz w:val="24"/>
          <w:szCs w:val="24"/>
        </w:rPr>
        <w:t>mic</w:t>
      </w:r>
      <w:r>
        <w:rPr>
          <w:rFonts w:cs="Times New Roman"/>
          <w:sz w:val="24"/>
          <w:szCs w:val="24"/>
        </w:rPr>
        <w:t>rofauna</w:t>
      </w:r>
      <w:proofErr w:type="spellEnd"/>
      <w:r>
        <w:rPr>
          <w:rFonts w:cs="Times New Roman"/>
          <w:sz w:val="24"/>
          <w:szCs w:val="24"/>
        </w:rPr>
        <w:t xml:space="preserve">, such as nematodes and </w:t>
      </w:r>
      <w:proofErr w:type="spellStart"/>
      <w:r>
        <w:rPr>
          <w:rFonts w:cs="Times New Roman"/>
          <w:sz w:val="24"/>
          <w:szCs w:val="24"/>
        </w:rPr>
        <w:t>C</w:t>
      </w:r>
      <w:r w:rsidRPr="00BA7280">
        <w:rPr>
          <w:rFonts w:cs="Times New Roman"/>
          <w:sz w:val="24"/>
          <w:szCs w:val="24"/>
        </w:rPr>
        <w:t>ollembola</w:t>
      </w:r>
      <w:proofErr w:type="spellEnd"/>
      <w:r w:rsidRPr="00BA7280">
        <w:rPr>
          <w:rFonts w:cs="Times New Roman"/>
          <w:sz w:val="24"/>
          <w:szCs w:val="24"/>
        </w:rPr>
        <w:t>, increases seedling survival and plant growth in nutrient-limited sites by increasing ammonium in soils</w:t>
      </w:r>
      <w:r>
        <w:rPr>
          <w:rFonts w:cs="Times New Roman"/>
          <w:sz w:val="24"/>
          <w:szCs w:val="24"/>
        </w:rPr>
        <w:t>,</w:t>
      </w:r>
      <w:r w:rsidRPr="00BA7280">
        <w:rPr>
          <w:rFonts w:cs="Times New Roman"/>
          <w:sz w:val="24"/>
          <w:szCs w:val="24"/>
        </w:rPr>
        <w:t xml:space="preserve"> and in turn increasing the nitrogen content of plants </w:t>
      </w:r>
      <w:r w:rsidRPr="00BA7280">
        <w:rPr>
          <w:rFonts w:cs="Times New Roman"/>
          <w:noProof/>
          <w:sz w:val="24"/>
          <w:szCs w:val="24"/>
        </w:rPr>
        <w:t>(Ingham</w:t>
      </w:r>
      <w:r w:rsidRPr="00BA7280">
        <w:rPr>
          <w:rFonts w:cs="Times New Roman"/>
          <w:i/>
          <w:noProof/>
          <w:sz w:val="24"/>
          <w:szCs w:val="24"/>
        </w:rPr>
        <w:t xml:space="preserve"> et al.</w:t>
      </w:r>
      <w:r w:rsidRPr="00BA7280">
        <w:rPr>
          <w:rFonts w:cs="Times New Roman"/>
          <w:noProof/>
          <w:sz w:val="24"/>
          <w:szCs w:val="24"/>
        </w:rPr>
        <w:t xml:space="preserve"> 1985)</w:t>
      </w:r>
      <w:r>
        <w:rPr>
          <w:rFonts w:cs="Times New Roman"/>
          <w:sz w:val="24"/>
          <w:szCs w:val="24"/>
        </w:rPr>
        <w:t xml:space="preserve">. Therefore, </w:t>
      </w:r>
      <w:r w:rsidRPr="00BA7280">
        <w:rPr>
          <w:rFonts w:cs="Times New Roman"/>
          <w:sz w:val="24"/>
          <w:szCs w:val="24"/>
        </w:rPr>
        <w:t xml:space="preserve">a </w:t>
      </w:r>
      <w:r>
        <w:rPr>
          <w:rFonts w:cs="Times New Roman"/>
          <w:sz w:val="24"/>
          <w:szCs w:val="24"/>
        </w:rPr>
        <w:t xml:space="preserve">diverse and abundant </w:t>
      </w:r>
      <w:r w:rsidRPr="00BA7280">
        <w:rPr>
          <w:rFonts w:cs="Times New Roman"/>
          <w:sz w:val="24"/>
          <w:szCs w:val="24"/>
        </w:rPr>
        <w:t>soil biotic system should increase plant growth and survival in nutrient-li</w:t>
      </w:r>
      <w:r>
        <w:rPr>
          <w:rFonts w:cs="Times New Roman"/>
          <w:sz w:val="24"/>
          <w:szCs w:val="24"/>
        </w:rPr>
        <w:t>mited environments, such as surface coal mine restoration sites.</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Following initial disturbances in soil, bacteria are generally the first organisms to </w:t>
      </w:r>
      <w:r>
        <w:rPr>
          <w:rFonts w:cs="Times New Roman"/>
          <w:sz w:val="24"/>
          <w:szCs w:val="24"/>
        </w:rPr>
        <w:t>respond</w:t>
      </w:r>
      <w:r w:rsidRPr="00BA7280">
        <w:rPr>
          <w:rFonts w:cs="Times New Roman"/>
          <w:sz w:val="24"/>
          <w:szCs w:val="24"/>
        </w:rPr>
        <w:t xml:space="preserve">, followed soon after by fungi and nematodes.  Early successional nematodes </w:t>
      </w:r>
      <w:r>
        <w:rPr>
          <w:rFonts w:cs="Times New Roman"/>
          <w:sz w:val="24"/>
          <w:szCs w:val="24"/>
        </w:rPr>
        <w:t xml:space="preserve">are opportunistic </w:t>
      </w:r>
      <w:r w:rsidRPr="00BA7280">
        <w:rPr>
          <w:rFonts w:cs="Times New Roman"/>
          <w:sz w:val="24"/>
          <w:szCs w:val="24"/>
        </w:rPr>
        <w:t xml:space="preserve">feeders, </w:t>
      </w:r>
      <w:proofErr w:type="gramStart"/>
      <w:r w:rsidRPr="00BA7280">
        <w:rPr>
          <w:rFonts w:cs="Times New Roman"/>
          <w:sz w:val="24"/>
          <w:szCs w:val="24"/>
        </w:rPr>
        <w:t xml:space="preserve">typically  </w:t>
      </w:r>
      <w:proofErr w:type="spellStart"/>
      <w:r w:rsidRPr="00BA7280">
        <w:rPr>
          <w:rFonts w:cs="Times New Roman"/>
          <w:sz w:val="24"/>
          <w:szCs w:val="24"/>
        </w:rPr>
        <w:t>bacterivores</w:t>
      </w:r>
      <w:proofErr w:type="spellEnd"/>
      <w:proofErr w:type="gramEnd"/>
      <w:r w:rsidRPr="00BA7280">
        <w:rPr>
          <w:rFonts w:cs="Times New Roman"/>
          <w:sz w:val="24"/>
          <w:szCs w:val="24"/>
        </w:rPr>
        <w:t>, but in certain conditions plant parasites m</w:t>
      </w:r>
      <w:r>
        <w:rPr>
          <w:rFonts w:cs="Times New Roman"/>
          <w:sz w:val="24"/>
          <w:szCs w:val="24"/>
        </w:rPr>
        <w:t xml:space="preserve">ay arrive </w:t>
      </w:r>
      <w:r>
        <w:rPr>
          <w:rFonts w:cs="Times New Roman"/>
          <w:sz w:val="24"/>
          <w:szCs w:val="24"/>
        </w:rPr>
        <w:lastRenderedPageBreak/>
        <w:t xml:space="preserve">immediately following </w:t>
      </w:r>
      <w:r w:rsidRPr="00BA7280">
        <w:rPr>
          <w:rFonts w:cs="Times New Roman"/>
          <w:sz w:val="24"/>
          <w:szCs w:val="24"/>
        </w:rPr>
        <w:t xml:space="preserve">the first plants </w:t>
      </w:r>
      <w:r w:rsidRPr="00BA7280">
        <w:rPr>
          <w:rFonts w:cs="Times New Roman"/>
          <w:noProof/>
          <w:sz w:val="24"/>
          <w:szCs w:val="24"/>
        </w:rPr>
        <w:t>(Bernard 1991)</w:t>
      </w:r>
      <w:r w:rsidRPr="00BA7280">
        <w:rPr>
          <w:rFonts w:cs="Times New Roman"/>
          <w:sz w:val="24"/>
          <w:szCs w:val="24"/>
        </w:rPr>
        <w:t xml:space="preserve">.  Later successional trophic groups typically include plant root feeders and predators, including the long-lived omnivorous </w:t>
      </w:r>
      <w:proofErr w:type="spellStart"/>
      <w:r w:rsidRPr="00BA7280">
        <w:rPr>
          <w:rFonts w:cs="Times New Roman"/>
          <w:sz w:val="24"/>
          <w:szCs w:val="24"/>
        </w:rPr>
        <w:t>Dorylaimida</w:t>
      </w:r>
      <w:proofErr w:type="spellEnd"/>
      <w:r w:rsidRPr="00BA7280">
        <w:rPr>
          <w:rFonts w:cs="Times New Roman"/>
          <w:sz w:val="24"/>
          <w:szCs w:val="24"/>
        </w:rPr>
        <w:t xml:space="preserve"> (</w:t>
      </w:r>
      <w:proofErr w:type="spellStart"/>
      <w:r w:rsidRPr="00BA7280">
        <w:rPr>
          <w:rFonts w:cs="Times New Roman"/>
          <w:sz w:val="24"/>
          <w:szCs w:val="24"/>
        </w:rPr>
        <w:t>Bongers</w:t>
      </w:r>
      <w:proofErr w:type="spellEnd"/>
      <w:r w:rsidRPr="00BA7280">
        <w:rPr>
          <w:rFonts w:cs="Times New Roman"/>
          <w:sz w:val="24"/>
          <w:szCs w:val="24"/>
        </w:rPr>
        <w:t xml:space="preserve"> 1990). Some species are sensitive to site traits, such as soil moisture, pH or soil chemistry, and nematodes frequently have been used as indicator</w:t>
      </w:r>
      <w:r>
        <w:rPr>
          <w:rFonts w:cs="Times New Roman"/>
          <w:sz w:val="24"/>
          <w:szCs w:val="24"/>
        </w:rPr>
        <w:t>s of heavy metal contamination.</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Nematodes are useful bio-indicators in several ways. Their semi-permeable cuticle is hygroscopic and ensures direct contact with chemicals dissolved in soil-water </w:t>
      </w:r>
      <w:r w:rsidRPr="00BA7280">
        <w:rPr>
          <w:rFonts w:cs="Times New Roman"/>
          <w:noProof/>
          <w:sz w:val="24"/>
          <w:szCs w:val="24"/>
        </w:rPr>
        <w:t>(Bongers 1990)</w:t>
      </w:r>
      <w:r w:rsidRPr="00BA7280">
        <w:rPr>
          <w:rFonts w:cs="Times New Roman"/>
          <w:sz w:val="24"/>
          <w:szCs w:val="24"/>
        </w:rPr>
        <w:t xml:space="preserve">.  Some species of nematodes can live for over a year, while others live only a few days, making dating of disturbances possible </w:t>
      </w:r>
      <w:r w:rsidRPr="00BA7280">
        <w:rPr>
          <w:rFonts w:cs="Times New Roman"/>
          <w:noProof/>
          <w:sz w:val="24"/>
          <w:szCs w:val="24"/>
        </w:rPr>
        <w:t>(Schloter</w:t>
      </w:r>
      <w:r w:rsidRPr="00BA7280">
        <w:rPr>
          <w:rFonts w:cs="Times New Roman"/>
          <w:i/>
          <w:noProof/>
          <w:sz w:val="24"/>
          <w:szCs w:val="24"/>
        </w:rPr>
        <w:t xml:space="preserve"> et al.</w:t>
      </w:r>
      <w:r w:rsidRPr="00BA7280">
        <w:rPr>
          <w:rFonts w:cs="Times New Roman"/>
          <w:noProof/>
          <w:sz w:val="24"/>
          <w:szCs w:val="24"/>
        </w:rPr>
        <w:t xml:space="preserve"> 2003)</w:t>
      </w:r>
      <w:r w:rsidRPr="00BA7280">
        <w:rPr>
          <w:rFonts w:cs="Times New Roman"/>
          <w:sz w:val="24"/>
          <w:szCs w:val="24"/>
        </w:rPr>
        <w:t xml:space="preserve">. Life-cycle length is closely correlated with R- and K-reproductive strategies. Some species appear early </w:t>
      </w:r>
      <w:proofErr w:type="spellStart"/>
      <w:r w:rsidRPr="00BA7280">
        <w:rPr>
          <w:rFonts w:cs="Times New Roman"/>
          <w:sz w:val="24"/>
          <w:szCs w:val="24"/>
        </w:rPr>
        <w:t>successionally</w:t>
      </w:r>
      <w:proofErr w:type="spellEnd"/>
      <w:r w:rsidRPr="00BA7280">
        <w:rPr>
          <w:rFonts w:cs="Times New Roman"/>
          <w:sz w:val="24"/>
          <w:szCs w:val="24"/>
        </w:rPr>
        <w:t xml:space="preserve"> while others only appear in a more developed system, and can be used easily as an indicator of site quality and development following disturbance succession </w:t>
      </w:r>
      <w:r w:rsidRPr="00BA7280">
        <w:rPr>
          <w:rFonts w:cs="Times New Roman"/>
          <w:noProof/>
          <w:sz w:val="24"/>
          <w:szCs w:val="24"/>
        </w:rPr>
        <w:t>(Bongers 1990)</w:t>
      </w:r>
      <w:r w:rsidRPr="00BA7280">
        <w:rPr>
          <w:rFonts w:cs="Times New Roman"/>
          <w:sz w:val="24"/>
          <w:szCs w:val="24"/>
        </w:rPr>
        <w:t xml:space="preserve">.  Additionally, the structure of a nematode assemblage is indicative of the abundance and variety of their food sources, which can lead to hypotheses about other soil quality traits such as bacterial, root, or fungal biomass </w:t>
      </w:r>
      <w:r w:rsidRPr="00BA7280">
        <w:rPr>
          <w:rFonts w:cs="Times New Roman"/>
          <w:noProof/>
          <w:sz w:val="24"/>
          <w:szCs w:val="24"/>
        </w:rPr>
        <w:t>(Sanchez-Moreno</w:t>
      </w:r>
      <w:r w:rsidRPr="00BA7280">
        <w:rPr>
          <w:rFonts w:cs="Times New Roman"/>
          <w:i/>
          <w:noProof/>
          <w:sz w:val="24"/>
          <w:szCs w:val="24"/>
        </w:rPr>
        <w:t xml:space="preserve"> et al.</w:t>
      </w:r>
      <w:r w:rsidRPr="00BA7280">
        <w:rPr>
          <w:rFonts w:cs="Times New Roman"/>
          <w:noProof/>
          <w:sz w:val="24"/>
          <w:szCs w:val="24"/>
        </w:rPr>
        <w:t xml:space="preserve"> 2008)</w:t>
      </w:r>
      <w:r>
        <w:rPr>
          <w:rFonts w:cs="Times New Roman"/>
          <w:sz w:val="24"/>
          <w:szCs w:val="24"/>
        </w:rPr>
        <w:t>.</w:t>
      </w:r>
    </w:p>
    <w:p w:rsidR="00AC49A4" w:rsidRPr="00BA7280" w:rsidRDefault="00AC49A4" w:rsidP="003C0513">
      <w:pPr>
        <w:spacing w:line="480" w:lineRule="auto"/>
        <w:ind w:firstLine="720"/>
        <w:rPr>
          <w:rFonts w:cs="Times New Roman"/>
          <w:sz w:val="24"/>
          <w:szCs w:val="24"/>
        </w:rPr>
      </w:pPr>
      <w:r>
        <w:rPr>
          <w:rFonts w:cs="Times New Roman"/>
          <w:sz w:val="24"/>
          <w:szCs w:val="24"/>
        </w:rPr>
        <w:t xml:space="preserve">The </w:t>
      </w:r>
      <w:r w:rsidRPr="00BA7280">
        <w:rPr>
          <w:rFonts w:cs="Times New Roman"/>
          <w:sz w:val="24"/>
          <w:szCs w:val="24"/>
        </w:rPr>
        <w:t>maturity index was created</w:t>
      </w:r>
      <w:r>
        <w:rPr>
          <w:rFonts w:cs="Times New Roman"/>
          <w:sz w:val="24"/>
          <w:szCs w:val="24"/>
        </w:rPr>
        <w:t xml:space="preserve"> as an approach for using various life strategies of nematode species</w:t>
      </w:r>
      <w:r w:rsidRPr="00BA7280">
        <w:rPr>
          <w:rFonts w:cs="Times New Roman"/>
          <w:sz w:val="24"/>
          <w:szCs w:val="24"/>
        </w:rPr>
        <w:t xml:space="preserve"> to value nematode families according to several life characteristics using a scale referred to as the colonizer-</w:t>
      </w:r>
      <w:proofErr w:type="spellStart"/>
      <w:r w:rsidRPr="00BA7280">
        <w:rPr>
          <w:rFonts w:cs="Times New Roman"/>
          <w:sz w:val="24"/>
          <w:szCs w:val="24"/>
        </w:rPr>
        <w:t>persister</w:t>
      </w:r>
      <w:proofErr w:type="spellEnd"/>
      <w:r w:rsidRPr="00BA7280">
        <w:rPr>
          <w:rFonts w:cs="Times New Roman"/>
          <w:sz w:val="24"/>
          <w:szCs w:val="24"/>
        </w:rPr>
        <w:t xml:space="preserve"> scale</w:t>
      </w:r>
      <w:r>
        <w:rPr>
          <w:rFonts w:cs="Times New Roman"/>
          <w:sz w:val="24"/>
          <w:szCs w:val="24"/>
        </w:rPr>
        <w:t xml:space="preserve"> (c-p scale)</w:t>
      </w:r>
      <w:r w:rsidRPr="00BA7280">
        <w:rPr>
          <w:rFonts w:cs="Times New Roman"/>
          <w:sz w:val="24"/>
          <w:szCs w:val="24"/>
        </w:rPr>
        <w:t xml:space="preserve">.  These characteristics include: presence or absence of </w:t>
      </w:r>
      <w:proofErr w:type="spellStart"/>
      <w:r w:rsidRPr="00BA7280">
        <w:rPr>
          <w:rFonts w:cs="Times New Roman"/>
          <w:sz w:val="24"/>
          <w:szCs w:val="24"/>
        </w:rPr>
        <w:t>dauer</w:t>
      </w:r>
      <w:proofErr w:type="spellEnd"/>
      <w:r w:rsidRPr="00BA7280">
        <w:rPr>
          <w:rFonts w:cs="Times New Roman"/>
          <w:sz w:val="24"/>
          <w:szCs w:val="24"/>
        </w:rPr>
        <w:t xml:space="preserve"> </w:t>
      </w:r>
      <w:proofErr w:type="spellStart"/>
      <w:r w:rsidRPr="00BA7280">
        <w:rPr>
          <w:rFonts w:cs="Times New Roman"/>
          <w:sz w:val="24"/>
          <w:szCs w:val="24"/>
        </w:rPr>
        <w:t>lifestage</w:t>
      </w:r>
      <w:proofErr w:type="spellEnd"/>
      <w:r w:rsidRPr="00BA7280">
        <w:rPr>
          <w:rFonts w:cs="Times New Roman"/>
          <w:sz w:val="24"/>
          <w:szCs w:val="24"/>
        </w:rPr>
        <w:t>, reproducti</w:t>
      </w:r>
      <w:r>
        <w:rPr>
          <w:rFonts w:cs="Times New Roman"/>
          <w:sz w:val="24"/>
          <w:szCs w:val="24"/>
        </w:rPr>
        <w:t>on</w:t>
      </w:r>
      <w:r w:rsidRPr="00BA7280">
        <w:rPr>
          <w:rFonts w:cs="Times New Roman"/>
          <w:sz w:val="24"/>
          <w:szCs w:val="24"/>
        </w:rPr>
        <w:t xml:space="preserve"> rate, length of life cycle, gonad: body ratio, ecological amplitude, egg size, and placement within the food web.   Nematode families </w:t>
      </w:r>
      <w:r>
        <w:rPr>
          <w:rFonts w:cs="Times New Roman"/>
          <w:sz w:val="24"/>
          <w:szCs w:val="24"/>
        </w:rPr>
        <w:t>that are true r-</w:t>
      </w:r>
      <w:r w:rsidRPr="00BA7280">
        <w:rPr>
          <w:rFonts w:cs="Times New Roman"/>
          <w:sz w:val="24"/>
          <w:szCs w:val="24"/>
        </w:rPr>
        <w:t xml:space="preserve">strategists, respond rapidly after disturbance, and are poor competitors are given a c-p value </w:t>
      </w:r>
      <w:r>
        <w:rPr>
          <w:rFonts w:cs="Times New Roman"/>
          <w:sz w:val="24"/>
          <w:szCs w:val="24"/>
        </w:rPr>
        <w:t xml:space="preserve">as low as to </w:t>
      </w:r>
      <w:r w:rsidRPr="00BA7280">
        <w:rPr>
          <w:rFonts w:cs="Times New Roman"/>
          <w:sz w:val="24"/>
          <w:szCs w:val="24"/>
        </w:rPr>
        <w:t xml:space="preserve">1, while k-strategists with longer lives, niche specificity, and </w:t>
      </w:r>
      <w:r>
        <w:rPr>
          <w:rFonts w:cs="Times New Roman"/>
          <w:sz w:val="24"/>
          <w:szCs w:val="24"/>
        </w:rPr>
        <w:t xml:space="preserve">more complex food web interactions may have c-p value of up to </w:t>
      </w:r>
      <w:r w:rsidRPr="00BA7280">
        <w:rPr>
          <w:rFonts w:cs="Times New Roman"/>
          <w:sz w:val="24"/>
          <w:szCs w:val="24"/>
        </w:rPr>
        <w:t xml:space="preserve">5 </w:t>
      </w:r>
      <w:r w:rsidRPr="00BA7280">
        <w:rPr>
          <w:rFonts w:cs="Times New Roman"/>
          <w:noProof/>
          <w:sz w:val="24"/>
          <w:szCs w:val="24"/>
        </w:rPr>
        <w:t>(Bongers 1990; Ferris &amp; Bongers 2006)</w:t>
      </w:r>
      <w:r w:rsidRPr="00BA7280">
        <w:rPr>
          <w:rFonts w:cs="Times New Roman"/>
          <w:sz w:val="24"/>
          <w:szCs w:val="24"/>
        </w:rPr>
        <w:t xml:space="preserve">.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lastRenderedPageBreak/>
        <w:t xml:space="preserve">It is clear that nematode assemblages play important roles in below-ground communities, and can increase nitrogen uptake  by hardwoods (a limited nutrient in sites with low soil organic matter inputs), as well as act as indicators of soil qualities and soil communities in sites that have thus far not been measured or established. However, no study has established the utility of nematode communities to indicate below-ground soil food web health, or as a biological remediation tool to increase native plant growth in post-mining sites.  Additionally, restoration techniques have failed to integrate recent studies that show the positive effects soil organisms can have on native succession </w:t>
      </w:r>
      <w:r w:rsidRPr="00BA7280">
        <w:rPr>
          <w:rFonts w:cs="Times New Roman"/>
          <w:noProof/>
          <w:sz w:val="24"/>
          <w:szCs w:val="24"/>
        </w:rPr>
        <w:t>(Kardol 2007)</w:t>
      </w:r>
      <w:r w:rsidRPr="00BA7280">
        <w:rPr>
          <w:rFonts w:cs="Times New Roman"/>
          <w:sz w:val="24"/>
          <w:szCs w:val="24"/>
        </w:rPr>
        <w:t>.</w:t>
      </w:r>
    </w:p>
    <w:p w:rsidR="00AC49A4" w:rsidRPr="00BA7280" w:rsidRDefault="00AC49A4" w:rsidP="003C0513">
      <w:pPr>
        <w:spacing w:line="480" w:lineRule="auto"/>
        <w:rPr>
          <w:rFonts w:cs="Times New Roman"/>
          <w:sz w:val="24"/>
          <w:szCs w:val="24"/>
        </w:rPr>
      </w:pPr>
    </w:p>
    <w:p w:rsidR="00AC49A4" w:rsidRPr="00E96BAC" w:rsidRDefault="00AC49A4" w:rsidP="003C0513">
      <w:pPr>
        <w:spacing w:line="480" w:lineRule="auto"/>
        <w:rPr>
          <w:rFonts w:cs="Times New Roman"/>
          <w:sz w:val="24"/>
          <w:szCs w:val="24"/>
        </w:rPr>
      </w:pPr>
      <w:r w:rsidRPr="00E96BAC">
        <w:rPr>
          <w:rFonts w:cs="Times New Roman"/>
          <w:sz w:val="24"/>
          <w:szCs w:val="24"/>
        </w:rPr>
        <w:t>This study has the following objectives:</w:t>
      </w:r>
    </w:p>
    <w:p w:rsidR="00AC49A4" w:rsidRPr="00BA7280" w:rsidRDefault="00AC49A4" w:rsidP="003C0513">
      <w:pPr>
        <w:pStyle w:val="ListParagraph"/>
        <w:spacing w:line="480" w:lineRule="auto"/>
        <w:ind w:left="360"/>
        <w:rPr>
          <w:rFonts w:cs="Times New Roman"/>
          <w:i/>
          <w:sz w:val="24"/>
          <w:szCs w:val="24"/>
        </w:rPr>
      </w:pPr>
      <w:r w:rsidRPr="00BA7280">
        <w:rPr>
          <w:rFonts w:cs="Times New Roman"/>
          <w:i/>
          <w:sz w:val="24"/>
          <w:szCs w:val="24"/>
        </w:rPr>
        <w:t>a. Compare below-ground assemblages of sites that use various remediation techniques in order to understand which remediation techniques increase the similarity of communities post-mining to intact systems;</w:t>
      </w:r>
    </w:p>
    <w:p w:rsidR="00AC49A4" w:rsidRPr="00BA7280" w:rsidRDefault="00AC49A4" w:rsidP="003C0513">
      <w:pPr>
        <w:pStyle w:val="ListParagraph"/>
        <w:spacing w:line="480" w:lineRule="auto"/>
        <w:ind w:left="360"/>
        <w:rPr>
          <w:rFonts w:cs="Times New Roman"/>
          <w:i/>
          <w:sz w:val="24"/>
          <w:szCs w:val="24"/>
        </w:rPr>
      </w:pPr>
      <w:r w:rsidRPr="00BA7280">
        <w:rPr>
          <w:rFonts w:cs="Times New Roman"/>
          <w:i/>
          <w:sz w:val="24"/>
          <w:szCs w:val="24"/>
        </w:rPr>
        <w:t xml:space="preserve">b. Develop index of </w:t>
      </w:r>
      <w:proofErr w:type="spellStart"/>
      <w:r w:rsidRPr="00BA7280">
        <w:rPr>
          <w:rFonts w:cs="Times New Roman"/>
          <w:i/>
          <w:sz w:val="24"/>
          <w:szCs w:val="24"/>
        </w:rPr>
        <w:t>morphospecies</w:t>
      </w:r>
      <w:proofErr w:type="spellEnd"/>
      <w:r w:rsidRPr="00BA7280">
        <w:rPr>
          <w:rFonts w:cs="Times New Roman"/>
          <w:i/>
          <w:sz w:val="24"/>
          <w:szCs w:val="24"/>
        </w:rPr>
        <w:t xml:space="preserve"> indicative of specific site traits, including age of site, forested sites, and disturbed sites;</w:t>
      </w:r>
    </w:p>
    <w:p w:rsidR="00AC49A4" w:rsidRPr="00BA7280" w:rsidRDefault="00AC49A4" w:rsidP="003C0513">
      <w:pPr>
        <w:pStyle w:val="ListParagraph"/>
        <w:spacing w:line="480" w:lineRule="auto"/>
        <w:ind w:left="360"/>
        <w:rPr>
          <w:rFonts w:cs="Times New Roman"/>
          <w:i/>
          <w:sz w:val="24"/>
          <w:szCs w:val="24"/>
        </w:rPr>
      </w:pPr>
      <w:r w:rsidRPr="00BA7280">
        <w:rPr>
          <w:rFonts w:cs="Times New Roman"/>
          <w:i/>
          <w:sz w:val="24"/>
          <w:szCs w:val="24"/>
        </w:rPr>
        <w:t>c. Establish the contribution of soil-dwelling nematodes as soil bio-</w:t>
      </w:r>
      <w:proofErr w:type="spellStart"/>
      <w:r w:rsidRPr="00BA7280">
        <w:rPr>
          <w:rFonts w:cs="Times New Roman"/>
          <w:i/>
          <w:sz w:val="24"/>
          <w:szCs w:val="24"/>
        </w:rPr>
        <w:t>remediators</w:t>
      </w:r>
      <w:proofErr w:type="spellEnd"/>
      <w:r w:rsidRPr="00BA7280">
        <w:rPr>
          <w:rFonts w:cs="Times New Roman"/>
          <w:i/>
          <w:sz w:val="24"/>
          <w:szCs w:val="24"/>
        </w:rPr>
        <w:t xml:space="preserve"> to increase native seedling survival in post-mining soils.</w:t>
      </w:r>
    </w:p>
    <w:p w:rsidR="00AC49A4" w:rsidRDefault="00AC49A4" w:rsidP="003C0513">
      <w:pPr>
        <w:pStyle w:val="ListParagraph"/>
        <w:spacing w:line="480" w:lineRule="auto"/>
        <w:ind w:left="360"/>
        <w:rPr>
          <w:rFonts w:cs="Times New Roman"/>
          <w:i/>
          <w:sz w:val="24"/>
          <w:szCs w:val="24"/>
        </w:rPr>
      </w:pPr>
    </w:p>
    <w:p w:rsidR="00AC49A4" w:rsidRDefault="00AC49A4" w:rsidP="003C0513">
      <w:pPr>
        <w:pStyle w:val="ListParagraph"/>
        <w:spacing w:line="480" w:lineRule="auto"/>
        <w:ind w:left="360"/>
        <w:rPr>
          <w:rFonts w:cs="Times New Roman"/>
          <w:i/>
          <w:sz w:val="24"/>
          <w:szCs w:val="24"/>
        </w:rPr>
      </w:pPr>
    </w:p>
    <w:p w:rsidR="00AC49A4" w:rsidRDefault="00AC49A4" w:rsidP="003C0513">
      <w:pPr>
        <w:pStyle w:val="ListParagraph"/>
        <w:spacing w:line="480" w:lineRule="auto"/>
        <w:ind w:left="360"/>
        <w:rPr>
          <w:rFonts w:cs="Times New Roman"/>
          <w:i/>
          <w:sz w:val="24"/>
          <w:szCs w:val="24"/>
        </w:rPr>
      </w:pPr>
    </w:p>
    <w:p w:rsidR="00AC49A4" w:rsidRDefault="00AC49A4" w:rsidP="003C0513">
      <w:pPr>
        <w:pStyle w:val="ListParagraph"/>
        <w:spacing w:line="480" w:lineRule="auto"/>
        <w:ind w:left="360"/>
        <w:rPr>
          <w:rFonts w:cs="Times New Roman"/>
          <w:i/>
          <w:sz w:val="24"/>
          <w:szCs w:val="24"/>
        </w:rPr>
      </w:pPr>
    </w:p>
    <w:p w:rsidR="00AC49A4" w:rsidRPr="00BA7280" w:rsidRDefault="00AC49A4" w:rsidP="003C0513">
      <w:pPr>
        <w:pStyle w:val="ListParagraph"/>
        <w:spacing w:line="480" w:lineRule="auto"/>
        <w:ind w:left="360"/>
        <w:rPr>
          <w:rFonts w:cs="Times New Roman"/>
          <w:i/>
          <w:sz w:val="24"/>
          <w:szCs w:val="24"/>
        </w:rPr>
      </w:pPr>
    </w:p>
    <w:p w:rsidR="00AC49A4" w:rsidRDefault="00AC49A4">
      <w:pPr>
        <w:spacing w:after="200" w:line="276" w:lineRule="auto"/>
        <w:rPr>
          <w:rFonts w:eastAsiaTheme="majorEastAsia" w:cstheme="majorBidi"/>
          <w:b/>
          <w:bCs/>
          <w:i/>
          <w:sz w:val="28"/>
          <w:szCs w:val="28"/>
        </w:rPr>
      </w:pPr>
      <w:r>
        <w:br w:type="page"/>
      </w:r>
    </w:p>
    <w:p w:rsidR="00AC49A4" w:rsidRDefault="00AC49A4" w:rsidP="003C0513">
      <w:pPr>
        <w:pStyle w:val="Heading1"/>
      </w:pPr>
      <w:bookmarkStart w:id="10" w:name="_Toc340837888"/>
      <w:r w:rsidRPr="00BA7280">
        <w:lastRenderedPageBreak/>
        <w:t>Methods</w:t>
      </w:r>
      <w:bookmarkEnd w:id="10"/>
    </w:p>
    <w:p w:rsidR="00AC49A4" w:rsidRPr="005A337F" w:rsidRDefault="00AC49A4" w:rsidP="003C0513"/>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Three mines were selected that had used both the Appalachian Restoration Reforestation Initiative methods </w:t>
      </w:r>
      <w:r>
        <w:rPr>
          <w:rFonts w:cs="Times New Roman"/>
          <w:sz w:val="24"/>
          <w:szCs w:val="24"/>
        </w:rPr>
        <w:t>and</w:t>
      </w:r>
      <w:r w:rsidRPr="00BA7280">
        <w:rPr>
          <w:rFonts w:cs="Times New Roman"/>
          <w:sz w:val="24"/>
          <w:szCs w:val="24"/>
        </w:rPr>
        <w:t xml:space="preserve"> the post-Surface Mining Control and Reclamation Act  methods between one and three years ago, four and eight years ago, and between nine and fifteen years ago. </w:t>
      </w:r>
      <w:r>
        <w:rPr>
          <w:rFonts w:cs="Times New Roman"/>
          <w:sz w:val="24"/>
          <w:szCs w:val="24"/>
        </w:rPr>
        <w:t>M</w:t>
      </w:r>
      <w:r w:rsidRPr="00BA7280">
        <w:rPr>
          <w:rFonts w:cs="Times New Roman"/>
          <w:sz w:val="24"/>
          <w:szCs w:val="24"/>
        </w:rPr>
        <w:t xml:space="preserve">ine </w:t>
      </w:r>
      <w:r>
        <w:rPr>
          <w:rFonts w:cs="Times New Roman"/>
          <w:sz w:val="24"/>
          <w:szCs w:val="24"/>
        </w:rPr>
        <w:t>sites were</w:t>
      </w:r>
      <w:r w:rsidRPr="00BA7280">
        <w:rPr>
          <w:rFonts w:cs="Times New Roman"/>
          <w:sz w:val="24"/>
          <w:szCs w:val="24"/>
        </w:rPr>
        <w:t xml:space="preserve"> selected for study in Kentucky, Tennessee, and Virginia.</w:t>
      </w:r>
    </w:p>
    <w:p w:rsidR="00AC49A4" w:rsidRPr="00BA7280" w:rsidRDefault="00AC49A4" w:rsidP="003C0513">
      <w:pPr>
        <w:spacing w:line="480" w:lineRule="auto"/>
        <w:ind w:firstLine="720"/>
        <w:rPr>
          <w:rFonts w:cs="Times New Roman"/>
          <w:sz w:val="24"/>
          <w:szCs w:val="24"/>
        </w:rPr>
      </w:pPr>
    </w:p>
    <w:p w:rsidR="00AC49A4" w:rsidRPr="00BA7280" w:rsidRDefault="00AC49A4" w:rsidP="003C0513">
      <w:pPr>
        <w:spacing w:line="480" w:lineRule="auto"/>
        <w:rPr>
          <w:rFonts w:cs="Times New Roman"/>
          <w:i/>
          <w:sz w:val="24"/>
          <w:szCs w:val="24"/>
        </w:rPr>
      </w:pPr>
      <w:r w:rsidRPr="00BA7280">
        <w:rPr>
          <w:rFonts w:cs="Times New Roman"/>
          <w:i/>
          <w:sz w:val="24"/>
          <w:szCs w:val="24"/>
        </w:rPr>
        <w:t>Kentucky Mine site description:</w:t>
      </w:r>
    </w:p>
    <w:p w:rsidR="00AC49A4" w:rsidRPr="00BA7280" w:rsidRDefault="00AC49A4" w:rsidP="003C0513">
      <w:pPr>
        <w:autoSpaceDE w:val="0"/>
        <w:autoSpaceDN w:val="0"/>
        <w:adjustRightInd w:val="0"/>
        <w:spacing w:line="480" w:lineRule="auto"/>
        <w:ind w:firstLine="720"/>
        <w:rPr>
          <w:rFonts w:cs="Times New Roman"/>
          <w:sz w:val="24"/>
          <w:szCs w:val="24"/>
        </w:rPr>
      </w:pPr>
      <w:r w:rsidRPr="00BA7280">
        <w:rPr>
          <w:rFonts w:cs="Times New Roman"/>
          <w:sz w:val="24"/>
          <w:szCs w:val="24"/>
        </w:rPr>
        <w:t>The Kentucky mine is located on Bent Mounta</w:t>
      </w:r>
      <w:r>
        <w:rPr>
          <w:rFonts w:cs="Times New Roman"/>
          <w:sz w:val="24"/>
          <w:szCs w:val="24"/>
        </w:rPr>
        <w:t>in and operated by Appalachian F</w:t>
      </w:r>
      <w:r w:rsidRPr="00BA7280">
        <w:rPr>
          <w:rFonts w:cs="Times New Roman"/>
          <w:sz w:val="24"/>
          <w:szCs w:val="24"/>
        </w:rPr>
        <w:t>uels (Latitude N 37° 35′ 49″, Longitude W 82°24′ 19″).  Ben</w:t>
      </w:r>
      <w:r>
        <w:rPr>
          <w:rFonts w:cs="Times New Roman"/>
          <w:sz w:val="24"/>
          <w:szCs w:val="24"/>
        </w:rPr>
        <w:t>t Mountain is located near the c</w:t>
      </w:r>
      <w:r w:rsidRPr="00BA7280">
        <w:rPr>
          <w:rFonts w:cs="Times New Roman"/>
          <w:sz w:val="24"/>
          <w:szCs w:val="24"/>
        </w:rPr>
        <w:t xml:space="preserve">ommunity of Meta on the Cumberland Plateau.  The predominant soil order is </w:t>
      </w:r>
      <w:proofErr w:type="spellStart"/>
      <w:r w:rsidRPr="00BA7280">
        <w:rPr>
          <w:rFonts w:cs="Times New Roman"/>
          <w:sz w:val="24"/>
          <w:szCs w:val="24"/>
        </w:rPr>
        <w:t>ultisols</w:t>
      </w:r>
      <w:proofErr w:type="spellEnd"/>
      <w:r w:rsidRPr="00BA7280">
        <w:rPr>
          <w:rFonts w:cs="Times New Roman"/>
          <w:sz w:val="24"/>
          <w:szCs w:val="24"/>
        </w:rPr>
        <w:t xml:space="preserve"> (USDA 1998).  The predominant geology composition, in order of largest component, is sandstone, shale, siltstone and coal </w:t>
      </w:r>
      <w:r w:rsidRPr="00BA7280">
        <w:rPr>
          <w:rFonts w:cs="Times New Roman"/>
          <w:noProof/>
          <w:sz w:val="24"/>
          <w:szCs w:val="24"/>
        </w:rPr>
        <w:t>(Wolcott &amp; Jenkins 1966)</w:t>
      </w:r>
      <w:r w:rsidRPr="00BA7280">
        <w:rPr>
          <w:rFonts w:cs="Times New Roman"/>
          <w:sz w:val="24"/>
          <w:szCs w:val="24"/>
        </w:rPr>
        <w:t>. Average annual temperature is 13° C. Average annual precipitation is 114 cm.</w:t>
      </w:r>
    </w:p>
    <w:p w:rsidR="00AC49A4" w:rsidRPr="00BA7280" w:rsidRDefault="00AC49A4" w:rsidP="003C0513">
      <w:pPr>
        <w:autoSpaceDE w:val="0"/>
        <w:autoSpaceDN w:val="0"/>
        <w:adjustRightInd w:val="0"/>
        <w:spacing w:line="480" w:lineRule="auto"/>
        <w:rPr>
          <w:rFonts w:cs="Times New Roman"/>
          <w:sz w:val="24"/>
          <w:szCs w:val="24"/>
        </w:rPr>
      </w:pPr>
    </w:p>
    <w:p w:rsidR="00AC49A4" w:rsidRPr="0031682C" w:rsidRDefault="00AC49A4" w:rsidP="003C0513">
      <w:pPr>
        <w:autoSpaceDE w:val="0"/>
        <w:autoSpaceDN w:val="0"/>
        <w:adjustRightInd w:val="0"/>
        <w:spacing w:line="480" w:lineRule="auto"/>
        <w:rPr>
          <w:rFonts w:cs="Times New Roman"/>
          <w:i/>
          <w:sz w:val="24"/>
          <w:szCs w:val="24"/>
        </w:rPr>
      </w:pPr>
      <w:r>
        <w:rPr>
          <w:rFonts w:cs="Times New Roman"/>
          <w:i/>
          <w:sz w:val="24"/>
          <w:szCs w:val="24"/>
        </w:rPr>
        <w:t>Virginia mine site description:</w:t>
      </w:r>
    </w:p>
    <w:p w:rsidR="00AC49A4" w:rsidRPr="00BA7280" w:rsidRDefault="00AC49A4" w:rsidP="003C0513">
      <w:pPr>
        <w:spacing w:line="480" w:lineRule="auto"/>
        <w:ind w:firstLine="720"/>
        <w:rPr>
          <w:rFonts w:cs="Times New Roman"/>
          <w:sz w:val="24"/>
          <w:szCs w:val="24"/>
        </w:rPr>
      </w:pPr>
      <w:r>
        <w:rPr>
          <w:rFonts w:cs="Times New Roman"/>
          <w:sz w:val="24"/>
          <w:szCs w:val="24"/>
        </w:rPr>
        <w:t xml:space="preserve">The </w:t>
      </w:r>
      <w:r w:rsidRPr="00BA7280">
        <w:rPr>
          <w:rFonts w:cs="Times New Roman"/>
          <w:sz w:val="24"/>
          <w:szCs w:val="24"/>
        </w:rPr>
        <w:t>Powell River Project Education Center is a mining reclamation research facility located near Wise, VA (Latitude 37</w:t>
      </w:r>
      <w:r w:rsidRPr="00B655A6">
        <w:rPr>
          <w:rFonts w:cs="Times New Roman"/>
          <w:sz w:val="24"/>
          <w:szCs w:val="24"/>
        </w:rPr>
        <w:t xml:space="preserve"> </w:t>
      </w:r>
      <w:r w:rsidRPr="00BA7280">
        <w:rPr>
          <w:rFonts w:cs="Times New Roman"/>
          <w:sz w:val="24"/>
          <w:szCs w:val="24"/>
        </w:rPr>
        <w:t>°01</w:t>
      </w:r>
      <w:r>
        <w:rPr>
          <w:rFonts w:cs="Times New Roman"/>
          <w:sz w:val="24"/>
          <w:szCs w:val="24"/>
        </w:rPr>
        <w:t>’</w:t>
      </w:r>
      <w:r w:rsidRPr="00BA7280">
        <w:rPr>
          <w:rFonts w:cs="Times New Roman"/>
          <w:sz w:val="24"/>
          <w:szCs w:val="24"/>
        </w:rPr>
        <w:t>92</w:t>
      </w:r>
      <w:r>
        <w:rPr>
          <w:rFonts w:cs="Times New Roman"/>
          <w:sz w:val="24"/>
          <w:szCs w:val="24"/>
        </w:rPr>
        <w:t>”</w:t>
      </w:r>
      <w:r w:rsidRPr="00BA7280">
        <w:rPr>
          <w:rFonts w:cs="Times New Roman"/>
          <w:sz w:val="24"/>
          <w:szCs w:val="24"/>
        </w:rPr>
        <w:t xml:space="preserve">, </w:t>
      </w:r>
      <w:proofErr w:type="gramStart"/>
      <w:r w:rsidRPr="00BA7280">
        <w:rPr>
          <w:rFonts w:cs="Times New Roman"/>
          <w:sz w:val="24"/>
          <w:szCs w:val="24"/>
        </w:rPr>
        <w:t xml:space="preserve">Longitude </w:t>
      </w:r>
      <w:r>
        <w:rPr>
          <w:rFonts w:cs="Times New Roman"/>
          <w:sz w:val="24"/>
          <w:szCs w:val="24"/>
        </w:rPr>
        <w:t xml:space="preserve"> W</w:t>
      </w:r>
      <w:proofErr w:type="gramEnd"/>
      <w:r>
        <w:rPr>
          <w:rFonts w:cs="Times New Roman"/>
          <w:sz w:val="24"/>
          <w:szCs w:val="24"/>
        </w:rPr>
        <w:t xml:space="preserve"> </w:t>
      </w:r>
      <w:r w:rsidRPr="00BA7280">
        <w:rPr>
          <w:rFonts w:cs="Times New Roman"/>
          <w:sz w:val="24"/>
          <w:szCs w:val="24"/>
        </w:rPr>
        <w:t>82°52</w:t>
      </w:r>
      <w:r>
        <w:rPr>
          <w:rFonts w:cs="Times New Roman"/>
          <w:sz w:val="24"/>
          <w:szCs w:val="24"/>
        </w:rPr>
        <w:t>’</w:t>
      </w:r>
      <w:r w:rsidRPr="00BA7280">
        <w:rPr>
          <w:rFonts w:cs="Times New Roman"/>
          <w:sz w:val="24"/>
          <w:szCs w:val="24"/>
        </w:rPr>
        <w:t>99</w:t>
      </w:r>
      <w:r>
        <w:rPr>
          <w:rFonts w:cs="Times New Roman"/>
          <w:sz w:val="24"/>
          <w:szCs w:val="24"/>
        </w:rPr>
        <w:t>”</w:t>
      </w:r>
      <w:r w:rsidRPr="00BA7280">
        <w:rPr>
          <w:rFonts w:cs="Times New Roman"/>
          <w:sz w:val="24"/>
          <w:szCs w:val="24"/>
        </w:rPr>
        <w:t xml:space="preserve">). The site is comprised of sandstone, shale, siltstone and coal </w:t>
      </w:r>
      <w:r w:rsidRPr="00BA7280">
        <w:rPr>
          <w:rFonts w:cs="Times New Roman"/>
          <w:noProof/>
          <w:sz w:val="24"/>
          <w:szCs w:val="24"/>
        </w:rPr>
        <w:t>(Daniels &amp; Amos 1985)</w:t>
      </w:r>
      <w:r w:rsidRPr="00BA7280">
        <w:rPr>
          <w:rFonts w:cs="Times New Roman"/>
          <w:sz w:val="24"/>
          <w:szCs w:val="24"/>
        </w:rPr>
        <w:t>. The site’s average annual temperature is 11.7° C.  Average annual precipitation is 118 cm.</w:t>
      </w:r>
    </w:p>
    <w:p w:rsidR="00AC49A4" w:rsidRPr="00BA7280" w:rsidRDefault="00AC49A4" w:rsidP="003C0513">
      <w:pPr>
        <w:spacing w:line="480" w:lineRule="auto"/>
        <w:ind w:firstLine="720"/>
        <w:rPr>
          <w:rFonts w:cs="Times New Roman"/>
          <w:sz w:val="24"/>
          <w:szCs w:val="24"/>
        </w:rPr>
      </w:pPr>
    </w:p>
    <w:p w:rsidR="00AC49A4" w:rsidRPr="00BA7280" w:rsidRDefault="00AC49A4" w:rsidP="003C0513">
      <w:pPr>
        <w:spacing w:line="480" w:lineRule="auto"/>
        <w:rPr>
          <w:rFonts w:cs="Times New Roman"/>
          <w:i/>
          <w:sz w:val="24"/>
          <w:szCs w:val="24"/>
        </w:rPr>
      </w:pPr>
      <w:r w:rsidRPr="00BA7280">
        <w:rPr>
          <w:rFonts w:cs="Times New Roman"/>
          <w:i/>
          <w:sz w:val="24"/>
          <w:szCs w:val="24"/>
        </w:rPr>
        <w:t>Tennessee mine site description:</w:t>
      </w:r>
    </w:p>
    <w:p w:rsidR="00AC49A4" w:rsidRDefault="00AC49A4" w:rsidP="003C0513">
      <w:pPr>
        <w:spacing w:line="480" w:lineRule="auto"/>
        <w:ind w:firstLine="720"/>
        <w:rPr>
          <w:rFonts w:cs="Times New Roman"/>
          <w:sz w:val="24"/>
          <w:szCs w:val="24"/>
        </w:rPr>
      </w:pPr>
      <w:r w:rsidRPr="00BA7280">
        <w:rPr>
          <w:rFonts w:cs="Times New Roman"/>
          <w:sz w:val="24"/>
          <w:szCs w:val="24"/>
        </w:rPr>
        <w:lastRenderedPageBreak/>
        <w:t xml:space="preserve">The Tennessee mine is located near Jellico, </w:t>
      </w:r>
      <w:proofErr w:type="gramStart"/>
      <w:r w:rsidRPr="00BA7280">
        <w:rPr>
          <w:rFonts w:cs="Times New Roman"/>
          <w:sz w:val="24"/>
          <w:szCs w:val="24"/>
        </w:rPr>
        <w:t>TN</w:t>
      </w:r>
      <w:r>
        <w:rPr>
          <w:rFonts w:cs="Times New Roman"/>
          <w:sz w:val="24"/>
          <w:szCs w:val="24"/>
        </w:rPr>
        <w:t>(</w:t>
      </w:r>
      <w:proofErr w:type="gramEnd"/>
      <w:r>
        <w:rPr>
          <w:rFonts w:cs="Times New Roman"/>
          <w:sz w:val="24"/>
          <w:szCs w:val="24"/>
        </w:rPr>
        <w:t xml:space="preserve"> Latitude 36</w:t>
      </w:r>
      <w:r w:rsidRPr="00BA7280">
        <w:rPr>
          <w:rFonts w:cs="Times New Roman"/>
          <w:sz w:val="24"/>
          <w:szCs w:val="24"/>
        </w:rPr>
        <w:t>°</w:t>
      </w:r>
      <w:r>
        <w:rPr>
          <w:rFonts w:cs="Times New Roman"/>
          <w:sz w:val="24"/>
          <w:szCs w:val="24"/>
        </w:rPr>
        <w:t>31’59”, Longitude W 83</w:t>
      </w:r>
      <w:r w:rsidRPr="00BA7280">
        <w:rPr>
          <w:rFonts w:cs="Times New Roman"/>
          <w:sz w:val="24"/>
          <w:szCs w:val="24"/>
        </w:rPr>
        <w:t>°</w:t>
      </w:r>
      <w:r>
        <w:rPr>
          <w:rFonts w:cs="Times New Roman"/>
          <w:sz w:val="24"/>
          <w:szCs w:val="24"/>
        </w:rPr>
        <w:t>59’56”)</w:t>
      </w:r>
      <w:r w:rsidRPr="00BA7280">
        <w:rPr>
          <w:rFonts w:cs="Times New Roman"/>
          <w:sz w:val="24"/>
          <w:szCs w:val="24"/>
        </w:rPr>
        <w:t>. The predominant geology is sandstone and sandy shale.</w:t>
      </w:r>
      <w:r>
        <w:rPr>
          <w:rFonts w:cs="Times New Roman"/>
          <w:sz w:val="24"/>
          <w:szCs w:val="24"/>
        </w:rPr>
        <w:t xml:space="preserve"> The site’s average annual temperature is </w:t>
      </w:r>
      <w:proofErr w:type="gramStart"/>
      <w:r>
        <w:rPr>
          <w:rFonts w:cs="Times New Roman"/>
          <w:sz w:val="24"/>
          <w:szCs w:val="24"/>
        </w:rPr>
        <w:t>13.6</w:t>
      </w:r>
      <w:r w:rsidRPr="00BA7280">
        <w:rPr>
          <w:rFonts w:cs="Times New Roman"/>
          <w:sz w:val="24"/>
          <w:szCs w:val="24"/>
        </w:rPr>
        <w:t xml:space="preserve">  Average</w:t>
      </w:r>
      <w:proofErr w:type="gramEnd"/>
      <w:r w:rsidRPr="00BA7280">
        <w:rPr>
          <w:rFonts w:cs="Times New Roman"/>
          <w:sz w:val="24"/>
          <w:szCs w:val="24"/>
        </w:rPr>
        <w:t xml:space="preserve"> </w:t>
      </w:r>
      <w:r>
        <w:rPr>
          <w:rFonts w:cs="Times New Roman"/>
          <w:sz w:val="24"/>
          <w:szCs w:val="24"/>
        </w:rPr>
        <w:t xml:space="preserve">annual </w:t>
      </w:r>
      <w:r w:rsidRPr="00BA7280">
        <w:rPr>
          <w:rFonts w:cs="Times New Roman"/>
          <w:sz w:val="24"/>
          <w:szCs w:val="24"/>
        </w:rPr>
        <w:t xml:space="preserve">precipitation is 130 cm. </w:t>
      </w:r>
      <w:r>
        <w:rPr>
          <w:rFonts w:cs="Times New Roman"/>
          <w:sz w:val="24"/>
          <w:szCs w:val="24"/>
        </w:rPr>
        <w:t xml:space="preserve"> </w:t>
      </w:r>
    </w:p>
    <w:p w:rsidR="00AC49A4" w:rsidRDefault="00AC49A4" w:rsidP="003C0513">
      <w:pPr>
        <w:pStyle w:val="Heading2"/>
      </w:pPr>
      <w:bookmarkStart w:id="11" w:name="_Toc340837889"/>
      <w:r>
        <w:t>Objective 1 and 2 methods</w:t>
      </w:r>
      <w:bookmarkEnd w:id="11"/>
    </w:p>
    <w:p w:rsidR="00AC49A4" w:rsidRPr="00BE13E6" w:rsidRDefault="00AC49A4" w:rsidP="003C0513"/>
    <w:p w:rsidR="00AC49A4" w:rsidRPr="00BA7280" w:rsidRDefault="00AC49A4">
      <w:pPr>
        <w:spacing w:line="480" w:lineRule="auto"/>
        <w:ind w:firstLine="720"/>
        <w:rPr>
          <w:rFonts w:cs="Times New Roman"/>
          <w:sz w:val="24"/>
          <w:szCs w:val="24"/>
        </w:rPr>
      </w:pPr>
      <w:r w:rsidRPr="00BA7280">
        <w:rPr>
          <w:rFonts w:cs="Times New Roman"/>
          <w:sz w:val="24"/>
          <w:szCs w:val="24"/>
        </w:rPr>
        <w:t xml:space="preserve">  Three age groups were sampled in each restoration treatment at all mines: 1-3 years since restoration, 4-9 years since restoration, and 10 years or more since restoration</w:t>
      </w:r>
      <w:r>
        <w:rPr>
          <w:rFonts w:cs="Times New Roman"/>
          <w:sz w:val="24"/>
          <w:szCs w:val="24"/>
        </w:rPr>
        <w:t>.  Samples from nearby intact forest sites were collected as well (Table 2).  Forest sites were selected without any obvious disturbance such as cut tree stumps or logging roads.</w:t>
      </w:r>
      <w:r w:rsidRPr="00BA7280">
        <w:rPr>
          <w:rFonts w:cs="Times New Roman"/>
          <w:sz w:val="24"/>
          <w:szCs w:val="24"/>
        </w:rPr>
        <w:t xml:space="preserve"> </w:t>
      </w:r>
      <w:r>
        <w:rPr>
          <w:rFonts w:cs="Times New Roman"/>
          <w:sz w:val="24"/>
          <w:szCs w:val="24"/>
        </w:rPr>
        <w:t xml:space="preserve">Field data </w:t>
      </w:r>
      <w:r w:rsidRPr="00BA7280">
        <w:rPr>
          <w:rFonts w:cs="Times New Roman"/>
          <w:sz w:val="24"/>
          <w:szCs w:val="24"/>
        </w:rPr>
        <w:t>col</w:t>
      </w:r>
      <w:r>
        <w:rPr>
          <w:rFonts w:cs="Times New Roman"/>
          <w:sz w:val="24"/>
          <w:szCs w:val="24"/>
        </w:rPr>
        <w:t>lected at each plot included</w:t>
      </w:r>
      <w:r w:rsidRPr="00BA7280">
        <w:rPr>
          <w:rFonts w:cs="Times New Roman"/>
          <w:sz w:val="24"/>
          <w:szCs w:val="24"/>
        </w:rPr>
        <w:t xml:space="preserve"> dominant plant species, slope,</w:t>
      </w:r>
      <w:r>
        <w:rPr>
          <w:rFonts w:cs="Times New Roman"/>
          <w:sz w:val="24"/>
          <w:szCs w:val="24"/>
        </w:rPr>
        <w:t xml:space="preserve"> and </w:t>
      </w:r>
      <w:r w:rsidRPr="00BA7280">
        <w:rPr>
          <w:rFonts w:cs="Times New Roman"/>
          <w:sz w:val="24"/>
          <w:szCs w:val="24"/>
        </w:rPr>
        <w:t>distance to intact forest.</w:t>
      </w:r>
    </w:p>
    <w:p w:rsidR="00AC49A4" w:rsidRDefault="00AC49A4" w:rsidP="003C0513">
      <w:pPr>
        <w:spacing w:line="480" w:lineRule="auto"/>
        <w:ind w:firstLine="720"/>
        <w:rPr>
          <w:rFonts w:cs="Times New Roman"/>
          <w:sz w:val="24"/>
          <w:szCs w:val="24"/>
        </w:rPr>
      </w:pPr>
      <w:r w:rsidRPr="00BA7280">
        <w:rPr>
          <w:rFonts w:cs="Times New Roman"/>
          <w:sz w:val="24"/>
          <w:szCs w:val="24"/>
        </w:rPr>
        <w:t>Twenty</w:t>
      </w:r>
      <w:r>
        <w:rPr>
          <w:rFonts w:cs="Times New Roman"/>
          <w:sz w:val="24"/>
          <w:szCs w:val="24"/>
        </w:rPr>
        <w:t>-</w:t>
      </w:r>
      <w:r w:rsidRPr="00BA7280">
        <w:rPr>
          <w:rFonts w:cs="Times New Roman"/>
          <w:sz w:val="24"/>
          <w:szCs w:val="24"/>
        </w:rPr>
        <w:t xml:space="preserve">meter transects were laid through each plot along a random compass bearing. Soil was collected at five points every five meters along </w:t>
      </w:r>
      <w:proofErr w:type="gramStart"/>
      <w:r w:rsidRPr="00BA7280">
        <w:rPr>
          <w:rFonts w:cs="Times New Roman"/>
          <w:sz w:val="24"/>
          <w:szCs w:val="24"/>
        </w:rPr>
        <w:t>the transect</w:t>
      </w:r>
      <w:proofErr w:type="gramEnd"/>
      <w:r w:rsidRPr="00BA7280">
        <w:rPr>
          <w:rFonts w:cs="Times New Roman"/>
          <w:sz w:val="24"/>
          <w:szCs w:val="24"/>
        </w:rPr>
        <w:t xml:space="preserve">.  </w:t>
      </w:r>
      <w:r>
        <w:rPr>
          <w:rFonts w:cs="Times New Roman"/>
          <w:sz w:val="24"/>
          <w:szCs w:val="24"/>
        </w:rPr>
        <w:t>Four s</w:t>
      </w:r>
      <w:r w:rsidRPr="00BA7280">
        <w:rPr>
          <w:rFonts w:cs="Times New Roman"/>
          <w:sz w:val="24"/>
          <w:szCs w:val="24"/>
        </w:rPr>
        <w:t>ubsamples were taken</w:t>
      </w:r>
      <w:r>
        <w:rPr>
          <w:rFonts w:cs="Times New Roman"/>
          <w:sz w:val="24"/>
          <w:szCs w:val="24"/>
        </w:rPr>
        <w:t xml:space="preserve"> at each sampling point</w:t>
      </w:r>
      <w:r w:rsidRPr="00BA7280">
        <w:rPr>
          <w:rFonts w:cs="Times New Roman"/>
          <w:sz w:val="24"/>
          <w:szCs w:val="24"/>
        </w:rPr>
        <w:t xml:space="preserve"> in order to decrease microsite variation due to the tendency of nematodes to pool in high numbers around a food source.  At each sampling point, four subsamples were collected 30 cm away from the center, and 90 degrees from each subsample.  Soil was collected </w:t>
      </w:r>
      <w:r>
        <w:rPr>
          <w:rFonts w:cs="Times New Roman"/>
          <w:sz w:val="24"/>
          <w:szCs w:val="24"/>
        </w:rPr>
        <w:t>with</w:t>
      </w:r>
      <w:r w:rsidRPr="00BA7280">
        <w:rPr>
          <w:rFonts w:cs="Times New Roman"/>
          <w:sz w:val="24"/>
          <w:szCs w:val="24"/>
        </w:rPr>
        <w:t xml:space="preserve"> a shovel to a depth of 15</w:t>
      </w:r>
      <w:r>
        <w:rPr>
          <w:rFonts w:cs="Times New Roman"/>
          <w:sz w:val="24"/>
          <w:szCs w:val="24"/>
        </w:rPr>
        <w:t xml:space="preserve"> </w:t>
      </w:r>
      <w:r w:rsidRPr="00BA7280">
        <w:rPr>
          <w:rFonts w:cs="Times New Roman"/>
          <w:sz w:val="24"/>
          <w:szCs w:val="24"/>
        </w:rPr>
        <w:t>cm, or until rock limited soil depth. Subsamples for each point were bulked, resulting in five samples per plot. Soils were transported on ice to the University of Tennessee and stored at 4°</w:t>
      </w:r>
      <w:r>
        <w:rPr>
          <w:rFonts w:cs="Times New Roman"/>
          <w:sz w:val="24"/>
          <w:szCs w:val="24"/>
        </w:rPr>
        <w:t xml:space="preserve"> </w:t>
      </w:r>
      <w:r w:rsidRPr="00BA7280">
        <w:rPr>
          <w:rFonts w:cs="Times New Roman"/>
          <w:sz w:val="24"/>
          <w:szCs w:val="24"/>
        </w:rPr>
        <w:t xml:space="preserve">C until extraction within </w:t>
      </w:r>
      <w:r>
        <w:rPr>
          <w:rFonts w:cs="Times New Roman"/>
          <w:sz w:val="24"/>
          <w:szCs w:val="24"/>
        </w:rPr>
        <w:t>72</w:t>
      </w:r>
      <w:r w:rsidRPr="00BA7280">
        <w:rPr>
          <w:rFonts w:cs="Times New Roman"/>
          <w:sz w:val="24"/>
          <w:szCs w:val="24"/>
        </w:rPr>
        <w:t xml:space="preserve"> hours.</w:t>
      </w:r>
    </w:p>
    <w:p w:rsidR="00AC49A4" w:rsidRDefault="00AC49A4" w:rsidP="003C0513">
      <w:pPr>
        <w:spacing w:line="480" w:lineRule="auto"/>
        <w:ind w:firstLine="720"/>
        <w:rPr>
          <w:rFonts w:cs="Times New Roman"/>
          <w:sz w:val="24"/>
          <w:szCs w:val="24"/>
        </w:rPr>
      </w:pPr>
      <w:r>
        <w:rPr>
          <w:rFonts w:cs="Times New Roman"/>
          <w:sz w:val="24"/>
          <w:szCs w:val="24"/>
        </w:rPr>
        <w:t xml:space="preserve"> Distance from plots to intact forest was measured using a distance tape.  Site slope was measured using a clinometer.  Plant species data was collected by identifying cover plant species at each soil collection point along </w:t>
      </w:r>
      <w:proofErr w:type="gramStart"/>
      <w:r>
        <w:rPr>
          <w:rFonts w:cs="Times New Roman"/>
          <w:sz w:val="24"/>
          <w:szCs w:val="24"/>
        </w:rPr>
        <w:t>the transect</w:t>
      </w:r>
      <w:proofErr w:type="gramEnd"/>
      <w:r>
        <w:rPr>
          <w:rFonts w:cs="Times New Roman"/>
          <w:sz w:val="24"/>
          <w:szCs w:val="24"/>
        </w:rPr>
        <w:t xml:space="preserve">. </w:t>
      </w:r>
    </w:p>
    <w:p w:rsidR="00AC49A4" w:rsidRDefault="00AC49A4" w:rsidP="003C0513">
      <w:pPr>
        <w:spacing w:line="480" w:lineRule="auto"/>
        <w:ind w:firstLine="720"/>
        <w:rPr>
          <w:rFonts w:cs="Times New Roman"/>
          <w:sz w:val="24"/>
          <w:szCs w:val="24"/>
        </w:rPr>
      </w:pPr>
      <w:r w:rsidRPr="00BA7280">
        <w:rPr>
          <w:rFonts w:cs="Times New Roman"/>
          <w:sz w:val="24"/>
          <w:szCs w:val="24"/>
        </w:rPr>
        <w:t>Soil pH was measured in the lab.  Soil was air dried for one week. Five grams of air-dried soils was added to ten ml deionized water and mixed thoroughly, and pH probe used to measure pH</w:t>
      </w:r>
      <w:r>
        <w:rPr>
          <w:rFonts w:cs="Times New Roman"/>
          <w:sz w:val="24"/>
          <w:szCs w:val="24"/>
        </w:rPr>
        <w:t xml:space="preserve"> (</w:t>
      </w:r>
      <w:proofErr w:type="spellStart"/>
      <w:r>
        <w:rPr>
          <w:rFonts w:cs="Times New Roman"/>
          <w:sz w:val="24"/>
          <w:szCs w:val="24"/>
        </w:rPr>
        <w:t>Eutech</w:t>
      </w:r>
      <w:proofErr w:type="spellEnd"/>
      <w:r>
        <w:rPr>
          <w:rFonts w:cs="Times New Roman"/>
          <w:sz w:val="24"/>
          <w:szCs w:val="24"/>
        </w:rPr>
        <w:t xml:space="preserve"> I</w:t>
      </w:r>
      <w:r w:rsidRPr="00BA7280">
        <w:rPr>
          <w:rFonts w:cs="Times New Roman"/>
          <w:sz w:val="24"/>
          <w:szCs w:val="24"/>
        </w:rPr>
        <w:t>nstruments</w:t>
      </w:r>
      <w:r>
        <w:rPr>
          <w:rFonts w:cs="Times New Roman"/>
          <w:sz w:val="24"/>
          <w:szCs w:val="24"/>
        </w:rPr>
        <w:t>, Vernon Hills, IL</w:t>
      </w:r>
      <w:r w:rsidRPr="00BA7280">
        <w:rPr>
          <w:rFonts w:cs="Times New Roman"/>
          <w:sz w:val="24"/>
          <w:szCs w:val="24"/>
        </w:rPr>
        <w:t xml:space="preserve">).  </w:t>
      </w:r>
    </w:p>
    <w:p w:rsidR="00AC49A4" w:rsidRDefault="00AC49A4" w:rsidP="003C0513">
      <w:pPr>
        <w:spacing w:line="480" w:lineRule="auto"/>
        <w:ind w:firstLine="720"/>
        <w:rPr>
          <w:rFonts w:cs="Times New Roman"/>
          <w:sz w:val="24"/>
          <w:szCs w:val="24"/>
        </w:rPr>
      </w:pPr>
      <w:r w:rsidRPr="008A04E1">
        <w:rPr>
          <w:rFonts w:cs="Times New Roman"/>
          <w:sz w:val="24"/>
          <w:szCs w:val="24"/>
        </w:rPr>
        <w:lastRenderedPageBreak/>
        <w:t>Nematodes were extracted with a sugar flotation-centrifugation method (Jenkins 1964) by filtering nematode soils through a 177-μm-pore sieve, and collecting them on a 38-μm-pore sieve.  Sieved material was mixed with a sucrose solution (454 g table sugar in 1 liter of water) and centrifuged at 400×g to separate nematodes from soil</w:t>
      </w:r>
      <w:r>
        <w:rPr>
          <w:rFonts w:cs="Times New Roman"/>
          <w:sz w:val="24"/>
          <w:szCs w:val="24"/>
        </w:rPr>
        <w:t xml:space="preserve">. </w:t>
      </w:r>
      <w:r w:rsidRPr="008A04E1">
        <w:rPr>
          <w:rFonts w:cs="Times New Roman"/>
          <w:sz w:val="24"/>
          <w:szCs w:val="24"/>
        </w:rPr>
        <w:t xml:space="preserve">Nematodes were killed and fixed with hot formalin and preserved in glycerin </w:t>
      </w:r>
      <w:r>
        <w:rPr>
          <w:rFonts w:cs="Times New Roman"/>
          <w:noProof/>
          <w:sz w:val="24"/>
          <w:szCs w:val="24"/>
        </w:rPr>
        <w:t>(Seinhorst 1959)</w:t>
      </w:r>
      <w:r>
        <w:rPr>
          <w:rFonts w:cs="Times New Roman"/>
          <w:sz w:val="24"/>
          <w:szCs w:val="24"/>
        </w:rPr>
        <w:t>.</w:t>
      </w:r>
      <w:r w:rsidRPr="008A04E1">
        <w:rPr>
          <w:rFonts w:cs="Times New Roman"/>
          <w:sz w:val="24"/>
          <w:szCs w:val="24"/>
        </w:rPr>
        <w:t xml:space="preserve"> Nematodes were permanently slide- </w:t>
      </w:r>
    </w:p>
    <w:p w:rsidR="00AC49A4" w:rsidRPr="00BA7280" w:rsidRDefault="00AC49A4" w:rsidP="003C0513">
      <w:pPr>
        <w:spacing w:line="480" w:lineRule="auto"/>
        <w:ind w:firstLine="720"/>
        <w:rPr>
          <w:rFonts w:cs="Times New Roman"/>
          <w:sz w:val="24"/>
          <w:szCs w:val="24"/>
        </w:rPr>
      </w:pPr>
    </w:p>
    <w:p w:rsidR="00AC49A4" w:rsidRPr="00BA7280" w:rsidRDefault="00AC49A4" w:rsidP="003C0513">
      <w:pPr>
        <w:rPr>
          <w:rFonts w:cs="Times New Roman"/>
          <w:sz w:val="24"/>
          <w:szCs w:val="24"/>
        </w:rPr>
      </w:pPr>
      <w:r>
        <w:t xml:space="preserve">Table </w:t>
      </w:r>
      <w:fldSimple w:instr=" SEQ Table \* ARABIC ">
        <w:r>
          <w:rPr>
            <w:noProof/>
          </w:rPr>
          <w:t>2</w:t>
        </w:r>
      </w:fldSimple>
      <w:r>
        <w:t xml:space="preserve">: </w:t>
      </w:r>
      <w:r w:rsidRPr="00B26474">
        <w:t>Sampling design of the field study, where FRA is Forestry Reclamation approach and SMCRA is Surface Mining Control and Reclamation Act.</w:t>
      </w:r>
    </w:p>
    <w:tbl>
      <w:tblPr>
        <w:tblW w:w="8180" w:type="dxa"/>
        <w:tblInd w:w="93" w:type="dxa"/>
        <w:tblLook w:val="04A0" w:firstRow="1" w:lastRow="0" w:firstColumn="1" w:lastColumn="0" w:noHBand="0" w:noVBand="1"/>
      </w:tblPr>
      <w:tblGrid>
        <w:gridCol w:w="960"/>
        <w:gridCol w:w="960"/>
        <w:gridCol w:w="2440"/>
        <w:gridCol w:w="1940"/>
        <w:gridCol w:w="1880"/>
      </w:tblGrid>
      <w:tr w:rsidR="00AC49A4" w:rsidRPr="00BA7280" w:rsidTr="003C0513">
        <w:trPr>
          <w:trHeight w:val="300"/>
        </w:trPr>
        <w:tc>
          <w:tcPr>
            <w:tcW w:w="960" w:type="dxa"/>
            <w:tcBorders>
              <w:bottom w:val="single" w:sz="4" w:space="0" w:color="auto"/>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960" w:type="dxa"/>
            <w:tcBorders>
              <w:bottom w:val="single" w:sz="4" w:space="0" w:color="auto"/>
            </w:tcBorders>
            <w:shd w:val="clear" w:color="auto" w:fill="auto"/>
            <w:noWrap/>
            <w:vAlign w:val="bottom"/>
            <w:hideMark/>
          </w:tcPr>
          <w:p w:rsidR="00AC49A4" w:rsidRPr="00BA7280" w:rsidRDefault="00AC49A4" w:rsidP="003C0513">
            <w:pPr>
              <w:jc w:val="center"/>
              <w:rPr>
                <w:rFonts w:ascii="Calibri" w:eastAsia="Times New Roman" w:hAnsi="Calibri" w:cs="Calibri"/>
                <w:color w:val="000000"/>
              </w:rPr>
            </w:pPr>
            <w:r w:rsidRPr="00BA7280">
              <w:rPr>
                <w:rFonts w:ascii="Calibri" w:eastAsia="Times New Roman" w:hAnsi="Calibri" w:cs="Calibri"/>
                <w:color w:val="000000"/>
              </w:rPr>
              <w:t> </w:t>
            </w:r>
          </w:p>
        </w:tc>
        <w:tc>
          <w:tcPr>
            <w:tcW w:w="2440" w:type="dxa"/>
            <w:tcBorders>
              <w:bottom w:val="single" w:sz="4" w:space="0" w:color="auto"/>
            </w:tcBorders>
            <w:shd w:val="clear" w:color="auto" w:fill="auto"/>
            <w:noWrap/>
            <w:vAlign w:val="bottom"/>
            <w:hideMark/>
          </w:tcPr>
          <w:p w:rsidR="00AC49A4" w:rsidRPr="00BA7280" w:rsidRDefault="00AC49A4" w:rsidP="003C0513">
            <w:pPr>
              <w:rPr>
                <w:rFonts w:ascii="Calibri" w:eastAsia="Times New Roman" w:hAnsi="Calibri" w:cs="Calibri"/>
                <w:color w:val="000000"/>
              </w:rPr>
            </w:pPr>
            <w:r w:rsidRPr="00BA7280">
              <w:rPr>
                <w:rFonts w:ascii="Calibri" w:eastAsia="Times New Roman" w:hAnsi="Calibri" w:cs="Calibri"/>
                <w:color w:val="000000"/>
              </w:rPr>
              <w:t> </w:t>
            </w:r>
          </w:p>
        </w:tc>
        <w:tc>
          <w:tcPr>
            <w:tcW w:w="1940" w:type="dxa"/>
            <w:tcBorders>
              <w:bottom w:val="single" w:sz="4" w:space="0" w:color="auto"/>
            </w:tcBorders>
            <w:shd w:val="clear" w:color="auto" w:fill="auto"/>
            <w:noWrap/>
            <w:vAlign w:val="bottom"/>
            <w:hideMark/>
          </w:tcPr>
          <w:p w:rsidR="00AC49A4" w:rsidRPr="00BA7280" w:rsidRDefault="00AC49A4" w:rsidP="003C0513">
            <w:pPr>
              <w:rPr>
                <w:rFonts w:ascii="Calibri" w:eastAsia="Times New Roman" w:hAnsi="Calibri" w:cs="Calibri"/>
                <w:color w:val="000000"/>
              </w:rPr>
            </w:pPr>
          </w:p>
        </w:tc>
        <w:tc>
          <w:tcPr>
            <w:tcW w:w="1880" w:type="dxa"/>
            <w:tcBorders>
              <w:bottom w:val="single" w:sz="4" w:space="0" w:color="auto"/>
            </w:tcBorders>
            <w:shd w:val="clear" w:color="auto" w:fill="auto"/>
            <w:noWrap/>
            <w:vAlign w:val="bottom"/>
            <w:hideMark/>
          </w:tcPr>
          <w:p w:rsidR="00AC49A4" w:rsidRPr="00BA7280" w:rsidRDefault="00AC49A4" w:rsidP="003C0513">
            <w:pPr>
              <w:jc w:val="center"/>
              <w:rPr>
                <w:rFonts w:ascii="Calibri" w:eastAsia="Times New Roman" w:hAnsi="Calibri" w:cs="Calibri"/>
                <w:color w:val="000000"/>
              </w:rPr>
            </w:pPr>
            <w:r w:rsidRPr="00BA7280">
              <w:rPr>
                <w:rFonts w:ascii="Calibri" w:eastAsia="Times New Roman" w:hAnsi="Calibri" w:cs="Calibri"/>
                <w:color w:val="000000"/>
              </w:rPr>
              <w:t> </w:t>
            </w:r>
          </w:p>
        </w:tc>
      </w:tr>
      <w:tr w:rsidR="00AC49A4" w:rsidRPr="00BA7280" w:rsidTr="003C0513">
        <w:trPr>
          <w:trHeight w:val="315"/>
        </w:trPr>
        <w:tc>
          <w:tcPr>
            <w:tcW w:w="960" w:type="dxa"/>
            <w:tcBorders>
              <w:top w:val="single" w:sz="4" w:space="0" w:color="auto"/>
              <w:bottom w:val="single" w:sz="4" w:space="0" w:color="auto"/>
            </w:tcBorders>
            <w:shd w:val="clear" w:color="auto" w:fill="auto"/>
            <w:noWrap/>
            <w:vAlign w:val="bottom"/>
            <w:hideMark/>
          </w:tcPr>
          <w:p w:rsidR="00AC49A4" w:rsidRPr="00F24EE6" w:rsidRDefault="00AC49A4" w:rsidP="003C0513">
            <w:pPr>
              <w:rPr>
                <w:rFonts w:eastAsia="Times New Roman" w:cs="Times New Roman"/>
                <w:i/>
                <w:iCs/>
                <w:color w:val="000000"/>
              </w:rPr>
            </w:pPr>
            <w:r w:rsidRPr="00F24EE6">
              <w:rPr>
                <w:rFonts w:eastAsia="Times New Roman" w:cs="Times New Roman"/>
                <w:i/>
                <w:iCs/>
                <w:color w:val="000000"/>
              </w:rPr>
              <w:t>State</w:t>
            </w:r>
          </w:p>
        </w:tc>
        <w:tc>
          <w:tcPr>
            <w:tcW w:w="960" w:type="dxa"/>
            <w:tcBorders>
              <w:top w:val="single" w:sz="4" w:space="0" w:color="auto"/>
              <w:bottom w:val="single" w:sz="4" w:space="0" w:color="auto"/>
            </w:tcBorders>
            <w:shd w:val="clear" w:color="auto" w:fill="auto"/>
            <w:noWrap/>
            <w:vAlign w:val="bottom"/>
            <w:hideMark/>
          </w:tcPr>
          <w:p w:rsidR="00AC49A4" w:rsidRPr="00F24EE6" w:rsidRDefault="00AC49A4" w:rsidP="003C0513">
            <w:pPr>
              <w:jc w:val="center"/>
              <w:rPr>
                <w:rFonts w:eastAsia="Times New Roman" w:cs="Times New Roman"/>
                <w:i/>
                <w:iCs/>
                <w:color w:val="000000"/>
              </w:rPr>
            </w:pPr>
            <w:r w:rsidRPr="00F24EE6">
              <w:rPr>
                <w:rFonts w:eastAsia="Times New Roman" w:cs="Times New Roman"/>
                <w:i/>
                <w:iCs/>
                <w:color w:val="000000"/>
              </w:rPr>
              <w:t>Plot</w:t>
            </w:r>
          </w:p>
        </w:tc>
        <w:tc>
          <w:tcPr>
            <w:tcW w:w="2440" w:type="dxa"/>
            <w:tcBorders>
              <w:top w:val="single" w:sz="4" w:space="0" w:color="auto"/>
              <w:bottom w:val="single" w:sz="4" w:space="0" w:color="auto"/>
            </w:tcBorders>
            <w:shd w:val="clear" w:color="auto" w:fill="auto"/>
            <w:noWrap/>
            <w:vAlign w:val="bottom"/>
            <w:hideMark/>
          </w:tcPr>
          <w:p w:rsidR="00AC49A4" w:rsidRPr="00F24EE6" w:rsidRDefault="00AC49A4" w:rsidP="003C0513">
            <w:pPr>
              <w:rPr>
                <w:rFonts w:eastAsia="Times New Roman" w:cs="Times New Roman"/>
                <w:i/>
                <w:iCs/>
                <w:color w:val="000000"/>
              </w:rPr>
            </w:pPr>
            <w:r w:rsidRPr="00F24EE6">
              <w:rPr>
                <w:rFonts w:eastAsia="Times New Roman" w:cs="Times New Roman"/>
                <w:i/>
                <w:iCs/>
                <w:color w:val="000000"/>
              </w:rPr>
              <w:t>Reclamation technique</w:t>
            </w:r>
          </w:p>
        </w:tc>
        <w:tc>
          <w:tcPr>
            <w:tcW w:w="1940" w:type="dxa"/>
            <w:tcBorders>
              <w:top w:val="single" w:sz="4" w:space="0" w:color="auto"/>
              <w:bottom w:val="single" w:sz="4" w:space="0" w:color="auto"/>
            </w:tcBorders>
            <w:shd w:val="clear" w:color="auto" w:fill="auto"/>
            <w:noWrap/>
            <w:vAlign w:val="bottom"/>
            <w:hideMark/>
          </w:tcPr>
          <w:p w:rsidR="00AC49A4" w:rsidRPr="00F24EE6" w:rsidRDefault="00AC49A4" w:rsidP="003C0513">
            <w:pPr>
              <w:jc w:val="center"/>
              <w:rPr>
                <w:rFonts w:eastAsia="Times New Roman" w:cs="Times New Roman"/>
                <w:i/>
                <w:iCs/>
                <w:color w:val="000000"/>
              </w:rPr>
            </w:pPr>
            <w:r w:rsidRPr="00F24EE6">
              <w:rPr>
                <w:rFonts w:eastAsia="Times New Roman" w:cs="Times New Roman"/>
                <w:i/>
                <w:iCs/>
                <w:color w:val="000000"/>
              </w:rPr>
              <w:t>Years since mining</w:t>
            </w:r>
          </w:p>
        </w:tc>
        <w:tc>
          <w:tcPr>
            <w:tcW w:w="1880" w:type="dxa"/>
            <w:tcBorders>
              <w:top w:val="single" w:sz="4" w:space="0" w:color="auto"/>
              <w:bottom w:val="single" w:sz="4" w:space="0" w:color="auto"/>
            </w:tcBorders>
            <w:shd w:val="clear" w:color="auto" w:fill="auto"/>
            <w:noWrap/>
            <w:vAlign w:val="bottom"/>
            <w:hideMark/>
          </w:tcPr>
          <w:p w:rsidR="00AC49A4" w:rsidRPr="00F24EE6" w:rsidRDefault="00AC49A4" w:rsidP="003C0513">
            <w:pPr>
              <w:jc w:val="center"/>
              <w:rPr>
                <w:rFonts w:eastAsia="Times New Roman" w:cs="Times New Roman"/>
                <w:i/>
                <w:iCs/>
                <w:color w:val="000000"/>
              </w:rPr>
            </w:pPr>
            <w:r w:rsidRPr="00F24EE6">
              <w:rPr>
                <w:rFonts w:eastAsia="Times New Roman" w:cs="Times New Roman"/>
                <w:i/>
                <w:iCs/>
                <w:color w:val="000000"/>
              </w:rPr>
              <w:t>Number of samples</w:t>
            </w:r>
          </w:p>
        </w:tc>
      </w:tr>
      <w:tr w:rsidR="00AC49A4" w:rsidRPr="00BA7280" w:rsidTr="003C0513">
        <w:trPr>
          <w:trHeight w:val="315"/>
        </w:trPr>
        <w:tc>
          <w:tcPr>
            <w:tcW w:w="960" w:type="dxa"/>
            <w:tcBorders>
              <w:top w:val="single" w:sz="4" w:space="0" w:color="auto"/>
            </w:tcBorders>
            <w:shd w:val="clear" w:color="auto" w:fill="auto"/>
            <w:noWrap/>
            <w:vAlign w:val="bottom"/>
            <w:hideMark/>
          </w:tcPr>
          <w:p w:rsidR="00AC49A4" w:rsidRPr="00F24EE6" w:rsidRDefault="00AC49A4" w:rsidP="003C0513">
            <w:pPr>
              <w:rPr>
                <w:rFonts w:eastAsia="Times New Roman" w:cs="Times New Roman"/>
                <w:bCs/>
                <w:color w:val="000000"/>
              </w:rPr>
            </w:pPr>
            <w:r w:rsidRPr="00F24EE6">
              <w:rPr>
                <w:rFonts w:eastAsia="Times New Roman" w:cs="Times New Roman"/>
                <w:bCs/>
                <w:color w:val="000000"/>
              </w:rPr>
              <w:t>TN</w:t>
            </w:r>
          </w:p>
        </w:tc>
        <w:tc>
          <w:tcPr>
            <w:tcW w:w="960" w:type="dxa"/>
            <w:tcBorders>
              <w:top w:val="single" w:sz="4" w:space="0" w:color="auto"/>
            </w:tcBorders>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w:t>
            </w:r>
          </w:p>
        </w:tc>
        <w:tc>
          <w:tcPr>
            <w:tcW w:w="2440" w:type="dxa"/>
            <w:tcBorders>
              <w:top w:val="single" w:sz="4" w:space="0" w:color="auto"/>
            </w:tcBorders>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tcBorders>
              <w:top w:val="single" w:sz="4" w:space="0" w:color="auto"/>
            </w:tcBorders>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w:t>
            </w:r>
          </w:p>
        </w:tc>
        <w:tc>
          <w:tcPr>
            <w:tcW w:w="1880" w:type="dxa"/>
            <w:tcBorders>
              <w:top w:val="single" w:sz="4" w:space="0" w:color="auto"/>
            </w:tcBorders>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2</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9</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3</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15</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4</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9</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6</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15</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7</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proofErr w:type="spellStart"/>
            <w:r w:rsidRPr="00F24EE6">
              <w:rPr>
                <w:rFonts w:eastAsia="Times New Roman" w:cs="Times New Roman"/>
                <w:color w:val="000000"/>
              </w:rPr>
              <w:t>Unmined</w:t>
            </w:r>
            <w:proofErr w:type="spellEnd"/>
            <w:r w:rsidRPr="00F24EE6">
              <w:rPr>
                <w:rFonts w:eastAsia="Times New Roman" w:cs="Times New Roman"/>
                <w:color w:val="000000"/>
              </w:rPr>
              <w:t xml:space="preserve"> Forest</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not mined</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bCs/>
                <w:color w:val="000000"/>
              </w:rPr>
            </w:pPr>
            <w:r w:rsidRPr="00F24EE6">
              <w:rPr>
                <w:rFonts w:eastAsia="Times New Roman" w:cs="Times New Roman"/>
                <w:bCs/>
                <w:color w:val="000000"/>
              </w:rPr>
              <w:t>KY</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2</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6</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3</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12</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4</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2</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6</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10</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7</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proofErr w:type="spellStart"/>
            <w:r w:rsidRPr="00F24EE6">
              <w:rPr>
                <w:rFonts w:eastAsia="Times New Roman" w:cs="Times New Roman"/>
                <w:color w:val="000000"/>
              </w:rPr>
              <w:t>Unmined</w:t>
            </w:r>
            <w:proofErr w:type="spellEnd"/>
            <w:r w:rsidRPr="00F24EE6">
              <w:rPr>
                <w:rFonts w:eastAsia="Times New Roman" w:cs="Times New Roman"/>
                <w:color w:val="000000"/>
              </w:rPr>
              <w:t xml:space="preserve">  Forest</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not mined</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bCs/>
                <w:color w:val="000000"/>
              </w:rPr>
            </w:pPr>
            <w:r w:rsidRPr="00F24EE6">
              <w:rPr>
                <w:rFonts w:eastAsia="Times New Roman" w:cs="Times New Roman"/>
                <w:bCs/>
                <w:color w:val="000000"/>
              </w:rPr>
              <w:t>VA</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2</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2</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4</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3</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FRA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10</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4</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2</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4</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6</w:t>
            </w:r>
          </w:p>
        </w:tc>
        <w:tc>
          <w:tcPr>
            <w:tcW w:w="2440" w:type="dxa"/>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SMCRA</w:t>
            </w:r>
          </w:p>
        </w:tc>
        <w:tc>
          <w:tcPr>
            <w:tcW w:w="194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10</w:t>
            </w:r>
          </w:p>
        </w:tc>
        <w:tc>
          <w:tcPr>
            <w:tcW w:w="1880" w:type="dxa"/>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r w:rsidR="00AC49A4" w:rsidRPr="00BA7280" w:rsidTr="003C0513">
        <w:trPr>
          <w:trHeight w:val="300"/>
        </w:trPr>
        <w:tc>
          <w:tcPr>
            <w:tcW w:w="960" w:type="dxa"/>
            <w:tcBorders>
              <w:bottom w:val="single" w:sz="4" w:space="0" w:color="auto"/>
            </w:tcBorders>
            <w:shd w:val="clear" w:color="auto" w:fill="auto"/>
            <w:noWrap/>
            <w:vAlign w:val="bottom"/>
            <w:hideMark/>
          </w:tcPr>
          <w:p w:rsidR="00AC49A4" w:rsidRPr="00F24EE6" w:rsidRDefault="00AC49A4" w:rsidP="003C0513">
            <w:pPr>
              <w:rPr>
                <w:rFonts w:eastAsia="Times New Roman" w:cs="Times New Roman"/>
                <w:color w:val="000000"/>
              </w:rPr>
            </w:pPr>
            <w:r w:rsidRPr="00F24EE6">
              <w:rPr>
                <w:rFonts w:eastAsia="Times New Roman" w:cs="Times New Roman"/>
                <w:color w:val="000000"/>
              </w:rPr>
              <w:t> </w:t>
            </w:r>
          </w:p>
        </w:tc>
        <w:tc>
          <w:tcPr>
            <w:tcW w:w="960" w:type="dxa"/>
            <w:tcBorders>
              <w:bottom w:val="single" w:sz="4" w:space="0" w:color="auto"/>
            </w:tcBorders>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7</w:t>
            </w:r>
          </w:p>
        </w:tc>
        <w:tc>
          <w:tcPr>
            <w:tcW w:w="2440" w:type="dxa"/>
            <w:tcBorders>
              <w:bottom w:val="single" w:sz="4" w:space="0" w:color="auto"/>
            </w:tcBorders>
            <w:shd w:val="clear" w:color="auto" w:fill="auto"/>
            <w:noWrap/>
            <w:vAlign w:val="bottom"/>
            <w:hideMark/>
          </w:tcPr>
          <w:p w:rsidR="00AC49A4" w:rsidRPr="00F24EE6" w:rsidRDefault="00AC49A4" w:rsidP="003C0513">
            <w:pPr>
              <w:rPr>
                <w:rFonts w:eastAsia="Times New Roman" w:cs="Times New Roman"/>
                <w:color w:val="000000"/>
              </w:rPr>
            </w:pPr>
            <w:proofErr w:type="spellStart"/>
            <w:r w:rsidRPr="00F24EE6">
              <w:rPr>
                <w:rFonts w:eastAsia="Times New Roman" w:cs="Times New Roman"/>
                <w:color w:val="000000"/>
              </w:rPr>
              <w:t>Unmined</w:t>
            </w:r>
            <w:proofErr w:type="spellEnd"/>
            <w:r w:rsidRPr="00F24EE6">
              <w:rPr>
                <w:rFonts w:eastAsia="Times New Roman" w:cs="Times New Roman"/>
                <w:color w:val="000000"/>
              </w:rPr>
              <w:t xml:space="preserve"> Forest</w:t>
            </w:r>
          </w:p>
        </w:tc>
        <w:tc>
          <w:tcPr>
            <w:tcW w:w="1940" w:type="dxa"/>
            <w:tcBorders>
              <w:bottom w:val="single" w:sz="4" w:space="0" w:color="auto"/>
            </w:tcBorders>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not mined</w:t>
            </w:r>
          </w:p>
        </w:tc>
        <w:tc>
          <w:tcPr>
            <w:tcW w:w="1880" w:type="dxa"/>
            <w:tcBorders>
              <w:bottom w:val="single" w:sz="4" w:space="0" w:color="auto"/>
            </w:tcBorders>
            <w:shd w:val="clear" w:color="auto" w:fill="auto"/>
            <w:noWrap/>
            <w:vAlign w:val="bottom"/>
            <w:hideMark/>
          </w:tcPr>
          <w:p w:rsidR="00AC49A4" w:rsidRPr="00F24EE6" w:rsidRDefault="00AC49A4" w:rsidP="003C0513">
            <w:pPr>
              <w:jc w:val="center"/>
              <w:rPr>
                <w:rFonts w:eastAsia="Times New Roman" w:cs="Times New Roman"/>
                <w:color w:val="000000"/>
              </w:rPr>
            </w:pPr>
            <w:r w:rsidRPr="00F24EE6">
              <w:rPr>
                <w:rFonts w:eastAsia="Times New Roman" w:cs="Times New Roman"/>
                <w:color w:val="000000"/>
              </w:rPr>
              <w:t>5</w:t>
            </w:r>
          </w:p>
        </w:tc>
      </w:tr>
    </w:tbl>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Pr="00BA7280" w:rsidRDefault="00AC49A4" w:rsidP="003C0513">
      <w:pPr>
        <w:spacing w:line="480" w:lineRule="auto"/>
        <w:ind w:firstLine="720"/>
        <w:rPr>
          <w:rFonts w:cs="Times New Roman"/>
          <w:sz w:val="24"/>
          <w:szCs w:val="24"/>
        </w:rPr>
      </w:pPr>
    </w:p>
    <w:p w:rsidR="00AC49A4" w:rsidRDefault="00AC49A4" w:rsidP="003C0513">
      <w:pPr>
        <w:spacing w:line="480" w:lineRule="auto"/>
        <w:rPr>
          <w:rFonts w:cs="Times New Roman"/>
          <w:sz w:val="24"/>
          <w:szCs w:val="24"/>
        </w:rPr>
      </w:pPr>
      <w:proofErr w:type="gramStart"/>
      <w:r w:rsidRPr="008A04E1">
        <w:rPr>
          <w:rFonts w:cs="Times New Roman"/>
          <w:sz w:val="24"/>
          <w:szCs w:val="24"/>
        </w:rPr>
        <w:t>mounted</w:t>
      </w:r>
      <w:proofErr w:type="gramEnd"/>
      <w:r w:rsidRPr="008A04E1">
        <w:rPr>
          <w:rFonts w:cs="Times New Roman"/>
          <w:sz w:val="24"/>
          <w:szCs w:val="24"/>
        </w:rPr>
        <w:t xml:space="preserve"> in glycerin and identified to </w:t>
      </w:r>
      <w:proofErr w:type="spellStart"/>
      <w:r w:rsidRPr="008A04E1">
        <w:rPr>
          <w:rFonts w:cs="Times New Roman"/>
          <w:sz w:val="24"/>
          <w:szCs w:val="24"/>
        </w:rPr>
        <w:t>morphospecies</w:t>
      </w:r>
      <w:proofErr w:type="spellEnd"/>
      <w:r w:rsidRPr="008A04E1">
        <w:rPr>
          <w:rFonts w:cs="Times New Roman"/>
          <w:sz w:val="24"/>
          <w:szCs w:val="24"/>
        </w:rPr>
        <w:t>, with trophic group, genus, and species determined when possible.</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Shannon diversity index, total </w:t>
      </w:r>
      <w:proofErr w:type="spellStart"/>
      <w:r w:rsidRPr="00BA7280">
        <w:rPr>
          <w:rFonts w:cs="Times New Roman"/>
          <w:sz w:val="24"/>
          <w:szCs w:val="24"/>
        </w:rPr>
        <w:t>morphospecies</w:t>
      </w:r>
      <w:proofErr w:type="spellEnd"/>
      <w:r w:rsidRPr="00BA7280">
        <w:rPr>
          <w:rFonts w:cs="Times New Roman"/>
          <w:sz w:val="24"/>
          <w:szCs w:val="24"/>
        </w:rPr>
        <w:t xml:space="preserve"> abundance, trophic abundance, and maturity index were calculated.  Multiple analysis of variance (MANOVA) was performed to analyze effects of block, reclamation, and age on total nematode abundance, </w:t>
      </w:r>
      <w:proofErr w:type="spellStart"/>
      <w:r w:rsidRPr="00BA7280">
        <w:rPr>
          <w:rFonts w:cs="Times New Roman"/>
          <w:sz w:val="24"/>
          <w:szCs w:val="24"/>
        </w:rPr>
        <w:t>morphospecies</w:t>
      </w:r>
      <w:proofErr w:type="spellEnd"/>
      <w:r w:rsidRPr="00BA7280">
        <w:rPr>
          <w:rFonts w:cs="Times New Roman"/>
          <w:sz w:val="24"/>
          <w:szCs w:val="24"/>
        </w:rPr>
        <w:t xml:space="preserve"> diversity, </w:t>
      </w:r>
      <w:proofErr w:type="spellStart"/>
      <w:r w:rsidRPr="00BA7280">
        <w:rPr>
          <w:rFonts w:cs="Times New Roman"/>
          <w:sz w:val="24"/>
          <w:szCs w:val="24"/>
        </w:rPr>
        <w:t>morphospecies</w:t>
      </w:r>
      <w:proofErr w:type="spellEnd"/>
      <w:r w:rsidRPr="00BA7280">
        <w:rPr>
          <w:rFonts w:cs="Times New Roman"/>
          <w:sz w:val="24"/>
          <w:szCs w:val="24"/>
        </w:rPr>
        <w:t xml:space="preserve"> richness, and trophic abundance using a general linear mixed model. Within blocks, ANOVAs were performed to determine effects on dependent variables. </w:t>
      </w:r>
      <w:proofErr w:type="spellStart"/>
      <w:r>
        <w:rPr>
          <w:rFonts w:cs="Times New Roman"/>
          <w:sz w:val="24"/>
          <w:szCs w:val="24"/>
        </w:rPr>
        <w:t>Tukey’s</w:t>
      </w:r>
      <w:proofErr w:type="spellEnd"/>
      <w:r>
        <w:rPr>
          <w:rFonts w:cs="Times New Roman"/>
          <w:sz w:val="24"/>
          <w:szCs w:val="24"/>
        </w:rPr>
        <w:t xml:space="preserve"> test</w:t>
      </w:r>
      <w:r w:rsidRPr="00BA7280">
        <w:rPr>
          <w:rFonts w:cs="Times New Roman"/>
          <w:sz w:val="24"/>
          <w:szCs w:val="24"/>
        </w:rPr>
        <w:t xml:space="preserve"> was used to measure statistical differences at a confidence level of P= </w:t>
      </w:r>
      <w:r>
        <w:rPr>
          <w:rFonts w:cs="Times New Roman"/>
          <w:sz w:val="24"/>
          <w:szCs w:val="24"/>
        </w:rPr>
        <w:t>0</w:t>
      </w:r>
      <w:r w:rsidRPr="00BA7280">
        <w:rPr>
          <w:rFonts w:cs="Times New Roman"/>
          <w:sz w:val="24"/>
          <w:szCs w:val="24"/>
        </w:rPr>
        <w:t xml:space="preserve">.05.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The maturity index was calculated</w:t>
      </w:r>
      <w:proofErr w:type="gramStart"/>
      <w:r w:rsidRPr="00BA7280">
        <w:rPr>
          <w:rFonts w:cs="Times New Roman"/>
          <w:sz w:val="24"/>
          <w:szCs w:val="24"/>
        </w:rPr>
        <w:t xml:space="preserve">, </w:t>
      </w:r>
      <w:proofErr w:type="gramEnd"/>
      <m:oMath>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f(i)</m:t>
            </m:r>
          </m:e>
        </m:nary>
      </m:oMath>
      <w:r w:rsidRPr="00BA7280">
        <w:rPr>
          <w:rFonts w:eastAsiaTheme="minorEastAsia" w:cs="Times New Roman"/>
          <w:sz w:val="24"/>
          <w:szCs w:val="24"/>
        </w:rPr>
        <w:t>, as defined by Bongers (1990) where v(i) is the colonizer-persister value assigned by to the family, and f(</w:t>
      </w:r>
      <w:proofErr w:type="spellStart"/>
      <w:r w:rsidRPr="00BA7280">
        <w:rPr>
          <w:rFonts w:eastAsiaTheme="minorEastAsia" w:cs="Times New Roman"/>
          <w:sz w:val="24"/>
          <w:szCs w:val="24"/>
        </w:rPr>
        <w:t>i</w:t>
      </w:r>
      <w:proofErr w:type="spellEnd"/>
      <w:r w:rsidRPr="00BA7280">
        <w:rPr>
          <w:rFonts w:eastAsiaTheme="minorEastAsia" w:cs="Times New Roman"/>
          <w:sz w:val="24"/>
          <w:szCs w:val="24"/>
        </w:rPr>
        <w:t xml:space="preserve">) is the frequency of the family within a sample.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Ecological interactions were analyzed </w:t>
      </w:r>
      <w:r>
        <w:rPr>
          <w:rFonts w:cs="Times New Roman"/>
          <w:sz w:val="24"/>
          <w:szCs w:val="24"/>
        </w:rPr>
        <w:t>with</w:t>
      </w:r>
      <w:r w:rsidRPr="00BA7280">
        <w:rPr>
          <w:rFonts w:cs="Times New Roman"/>
          <w:sz w:val="24"/>
          <w:szCs w:val="24"/>
        </w:rPr>
        <w:t xml:space="preserve"> canonical correspondence analysis </w:t>
      </w:r>
      <w:r>
        <w:rPr>
          <w:rFonts w:cs="Times New Roman"/>
          <w:sz w:val="24"/>
          <w:szCs w:val="24"/>
        </w:rPr>
        <w:t xml:space="preserve">(CCA) </w:t>
      </w:r>
      <w:r w:rsidRPr="00BA7280">
        <w:rPr>
          <w:rFonts w:cs="Times New Roman"/>
          <w:sz w:val="24"/>
          <w:szCs w:val="24"/>
        </w:rPr>
        <w:t>(</w:t>
      </w:r>
      <w:proofErr w:type="spellStart"/>
      <w:r>
        <w:rPr>
          <w:rFonts w:cs="Times New Roman"/>
          <w:sz w:val="24"/>
          <w:szCs w:val="24"/>
        </w:rPr>
        <w:t>Canoco</w:t>
      </w:r>
      <w:proofErr w:type="spellEnd"/>
      <w:r>
        <w:rPr>
          <w:rFonts w:cs="Times New Roman"/>
          <w:sz w:val="24"/>
          <w:szCs w:val="24"/>
        </w:rPr>
        <w:t xml:space="preserve">, </w:t>
      </w:r>
      <w:r w:rsidRPr="00BA7280">
        <w:rPr>
          <w:rFonts w:cs="Times New Roman"/>
          <w:sz w:val="24"/>
          <w:szCs w:val="24"/>
        </w:rPr>
        <w:t xml:space="preserve">Plant Research International </w:t>
      </w:r>
      <w:proofErr w:type="spellStart"/>
      <w:r w:rsidRPr="00BA7280">
        <w:rPr>
          <w:rFonts w:cs="Times New Roman"/>
          <w:sz w:val="24"/>
          <w:szCs w:val="24"/>
        </w:rPr>
        <w:t>Wageningen</w:t>
      </w:r>
      <w:proofErr w:type="spellEnd"/>
      <w:r w:rsidRPr="00BA7280">
        <w:rPr>
          <w:rFonts w:cs="Times New Roman"/>
          <w:sz w:val="24"/>
          <w:szCs w:val="24"/>
        </w:rPr>
        <w:t xml:space="preserve">, </w:t>
      </w:r>
      <w:proofErr w:type="gramStart"/>
      <w:r w:rsidRPr="00BA7280">
        <w:rPr>
          <w:rFonts w:cs="Times New Roman"/>
          <w:sz w:val="24"/>
          <w:szCs w:val="24"/>
        </w:rPr>
        <w:t>Netherlands</w:t>
      </w:r>
      <w:proofErr w:type="gramEnd"/>
      <w:r w:rsidRPr="00BA7280">
        <w:rPr>
          <w:rFonts w:cs="Times New Roman"/>
          <w:sz w:val="24"/>
          <w:szCs w:val="24"/>
        </w:rPr>
        <w:t xml:space="preserve">). </w:t>
      </w:r>
      <w:r>
        <w:rPr>
          <w:rFonts w:cs="Times New Roman"/>
          <w:sz w:val="24"/>
          <w:szCs w:val="24"/>
        </w:rPr>
        <w:t xml:space="preserve"> Factors analyzed included management technique (FRA, Un-mined forest, and SMCRA plots), site age, nematode community measures, and </w:t>
      </w:r>
      <w:proofErr w:type="spellStart"/>
      <w:r>
        <w:rPr>
          <w:rFonts w:cs="Times New Roman"/>
          <w:sz w:val="24"/>
          <w:szCs w:val="24"/>
        </w:rPr>
        <w:t>morphospecies</w:t>
      </w:r>
      <w:proofErr w:type="spellEnd"/>
      <w:r>
        <w:rPr>
          <w:rFonts w:cs="Times New Roman"/>
          <w:sz w:val="24"/>
          <w:szCs w:val="24"/>
        </w:rPr>
        <w:t xml:space="preserve"> identity.</w:t>
      </w:r>
    </w:p>
    <w:p w:rsidR="00AC49A4" w:rsidRPr="00BA7280" w:rsidRDefault="00AC49A4" w:rsidP="003C0513">
      <w:pPr>
        <w:spacing w:line="480" w:lineRule="auto"/>
        <w:ind w:firstLine="720"/>
        <w:rPr>
          <w:rFonts w:cs="Times New Roman"/>
          <w:sz w:val="24"/>
          <w:szCs w:val="24"/>
        </w:rPr>
      </w:pPr>
    </w:p>
    <w:p w:rsidR="00AC49A4" w:rsidRDefault="00AC49A4" w:rsidP="003C0513">
      <w:pPr>
        <w:pStyle w:val="Heading2"/>
      </w:pPr>
      <w:bookmarkStart w:id="12" w:name="_Toc340837890"/>
      <w:r>
        <w:t>Objective 3 methods</w:t>
      </w:r>
      <w:bookmarkEnd w:id="12"/>
    </w:p>
    <w:p w:rsidR="00AC49A4" w:rsidRPr="005A337F" w:rsidRDefault="00AC49A4" w:rsidP="003C0513"/>
    <w:p w:rsidR="00AC49A4" w:rsidRPr="00BA7280" w:rsidRDefault="00AC49A4" w:rsidP="003C0513">
      <w:pPr>
        <w:spacing w:line="480" w:lineRule="auto"/>
        <w:ind w:firstLine="720"/>
        <w:rPr>
          <w:rFonts w:cs="Times New Roman"/>
          <w:sz w:val="24"/>
          <w:szCs w:val="24"/>
        </w:rPr>
      </w:pPr>
      <w:r w:rsidRPr="00BA7280">
        <w:rPr>
          <w:rFonts w:cs="Times New Roman"/>
          <w:sz w:val="24"/>
          <w:szCs w:val="24"/>
        </w:rPr>
        <w:lastRenderedPageBreak/>
        <w:t xml:space="preserve">Soils from the Tennessee site were used for the greenhouse study. A full factorial design was used, with each soil type having each nematode community added to </w:t>
      </w:r>
      <w:proofErr w:type="spellStart"/>
      <w:r w:rsidRPr="00BA7280">
        <w:rPr>
          <w:rFonts w:cs="Times New Roman"/>
          <w:sz w:val="24"/>
          <w:szCs w:val="24"/>
        </w:rPr>
        <w:t>defaunated</w:t>
      </w:r>
      <w:proofErr w:type="spellEnd"/>
      <w:r w:rsidRPr="00BA7280">
        <w:rPr>
          <w:rFonts w:cs="Times New Roman"/>
          <w:sz w:val="24"/>
          <w:szCs w:val="24"/>
        </w:rPr>
        <w:t xml:space="preserve"> soils.  Two controls were used as well: an intact soil which was not </w:t>
      </w:r>
      <w:proofErr w:type="spellStart"/>
      <w:r w:rsidRPr="00BA7280">
        <w:rPr>
          <w:rFonts w:cs="Times New Roman"/>
          <w:sz w:val="24"/>
          <w:szCs w:val="24"/>
        </w:rPr>
        <w:t>defaunated</w:t>
      </w:r>
      <w:proofErr w:type="spellEnd"/>
      <w:r w:rsidRPr="00BA7280">
        <w:rPr>
          <w:rFonts w:cs="Times New Roman"/>
          <w:sz w:val="24"/>
          <w:szCs w:val="24"/>
        </w:rPr>
        <w:t xml:space="preserve">, nor </w:t>
      </w:r>
      <w:r>
        <w:rPr>
          <w:rFonts w:cs="Times New Roman"/>
          <w:sz w:val="24"/>
          <w:szCs w:val="24"/>
        </w:rPr>
        <w:t>were</w:t>
      </w:r>
      <w:r w:rsidRPr="00BA7280">
        <w:rPr>
          <w:rFonts w:cs="Times New Roman"/>
          <w:sz w:val="24"/>
          <w:szCs w:val="24"/>
        </w:rPr>
        <w:t xml:space="preserve"> nematodes added, and a </w:t>
      </w:r>
      <w:proofErr w:type="spellStart"/>
      <w:r w:rsidRPr="00BA7280">
        <w:rPr>
          <w:rFonts w:cs="Times New Roman"/>
          <w:sz w:val="24"/>
          <w:szCs w:val="24"/>
        </w:rPr>
        <w:t>defaunated</w:t>
      </w:r>
      <w:proofErr w:type="spellEnd"/>
      <w:r w:rsidRPr="00BA7280">
        <w:rPr>
          <w:rFonts w:cs="Times New Roman"/>
          <w:sz w:val="24"/>
          <w:szCs w:val="24"/>
        </w:rPr>
        <w:t xml:space="preserve"> soil </w:t>
      </w:r>
      <w:r>
        <w:rPr>
          <w:rFonts w:cs="Times New Roman"/>
          <w:sz w:val="24"/>
          <w:szCs w:val="24"/>
        </w:rPr>
        <w:t>that</w:t>
      </w:r>
      <w:r w:rsidRPr="00BA7280">
        <w:rPr>
          <w:rFonts w:cs="Times New Roman"/>
          <w:sz w:val="24"/>
          <w:szCs w:val="24"/>
        </w:rPr>
        <w:t xml:space="preserve"> did not have any nematodes added back.  Each manipulat</w:t>
      </w:r>
      <w:r>
        <w:rPr>
          <w:rFonts w:cs="Times New Roman"/>
          <w:sz w:val="24"/>
          <w:szCs w:val="24"/>
        </w:rPr>
        <w:t>ion was replicated five times (T</w:t>
      </w:r>
      <w:r w:rsidRPr="00BA7280">
        <w:rPr>
          <w:rFonts w:cs="Times New Roman"/>
          <w:sz w:val="24"/>
          <w:szCs w:val="24"/>
        </w:rPr>
        <w:t xml:space="preserve">able 3).  </w:t>
      </w:r>
    </w:p>
    <w:p w:rsidR="00AC49A4" w:rsidRPr="00BA7280" w:rsidRDefault="00AC49A4" w:rsidP="003C0513">
      <w:pPr>
        <w:spacing w:line="480" w:lineRule="auto"/>
        <w:ind w:firstLine="720"/>
        <w:rPr>
          <w:rFonts w:cs="Times New Roman"/>
          <w:sz w:val="24"/>
          <w:szCs w:val="24"/>
        </w:rPr>
      </w:pPr>
    </w:p>
    <w:p w:rsidR="00AC49A4" w:rsidRDefault="00AC49A4" w:rsidP="003C0513">
      <w:proofErr w:type="gramStart"/>
      <w:r>
        <w:t xml:space="preserve">Table </w:t>
      </w:r>
      <w:fldSimple w:instr=" SEQ Table \* ARABIC ">
        <w:r>
          <w:rPr>
            <w:noProof/>
          </w:rPr>
          <w:t>3</w:t>
        </w:r>
      </w:fldSimple>
      <w:r>
        <w:t xml:space="preserve">: </w:t>
      </w:r>
      <w:r w:rsidRPr="00BA46F6">
        <w:t>Full factorial design of objective two in which each soil type received each nematode community treatment and was replicated five times.</w:t>
      </w:r>
      <w:proofErr w:type="gramEnd"/>
    </w:p>
    <w:p w:rsidR="00AC49A4" w:rsidRDefault="00AC49A4" w:rsidP="003C0513">
      <w:pPr>
        <w:rPr>
          <w:rFonts w:cs="Times New Roman"/>
        </w:rPr>
      </w:pPr>
    </w:p>
    <w:p w:rsidR="00AC49A4" w:rsidRPr="00BA7280" w:rsidRDefault="00AC49A4" w:rsidP="003C0513">
      <w:pPr>
        <w:rPr>
          <w:rFonts w:cs="Times New Roman"/>
        </w:rPr>
      </w:pPr>
      <w:r>
        <w:rPr>
          <w:rFonts w:cs="Times New Roman"/>
        </w:rPr>
        <w:t xml:space="preserve">                                    </w:t>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t>_________________________________________________</w:t>
      </w:r>
    </w:p>
    <w:tbl>
      <w:tblPr>
        <w:tblW w:w="5440" w:type="dxa"/>
        <w:jc w:val="center"/>
        <w:tblInd w:w="93" w:type="dxa"/>
        <w:tblLook w:val="04A0" w:firstRow="1" w:lastRow="0" w:firstColumn="1" w:lastColumn="0" w:noHBand="0" w:noVBand="1"/>
      </w:tblPr>
      <w:tblGrid>
        <w:gridCol w:w="2440"/>
        <w:gridCol w:w="580"/>
        <w:gridCol w:w="2420"/>
      </w:tblGrid>
      <w:tr w:rsidR="00AC49A4" w:rsidRPr="00C14915" w:rsidTr="003C0513">
        <w:trPr>
          <w:trHeight w:val="300"/>
          <w:jc w:val="center"/>
        </w:trPr>
        <w:tc>
          <w:tcPr>
            <w:tcW w:w="2440" w:type="dxa"/>
            <w:tcBorders>
              <w:top w:val="nil"/>
              <w:left w:val="nil"/>
              <w:bottom w:val="single" w:sz="4" w:space="0" w:color="auto"/>
              <w:right w:val="nil"/>
            </w:tcBorders>
            <w:shd w:val="clear" w:color="auto" w:fill="auto"/>
            <w:noWrap/>
            <w:vAlign w:val="bottom"/>
            <w:hideMark/>
          </w:tcPr>
          <w:p w:rsidR="00AC49A4" w:rsidRPr="00BE13E6" w:rsidRDefault="00AC49A4" w:rsidP="003C0513">
            <w:pPr>
              <w:jc w:val="center"/>
              <w:rPr>
                <w:rFonts w:eastAsia="Times New Roman" w:cs="Times New Roman"/>
                <w:b/>
                <w:bCs/>
                <w:i/>
                <w:iCs/>
                <w:color w:val="000000"/>
              </w:rPr>
            </w:pPr>
            <w:r w:rsidRPr="00BE13E6">
              <w:rPr>
                <w:rFonts w:eastAsia="Times New Roman" w:cs="Times New Roman"/>
                <w:b/>
                <w:bCs/>
                <w:i/>
                <w:iCs/>
                <w:color w:val="000000"/>
              </w:rPr>
              <w:t>Soil Type</w:t>
            </w:r>
          </w:p>
        </w:tc>
        <w:tc>
          <w:tcPr>
            <w:tcW w:w="580" w:type="dxa"/>
            <w:tcBorders>
              <w:top w:val="nil"/>
              <w:left w:val="nil"/>
              <w:bottom w:val="single" w:sz="4" w:space="0" w:color="auto"/>
              <w:right w:val="nil"/>
            </w:tcBorders>
            <w:shd w:val="clear" w:color="auto" w:fill="auto"/>
            <w:noWrap/>
            <w:vAlign w:val="bottom"/>
            <w:hideMark/>
          </w:tcPr>
          <w:p w:rsidR="00AC49A4" w:rsidRPr="00BE13E6" w:rsidRDefault="00AC49A4" w:rsidP="003C0513">
            <w:pPr>
              <w:jc w:val="center"/>
              <w:rPr>
                <w:rFonts w:eastAsia="Times New Roman" w:cs="Times New Roman"/>
                <w:b/>
                <w:bCs/>
                <w:i/>
                <w:iCs/>
                <w:color w:val="000000"/>
              </w:rPr>
            </w:pPr>
          </w:p>
        </w:tc>
        <w:tc>
          <w:tcPr>
            <w:tcW w:w="2420" w:type="dxa"/>
            <w:tcBorders>
              <w:top w:val="nil"/>
              <w:left w:val="nil"/>
              <w:bottom w:val="single" w:sz="4" w:space="0" w:color="auto"/>
              <w:right w:val="nil"/>
            </w:tcBorders>
            <w:shd w:val="clear" w:color="auto" w:fill="auto"/>
            <w:noWrap/>
            <w:vAlign w:val="bottom"/>
            <w:hideMark/>
          </w:tcPr>
          <w:p w:rsidR="00AC49A4" w:rsidRPr="00BE13E6" w:rsidRDefault="00AC49A4" w:rsidP="003C0513">
            <w:pPr>
              <w:jc w:val="center"/>
              <w:rPr>
                <w:rFonts w:eastAsia="Times New Roman" w:cs="Times New Roman"/>
                <w:b/>
                <w:bCs/>
                <w:i/>
                <w:iCs/>
                <w:color w:val="000000"/>
              </w:rPr>
            </w:pPr>
            <w:r w:rsidRPr="00BE13E6">
              <w:rPr>
                <w:rFonts w:eastAsia="Times New Roman" w:cs="Times New Roman"/>
                <w:b/>
                <w:bCs/>
                <w:i/>
                <w:iCs/>
                <w:color w:val="000000"/>
              </w:rPr>
              <w:t>Nematode Community</w:t>
            </w:r>
          </w:p>
        </w:tc>
      </w:tr>
      <w:tr w:rsidR="00AC49A4" w:rsidRPr="00BA7280" w:rsidTr="003C0513">
        <w:trPr>
          <w:trHeight w:val="300"/>
          <w:jc w:val="center"/>
        </w:trPr>
        <w:tc>
          <w:tcPr>
            <w:tcW w:w="2440" w:type="dxa"/>
            <w:tcBorders>
              <w:top w:val="single" w:sz="4" w:space="0" w:color="auto"/>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1 year old SMCRA</w:t>
            </w:r>
          </w:p>
        </w:tc>
        <w:tc>
          <w:tcPr>
            <w:tcW w:w="580" w:type="dxa"/>
            <w:tcBorders>
              <w:top w:val="single" w:sz="4" w:space="0" w:color="auto"/>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2420" w:type="dxa"/>
            <w:tcBorders>
              <w:top w:val="single" w:sz="4" w:space="0" w:color="auto"/>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1 year old SMCRA</w:t>
            </w:r>
          </w:p>
        </w:tc>
      </w:tr>
      <w:tr w:rsidR="00AC49A4" w:rsidRPr="00BA7280" w:rsidTr="003C0513">
        <w:trPr>
          <w:trHeight w:val="300"/>
          <w:jc w:val="center"/>
        </w:trPr>
        <w:tc>
          <w:tcPr>
            <w:tcW w:w="244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1 Year old FRA</w:t>
            </w:r>
          </w:p>
        </w:tc>
        <w:tc>
          <w:tcPr>
            <w:tcW w:w="58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242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1 Year old FRA</w:t>
            </w:r>
          </w:p>
        </w:tc>
      </w:tr>
      <w:tr w:rsidR="00AC49A4" w:rsidRPr="00BA7280" w:rsidTr="003C0513">
        <w:trPr>
          <w:trHeight w:val="300"/>
          <w:jc w:val="center"/>
        </w:trPr>
        <w:tc>
          <w:tcPr>
            <w:tcW w:w="244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15 Year old SMCRA</w:t>
            </w:r>
          </w:p>
        </w:tc>
        <w:tc>
          <w:tcPr>
            <w:tcW w:w="58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Pr>
                <w:rFonts w:eastAsia="Times New Roman" w:cs="Times New Roman"/>
                <w:color w:val="000000"/>
              </w:rPr>
              <w:t>×</w:t>
            </w:r>
          </w:p>
        </w:tc>
        <w:tc>
          <w:tcPr>
            <w:tcW w:w="242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15 Year old SMCRA</w:t>
            </w:r>
          </w:p>
        </w:tc>
      </w:tr>
      <w:tr w:rsidR="00AC49A4" w:rsidRPr="00BA7280" w:rsidTr="003C0513">
        <w:trPr>
          <w:trHeight w:val="300"/>
          <w:jc w:val="center"/>
        </w:trPr>
        <w:tc>
          <w:tcPr>
            <w:tcW w:w="244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 xml:space="preserve">15 Year old FRA </w:t>
            </w:r>
          </w:p>
        </w:tc>
        <w:tc>
          <w:tcPr>
            <w:tcW w:w="58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2420" w:type="dxa"/>
            <w:tcBorders>
              <w:top w:val="nil"/>
              <w:left w:val="nil"/>
              <w:bottom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 xml:space="preserve">15 Year old FRA </w:t>
            </w:r>
          </w:p>
        </w:tc>
      </w:tr>
      <w:tr w:rsidR="00AC49A4" w:rsidRPr="00BA7280" w:rsidTr="003C0513">
        <w:trPr>
          <w:trHeight w:val="300"/>
          <w:jc w:val="center"/>
        </w:trPr>
        <w:tc>
          <w:tcPr>
            <w:tcW w:w="2440" w:type="dxa"/>
            <w:tcBorders>
              <w:top w:val="nil"/>
              <w:left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roofErr w:type="spellStart"/>
            <w:r w:rsidRPr="00BA7280">
              <w:rPr>
                <w:rFonts w:eastAsia="Times New Roman" w:cs="Times New Roman"/>
                <w:color w:val="000000"/>
              </w:rPr>
              <w:t>Unmined</w:t>
            </w:r>
            <w:proofErr w:type="spellEnd"/>
            <w:r w:rsidRPr="00BA7280">
              <w:rPr>
                <w:rFonts w:eastAsia="Times New Roman" w:cs="Times New Roman"/>
                <w:color w:val="000000"/>
              </w:rPr>
              <w:t xml:space="preserve"> Forest</w:t>
            </w:r>
          </w:p>
        </w:tc>
        <w:tc>
          <w:tcPr>
            <w:tcW w:w="580" w:type="dxa"/>
            <w:tcBorders>
              <w:top w:val="nil"/>
              <w:left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2420" w:type="dxa"/>
            <w:tcBorders>
              <w:top w:val="nil"/>
              <w:left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roofErr w:type="spellStart"/>
            <w:r w:rsidRPr="00BA7280">
              <w:rPr>
                <w:rFonts w:eastAsia="Times New Roman" w:cs="Times New Roman"/>
                <w:color w:val="000000"/>
              </w:rPr>
              <w:t>Unmined</w:t>
            </w:r>
            <w:proofErr w:type="spellEnd"/>
            <w:r w:rsidRPr="00BA7280">
              <w:rPr>
                <w:rFonts w:eastAsia="Times New Roman" w:cs="Times New Roman"/>
                <w:color w:val="000000"/>
              </w:rPr>
              <w:t xml:space="preserve"> </w:t>
            </w:r>
            <w:r>
              <w:rPr>
                <w:rFonts w:eastAsia="Times New Roman" w:cs="Times New Roman"/>
                <w:color w:val="000000"/>
              </w:rPr>
              <w:t>f</w:t>
            </w:r>
            <w:r w:rsidRPr="00BA7280">
              <w:rPr>
                <w:rFonts w:eastAsia="Times New Roman" w:cs="Times New Roman"/>
                <w:color w:val="000000"/>
              </w:rPr>
              <w:t>orest</w:t>
            </w:r>
          </w:p>
        </w:tc>
      </w:tr>
      <w:tr w:rsidR="00AC49A4" w:rsidRPr="00BA7280" w:rsidTr="003C0513">
        <w:trPr>
          <w:trHeight w:val="300"/>
          <w:jc w:val="center"/>
        </w:trPr>
        <w:tc>
          <w:tcPr>
            <w:tcW w:w="2440" w:type="dxa"/>
            <w:tcBorders>
              <w:top w:val="nil"/>
              <w:left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580" w:type="dxa"/>
            <w:tcBorders>
              <w:top w:val="nil"/>
              <w:left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2420" w:type="dxa"/>
            <w:tcBorders>
              <w:top w:val="nil"/>
              <w:left w:val="nil"/>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r w:rsidRPr="00BA7280">
              <w:rPr>
                <w:rFonts w:eastAsia="Times New Roman" w:cs="Times New Roman"/>
                <w:color w:val="000000"/>
              </w:rPr>
              <w:t xml:space="preserve">Intact </w:t>
            </w:r>
            <w:r>
              <w:rPr>
                <w:rFonts w:eastAsia="Times New Roman" w:cs="Times New Roman"/>
                <w:color w:val="000000"/>
              </w:rPr>
              <w:t>c</w:t>
            </w:r>
            <w:r w:rsidRPr="00BA7280">
              <w:rPr>
                <w:rFonts w:eastAsia="Times New Roman" w:cs="Times New Roman"/>
                <w:color w:val="000000"/>
              </w:rPr>
              <w:t>ontrol</w:t>
            </w:r>
          </w:p>
        </w:tc>
      </w:tr>
      <w:tr w:rsidR="00AC49A4" w:rsidRPr="00BA7280" w:rsidTr="003C0513">
        <w:trPr>
          <w:trHeight w:val="300"/>
          <w:jc w:val="center"/>
        </w:trPr>
        <w:tc>
          <w:tcPr>
            <w:tcW w:w="2440" w:type="dxa"/>
            <w:tcBorders>
              <w:top w:val="nil"/>
              <w:left w:val="nil"/>
              <w:bottom w:val="single" w:sz="4" w:space="0" w:color="auto"/>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580" w:type="dxa"/>
            <w:tcBorders>
              <w:top w:val="nil"/>
              <w:left w:val="nil"/>
              <w:bottom w:val="single" w:sz="4" w:space="0" w:color="auto"/>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
        </w:tc>
        <w:tc>
          <w:tcPr>
            <w:tcW w:w="2420" w:type="dxa"/>
            <w:tcBorders>
              <w:top w:val="nil"/>
              <w:left w:val="nil"/>
              <w:bottom w:val="single" w:sz="4" w:space="0" w:color="auto"/>
              <w:right w:val="nil"/>
            </w:tcBorders>
            <w:shd w:val="clear" w:color="auto" w:fill="auto"/>
            <w:noWrap/>
            <w:vAlign w:val="bottom"/>
            <w:hideMark/>
          </w:tcPr>
          <w:p w:rsidR="00AC49A4" w:rsidRPr="00BA7280" w:rsidRDefault="00AC49A4" w:rsidP="003C0513">
            <w:pPr>
              <w:jc w:val="center"/>
              <w:rPr>
                <w:rFonts w:eastAsia="Times New Roman" w:cs="Times New Roman"/>
                <w:color w:val="000000"/>
              </w:rPr>
            </w:pPr>
            <w:proofErr w:type="spellStart"/>
            <w:r w:rsidRPr="00BA7280">
              <w:rPr>
                <w:rFonts w:eastAsia="Times New Roman" w:cs="Times New Roman"/>
                <w:color w:val="000000"/>
              </w:rPr>
              <w:t>Defaunated</w:t>
            </w:r>
            <w:proofErr w:type="spellEnd"/>
            <w:r w:rsidRPr="00BA7280">
              <w:rPr>
                <w:rFonts w:eastAsia="Times New Roman" w:cs="Times New Roman"/>
                <w:color w:val="000000"/>
              </w:rPr>
              <w:t xml:space="preserve"> </w:t>
            </w:r>
            <w:r>
              <w:rPr>
                <w:rFonts w:eastAsia="Times New Roman" w:cs="Times New Roman"/>
                <w:color w:val="000000"/>
              </w:rPr>
              <w:t>c</w:t>
            </w:r>
            <w:r w:rsidRPr="00BA7280">
              <w:rPr>
                <w:rFonts w:eastAsia="Times New Roman" w:cs="Times New Roman"/>
                <w:color w:val="000000"/>
              </w:rPr>
              <w:t>ontrol</w:t>
            </w:r>
          </w:p>
        </w:tc>
      </w:tr>
    </w:tbl>
    <w:p w:rsidR="00AC49A4" w:rsidRPr="00BA7280" w:rsidRDefault="00AC49A4" w:rsidP="003C0513">
      <w:pPr>
        <w:spacing w:line="480" w:lineRule="auto"/>
        <w:ind w:firstLine="720"/>
        <w:rPr>
          <w:rFonts w:cs="Times New Roman"/>
          <w:sz w:val="24"/>
          <w:szCs w:val="24"/>
        </w:rPr>
      </w:pP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Soils for the greenhouse study were collected from the Tennessee mine in the 1</w:t>
      </w:r>
      <w:r>
        <w:rPr>
          <w:rFonts w:cs="Times New Roman"/>
          <w:sz w:val="24"/>
          <w:szCs w:val="24"/>
        </w:rPr>
        <w:t>-</w:t>
      </w:r>
      <w:r w:rsidRPr="00BA7280">
        <w:rPr>
          <w:rFonts w:cs="Times New Roman"/>
          <w:sz w:val="24"/>
          <w:szCs w:val="24"/>
        </w:rPr>
        <w:t>year-old FRA site, 1</w:t>
      </w:r>
      <w:r>
        <w:rPr>
          <w:rFonts w:cs="Times New Roman"/>
          <w:sz w:val="24"/>
          <w:szCs w:val="24"/>
        </w:rPr>
        <w:t>-</w:t>
      </w:r>
      <w:r w:rsidRPr="00BA7280">
        <w:rPr>
          <w:rFonts w:cs="Times New Roman"/>
          <w:sz w:val="24"/>
          <w:szCs w:val="24"/>
        </w:rPr>
        <w:t>year-old SMCRA site, 15</w:t>
      </w:r>
      <w:r>
        <w:rPr>
          <w:rFonts w:cs="Times New Roman"/>
          <w:sz w:val="24"/>
          <w:szCs w:val="24"/>
        </w:rPr>
        <w:t>-</w:t>
      </w:r>
      <w:r w:rsidRPr="00BA7280">
        <w:rPr>
          <w:rFonts w:cs="Times New Roman"/>
          <w:sz w:val="24"/>
          <w:szCs w:val="24"/>
        </w:rPr>
        <w:t>year-old FRA site, 15</w:t>
      </w:r>
      <w:r>
        <w:rPr>
          <w:rFonts w:cs="Times New Roman"/>
          <w:sz w:val="24"/>
          <w:szCs w:val="24"/>
        </w:rPr>
        <w:t>-</w:t>
      </w:r>
      <w:r w:rsidRPr="00BA7280">
        <w:rPr>
          <w:rFonts w:cs="Times New Roman"/>
          <w:sz w:val="24"/>
          <w:szCs w:val="24"/>
        </w:rPr>
        <w:t xml:space="preserve">year-old SMCRA site, and intact forest site. Approximately 20 kg of soils were collected to a depth of 15 cm.  Soils were transported on ice to the University of Tennessee where they were stored at </w:t>
      </w:r>
      <w:r>
        <w:rPr>
          <w:rFonts w:cs="Times New Roman"/>
          <w:sz w:val="24"/>
          <w:szCs w:val="24"/>
        </w:rPr>
        <w:t>4</w:t>
      </w:r>
      <w:r w:rsidRPr="00BA7280">
        <w:rPr>
          <w:rFonts w:cs="Times New Roman"/>
          <w:sz w:val="24"/>
          <w:szCs w:val="24"/>
        </w:rPr>
        <w:t>°</w:t>
      </w:r>
      <w:r>
        <w:rPr>
          <w:rFonts w:cs="Times New Roman"/>
          <w:sz w:val="24"/>
          <w:szCs w:val="24"/>
        </w:rPr>
        <w:t xml:space="preserve"> </w:t>
      </w:r>
      <w:r w:rsidRPr="00BA7280">
        <w:rPr>
          <w:rFonts w:cs="Times New Roman"/>
          <w:sz w:val="24"/>
          <w:szCs w:val="24"/>
        </w:rPr>
        <w:t>C until processing, which occurred within 48 hours.</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Soils for the</w:t>
      </w:r>
      <w:r>
        <w:rPr>
          <w:rFonts w:cs="Times New Roman"/>
          <w:sz w:val="24"/>
          <w:szCs w:val="24"/>
        </w:rPr>
        <w:t xml:space="preserve"> greenhouse study were </w:t>
      </w:r>
      <w:proofErr w:type="spellStart"/>
      <w:r>
        <w:rPr>
          <w:rFonts w:cs="Times New Roman"/>
          <w:sz w:val="24"/>
          <w:szCs w:val="24"/>
        </w:rPr>
        <w:t>defauna</w:t>
      </w:r>
      <w:r w:rsidRPr="00BA7280">
        <w:rPr>
          <w:rFonts w:cs="Times New Roman"/>
          <w:sz w:val="24"/>
          <w:szCs w:val="24"/>
        </w:rPr>
        <w:t>ted</w:t>
      </w:r>
      <w:proofErr w:type="spellEnd"/>
      <w:r w:rsidRPr="00BA7280">
        <w:rPr>
          <w:rFonts w:cs="Times New Roman"/>
          <w:sz w:val="24"/>
          <w:szCs w:val="24"/>
        </w:rPr>
        <w:t xml:space="preserve"> by cooling to -15°</w:t>
      </w:r>
      <w:r>
        <w:rPr>
          <w:rFonts w:cs="Times New Roman"/>
          <w:sz w:val="24"/>
          <w:szCs w:val="24"/>
        </w:rPr>
        <w:t xml:space="preserve"> C for 8 hours then heating</w:t>
      </w:r>
      <w:r w:rsidRPr="00BA7280">
        <w:rPr>
          <w:rFonts w:cs="Times New Roman"/>
          <w:sz w:val="24"/>
          <w:szCs w:val="24"/>
        </w:rPr>
        <w:t xml:space="preserve"> to 50°</w:t>
      </w:r>
      <w:r>
        <w:rPr>
          <w:rFonts w:cs="Times New Roman"/>
          <w:sz w:val="24"/>
          <w:szCs w:val="24"/>
        </w:rPr>
        <w:t xml:space="preserve"> </w:t>
      </w:r>
      <w:r w:rsidRPr="00BA7280">
        <w:rPr>
          <w:rFonts w:cs="Times New Roman"/>
          <w:sz w:val="24"/>
          <w:szCs w:val="24"/>
        </w:rPr>
        <w:t>C for 4 hours.  This method limited impacts on bacterial community</w:t>
      </w:r>
      <w:r>
        <w:rPr>
          <w:rFonts w:cs="Times New Roman"/>
          <w:sz w:val="24"/>
          <w:szCs w:val="24"/>
        </w:rPr>
        <w:t>,</w:t>
      </w:r>
      <w:r w:rsidRPr="00BA7280">
        <w:rPr>
          <w:rFonts w:cs="Times New Roman"/>
          <w:sz w:val="24"/>
          <w:szCs w:val="24"/>
        </w:rPr>
        <w:t xml:space="preserve"> which </w:t>
      </w:r>
      <w:r>
        <w:rPr>
          <w:rFonts w:cs="Times New Roman"/>
          <w:sz w:val="24"/>
          <w:szCs w:val="24"/>
        </w:rPr>
        <w:t xml:space="preserve">can </w:t>
      </w:r>
      <w:r w:rsidRPr="00BA7280">
        <w:rPr>
          <w:rFonts w:cs="Times New Roman"/>
          <w:sz w:val="24"/>
          <w:szCs w:val="24"/>
        </w:rPr>
        <w:t>occur at -20°</w:t>
      </w:r>
      <w:r>
        <w:rPr>
          <w:rFonts w:cs="Times New Roman"/>
          <w:sz w:val="24"/>
          <w:szCs w:val="24"/>
        </w:rPr>
        <w:t xml:space="preserve"> </w:t>
      </w:r>
      <w:r w:rsidRPr="00BA7280">
        <w:rPr>
          <w:rFonts w:cs="Times New Roman"/>
          <w:sz w:val="24"/>
          <w:szCs w:val="24"/>
        </w:rPr>
        <w:t xml:space="preserve">C (J. </w:t>
      </w:r>
      <w:proofErr w:type="spellStart"/>
      <w:r w:rsidRPr="00BA7280">
        <w:rPr>
          <w:rFonts w:cs="Times New Roman"/>
          <w:sz w:val="24"/>
          <w:szCs w:val="24"/>
        </w:rPr>
        <w:t>Debruyn</w:t>
      </w:r>
      <w:proofErr w:type="spellEnd"/>
      <w:r w:rsidRPr="00BA7280">
        <w:rPr>
          <w:rFonts w:cs="Times New Roman"/>
          <w:sz w:val="24"/>
          <w:szCs w:val="24"/>
        </w:rPr>
        <w:t xml:space="preserve">, personal communication) while limiting nitrogen volatilization </w:t>
      </w:r>
      <w:r>
        <w:rPr>
          <w:rFonts w:cs="Times New Roman"/>
          <w:sz w:val="24"/>
          <w:szCs w:val="24"/>
        </w:rPr>
        <w:t xml:space="preserve">which </w:t>
      </w:r>
      <w:r w:rsidRPr="00BA7280">
        <w:rPr>
          <w:rFonts w:cs="Times New Roman"/>
          <w:sz w:val="24"/>
          <w:szCs w:val="24"/>
        </w:rPr>
        <w:t xml:space="preserve">occurs above 64° C. After treatment, no viable nematodes were observed in extracted soils prior to </w:t>
      </w:r>
      <w:r>
        <w:rPr>
          <w:rFonts w:cs="Times New Roman"/>
          <w:sz w:val="24"/>
          <w:szCs w:val="24"/>
        </w:rPr>
        <w:t xml:space="preserve">the </w:t>
      </w:r>
      <w:r w:rsidRPr="00BA7280">
        <w:rPr>
          <w:rFonts w:cs="Times New Roman"/>
          <w:sz w:val="24"/>
          <w:szCs w:val="24"/>
        </w:rPr>
        <w:t xml:space="preserve">beginning of the greenhouse study.   Six hundred grams of each </w:t>
      </w:r>
      <w:proofErr w:type="spellStart"/>
      <w:r w:rsidRPr="00BA7280">
        <w:rPr>
          <w:rFonts w:cs="Times New Roman"/>
          <w:sz w:val="24"/>
          <w:szCs w:val="24"/>
        </w:rPr>
        <w:t>defaunated</w:t>
      </w:r>
      <w:proofErr w:type="spellEnd"/>
      <w:r w:rsidRPr="00BA7280">
        <w:rPr>
          <w:rFonts w:cs="Times New Roman"/>
          <w:sz w:val="24"/>
          <w:szCs w:val="24"/>
        </w:rPr>
        <w:t xml:space="preserve"> soil was </w:t>
      </w:r>
      <w:r w:rsidRPr="00BA7280">
        <w:rPr>
          <w:rFonts w:cs="Times New Roman"/>
          <w:sz w:val="24"/>
          <w:szCs w:val="24"/>
        </w:rPr>
        <w:lastRenderedPageBreak/>
        <w:t xml:space="preserve">placed in </w:t>
      </w:r>
      <w:r>
        <w:rPr>
          <w:rFonts w:cs="Times New Roman"/>
          <w:sz w:val="24"/>
          <w:szCs w:val="24"/>
        </w:rPr>
        <w:t>500-ml size D</w:t>
      </w:r>
      <w:r w:rsidRPr="00BA7280">
        <w:rPr>
          <w:rFonts w:cs="Times New Roman"/>
          <w:sz w:val="24"/>
          <w:szCs w:val="24"/>
        </w:rPr>
        <w:t>-40 cone-</w:t>
      </w:r>
      <w:proofErr w:type="spellStart"/>
      <w:r w:rsidRPr="00BA7280">
        <w:rPr>
          <w:rFonts w:cs="Times New Roman"/>
          <w:sz w:val="24"/>
          <w:szCs w:val="24"/>
        </w:rPr>
        <w:t>tainers</w:t>
      </w:r>
      <w:proofErr w:type="spellEnd"/>
      <w:r w:rsidRPr="00BA7280">
        <w:rPr>
          <w:rFonts w:cs="Times New Roman"/>
          <w:sz w:val="24"/>
          <w:szCs w:val="24"/>
        </w:rPr>
        <w:t xml:space="preserve"> (</w:t>
      </w:r>
      <w:proofErr w:type="spellStart"/>
      <w:r w:rsidRPr="00BA7280">
        <w:rPr>
          <w:rFonts w:cs="Times New Roman"/>
          <w:sz w:val="24"/>
          <w:szCs w:val="24"/>
        </w:rPr>
        <w:t>Stuewe</w:t>
      </w:r>
      <w:proofErr w:type="spellEnd"/>
      <w:r w:rsidRPr="00BA7280">
        <w:rPr>
          <w:rFonts w:cs="Times New Roman"/>
          <w:sz w:val="24"/>
          <w:szCs w:val="24"/>
        </w:rPr>
        <w:t xml:space="preserve"> and Sons</w:t>
      </w:r>
      <w:r>
        <w:rPr>
          <w:rFonts w:cs="Times New Roman"/>
          <w:sz w:val="24"/>
          <w:szCs w:val="24"/>
        </w:rPr>
        <w:t>,</w:t>
      </w:r>
      <w:r w:rsidRPr="00BA7280">
        <w:rPr>
          <w:rFonts w:cs="Times New Roman"/>
          <w:sz w:val="24"/>
          <w:szCs w:val="24"/>
        </w:rPr>
        <w:t xml:space="preserve"> Tangent, OR).  </w:t>
      </w:r>
      <w:r>
        <w:rPr>
          <w:rFonts w:cs="Times New Roman"/>
          <w:sz w:val="24"/>
          <w:szCs w:val="24"/>
        </w:rPr>
        <w:t>Nematodes were extracted from an equivalent volume of soil, with the sugar</w:t>
      </w:r>
      <w:r w:rsidRPr="00BA7280">
        <w:rPr>
          <w:rFonts w:cs="Times New Roman"/>
          <w:sz w:val="24"/>
          <w:szCs w:val="24"/>
        </w:rPr>
        <w:t xml:space="preserve"> extraction method mentioned previously, and </w:t>
      </w:r>
      <w:r>
        <w:rPr>
          <w:rFonts w:cs="Times New Roman"/>
          <w:sz w:val="24"/>
          <w:szCs w:val="24"/>
        </w:rPr>
        <w:t>kept in</w:t>
      </w:r>
      <w:r w:rsidRPr="00BA7280">
        <w:rPr>
          <w:rFonts w:cs="Times New Roman"/>
          <w:sz w:val="24"/>
          <w:szCs w:val="24"/>
        </w:rPr>
        <w:t xml:space="preserve"> suspension in water by constant mixing.  This inoculum was added to their assigned soils, excluding the intact soil control and </w:t>
      </w:r>
      <w:proofErr w:type="spellStart"/>
      <w:r w:rsidRPr="00BA7280">
        <w:rPr>
          <w:rFonts w:cs="Times New Roman"/>
          <w:sz w:val="24"/>
          <w:szCs w:val="24"/>
        </w:rPr>
        <w:t>defaunated</w:t>
      </w:r>
      <w:proofErr w:type="spellEnd"/>
      <w:r w:rsidRPr="00BA7280">
        <w:rPr>
          <w:rFonts w:cs="Times New Roman"/>
          <w:sz w:val="24"/>
          <w:szCs w:val="24"/>
        </w:rPr>
        <w:t xml:space="preserve"> control.  To each control, an equivalent amount of nematode-free water was added.</w:t>
      </w:r>
    </w:p>
    <w:p w:rsidR="00AC49A4" w:rsidRDefault="00AC49A4" w:rsidP="003C0513">
      <w:pPr>
        <w:spacing w:line="480" w:lineRule="auto"/>
        <w:ind w:firstLine="720"/>
        <w:rPr>
          <w:rFonts w:cs="Times New Roman"/>
          <w:sz w:val="24"/>
          <w:szCs w:val="24"/>
        </w:rPr>
      </w:pPr>
      <w:r w:rsidRPr="00DA4B39">
        <w:rPr>
          <w:rFonts w:cs="Times New Roman"/>
          <w:sz w:val="24"/>
          <w:szCs w:val="24"/>
        </w:rPr>
        <w:t xml:space="preserve">In order to add any microbial species </w:t>
      </w:r>
      <w:r>
        <w:rPr>
          <w:rFonts w:cs="Times New Roman"/>
          <w:sz w:val="24"/>
          <w:szCs w:val="24"/>
        </w:rPr>
        <w:t xml:space="preserve">that </w:t>
      </w:r>
      <w:r w:rsidRPr="00DA4B39">
        <w:rPr>
          <w:rFonts w:cs="Times New Roman"/>
          <w:sz w:val="24"/>
          <w:szCs w:val="24"/>
        </w:rPr>
        <w:t xml:space="preserve">may have been killed in the </w:t>
      </w:r>
      <w:proofErr w:type="spellStart"/>
      <w:r w:rsidRPr="00DA4B39">
        <w:rPr>
          <w:rFonts w:cs="Times New Roman"/>
          <w:sz w:val="24"/>
          <w:szCs w:val="24"/>
        </w:rPr>
        <w:t>defaunation</w:t>
      </w:r>
      <w:proofErr w:type="spellEnd"/>
      <w:r w:rsidRPr="00DA4B39">
        <w:rPr>
          <w:rFonts w:cs="Times New Roman"/>
          <w:sz w:val="24"/>
          <w:szCs w:val="24"/>
        </w:rPr>
        <w:t xml:space="preserve"> process, </w:t>
      </w:r>
      <w:r>
        <w:rPr>
          <w:rFonts w:cs="Times New Roman"/>
          <w:sz w:val="24"/>
          <w:szCs w:val="24"/>
        </w:rPr>
        <w:t xml:space="preserve">for each soil type, </w:t>
      </w:r>
      <w:r w:rsidRPr="00DA4B39">
        <w:rPr>
          <w:rFonts w:cs="Times New Roman"/>
          <w:sz w:val="24"/>
          <w:szCs w:val="24"/>
        </w:rPr>
        <w:t>microbial inoculum was added by placing 100 g of non-</w:t>
      </w:r>
      <w:proofErr w:type="spellStart"/>
      <w:r w:rsidRPr="00DA4B39">
        <w:rPr>
          <w:rFonts w:cs="Times New Roman"/>
          <w:sz w:val="24"/>
          <w:szCs w:val="24"/>
        </w:rPr>
        <w:t>defaunated</w:t>
      </w:r>
      <w:proofErr w:type="spellEnd"/>
      <w:r w:rsidRPr="00DA4B39">
        <w:rPr>
          <w:rFonts w:cs="Times New Roman"/>
          <w:sz w:val="24"/>
          <w:szCs w:val="24"/>
        </w:rPr>
        <w:t xml:space="preserve"> soil </w:t>
      </w:r>
      <w:r>
        <w:rPr>
          <w:rFonts w:cs="Times New Roman"/>
          <w:sz w:val="24"/>
          <w:szCs w:val="24"/>
        </w:rPr>
        <w:t>o</w:t>
      </w:r>
      <w:r w:rsidRPr="00DA4B39">
        <w:rPr>
          <w:rFonts w:cs="Times New Roman"/>
          <w:sz w:val="24"/>
          <w:szCs w:val="24"/>
        </w:rPr>
        <w:t>n a 38</w:t>
      </w:r>
      <w:r>
        <w:rPr>
          <w:rFonts w:cs="Times New Roman"/>
          <w:sz w:val="24"/>
          <w:szCs w:val="24"/>
        </w:rPr>
        <w:t>-μm-pore</w:t>
      </w:r>
      <w:r w:rsidRPr="00DA4B39">
        <w:rPr>
          <w:rFonts w:cs="Times New Roman"/>
          <w:sz w:val="24"/>
          <w:szCs w:val="24"/>
        </w:rPr>
        <w:t xml:space="preserve"> sieve</w:t>
      </w:r>
      <w:r>
        <w:rPr>
          <w:rFonts w:cs="Times New Roman"/>
          <w:sz w:val="24"/>
          <w:szCs w:val="24"/>
        </w:rPr>
        <w:t xml:space="preserve"> and rinsing the soil with 100 ml tap water</w:t>
      </w:r>
      <w:r w:rsidRPr="00DA4B39">
        <w:rPr>
          <w:rFonts w:cs="Times New Roman"/>
          <w:sz w:val="24"/>
          <w:szCs w:val="24"/>
        </w:rPr>
        <w:t xml:space="preserve">, </w:t>
      </w:r>
      <w:r>
        <w:rPr>
          <w:rFonts w:cs="Times New Roman"/>
          <w:sz w:val="24"/>
          <w:szCs w:val="24"/>
        </w:rPr>
        <w:t xml:space="preserve">in order to extract microbes but exclude nematodes. The rinse water was collected in a beaker, </w:t>
      </w:r>
      <w:proofErr w:type="gramStart"/>
      <w:r>
        <w:rPr>
          <w:rFonts w:cs="Times New Roman"/>
          <w:sz w:val="24"/>
          <w:szCs w:val="24"/>
        </w:rPr>
        <w:t>then</w:t>
      </w:r>
      <w:proofErr w:type="gramEnd"/>
      <w:r>
        <w:rPr>
          <w:rFonts w:cs="Times New Roman"/>
          <w:sz w:val="24"/>
          <w:szCs w:val="24"/>
        </w:rPr>
        <w:t xml:space="preserve"> added equally to each Cone-</w:t>
      </w:r>
      <w:proofErr w:type="spellStart"/>
      <w:r>
        <w:rPr>
          <w:rFonts w:cs="Times New Roman"/>
          <w:sz w:val="24"/>
          <w:szCs w:val="24"/>
        </w:rPr>
        <w:t>tainer</w:t>
      </w:r>
      <w:proofErr w:type="spellEnd"/>
      <w:r>
        <w:rPr>
          <w:rFonts w:cs="Times New Roman"/>
          <w:sz w:val="24"/>
          <w:szCs w:val="24"/>
        </w:rPr>
        <w:t>.</w:t>
      </w:r>
      <w:r w:rsidRPr="00DA4B39">
        <w:rPr>
          <w:rFonts w:cs="Times New Roman"/>
          <w:sz w:val="24"/>
          <w:szCs w:val="24"/>
        </w:rPr>
        <w:t xml:space="preserve"> This method was repeated for each soil type.</w:t>
      </w:r>
    </w:p>
    <w:p w:rsidR="00AC49A4" w:rsidRPr="00DA4B39" w:rsidRDefault="00AC49A4" w:rsidP="003C0513">
      <w:pPr>
        <w:spacing w:line="480" w:lineRule="auto"/>
        <w:ind w:firstLine="720"/>
        <w:rPr>
          <w:rFonts w:cs="Times New Roman"/>
          <w:sz w:val="24"/>
          <w:szCs w:val="24"/>
        </w:rPr>
      </w:pPr>
      <w:r>
        <w:rPr>
          <w:rFonts w:cs="Times New Roman"/>
          <w:sz w:val="24"/>
          <w:szCs w:val="24"/>
        </w:rPr>
        <w:t xml:space="preserve">Seeds of </w:t>
      </w:r>
      <w:proofErr w:type="spellStart"/>
      <w:r w:rsidRPr="00DA4B39">
        <w:rPr>
          <w:rFonts w:cs="Times New Roman"/>
          <w:i/>
          <w:sz w:val="24"/>
          <w:szCs w:val="24"/>
        </w:rPr>
        <w:t>Cercis</w:t>
      </w:r>
      <w:proofErr w:type="spellEnd"/>
      <w:r w:rsidRPr="00DA4B39">
        <w:rPr>
          <w:rFonts w:cs="Times New Roman"/>
          <w:i/>
          <w:sz w:val="24"/>
          <w:szCs w:val="24"/>
        </w:rPr>
        <w:t xml:space="preserve"> </w:t>
      </w:r>
      <w:proofErr w:type="spellStart"/>
      <w:r w:rsidRPr="00DA4B39">
        <w:rPr>
          <w:rFonts w:cs="Times New Roman"/>
          <w:i/>
          <w:sz w:val="24"/>
          <w:szCs w:val="24"/>
        </w:rPr>
        <w:t>canadensis</w:t>
      </w:r>
      <w:proofErr w:type="spellEnd"/>
      <w:r w:rsidRPr="00DA4B39">
        <w:rPr>
          <w:rFonts w:cs="Times New Roman"/>
          <w:i/>
          <w:sz w:val="24"/>
          <w:szCs w:val="24"/>
        </w:rPr>
        <w:t xml:space="preserve"> </w:t>
      </w:r>
      <w:r>
        <w:rPr>
          <w:rFonts w:cs="Times New Roman"/>
          <w:sz w:val="24"/>
          <w:szCs w:val="24"/>
        </w:rPr>
        <w:t>L. (Eastern redbud)</w:t>
      </w:r>
      <w:r w:rsidRPr="00DA4B39">
        <w:rPr>
          <w:rFonts w:cs="Times New Roman"/>
          <w:sz w:val="24"/>
          <w:szCs w:val="24"/>
        </w:rPr>
        <w:t>, a non-nitrogen</w:t>
      </w:r>
      <w:r>
        <w:rPr>
          <w:rFonts w:cs="Times New Roman"/>
          <w:sz w:val="24"/>
          <w:szCs w:val="24"/>
        </w:rPr>
        <w:t>-</w:t>
      </w:r>
      <w:r w:rsidRPr="00DA4B39">
        <w:rPr>
          <w:rFonts w:cs="Times New Roman"/>
          <w:sz w:val="24"/>
          <w:szCs w:val="24"/>
        </w:rPr>
        <w:t>fixing tree species common in early successional hardwood forests, were o</w:t>
      </w:r>
      <w:r>
        <w:rPr>
          <w:rFonts w:cs="Times New Roman"/>
          <w:sz w:val="24"/>
          <w:szCs w:val="24"/>
        </w:rPr>
        <w:t>btained</w:t>
      </w:r>
      <w:r w:rsidRPr="00DA4B39">
        <w:rPr>
          <w:rFonts w:cs="Times New Roman"/>
          <w:sz w:val="24"/>
          <w:szCs w:val="24"/>
        </w:rPr>
        <w:t xml:space="preserve"> </w:t>
      </w:r>
      <w:r>
        <w:rPr>
          <w:rFonts w:cs="Times New Roman"/>
          <w:sz w:val="24"/>
          <w:szCs w:val="24"/>
        </w:rPr>
        <w:t>(</w:t>
      </w:r>
      <w:r w:rsidRPr="00DA4B39">
        <w:rPr>
          <w:rFonts w:cs="Times New Roman"/>
          <w:sz w:val="24"/>
          <w:szCs w:val="24"/>
        </w:rPr>
        <w:t>Sheffield Seed</w:t>
      </w:r>
      <w:r>
        <w:rPr>
          <w:rFonts w:cs="Times New Roman"/>
          <w:sz w:val="24"/>
          <w:szCs w:val="24"/>
        </w:rPr>
        <w:t>, Locke, NY)</w:t>
      </w:r>
      <w:r w:rsidRPr="00DA4B39">
        <w:rPr>
          <w:rFonts w:cs="Times New Roman"/>
          <w:sz w:val="24"/>
          <w:szCs w:val="24"/>
        </w:rPr>
        <w:t>.  Seeds were stratified in</w:t>
      </w:r>
      <w:r>
        <w:rPr>
          <w:rFonts w:cs="Times New Roman"/>
          <w:sz w:val="24"/>
          <w:szCs w:val="24"/>
        </w:rPr>
        <w:t xml:space="preserve"> boiling water and soaked for 24</w:t>
      </w:r>
      <w:r w:rsidRPr="00DA4B39">
        <w:rPr>
          <w:rFonts w:cs="Times New Roman"/>
          <w:sz w:val="24"/>
          <w:szCs w:val="24"/>
        </w:rPr>
        <w:t xml:space="preserve"> hours</w:t>
      </w:r>
      <w:r>
        <w:rPr>
          <w:rFonts w:cs="Times New Roman"/>
          <w:sz w:val="24"/>
          <w:szCs w:val="24"/>
        </w:rPr>
        <w:t>,</w:t>
      </w:r>
      <w:r w:rsidRPr="00DA4B39">
        <w:rPr>
          <w:rFonts w:cs="Times New Roman"/>
          <w:sz w:val="24"/>
          <w:szCs w:val="24"/>
        </w:rPr>
        <w:t xml:space="preserve"> then placed in moist peat moss in a sealed plastic bag and </w:t>
      </w:r>
      <w:r>
        <w:rPr>
          <w:rFonts w:cs="Times New Roman"/>
          <w:sz w:val="24"/>
          <w:szCs w:val="24"/>
        </w:rPr>
        <w:t>stratified</w:t>
      </w:r>
      <w:r w:rsidRPr="00DA4B39">
        <w:rPr>
          <w:rFonts w:cs="Times New Roman"/>
          <w:sz w:val="24"/>
          <w:szCs w:val="24"/>
        </w:rPr>
        <w:t xml:space="preserve"> at 4</w:t>
      </w:r>
      <w:r w:rsidRPr="00BA7280">
        <w:rPr>
          <w:rFonts w:cs="Times New Roman"/>
          <w:sz w:val="24"/>
          <w:szCs w:val="24"/>
        </w:rPr>
        <w:t>°</w:t>
      </w:r>
      <w:r>
        <w:rPr>
          <w:rFonts w:cs="Times New Roman"/>
          <w:sz w:val="24"/>
          <w:szCs w:val="24"/>
        </w:rPr>
        <w:t xml:space="preserve"> </w:t>
      </w:r>
      <w:r w:rsidRPr="00DA4B39">
        <w:rPr>
          <w:rFonts w:cs="Times New Roman"/>
          <w:sz w:val="24"/>
          <w:szCs w:val="24"/>
        </w:rPr>
        <w:t xml:space="preserve">C for 30 days.  </w:t>
      </w:r>
      <w:r>
        <w:rPr>
          <w:rFonts w:cs="Times New Roman"/>
          <w:sz w:val="24"/>
          <w:szCs w:val="24"/>
        </w:rPr>
        <w:t>The stratified s</w:t>
      </w:r>
      <w:r w:rsidRPr="00DA4B39">
        <w:rPr>
          <w:rFonts w:cs="Times New Roman"/>
          <w:sz w:val="24"/>
          <w:szCs w:val="24"/>
        </w:rPr>
        <w:t xml:space="preserve">eeds were </w:t>
      </w:r>
      <w:r>
        <w:rPr>
          <w:rFonts w:cs="Times New Roman"/>
          <w:sz w:val="24"/>
          <w:szCs w:val="24"/>
        </w:rPr>
        <w:t>then moved to trays of vermiculite in the greenhouse and allowed to germinate.</w:t>
      </w:r>
      <w:r w:rsidRPr="00DA4B39">
        <w:rPr>
          <w:rFonts w:cs="Times New Roman"/>
          <w:sz w:val="24"/>
          <w:szCs w:val="24"/>
        </w:rPr>
        <w:t xml:space="preserve"> </w:t>
      </w:r>
      <w:r>
        <w:rPr>
          <w:rFonts w:cs="Times New Roman"/>
          <w:sz w:val="24"/>
          <w:szCs w:val="24"/>
        </w:rPr>
        <w:t xml:space="preserve">Seedlings were grown to the two true-leaf </w:t>
      </w:r>
      <w:proofErr w:type="gramStart"/>
      <w:r>
        <w:rPr>
          <w:rFonts w:cs="Times New Roman"/>
          <w:sz w:val="24"/>
          <w:szCs w:val="24"/>
        </w:rPr>
        <w:t>stage</w:t>
      </w:r>
      <w:proofErr w:type="gramEnd"/>
      <w:r>
        <w:rPr>
          <w:rFonts w:cs="Times New Roman"/>
          <w:sz w:val="24"/>
          <w:szCs w:val="24"/>
        </w:rPr>
        <w:t xml:space="preserve"> (approximately three weeks), then one seedling was planted in each Cone-</w:t>
      </w:r>
      <w:proofErr w:type="spellStart"/>
      <w:r>
        <w:rPr>
          <w:rFonts w:cs="Times New Roman"/>
          <w:sz w:val="24"/>
          <w:szCs w:val="24"/>
        </w:rPr>
        <w:t>tainer</w:t>
      </w:r>
      <w:proofErr w:type="spellEnd"/>
      <w:r>
        <w:rPr>
          <w:rFonts w:cs="Times New Roman"/>
          <w:sz w:val="24"/>
          <w:szCs w:val="24"/>
        </w:rPr>
        <w:t>. After</w:t>
      </w:r>
      <w:r w:rsidRPr="00DA4B39">
        <w:rPr>
          <w:rFonts w:cs="Times New Roman"/>
          <w:sz w:val="24"/>
          <w:szCs w:val="24"/>
        </w:rPr>
        <w:t xml:space="preserve"> fourteen weeks, seedlings were harvested and cut above the root collar.  Plants were dried in a 60</w:t>
      </w:r>
      <w:r w:rsidRPr="00BA7280">
        <w:rPr>
          <w:rFonts w:cs="Times New Roman"/>
          <w:sz w:val="24"/>
          <w:szCs w:val="24"/>
        </w:rPr>
        <w:t>°</w:t>
      </w:r>
      <w:r w:rsidRPr="00DA4B39">
        <w:rPr>
          <w:rFonts w:cs="Times New Roman"/>
          <w:sz w:val="24"/>
          <w:szCs w:val="24"/>
        </w:rPr>
        <w:t xml:space="preserve"> C oven for 72 hours (</w:t>
      </w:r>
      <w:proofErr w:type="spellStart"/>
      <w:r>
        <w:rPr>
          <w:rFonts w:cs="Times New Roman"/>
          <w:sz w:val="24"/>
          <w:szCs w:val="24"/>
        </w:rPr>
        <w:t>Cornelissen</w:t>
      </w:r>
      <w:proofErr w:type="spellEnd"/>
      <w:r>
        <w:rPr>
          <w:rFonts w:cs="Times New Roman"/>
          <w:sz w:val="24"/>
          <w:szCs w:val="24"/>
        </w:rPr>
        <w:t>, 2003</w:t>
      </w:r>
      <w:r w:rsidRPr="00DA4B39">
        <w:rPr>
          <w:rFonts w:cs="Times New Roman"/>
          <w:sz w:val="24"/>
          <w:szCs w:val="24"/>
        </w:rPr>
        <w:t>) and weighed</w:t>
      </w:r>
      <w:r>
        <w:rPr>
          <w:rFonts w:cs="Times New Roman"/>
          <w:sz w:val="24"/>
          <w:szCs w:val="24"/>
        </w:rPr>
        <w:t xml:space="preserve"> to the nearest 0.01 g</w:t>
      </w:r>
      <w:r w:rsidRPr="00DA4B39">
        <w:rPr>
          <w:rFonts w:cs="Times New Roman"/>
          <w:sz w:val="24"/>
          <w:szCs w:val="24"/>
        </w:rPr>
        <w:t xml:space="preserve">. </w:t>
      </w:r>
    </w:p>
    <w:p w:rsidR="00AC49A4" w:rsidRPr="00BA7280" w:rsidRDefault="00AC49A4" w:rsidP="003C0513">
      <w:pPr>
        <w:spacing w:line="480" w:lineRule="auto"/>
        <w:ind w:firstLine="720"/>
        <w:rPr>
          <w:rFonts w:cs="Times New Roman"/>
          <w:sz w:val="24"/>
          <w:szCs w:val="24"/>
        </w:rPr>
      </w:pPr>
      <w:r>
        <w:rPr>
          <w:rFonts w:cs="Times New Roman"/>
          <w:sz w:val="24"/>
          <w:szCs w:val="24"/>
        </w:rPr>
        <w:t>Above-ground</w:t>
      </w:r>
      <w:r w:rsidRPr="00BA7280">
        <w:rPr>
          <w:rFonts w:cs="Times New Roman"/>
          <w:sz w:val="24"/>
          <w:szCs w:val="24"/>
        </w:rPr>
        <w:t xml:space="preserve"> biomass and intact control soils were assessed for carbon and nitrogen.  Dried leaves were collected and ground for analysis </w:t>
      </w:r>
      <w:proofErr w:type="spellStart"/>
      <w:r>
        <w:rPr>
          <w:rFonts w:cs="Times New Roman"/>
          <w:sz w:val="24"/>
          <w:szCs w:val="24"/>
        </w:rPr>
        <w:t>with</w:t>
      </w:r>
      <w:r w:rsidRPr="00BA7280">
        <w:rPr>
          <w:rFonts w:cs="Times New Roman"/>
          <w:sz w:val="24"/>
          <w:szCs w:val="24"/>
        </w:rPr>
        <w:t>using</w:t>
      </w:r>
      <w:proofErr w:type="spellEnd"/>
      <w:r w:rsidRPr="00BA7280">
        <w:rPr>
          <w:rFonts w:cs="Times New Roman"/>
          <w:sz w:val="24"/>
          <w:szCs w:val="24"/>
        </w:rPr>
        <w:t xml:space="preserve"> a </w:t>
      </w:r>
      <w:proofErr w:type="spellStart"/>
      <w:r w:rsidRPr="00BA7280">
        <w:rPr>
          <w:rFonts w:cs="Times New Roman"/>
          <w:sz w:val="24"/>
          <w:szCs w:val="24"/>
        </w:rPr>
        <w:t>PowerGen</w:t>
      </w:r>
      <w:proofErr w:type="spellEnd"/>
      <w:r w:rsidRPr="00BA7280">
        <w:rPr>
          <w:rFonts w:cs="Times New Roman"/>
          <w:sz w:val="24"/>
          <w:szCs w:val="24"/>
        </w:rPr>
        <w:t xml:space="preserve"> high through-put homogenizer (Fisher scientific).  Samples were tested for total carbon and nitrogen using a Flash 2000 Combustion CHNS/O analyzer (CE </w:t>
      </w:r>
      <w:proofErr w:type="spellStart"/>
      <w:r w:rsidRPr="00BA7280">
        <w:rPr>
          <w:rFonts w:cs="Times New Roman"/>
          <w:sz w:val="24"/>
          <w:szCs w:val="24"/>
        </w:rPr>
        <w:t>Elantech</w:t>
      </w:r>
      <w:proofErr w:type="spellEnd"/>
      <w:r w:rsidRPr="00BA7280">
        <w:rPr>
          <w:rFonts w:cs="Times New Roman"/>
          <w:sz w:val="24"/>
          <w:szCs w:val="24"/>
        </w:rPr>
        <w:t xml:space="preserve"> Lakewood, NJ).   </w:t>
      </w:r>
    </w:p>
    <w:p w:rsidR="00AC49A4" w:rsidRDefault="00AC49A4" w:rsidP="003C0513">
      <w:pPr>
        <w:spacing w:line="480" w:lineRule="auto"/>
        <w:ind w:firstLine="720"/>
        <w:rPr>
          <w:rFonts w:cs="Times New Roman"/>
          <w:sz w:val="24"/>
          <w:szCs w:val="24"/>
        </w:rPr>
      </w:pPr>
      <w:r>
        <w:rPr>
          <w:rFonts w:cs="Times New Roman"/>
          <w:sz w:val="24"/>
          <w:szCs w:val="24"/>
        </w:rPr>
        <w:lastRenderedPageBreak/>
        <w:t>Multiple analyses of variance</w:t>
      </w:r>
      <w:r w:rsidRPr="00BA7280">
        <w:rPr>
          <w:rFonts w:cs="Times New Roman"/>
          <w:sz w:val="24"/>
          <w:szCs w:val="24"/>
        </w:rPr>
        <w:t xml:space="preserve"> </w:t>
      </w:r>
      <w:r>
        <w:rPr>
          <w:rFonts w:cs="Times New Roman"/>
          <w:sz w:val="24"/>
          <w:szCs w:val="24"/>
        </w:rPr>
        <w:t>were</w:t>
      </w:r>
      <w:r w:rsidRPr="00BA7280">
        <w:rPr>
          <w:rFonts w:cs="Times New Roman"/>
          <w:sz w:val="24"/>
          <w:szCs w:val="24"/>
        </w:rPr>
        <w:t xml:space="preserve"> used to measure impact of nematode community, soil treatment, soil age, and interactions between these independent variables on plant biomass (above and below), leaf nitrogen content, and leaf</w:t>
      </w:r>
      <w:r>
        <w:rPr>
          <w:rFonts w:cs="Times New Roman"/>
          <w:sz w:val="24"/>
          <w:szCs w:val="24"/>
        </w:rPr>
        <w:t xml:space="preserve"> C</w:t>
      </w:r>
      <w:proofErr w:type="gramStart"/>
      <w:r>
        <w:rPr>
          <w:rFonts w:cs="Times New Roman"/>
          <w:sz w:val="24"/>
          <w:szCs w:val="24"/>
        </w:rPr>
        <w:t>:N</w:t>
      </w:r>
      <w:proofErr w:type="gramEnd"/>
      <w:r>
        <w:rPr>
          <w:rFonts w:cs="Times New Roman"/>
          <w:sz w:val="24"/>
          <w:szCs w:val="24"/>
        </w:rPr>
        <w:t xml:space="preserve"> ratio. </w:t>
      </w:r>
      <w:proofErr w:type="spellStart"/>
      <w:r>
        <w:rPr>
          <w:rFonts w:cs="Times New Roman"/>
          <w:sz w:val="24"/>
          <w:szCs w:val="24"/>
        </w:rPr>
        <w:t>Tukey’s</w:t>
      </w:r>
      <w:proofErr w:type="spellEnd"/>
      <w:r>
        <w:rPr>
          <w:rFonts w:cs="Times New Roman"/>
          <w:sz w:val="24"/>
          <w:szCs w:val="24"/>
        </w:rPr>
        <w:t xml:space="preserve"> </w:t>
      </w:r>
      <w:r w:rsidRPr="00BA7280">
        <w:rPr>
          <w:rFonts w:cs="Times New Roman"/>
          <w:sz w:val="24"/>
          <w:szCs w:val="24"/>
        </w:rPr>
        <w:t>test was used to measure statistical differences at a confidence level of P=</w:t>
      </w:r>
      <w:r>
        <w:rPr>
          <w:rFonts w:cs="Times New Roman"/>
          <w:sz w:val="24"/>
          <w:szCs w:val="24"/>
        </w:rPr>
        <w:t>0</w:t>
      </w:r>
      <w:r w:rsidRPr="00BA7280">
        <w:rPr>
          <w:rFonts w:cs="Times New Roman"/>
          <w:sz w:val="24"/>
          <w:szCs w:val="24"/>
        </w:rPr>
        <w:t xml:space="preserve"> .05.</w:t>
      </w:r>
    </w:p>
    <w:p w:rsidR="00AC49A4" w:rsidRDefault="00AC49A4">
      <w:pPr>
        <w:spacing w:after="200" w:line="276" w:lineRule="auto"/>
        <w:rPr>
          <w:rFonts w:cs="Times New Roman"/>
          <w:sz w:val="24"/>
          <w:szCs w:val="24"/>
        </w:rPr>
      </w:pPr>
      <w:r>
        <w:rPr>
          <w:rFonts w:cs="Times New Roman"/>
          <w:sz w:val="24"/>
          <w:szCs w:val="24"/>
        </w:rPr>
        <w:br w:type="page"/>
      </w:r>
    </w:p>
    <w:p w:rsidR="00AC49A4" w:rsidRPr="00BA7280" w:rsidRDefault="00AC49A4" w:rsidP="003C0513">
      <w:pPr>
        <w:spacing w:line="480" w:lineRule="auto"/>
        <w:rPr>
          <w:rFonts w:cs="Times New Roman"/>
          <w:sz w:val="24"/>
          <w:szCs w:val="24"/>
        </w:rPr>
      </w:pPr>
    </w:p>
    <w:p w:rsidR="00AC49A4" w:rsidRPr="006A79AB" w:rsidRDefault="00AC49A4" w:rsidP="003C0513">
      <w:pPr>
        <w:pStyle w:val="Heading1"/>
      </w:pPr>
      <w:bookmarkStart w:id="13" w:name="_Toc340837891"/>
      <w:r w:rsidRPr="006A79AB">
        <w:t>Results</w:t>
      </w:r>
      <w:bookmarkEnd w:id="13"/>
    </w:p>
    <w:p w:rsidR="00AC49A4" w:rsidRPr="00BA7280" w:rsidRDefault="00AC49A4" w:rsidP="003C0513">
      <w:pPr>
        <w:rPr>
          <w:rFonts w:cs="Times New Roman"/>
          <w:sz w:val="24"/>
          <w:szCs w:val="24"/>
        </w:rPr>
      </w:pP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A total of </w:t>
      </w:r>
      <w:r>
        <w:rPr>
          <w:rFonts w:cs="Times New Roman"/>
          <w:sz w:val="24"/>
          <w:szCs w:val="24"/>
        </w:rPr>
        <w:t>7,264</w:t>
      </w:r>
      <w:r w:rsidRPr="00BA7280">
        <w:rPr>
          <w:rFonts w:cs="Times New Roman"/>
          <w:sz w:val="24"/>
          <w:szCs w:val="24"/>
        </w:rPr>
        <w:t xml:space="preserve"> individual nematodes across all blocks were identified to </w:t>
      </w:r>
      <w:proofErr w:type="spellStart"/>
      <w:r w:rsidRPr="00BA7280">
        <w:rPr>
          <w:rFonts w:cs="Times New Roman"/>
          <w:sz w:val="24"/>
          <w:szCs w:val="24"/>
        </w:rPr>
        <w:t>morphospecies</w:t>
      </w:r>
      <w:proofErr w:type="spellEnd"/>
      <w:r w:rsidRPr="00BA7280">
        <w:rPr>
          <w:rFonts w:cs="Times New Roman"/>
          <w:sz w:val="24"/>
          <w:szCs w:val="24"/>
        </w:rPr>
        <w:t xml:space="preserve">: </w:t>
      </w:r>
      <w:r>
        <w:rPr>
          <w:rFonts w:cs="Times New Roman"/>
          <w:sz w:val="24"/>
          <w:szCs w:val="24"/>
        </w:rPr>
        <w:t>2,100</w:t>
      </w:r>
      <w:r w:rsidRPr="00BA7280">
        <w:rPr>
          <w:rFonts w:cs="Times New Roman"/>
          <w:sz w:val="24"/>
          <w:szCs w:val="24"/>
        </w:rPr>
        <w:t xml:space="preserve"> from Virginia plots, 3</w:t>
      </w:r>
      <w:r>
        <w:rPr>
          <w:rFonts w:cs="Times New Roman"/>
          <w:sz w:val="24"/>
          <w:szCs w:val="24"/>
        </w:rPr>
        <w:t>,</w:t>
      </w:r>
      <w:r w:rsidRPr="00BA7280">
        <w:rPr>
          <w:rFonts w:cs="Times New Roman"/>
          <w:sz w:val="24"/>
          <w:szCs w:val="24"/>
        </w:rPr>
        <w:t>1</w:t>
      </w:r>
      <w:r>
        <w:rPr>
          <w:rFonts w:cs="Times New Roman"/>
          <w:sz w:val="24"/>
          <w:szCs w:val="24"/>
        </w:rPr>
        <w:t>64 from Tennessee plots, and 2,000</w:t>
      </w:r>
      <w:r w:rsidRPr="00BA7280">
        <w:rPr>
          <w:rFonts w:cs="Times New Roman"/>
          <w:sz w:val="24"/>
          <w:szCs w:val="24"/>
        </w:rPr>
        <w:t xml:space="preserve"> from Kentucky.  Tennessee had the largest number of identified </w:t>
      </w:r>
      <w:proofErr w:type="spellStart"/>
      <w:r w:rsidRPr="00BA7280">
        <w:rPr>
          <w:rFonts w:cs="Times New Roman"/>
          <w:sz w:val="24"/>
          <w:szCs w:val="24"/>
        </w:rPr>
        <w:t>morphospecies</w:t>
      </w:r>
      <w:proofErr w:type="spellEnd"/>
      <w:r w:rsidRPr="00BA7280">
        <w:rPr>
          <w:rFonts w:cs="Times New Roman"/>
          <w:sz w:val="24"/>
          <w:szCs w:val="24"/>
        </w:rPr>
        <w:t xml:space="preserve"> with 1</w:t>
      </w:r>
      <w:r>
        <w:rPr>
          <w:rFonts w:cs="Times New Roman"/>
          <w:sz w:val="24"/>
          <w:szCs w:val="24"/>
        </w:rPr>
        <w:t>17</w:t>
      </w:r>
      <w:r w:rsidRPr="00BA7280">
        <w:rPr>
          <w:rFonts w:cs="Times New Roman"/>
          <w:sz w:val="24"/>
          <w:szCs w:val="24"/>
        </w:rPr>
        <w:t xml:space="preserve">, followed by </w:t>
      </w:r>
      <w:r>
        <w:rPr>
          <w:rFonts w:cs="Times New Roman"/>
          <w:sz w:val="24"/>
          <w:szCs w:val="24"/>
        </w:rPr>
        <w:t>79</w:t>
      </w:r>
      <w:r w:rsidRPr="00BA7280">
        <w:rPr>
          <w:rFonts w:cs="Times New Roman"/>
          <w:sz w:val="24"/>
          <w:szCs w:val="24"/>
        </w:rPr>
        <w:t xml:space="preserve"> in Kentucky and </w:t>
      </w:r>
      <w:r>
        <w:rPr>
          <w:rFonts w:cs="Times New Roman"/>
          <w:sz w:val="24"/>
          <w:szCs w:val="24"/>
        </w:rPr>
        <w:t>76</w:t>
      </w:r>
      <w:r w:rsidRPr="00BA7280">
        <w:rPr>
          <w:rFonts w:cs="Times New Roman"/>
          <w:sz w:val="24"/>
          <w:szCs w:val="24"/>
        </w:rPr>
        <w:t xml:space="preserve"> in Virginia. A total of 156 </w:t>
      </w:r>
      <w:proofErr w:type="spellStart"/>
      <w:r w:rsidRPr="00BA7280">
        <w:rPr>
          <w:rFonts w:cs="Times New Roman"/>
          <w:sz w:val="24"/>
          <w:szCs w:val="24"/>
        </w:rPr>
        <w:t>morphospecies</w:t>
      </w:r>
      <w:proofErr w:type="spellEnd"/>
      <w:r w:rsidRPr="00BA7280">
        <w:rPr>
          <w:rFonts w:cs="Times New Roman"/>
          <w:sz w:val="24"/>
          <w:szCs w:val="24"/>
        </w:rPr>
        <w:t xml:space="preserve"> were observed</w:t>
      </w:r>
      <w:r>
        <w:rPr>
          <w:rFonts w:cs="Times New Roman"/>
          <w:sz w:val="24"/>
          <w:szCs w:val="24"/>
        </w:rPr>
        <w:t xml:space="preserve"> (Table 4, Appendix). </w:t>
      </w:r>
    </w:p>
    <w:p w:rsidR="00AC49A4" w:rsidRDefault="00AC49A4" w:rsidP="003C0513">
      <w:pPr>
        <w:spacing w:line="480" w:lineRule="auto"/>
        <w:ind w:firstLine="720"/>
        <w:rPr>
          <w:rFonts w:cs="Times New Roman"/>
          <w:sz w:val="24"/>
          <w:szCs w:val="24"/>
        </w:rPr>
      </w:pPr>
      <w:r w:rsidRPr="00BA7280">
        <w:rPr>
          <w:rFonts w:cs="Times New Roman"/>
          <w:sz w:val="24"/>
          <w:szCs w:val="24"/>
        </w:rPr>
        <w:t>Nematode total abundance among soil treatments and over time were not significant</w:t>
      </w:r>
      <w:r>
        <w:rPr>
          <w:rFonts w:cs="Times New Roman"/>
          <w:sz w:val="24"/>
          <w:szCs w:val="24"/>
        </w:rPr>
        <w:t>ly different, although</w:t>
      </w:r>
      <w:r w:rsidRPr="00BA7280">
        <w:rPr>
          <w:rFonts w:cs="Times New Roman"/>
          <w:sz w:val="24"/>
          <w:szCs w:val="24"/>
        </w:rPr>
        <w:t xml:space="preserve"> young Surface Mining Control Act (SMCRA) soil had the lowest average abundances in all three states.  Total abundances were highly variable over time (Fig</w:t>
      </w:r>
      <w:r>
        <w:rPr>
          <w:rFonts w:cs="Times New Roman"/>
          <w:sz w:val="24"/>
          <w:szCs w:val="24"/>
        </w:rPr>
        <w:t>.</w:t>
      </w:r>
      <w:r w:rsidRPr="00BA7280">
        <w:rPr>
          <w:rFonts w:cs="Times New Roman"/>
          <w:sz w:val="24"/>
          <w:szCs w:val="24"/>
        </w:rPr>
        <w:t xml:space="preserve"> 1</w:t>
      </w:r>
      <w:r>
        <w:rPr>
          <w:rFonts w:cs="Times New Roman"/>
          <w:sz w:val="24"/>
          <w:szCs w:val="24"/>
        </w:rPr>
        <w:t>). The Kentucky block had</w:t>
      </w:r>
      <w:r w:rsidRPr="00BA7280">
        <w:rPr>
          <w:rFonts w:cs="Times New Roman"/>
          <w:sz w:val="24"/>
          <w:szCs w:val="24"/>
        </w:rPr>
        <w:t xml:space="preserve"> lower total abundances than either the Tennessee or Virginia </w:t>
      </w:r>
      <w:r>
        <w:rPr>
          <w:rFonts w:cs="Times New Roman"/>
          <w:sz w:val="24"/>
          <w:szCs w:val="24"/>
        </w:rPr>
        <w:t xml:space="preserve">blocks </w:t>
      </w:r>
      <w:r w:rsidRPr="00BA7280">
        <w:rPr>
          <w:rFonts w:cs="Times New Roman"/>
          <w:sz w:val="24"/>
          <w:szCs w:val="24"/>
        </w:rPr>
        <w:t xml:space="preserve">at the same age and treatment levels.  </w:t>
      </w:r>
      <w:proofErr w:type="spellStart"/>
      <w:r w:rsidRPr="00BA7280">
        <w:rPr>
          <w:rFonts w:cs="Times New Roman"/>
          <w:sz w:val="24"/>
          <w:szCs w:val="24"/>
        </w:rPr>
        <w:t>Unmined</w:t>
      </w:r>
      <w:proofErr w:type="spellEnd"/>
      <w:r w:rsidRPr="00BA7280">
        <w:rPr>
          <w:rFonts w:cs="Times New Roman"/>
          <w:sz w:val="24"/>
          <w:szCs w:val="24"/>
        </w:rPr>
        <w:t xml:space="preserve"> Kentucky forests averaged 40 nematodes per 100 cm</w:t>
      </w:r>
      <w:r w:rsidRPr="00BA7280">
        <w:rPr>
          <w:rFonts w:cs="Times New Roman"/>
          <w:sz w:val="24"/>
          <w:szCs w:val="24"/>
          <w:vertAlign w:val="superscript"/>
        </w:rPr>
        <w:t>3</w:t>
      </w:r>
      <w:r w:rsidRPr="00BA7280">
        <w:rPr>
          <w:rFonts w:cs="Times New Roman"/>
          <w:sz w:val="24"/>
          <w:szCs w:val="24"/>
        </w:rPr>
        <w:t xml:space="preserve"> of soil, while Tennessee and Virginia forests average 151 and 150 nematodes per 100 cm</w:t>
      </w:r>
      <w:r w:rsidRPr="00BA7280">
        <w:rPr>
          <w:rFonts w:cs="Times New Roman"/>
          <w:sz w:val="24"/>
          <w:szCs w:val="24"/>
          <w:vertAlign w:val="superscript"/>
        </w:rPr>
        <w:t>3</w:t>
      </w:r>
      <w:r>
        <w:rPr>
          <w:rFonts w:cs="Times New Roman"/>
          <w:sz w:val="24"/>
          <w:szCs w:val="24"/>
        </w:rPr>
        <w:t xml:space="preserve"> </w:t>
      </w:r>
      <w:proofErr w:type="gramStart"/>
      <w:r>
        <w:rPr>
          <w:rFonts w:cs="Times New Roman"/>
          <w:sz w:val="24"/>
          <w:szCs w:val="24"/>
        </w:rPr>
        <w:t>sample</w:t>
      </w:r>
      <w:proofErr w:type="gramEnd"/>
      <w:r>
        <w:rPr>
          <w:rFonts w:cs="Times New Roman"/>
          <w:sz w:val="24"/>
          <w:szCs w:val="24"/>
        </w:rPr>
        <w:t xml:space="preserve">, respectively. </w:t>
      </w:r>
    </w:p>
    <w:p w:rsidR="00AC49A4" w:rsidRDefault="00AC49A4" w:rsidP="003C0513">
      <w:pPr>
        <w:pStyle w:val="Heading2"/>
      </w:pPr>
      <w:bookmarkStart w:id="14" w:name="_Toc340837892"/>
      <w:r w:rsidRPr="00BA7280">
        <w:t>Trophic Abundance</w:t>
      </w:r>
      <w:bookmarkEnd w:id="14"/>
    </w:p>
    <w:p w:rsidR="00AC49A4" w:rsidRPr="0001420F" w:rsidRDefault="00AC49A4" w:rsidP="003C0513"/>
    <w:p w:rsidR="00AC49A4" w:rsidRDefault="00AC49A4" w:rsidP="003C0513">
      <w:pPr>
        <w:spacing w:line="480" w:lineRule="auto"/>
        <w:ind w:firstLine="720"/>
        <w:rPr>
          <w:rFonts w:cs="Times New Roman"/>
          <w:sz w:val="24"/>
          <w:szCs w:val="24"/>
        </w:rPr>
      </w:pPr>
      <w:r w:rsidRPr="00BA7280">
        <w:rPr>
          <w:rFonts w:cs="Times New Roman"/>
          <w:sz w:val="24"/>
          <w:szCs w:val="24"/>
        </w:rPr>
        <w:t xml:space="preserve">Younger sites </w:t>
      </w:r>
      <w:r>
        <w:rPr>
          <w:rFonts w:cs="Times New Roman"/>
          <w:sz w:val="24"/>
          <w:szCs w:val="24"/>
        </w:rPr>
        <w:t xml:space="preserve">were dominated by </w:t>
      </w:r>
      <w:proofErr w:type="spellStart"/>
      <w:r>
        <w:rPr>
          <w:rFonts w:cs="Times New Roman"/>
          <w:sz w:val="24"/>
          <w:szCs w:val="24"/>
        </w:rPr>
        <w:t>bacteri</w:t>
      </w:r>
      <w:r w:rsidRPr="00BA7280">
        <w:rPr>
          <w:rFonts w:cs="Times New Roman"/>
          <w:sz w:val="24"/>
          <w:szCs w:val="24"/>
        </w:rPr>
        <w:t>vores</w:t>
      </w:r>
      <w:proofErr w:type="spellEnd"/>
      <w:r w:rsidRPr="00BA7280">
        <w:rPr>
          <w:rFonts w:cs="Times New Roman"/>
          <w:sz w:val="24"/>
          <w:szCs w:val="24"/>
        </w:rPr>
        <w:t xml:space="preserve">, dominating total abundance in young sites across all blocks.  Bacterial abundance </w:t>
      </w:r>
      <w:r>
        <w:rPr>
          <w:rFonts w:cs="Times New Roman"/>
          <w:sz w:val="24"/>
          <w:szCs w:val="24"/>
        </w:rPr>
        <w:t>was</w:t>
      </w:r>
      <w:r w:rsidRPr="00BA7280">
        <w:rPr>
          <w:rFonts w:cs="Times New Roman"/>
          <w:sz w:val="24"/>
          <w:szCs w:val="24"/>
        </w:rPr>
        <w:t xml:space="preserve"> similar between Forestry Reclamation Approach (</w:t>
      </w:r>
      <w:r>
        <w:rPr>
          <w:rFonts w:cs="Times New Roman"/>
          <w:sz w:val="24"/>
          <w:szCs w:val="24"/>
        </w:rPr>
        <w:t xml:space="preserve">FRA) </w:t>
      </w:r>
      <w:r w:rsidRPr="00BA7280">
        <w:rPr>
          <w:rFonts w:cs="Times New Roman"/>
          <w:sz w:val="24"/>
          <w:szCs w:val="24"/>
        </w:rPr>
        <w:t xml:space="preserve">and un-mined forest plots in Kentucky, with </w:t>
      </w:r>
      <w:r>
        <w:rPr>
          <w:rFonts w:cs="Times New Roman"/>
          <w:sz w:val="24"/>
          <w:szCs w:val="24"/>
        </w:rPr>
        <w:t>Surface M</w:t>
      </w:r>
      <w:r w:rsidRPr="00BA7280">
        <w:rPr>
          <w:rFonts w:cs="Times New Roman"/>
          <w:sz w:val="24"/>
          <w:szCs w:val="24"/>
        </w:rPr>
        <w:t>ine Control and Reclamation Act</w:t>
      </w:r>
    </w:p>
    <w:p w:rsidR="00AC49A4" w:rsidRPr="00BA7280" w:rsidRDefault="00AC49A4" w:rsidP="003C0513">
      <w:pPr>
        <w:spacing w:line="480" w:lineRule="auto"/>
        <w:rPr>
          <w:rFonts w:cs="Times New Roman"/>
          <w:sz w:val="24"/>
          <w:szCs w:val="24"/>
        </w:rPr>
      </w:pPr>
      <w:proofErr w:type="gramStart"/>
      <w:r w:rsidRPr="00BA7280">
        <w:rPr>
          <w:rFonts w:cs="Times New Roman"/>
          <w:sz w:val="24"/>
          <w:szCs w:val="24"/>
        </w:rPr>
        <w:t>(SMCRA) plots containing fewer bacterial nematode</w:t>
      </w:r>
      <w:r>
        <w:rPr>
          <w:rFonts w:cs="Times New Roman"/>
          <w:sz w:val="24"/>
          <w:szCs w:val="24"/>
        </w:rPr>
        <w:t xml:space="preserve"> species.</w:t>
      </w:r>
      <w:proofErr w:type="gramEnd"/>
      <w:r>
        <w:rPr>
          <w:rFonts w:cs="Times New Roman"/>
          <w:sz w:val="24"/>
          <w:szCs w:val="24"/>
        </w:rPr>
        <w:t xml:space="preserve"> Additionally, </w:t>
      </w:r>
      <w:proofErr w:type="spellStart"/>
      <w:r>
        <w:rPr>
          <w:rFonts w:cs="Times New Roman"/>
          <w:sz w:val="24"/>
          <w:szCs w:val="24"/>
        </w:rPr>
        <w:t>bacterivore</w:t>
      </w:r>
      <w:proofErr w:type="spellEnd"/>
      <w:r>
        <w:rPr>
          <w:rFonts w:cs="Times New Roman"/>
          <w:sz w:val="24"/>
          <w:szCs w:val="24"/>
        </w:rPr>
        <w:t xml:space="preserve"> abundance increased</w:t>
      </w:r>
      <w:r w:rsidRPr="00BA7280">
        <w:rPr>
          <w:rFonts w:cs="Times New Roman"/>
          <w:sz w:val="24"/>
          <w:szCs w:val="24"/>
        </w:rPr>
        <w:t xml:space="preserve"> with</w:t>
      </w:r>
      <w:r>
        <w:rPr>
          <w:rFonts w:cs="Times New Roman"/>
          <w:sz w:val="24"/>
          <w:szCs w:val="24"/>
        </w:rPr>
        <w:t xml:space="preserve"> significantly</w:t>
      </w:r>
      <w:r w:rsidRPr="00BA7280">
        <w:rPr>
          <w:rFonts w:cs="Times New Roman"/>
          <w:sz w:val="24"/>
          <w:szCs w:val="24"/>
        </w:rPr>
        <w:t xml:space="preserve"> age in </w:t>
      </w:r>
      <w:r>
        <w:rPr>
          <w:rFonts w:cs="Times New Roman"/>
          <w:sz w:val="24"/>
          <w:szCs w:val="24"/>
        </w:rPr>
        <w:t>all sites</w:t>
      </w:r>
      <w:r w:rsidRPr="00BA7280">
        <w:rPr>
          <w:rFonts w:cs="Times New Roman"/>
          <w:sz w:val="24"/>
          <w:szCs w:val="24"/>
        </w:rPr>
        <w:t xml:space="preserve"> (Fig</w:t>
      </w:r>
      <w:r>
        <w:rPr>
          <w:rFonts w:cs="Times New Roman"/>
          <w:sz w:val="24"/>
          <w:szCs w:val="24"/>
        </w:rPr>
        <w:t>.</w:t>
      </w:r>
      <w:r w:rsidRPr="00BA7280">
        <w:rPr>
          <w:rFonts w:cs="Times New Roman"/>
          <w:sz w:val="24"/>
          <w:szCs w:val="24"/>
        </w:rPr>
        <w:t xml:space="preserve"> 2).</w:t>
      </w: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r w:rsidRPr="00BA7280">
        <w:rPr>
          <w:noProof/>
        </w:rPr>
        <w:lastRenderedPageBreak/>
        <w:drawing>
          <wp:inline distT="0" distB="0" distL="0" distR="0" wp14:anchorId="022B26AC" wp14:editId="4C7741BE">
            <wp:extent cx="5538158" cy="3243532"/>
            <wp:effectExtent l="0" t="0" r="24765" b="14605"/>
            <wp:docPr id="16400" name="Chart 164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C49A4" w:rsidRDefault="00AC49A4" w:rsidP="003C0513">
      <w:bookmarkStart w:id="15" w:name="_Toc340749991"/>
      <w:proofErr w:type="gramStart"/>
      <w:r>
        <w:t>Fig.</w:t>
      </w:r>
      <w:proofErr w:type="gramEnd"/>
      <w:r>
        <w:t xml:space="preserve"> </w:t>
      </w:r>
      <w:fldSimple w:instr=" SEQ Fig. \* ARABIC ">
        <w:r>
          <w:rPr>
            <w:noProof/>
          </w:rPr>
          <w:t>1</w:t>
        </w:r>
      </w:fldSimple>
      <w:r>
        <w:t xml:space="preserve">: Nematode abundance in Forestry Reclamation Approach (FRA) soils and Surface Mine Control and Reclamation Act soils (SMCRA) over a chronosequence, as well as an un-mined forest soil control.:. Bars represent mean values </w:t>
      </w:r>
      <w:r>
        <w:rPr>
          <w:rFonts w:cs="Times New Roman"/>
        </w:rPr>
        <w:t>±</w:t>
      </w:r>
      <w:r>
        <w:t xml:space="preserve"> standard error.</w:t>
      </w:r>
      <w:bookmarkEnd w:id="15"/>
      <w:r>
        <w:t xml:space="preserve">  </w:t>
      </w:r>
    </w:p>
    <w:p w:rsidR="00AC49A4" w:rsidRPr="00BA7280"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r w:rsidRPr="00BA7280">
        <w:rPr>
          <w:rFonts w:cs="Times New Roman"/>
          <w:sz w:val="24"/>
          <w:szCs w:val="24"/>
        </w:rPr>
        <w:t>Plant parasites increase</w:t>
      </w:r>
      <w:r>
        <w:rPr>
          <w:rFonts w:cs="Times New Roman"/>
          <w:sz w:val="24"/>
          <w:szCs w:val="24"/>
        </w:rPr>
        <w:t>d</w:t>
      </w:r>
      <w:r w:rsidRPr="00BA7280">
        <w:rPr>
          <w:rFonts w:cs="Times New Roman"/>
          <w:sz w:val="24"/>
          <w:szCs w:val="24"/>
        </w:rPr>
        <w:t xml:space="preserve"> with time since reclamation in both </w:t>
      </w:r>
      <w:r>
        <w:rPr>
          <w:rFonts w:cs="Times New Roman"/>
          <w:sz w:val="24"/>
          <w:szCs w:val="24"/>
        </w:rPr>
        <w:t xml:space="preserve">the </w:t>
      </w:r>
      <w:r w:rsidRPr="00BA7280">
        <w:rPr>
          <w:rFonts w:cs="Times New Roman"/>
          <w:sz w:val="24"/>
          <w:szCs w:val="24"/>
        </w:rPr>
        <w:t xml:space="preserve">Tennessee and Kentucky sites.   Predator abundance was greatest in intact forest as well as mid-aged treatments in Tennessee, and lowed in abundance in both young and older sites.  </w:t>
      </w:r>
      <w:proofErr w:type="spellStart"/>
      <w:r w:rsidRPr="00BA7280">
        <w:rPr>
          <w:rFonts w:cs="Times New Roman"/>
          <w:sz w:val="24"/>
          <w:szCs w:val="24"/>
        </w:rPr>
        <w:t>Fungivore</w:t>
      </w:r>
      <w:proofErr w:type="spellEnd"/>
      <w:r w:rsidRPr="00BA7280">
        <w:rPr>
          <w:rFonts w:cs="Times New Roman"/>
          <w:sz w:val="24"/>
          <w:szCs w:val="24"/>
        </w:rPr>
        <w:t xml:space="preserve"> and omnivore nematode abundance was not affected by treatment or age.</w:t>
      </w:r>
    </w:p>
    <w:p w:rsidR="00AC49A4" w:rsidRPr="00BA7280" w:rsidRDefault="00AC49A4" w:rsidP="003C0513">
      <w:pPr>
        <w:pStyle w:val="Heading2"/>
      </w:pPr>
      <w:bookmarkStart w:id="16" w:name="_Toc340837893"/>
      <w:r w:rsidRPr="00BA7280">
        <w:t>Richness</w:t>
      </w:r>
      <w:bookmarkEnd w:id="16"/>
    </w:p>
    <w:p w:rsidR="00AC49A4" w:rsidRDefault="00AC49A4" w:rsidP="003C0513">
      <w:pPr>
        <w:spacing w:line="480" w:lineRule="auto"/>
        <w:ind w:firstLine="720"/>
        <w:rPr>
          <w:rFonts w:cs="Times New Roman"/>
          <w:sz w:val="24"/>
          <w:szCs w:val="24"/>
        </w:rPr>
      </w:pPr>
      <w:r w:rsidRPr="00BA7280">
        <w:rPr>
          <w:rFonts w:cs="Times New Roman"/>
          <w:sz w:val="24"/>
          <w:szCs w:val="24"/>
        </w:rPr>
        <w:t>Average species richness was highest in Tennessee (</w:t>
      </w:r>
      <w:r>
        <w:rPr>
          <w:rFonts w:cs="Times New Roman"/>
          <w:sz w:val="24"/>
          <w:szCs w:val="24"/>
        </w:rPr>
        <w:t xml:space="preserve">mean value of </w:t>
      </w:r>
      <w:r w:rsidRPr="00BA7280">
        <w:rPr>
          <w:rFonts w:cs="Times New Roman"/>
          <w:sz w:val="24"/>
          <w:szCs w:val="24"/>
        </w:rPr>
        <w:t xml:space="preserve">19.4 </w:t>
      </w:r>
      <w:proofErr w:type="spellStart"/>
      <w:r w:rsidRPr="00BA7280">
        <w:rPr>
          <w:rFonts w:cs="Times New Roman"/>
          <w:sz w:val="24"/>
          <w:szCs w:val="24"/>
        </w:rPr>
        <w:t>mo</w:t>
      </w:r>
      <w:r>
        <w:rPr>
          <w:rFonts w:cs="Times New Roman"/>
          <w:sz w:val="24"/>
          <w:szCs w:val="24"/>
        </w:rPr>
        <w:t>r</w:t>
      </w:r>
      <w:r w:rsidRPr="00BA7280">
        <w:rPr>
          <w:rFonts w:cs="Times New Roman"/>
          <w:sz w:val="24"/>
          <w:szCs w:val="24"/>
        </w:rPr>
        <w:t>phospecies</w:t>
      </w:r>
      <w:proofErr w:type="spellEnd"/>
      <w:r w:rsidRPr="00BA7280">
        <w:rPr>
          <w:rFonts w:cs="Times New Roman"/>
          <w:sz w:val="24"/>
          <w:szCs w:val="24"/>
        </w:rPr>
        <w:t xml:space="preserve">, across all </w:t>
      </w:r>
      <w:r>
        <w:rPr>
          <w:rFonts w:cs="Times New Roman"/>
          <w:sz w:val="24"/>
          <w:szCs w:val="24"/>
        </w:rPr>
        <w:t>treatments</w:t>
      </w:r>
      <w:r w:rsidRPr="00BA7280">
        <w:rPr>
          <w:rFonts w:cs="Times New Roman"/>
          <w:sz w:val="24"/>
          <w:szCs w:val="24"/>
        </w:rPr>
        <w:t>)</w:t>
      </w:r>
      <w:proofErr w:type="gramStart"/>
      <w:r w:rsidRPr="00BA7280">
        <w:rPr>
          <w:rFonts w:cs="Times New Roman"/>
          <w:sz w:val="24"/>
          <w:szCs w:val="24"/>
        </w:rPr>
        <w:t>,</w:t>
      </w:r>
      <w:proofErr w:type="gramEnd"/>
      <w:r w:rsidRPr="00BA7280">
        <w:rPr>
          <w:rFonts w:cs="Times New Roman"/>
          <w:sz w:val="24"/>
          <w:szCs w:val="24"/>
        </w:rPr>
        <w:t xml:space="preserve"> with a similar species richness in both Kentucky (</w:t>
      </w:r>
      <w:r>
        <w:rPr>
          <w:rFonts w:cs="Times New Roman"/>
          <w:sz w:val="24"/>
          <w:szCs w:val="24"/>
        </w:rPr>
        <w:t xml:space="preserve">mean value of </w:t>
      </w:r>
      <w:r w:rsidRPr="00BA7280">
        <w:rPr>
          <w:rFonts w:cs="Times New Roman"/>
          <w:sz w:val="24"/>
          <w:szCs w:val="24"/>
        </w:rPr>
        <w:t xml:space="preserve">11.7 </w:t>
      </w:r>
      <w:proofErr w:type="spellStart"/>
      <w:r w:rsidRPr="00BA7280">
        <w:rPr>
          <w:rFonts w:cs="Times New Roman"/>
          <w:sz w:val="24"/>
          <w:szCs w:val="24"/>
        </w:rPr>
        <w:t>morphospecies</w:t>
      </w:r>
      <w:proofErr w:type="spellEnd"/>
      <w:r>
        <w:rPr>
          <w:rFonts w:cs="Times New Roman"/>
          <w:sz w:val="24"/>
          <w:szCs w:val="24"/>
        </w:rPr>
        <w:t xml:space="preserve"> across all treatments</w:t>
      </w:r>
      <w:r w:rsidRPr="00BA7280">
        <w:rPr>
          <w:rFonts w:cs="Times New Roman"/>
          <w:sz w:val="24"/>
          <w:szCs w:val="24"/>
        </w:rPr>
        <w:t>) and Virginia (</w:t>
      </w:r>
      <w:r>
        <w:rPr>
          <w:rFonts w:cs="Times New Roman"/>
          <w:sz w:val="24"/>
          <w:szCs w:val="24"/>
        </w:rPr>
        <w:t xml:space="preserve">mean </w:t>
      </w:r>
      <w:r w:rsidRPr="00BA7280">
        <w:rPr>
          <w:rFonts w:cs="Times New Roman"/>
          <w:sz w:val="24"/>
          <w:szCs w:val="24"/>
        </w:rPr>
        <w:t xml:space="preserve">13.2 </w:t>
      </w:r>
      <w:proofErr w:type="spellStart"/>
      <w:r w:rsidRPr="00BA7280">
        <w:rPr>
          <w:rFonts w:cs="Times New Roman"/>
          <w:sz w:val="24"/>
          <w:szCs w:val="24"/>
        </w:rPr>
        <w:t>morphospecies</w:t>
      </w:r>
      <w:proofErr w:type="spellEnd"/>
      <w:r>
        <w:rPr>
          <w:rFonts w:cs="Times New Roman"/>
          <w:sz w:val="24"/>
          <w:szCs w:val="24"/>
        </w:rPr>
        <w:t xml:space="preserve"> across all treatments</w:t>
      </w:r>
      <w:r w:rsidRPr="00BA7280">
        <w:rPr>
          <w:rFonts w:cs="Times New Roman"/>
          <w:sz w:val="24"/>
          <w:szCs w:val="24"/>
        </w:rPr>
        <w:t>) blocks (Fig</w:t>
      </w:r>
      <w:r>
        <w:rPr>
          <w:rFonts w:cs="Times New Roman"/>
          <w:sz w:val="24"/>
          <w:szCs w:val="24"/>
        </w:rPr>
        <w:t>.</w:t>
      </w:r>
      <w:r w:rsidRPr="00BA7280">
        <w:rPr>
          <w:rFonts w:cs="Times New Roman"/>
          <w:sz w:val="24"/>
          <w:szCs w:val="24"/>
        </w:rPr>
        <w:t xml:space="preserve"> 3). </w:t>
      </w:r>
      <w:r>
        <w:rPr>
          <w:rFonts w:cs="Times New Roman"/>
          <w:sz w:val="24"/>
          <w:szCs w:val="24"/>
        </w:rPr>
        <w:t xml:space="preserve"> The </w:t>
      </w:r>
      <w:r w:rsidRPr="00BA7280">
        <w:rPr>
          <w:rFonts w:cs="Times New Roman"/>
          <w:sz w:val="24"/>
          <w:szCs w:val="24"/>
        </w:rPr>
        <w:t>Tennessee</w:t>
      </w:r>
      <w:r>
        <w:rPr>
          <w:rFonts w:cs="Times New Roman"/>
          <w:sz w:val="24"/>
          <w:szCs w:val="24"/>
        </w:rPr>
        <w:t xml:space="preserve"> un-mined</w:t>
      </w:r>
      <w:r w:rsidRPr="00BA7280">
        <w:rPr>
          <w:rFonts w:cs="Times New Roman"/>
          <w:sz w:val="24"/>
          <w:szCs w:val="24"/>
        </w:rPr>
        <w:t xml:space="preserve"> forest site had the highest richness, with 39.6 species on average.</w:t>
      </w:r>
    </w:p>
    <w:p w:rsidR="00AC49A4" w:rsidRPr="00BA7280" w:rsidRDefault="00AC49A4" w:rsidP="003C0513">
      <w:pPr>
        <w:jc w:val="center"/>
      </w:pPr>
      <w:r w:rsidRPr="00BA7280">
        <w:rPr>
          <w:noProof/>
        </w:rPr>
        <w:lastRenderedPageBreak/>
        <w:drawing>
          <wp:inline distT="0" distB="0" distL="0" distR="0" wp14:anchorId="1621E4C7" wp14:editId="2D526D1A">
            <wp:extent cx="5046453" cy="2562045"/>
            <wp:effectExtent l="0" t="0" r="20955" b="10160"/>
            <wp:docPr id="16401" name="Chart 164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C49A4" w:rsidRPr="00BA7280" w:rsidRDefault="00AC49A4" w:rsidP="003C0513">
      <w:pPr>
        <w:jc w:val="center"/>
        <w:rPr>
          <w:noProof/>
        </w:rPr>
      </w:pPr>
      <w:r w:rsidRPr="00BA7280">
        <w:rPr>
          <w:noProof/>
        </w:rPr>
        <w:drawing>
          <wp:inline distT="0" distB="0" distL="0" distR="0" wp14:anchorId="4E304ADF" wp14:editId="2DB53158">
            <wp:extent cx="5046453" cy="2484408"/>
            <wp:effectExtent l="0" t="0" r="20955" b="11430"/>
            <wp:docPr id="16402" name="Chart 164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BA7280">
        <w:rPr>
          <w:noProof/>
        </w:rPr>
        <w:drawing>
          <wp:inline distT="0" distB="0" distL="0" distR="0" wp14:anchorId="1B32B8C4" wp14:editId="03E6E8BC">
            <wp:extent cx="5046453" cy="2458529"/>
            <wp:effectExtent l="0" t="0" r="20955" b="18415"/>
            <wp:docPr id="16403" name="Chart 164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C49A4" w:rsidRPr="00BA7280" w:rsidRDefault="00AC49A4" w:rsidP="003C0513">
      <w:pPr>
        <w:jc w:val="center"/>
      </w:pPr>
    </w:p>
    <w:p w:rsidR="00AC49A4" w:rsidRPr="00602CBB" w:rsidRDefault="00AC49A4" w:rsidP="003C0513">
      <w:bookmarkStart w:id="17" w:name="_Toc340749992"/>
      <w:proofErr w:type="gramStart"/>
      <w:r>
        <w:t>Fig.</w:t>
      </w:r>
      <w:proofErr w:type="gramEnd"/>
      <w:r>
        <w:t xml:space="preserve"> </w:t>
      </w:r>
      <w:fldSimple w:instr=" SEQ Fig. \* ARABIC ">
        <w:r>
          <w:rPr>
            <w:noProof/>
          </w:rPr>
          <w:t>2</w:t>
        </w:r>
      </w:fldSimple>
      <w:r>
        <w:t xml:space="preserve">: </w:t>
      </w:r>
      <w:r w:rsidRPr="005752C2">
        <w:t>Trophic abundance among Forestry Reclamation Approach (FRA), Surface Mining control and Reclamation Act (SMCRA), and forest soils based on block (TN, VA, and KY).</w:t>
      </w:r>
      <w:r w:rsidRPr="005C7592">
        <w:t xml:space="preserve"> </w:t>
      </w:r>
      <w:r>
        <w:t xml:space="preserve">Bars represent mean values </w:t>
      </w:r>
      <w:r>
        <w:rPr>
          <w:rFonts w:cs="Times New Roman"/>
        </w:rPr>
        <w:t>±</w:t>
      </w:r>
      <w:r>
        <w:t xml:space="preserve"> standard error.</w:t>
      </w:r>
      <w:bookmarkEnd w:id="17"/>
      <w:r>
        <w:t xml:space="preserve">  </w:t>
      </w:r>
    </w:p>
    <w:p w:rsidR="00AC49A4" w:rsidRPr="00BA7280" w:rsidRDefault="00AC49A4" w:rsidP="003C0513">
      <w:pPr>
        <w:pStyle w:val="Heading2"/>
      </w:pPr>
    </w:p>
    <w:p w:rsidR="00AC49A4" w:rsidRPr="00BA7280" w:rsidRDefault="00AC49A4" w:rsidP="003C0513">
      <w:pPr>
        <w:jc w:val="center"/>
      </w:pPr>
      <w:r w:rsidRPr="00BA7280">
        <w:rPr>
          <w:noProof/>
        </w:rPr>
        <w:drawing>
          <wp:inline distT="0" distB="0" distL="0" distR="0" wp14:anchorId="4C7B2A3F" wp14:editId="2C108456">
            <wp:extent cx="5922433" cy="3676650"/>
            <wp:effectExtent l="0" t="0" r="21590" b="19050"/>
            <wp:docPr id="16404" name="Chart 164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C49A4" w:rsidRPr="00602CBB" w:rsidRDefault="00AC49A4" w:rsidP="003C0513">
      <w:bookmarkStart w:id="18" w:name="_Toc340749993"/>
      <w:proofErr w:type="gramStart"/>
      <w:r>
        <w:t>Fig.</w:t>
      </w:r>
      <w:proofErr w:type="gramEnd"/>
      <w:r>
        <w:t xml:space="preserve"> </w:t>
      </w:r>
      <w:fldSimple w:instr=" SEQ Fig. \* ARABIC ">
        <w:r>
          <w:rPr>
            <w:noProof/>
          </w:rPr>
          <w:t>3</w:t>
        </w:r>
      </w:fldSimple>
      <w:r>
        <w:t xml:space="preserve">: Nematode richness in Forestry Reclamation Approach (FRA) soils, and Surface Mining Control and Reclamation Act soils (SMCRA) over a chronosequence, as well as an un-mined forest control.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18"/>
    </w:p>
    <w:p w:rsidR="00AC49A4" w:rsidRPr="00BA7280" w:rsidRDefault="00AC49A4" w:rsidP="003C0513">
      <w:pPr>
        <w:spacing w:line="480" w:lineRule="auto"/>
        <w:ind w:firstLine="720"/>
        <w:rPr>
          <w:rFonts w:cs="Times New Roman"/>
          <w:sz w:val="24"/>
          <w:szCs w:val="24"/>
        </w:rPr>
      </w:pP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Species richness was statistically similar between treatment groups of the same age in Virginia and Tennessee, however, the middle age SMCRA plot in Kentucky had similar richness to the un-mined forest, while middle age FRA site had lower richness than un-mined forest (</w:t>
      </w:r>
      <w:r>
        <w:rPr>
          <w:rFonts w:cs="Times New Roman"/>
          <w:sz w:val="24"/>
          <w:szCs w:val="24"/>
        </w:rPr>
        <w:t>Fig.</w:t>
      </w:r>
      <w:r w:rsidRPr="00BA7280">
        <w:rPr>
          <w:rFonts w:cs="Times New Roman"/>
          <w:sz w:val="24"/>
          <w:szCs w:val="24"/>
        </w:rPr>
        <w:t xml:space="preserve"> 4).</w:t>
      </w:r>
    </w:p>
    <w:p w:rsidR="00AC49A4" w:rsidRDefault="00AC49A4" w:rsidP="003C0513">
      <w:pPr>
        <w:spacing w:line="480" w:lineRule="auto"/>
        <w:ind w:firstLine="720"/>
        <w:rPr>
          <w:rFonts w:cs="Times New Roman"/>
          <w:sz w:val="24"/>
          <w:szCs w:val="24"/>
        </w:rPr>
      </w:pPr>
      <w:r>
        <w:rPr>
          <w:rFonts w:cs="Times New Roman"/>
          <w:sz w:val="24"/>
          <w:szCs w:val="24"/>
        </w:rPr>
        <w:t>Bacteria-</w:t>
      </w:r>
      <w:r w:rsidRPr="00BA7280">
        <w:rPr>
          <w:rFonts w:cs="Times New Roman"/>
          <w:sz w:val="24"/>
          <w:szCs w:val="24"/>
        </w:rPr>
        <w:t>feeding nematode richness increased across all states with age, while management technique had no effect on bacterial</w:t>
      </w:r>
      <w:r>
        <w:rPr>
          <w:rFonts w:cs="Times New Roman"/>
          <w:sz w:val="24"/>
          <w:szCs w:val="24"/>
        </w:rPr>
        <w:t>-feeder</w:t>
      </w:r>
      <w:r w:rsidRPr="00BA7280">
        <w:rPr>
          <w:rFonts w:cs="Times New Roman"/>
          <w:sz w:val="24"/>
          <w:szCs w:val="24"/>
        </w:rPr>
        <w:t xml:space="preserve"> richness (Fig</w:t>
      </w:r>
      <w:r>
        <w:rPr>
          <w:rFonts w:cs="Times New Roman"/>
          <w:sz w:val="24"/>
          <w:szCs w:val="24"/>
        </w:rPr>
        <w:t>.</w:t>
      </w:r>
      <w:r w:rsidRPr="00BA7280">
        <w:rPr>
          <w:rFonts w:cs="Times New Roman"/>
          <w:sz w:val="24"/>
          <w:szCs w:val="24"/>
        </w:rPr>
        <w:t xml:space="preserve"> 5). Plant parasites species richness increased with time in Tennessee plots.  Predator species richness was not influenced by management technique or age.</w:t>
      </w:r>
    </w:p>
    <w:p w:rsidR="00AC49A4" w:rsidRPr="00BA7280" w:rsidRDefault="00AC49A4" w:rsidP="003C0513">
      <w:pPr>
        <w:spacing w:line="480" w:lineRule="auto"/>
        <w:ind w:firstLine="720"/>
        <w:rPr>
          <w:rFonts w:cs="Times New Roman"/>
          <w:sz w:val="24"/>
          <w:szCs w:val="24"/>
        </w:rPr>
      </w:pPr>
    </w:p>
    <w:p w:rsidR="00AC49A4" w:rsidRPr="00BA7280" w:rsidRDefault="00AC49A4" w:rsidP="003C0513">
      <w:pPr>
        <w:jc w:val="center"/>
      </w:pPr>
      <w:r w:rsidRPr="00BA7280">
        <w:rPr>
          <w:noProof/>
        </w:rPr>
        <w:lastRenderedPageBreak/>
        <w:drawing>
          <wp:inline distT="0" distB="0" distL="0" distR="0" wp14:anchorId="10B19BBB" wp14:editId="08B0092A">
            <wp:extent cx="5656521" cy="2434856"/>
            <wp:effectExtent l="0" t="0" r="20955" b="2286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BA7280">
        <w:rPr>
          <w:noProof/>
        </w:rPr>
        <w:drawing>
          <wp:inline distT="0" distB="0" distL="0" distR="0" wp14:anchorId="645C3485" wp14:editId="4057CF39">
            <wp:extent cx="5667154" cy="2498651"/>
            <wp:effectExtent l="0" t="0" r="10160" b="1651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BA7280">
        <w:rPr>
          <w:noProof/>
        </w:rPr>
        <w:drawing>
          <wp:inline distT="0" distB="0" distL="0" distR="0" wp14:anchorId="03B58FAF" wp14:editId="6755D51C">
            <wp:extent cx="5645889" cy="2349795"/>
            <wp:effectExtent l="0" t="0" r="12065" b="1270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C49A4" w:rsidRPr="00BA7280" w:rsidRDefault="00AC49A4" w:rsidP="003C0513">
      <w:bookmarkStart w:id="19" w:name="_Toc340749994"/>
      <w:proofErr w:type="gramStart"/>
      <w:r>
        <w:t>Fig.</w:t>
      </w:r>
      <w:proofErr w:type="gramEnd"/>
      <w:r>
        <w:t xml:space="preserve"> </w:t>
      </w:r>
      <w:fldSimple w:instr=" SEQ Fig. \* ARABIC ">
        <w:r>
          <w:rPr>
            <w:noProof/>
          </w:rPr>
          <w:t>4</w:t>
        </w:r>
      </w:fldSimple>
      <w:r>
        <w:t xml:space="preserve">: </w:t>
      </w:r>
      <w:proofErr w:type="spellStart"/>
      <w:r>
        <w:t>Morphospecies</w:t>
      </w:r>
      <w:proofErr w:type="spellEnd"/>
      <w:r>
        <w:t xml:space="preserve"> richness among Forestry Reclamation Approach (FRA), Surface Mining Control and Reclamation Act (SMCRA), and un-mined soils based on block (TN, VA, and KY).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19"/>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lastRenderedPageBreak/>
        <w:t xml:space="preserve">Omnivore richness </w:t>
      </w:r>
      <w:r>
        <w:rPr>
          <w:rFonts w:cs="Times New Roman"/>
          <w:sz w:val="24"/>
          <w:szCs w:val="24"/>
        </w:rPr>
        <w:t>was</w:t>
      </w:r>
      <w:r w:rsidRPr="00BA7280">
        <w:rPr>
          <w:rFonts w:cs="Times New Roman"/>
          <w:sz w:val="24"/>
          <w:szCs w:val="24"/>
        </w:rPr>
        <w:t xml:space="preserve"> lowest in youngest sites averaging less than one omnivorous species per sample in the young SMCRA and FRA plots in all blocks, excluding the young FRA Tennessee site, with an average richness of 1.6 </w:t>
      </w:r>
      <w:proofErr w:type="spellStart"/>
      <w:r w:rsidRPr="00BA7280">
        <w:rPr>
          <w:rFonts w:cs="Times New Roman"/>
          <w:sz w:val="24"/>
          <w:szCs w:val="24"/>
        </w:rPr>
        <w:t>morphospecies</w:t>
      </w:r>
      <w:proofErr w:type="spellEnd"/>
      <w:r w:rsidRPr="00BA7280">
        <w:rPr>
          <w:rFonts w:cs="Times New Roman"/>
          <w:sz w:val="24"/>
          <w:szCs w:val="24"/>
        </w:rPr>
        <w:t xml:space="preserve"> per sample. Omnivores increase</w:t>
      </w:r>
      <w:r>
        <w:rPr>
          <w:rFonts w:cs="Times New Roman"/>
          <w:sz w:val="24"/>
          <w:szCs w:val="24"/>
        </w:rPr>
        <w:t>d</w:t>
      </w:r>
      <w:r w:rsidRPr="00BA7280">
        <w:rPr>
          <w:rFonts w:cs="Times New Roman"/>
          <w:sz w:val="24"/>
          <w:szCs w:val="24"/>
        </w:rPr>
        <w:t xml:space="preserve"> in number in older and un-mined plots.  </w:t>
      </w:r>
      <w:proofErr w:type="spellStart"/>
      <w:r w:rsidRPr="00BA7280">
        <w:rPr>
          <w:rFonts w:cs="Times New Roman"/>
          <w:sz w:val="24"/>
          <w:szCs w:val="24"/>
        </w:rPr>
        <w:t>Fungivore</w:t>
      </w:r>
      <w:proofErr w:type="spellEnd"/>
      <w:r w:rsidRPr="00BA7280">
        <w:rPr>
          <w:rFonts w:cs="Times New Roman"/>
          <w:sz w:val="24"/>
          <w:szCs w:val="24"/>
        </w:rPr>
        <w:t xml:space="preserve"> richness was not influenced by management technique or age, but tend</w:t>
      </w:r>
      <w:r>
        <w:rPr>
          <w:rFonts w:cs="Times New Roman"/>
          <w:sz w:val="24"/>
          <w:szCs w:val="24"/>
        </w:rPr>
        <w:t>ed</w:t>
      </w:r>
      <w:r w:rsidRPr="00BA7280">
        <w:rPr>
          <w:rFonts w:cs="Times New Roman"/>
          <w:sz w:val="24"/>
          <w:szCs w:val="24"/>
        </w:rPr>
        <w:t xml:space="preserve"> to be low in all plots across all blocks, as compared with richness levels of other feeding groups.</w:t>
      </w:r>
    </w:p>
    <w:p w:rsidR="00AC49A4" w:rsidRDefault="00AC49A4" w:rsidP="003C0513">
      <w:pPr>
        <w:pStyle w:val="Heading2"/>
      </w:pPr>
      <w:bookmarkStart w:id="20" w:name="_Toc340837894"/>
      <w:r w:rsidRPr="00BA7280">
        <w:t>Shannon Diversity</w:t>
      </w:r>
      <w:bookmarkEnd w:id="20"/>
    </w:p>
    <w:p w:rsidR="00AC49A4" w:rsidRPr="00BE13E6" w:rsidRDefault="00AC49A4" w:rsidP="003C0513"/>
    <w:p w:rsidR="00AC49A4" w:rsidRDefault="00AC49A4" w:rsidP="003C0513">
      <w:pPr>
        <w:spacing w:line="480" w:lineRule="auto"/>
        <w:ind w:firstLine="720"/>
        <w:rPr>
          <w:rFonts w:cs="Times New Roman"/>
          <w:sz w:val="24"/>
          <w:szCs w:val="24"/>
        </w:rPr>
      </w:pPr>
      <w:r w:rsidRPr="00BA7280">
        <w:rPr>
          <w:rFonts w:cs="Times New Roman"/>
          <w:sz w:val="24"/>
          <w:szCs w:val="24"/>
        </w:rPr>
        <w:t xml:space="preserve">Diversity ranged </w:t>
      </w:r>
      <w:r>
        <w:rPr>
          <w:rFonts w:cs="Times New Roman"/>
          <w:sz w:val="24"/>
          <w:szCs w:val="24"/>
        </w:rPr>
        <w:t>from</w:t>
      </w:r>
      <w:r w:rsidRPr="00BA7280">
        <w:rPr>
          <w:rFonts w:cs="Times New Roman"/>
          <w:sz w:val="24"/>
          <w:szCs w:val="24"/>
        </w:rPr>
        <w:t xml:space="preserve"> </w:t>
      </w:r>
      <w:r>
        <w:rPr>
          <w:rFonts w:cs="Times New Roman"/>
          <w:sz w:val="24"/>
          <w:szCs w:val="24"/>
        </w:rPr>
        <w:t>0.62 (young FRA Kentucky site) to</w:t>
      </w:r>
      <w:r w:rsidRPr="00BA7280">
        <w:rPr>
          <w:rFonts w:cs="Times New Roman"/>
          <w:sz w:val="24"/>
          <w:szCs w:val="24"/>
        </w:rPr>
        <w:t xml:space="preserve"> 3.13 (un-mined Tennesse</w:t>
      </w:r>
      <w:r>
        <w:rPr>
          <w:rFonts w:cs="Times New Roman"/>
          <w:sz w:val="24"/>
          <w:szCs w:val="24"/>
        </w:rPr>
        <w:t xml:space="preserve">e forest) (Fig. 6). </w:t>
      </w:r>
      <w:r w:rsidRPr="00BA7280">
        <w:rPr>
          <w:rFonts w:cs="Times New Roman"/>
          <w:sz w:val="24"/>
          <w:szCs w:val="24"/>
        </w:rPr>
        <w:t>Average Shannon diversity increased over time in both FRA and SMCRA treatments across all blocks (Fig</w:t>
      </w:r>
      <w:r>
        <w:rPr>
          <w:rFonts w:cs="Times New Roman"/>
          <w:sz w:val="24"/>
          <w:szCs w:val="24"/>
        </w:rPr>
        <w:t>s.</w:t>
      </w:r>
      <w:r w:rsidRPr="00BA7280">
        <w:rPr>
          <w:rFonts w:cs="Times New Roman"/>
          <w:sz w:val="24"/>
          <w:szCs w:val="24"/>
        </w:rPr>
        <w:t xml:space="preserve"> 7, 8 &amp; 9).  Old FRA and un-mined forest plots were statistically similar in Virginia.  Older FRA plots across all blocks had higher average Shannon diversi</w:t>
      </w:r>
      <w:r>
        <w:rPr>
          <w:rFonts w:cs="Times New Roman"/>
          <w:sz w:val="24"/>
          <w:szCs w:val="24"/>
        </w:rPr>
        <w:t>ties</w:t>
      </w:r>
      <w:r w:rsidRPr="00BA7280">
        <w:rPr>
          <w:rFonts w:cs="Times New Roman"/>
          <w:sz w:val="24"/>
          <w:szCs w:val="24"/>
        </w:rPr>
        <w:t xml:space="preserve"> than their corresponding SMCRA plots.   Shannon diversity of older FRA and both older SMCRA plots and middle aged SMCRA plots were similar to un-mined forests in Kentucky.  </w:t>
      </w:r>
    </w:p>
    <w:p w:rsidR="00AC49A4" w:rsidRDefault="00AC49A4" w:rsidP="003C0513">
      <w:pPr>
        <w:spacing w:line="480" w:lineRule="auto"/>
        <w:ind w:firstLine="720"/>
        <w:rPr>
          <w:rFonts w:cs="Times New Roman"/>
          <w:sz w:val="24"/>
          <w:szCs w:val="24"/>
        </w:rPr>
      </w:pPr>
    </w:p>
    <w:p w:rsidR="00AC49A4" w:rsidRPr="00BA7280" w:rsidRDefault="00AC49A4" w:rsidP="003C0513">
      <w:pPr>
        <w:rPr>
          <w:noProof/>
        </w:rPr>
      </w:pPr>
      <w:r w:rsidRPr="00BA7280">
        <w:rPr>
          <w:noProof/>
        </w:rPr>
        <w:lastRenderedPageBreak/>
        <w:drawing>
          <wp:inline distT="0" distB="0" distL="0" distR="0" wp14:anchorId="62DD7746" wp14:editId="6535AC0B">
            <wp:extent cx="5210355" cy="2389517"/>
            <wp:effectExtent l="0" t="0" r="9525" b="10795"/>
            <wp:docPr id="16409" name="Chart 164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BA7280">
        <w:rPr>
          <w:noProof/>
        </w:rPr>
        <w:drawing>
          <wp:inline distT="0" distB="0" distL="0" distR="0" wp14:anchorId="57160640" wp14:editId="02FAA071">
            <wp:extent cx="5209953" cy="2647507"/>
            <wp:effectExtent l="0" t="0" r="10160" b="19685"/>
            <wp:docPr id="16411" name="Chart 164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BA7280">
        <w:rPr>
          <w:noProof/>
        </w:rPr>
        <w:drawing>
          <wp:inline distT="0" distB="0" distL="0" distR="0" wp14:anchorId="63E9C4B3" wp14:editId="1A2BE2F8">
            <wp:extent cx="5209953" cy="2498651"/>
            <wp:effectExtent l="0" t="0" r="10160" b="16510"/>
            <wp:docPr id="16410" name="Chart 164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BA7280">
        <w:rPr>
          <w:noProof/>
        </w:rPr>
        <w:t xml:space="preserve"> </w:t>
      </w:r>
    </w:p>
    <w:p w:rsidR="00AC49A4" w:rsidRPr="00BA7280" w:rsidRDefault="00AC49A4" w:rsidP="003C0513">
      <w:pPr>
        <w:rPr>
          <w:noProof/>
        </w:rPr>
      </w:pPr>
      <w:bookmarkStart w:id="21" w:name="_Toc340749995"/>
      <w:proofErr w:type="gramStart"/>
      <w:r>
        <w:t>Fig.</w:t>
      </w:r>
      <w:proofErr w:type="gramEnd"/>
      <w:r>
        <w:t xml:space="preserve"> </w:t>
      </w:r>
      <w:fldSimple w:instr=" SEQ Fig. \* ARABIC ">
        <w:r>
          <w:rPr>
            <w:noProof/>
          </w:rPr>
          <w:t>5</w:t>
        </w:r>
      </w:fldSimple>
      <w:r>
        <w:t xml:space="preserve">: </w:t>
      </w:r>
      <w:r w:rsidRPr="008F2723">
        <w:t>Trophic richness among Forestry Reclamation Approach (FRA), Surface Mining Control and Reclamation Act (SMCRA), and forest soils based on block (TN, VA, and KY).</w:t>
      </w:r>
      <w:r>
        <w:t xml:space="preserve">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21"/>
    </w:p>
    <w:p w:rsidR="00AC49A4" w:rsidRPr="00BA7280" w:rsidRDefault="00AC49A4" w:rsidP="003C0513">
      <w:pPr>
        <w:jc w:val="center"/>
      </w:pPr>
      <w:r w:rsidRPr="00BA7280">
        <w:rPr>
          <w:noProof/>
        </w:rPr>
        <w:lastRenderedPageBreak/>
        <w:drawing>
          <wp:inline distT="0" distB="0" distL="0" distR="0" wp14:anchorId="20AF09B4" wp14:editId="76140E69">
            <wp:extent cx="5943600" cy="3689498"/>
            <wp:effectExtent l="0" t="0" r="19050" b="25400"/>
            <wp:docPr id="16412" name="Chart 164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C49A4" w:rsidRPr="00BA7280" w:rsidRDefault="00AC49A4" w:rsidP="003C0513">
      <w:bookmarkStart w:id="22" w:name="_Toc340749996"/>
      <w:proofErr w:type="gramStart"/>
      <w:r>
        <w:t>Fig.</w:t>
      </w:r>
      <w:proofErr w:type="gramEnd"/>
      <w:r>
        <w:t xml:space="preserve"> </w:t>
      </w:r>
      <w:fldSimple w:instr=" SEQ Fig. \* ARABIC ">
        <w:r>
          <w:rPr>
            <w:noProof/>
          </w:rPr>
          <w:t>6</w:t>
        </w:r>
      </w:fldSimple>
      <w:r>
        <w:t xml:space="preserve">: </w:t>
      </w:r>
      <w:r w:rsidRPr="008E7C30">
        <w:t xml:space="preserve">Shannon Diversity of nematode </w:t>
      </w:r>
      <w:proofErr w:type="spellStart"/>
      <w:r w:rsidRPr="008E7C30">
        <w:t>morphospecies</w:t>
      </w:r>
      <w:proofErr w:type="spellEnd"/>
      <w:r w:rsidRPr="008E7C30">
        <w:t xml:space="preserve"> in Forestry Reclamation Approach (FRA) soils, and Surface Mining Control and Reclamation Act soils (SMCRA) over a chronosequence, as well as an un-mined forest control.</w:t>
      </w:r>
      <w:r w:rsidRPr="002D1912">
        <w:t xml:space="preserve"> </w:t>
      </w:r>
      <w:r>
        <w:t xml:space="preserve">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22"/>
    </w:p>
    <w:p w:rsidR="00AC49A4" w:rsidRDefault="00AC49A4" w:rsidP="003C0513">
      <w:pPr>
        <w:jc w:val="center"/>
      </w:pPr>
    </w:p>
    <w:p w:rsidR="00AC49A4" w:rsidRPr="00BA7280" w:rsidRDefault="00AC49A4" w:rsidP="003C0513">
      <w:pPr>
        <w:jc w:val="center"/>
      </w:pPr>
      <w:r w:rsidRPr="00BA7280">
        <w:rPr>
          <w:noProof/>
        </w:rPr>
        <w:drawing>
          <wp:inline distT="0" distB="0" distL="0" distR="0" wp14:anchorId="7A79D20B" wp14:editId="2E7BF299">
            <wp:extent cx="5943600" cy="3009014"/>
            <wp:effectExtent l="0" t="0" r="19050" b="20320"/>
            <wp:docPr id="16388" name="Chart 16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C49A4" w:rsidRPr="00BA7280" w:rsidRDefault="00AC49A4" w:rsidP="003C0513">
      <w:bookmarkStart w:id="23" w:name="_Toc340749997"/>
      <w:proofErr w:type="gramStart"/>
      <w:r>
        <w:t>Fig.</w:t>
      </w:r>
      <w:proofErr w:type="gramEnd"/>
      <w:r>
        <w:t xml:space="preserve"> </w:t>
      </w:r>
      <w:fldSimple w:instr=" SEQ Fig. \* ARABIC ">
        <w:r>
          <w:rPr>
            <w:noProof/>
          </w:rPr>
          <w:t>7</w:t>
        </w:r>
      </w:fldSimple>
      <w:r>
        <w:t xml:space="preserve"> </w:t>
      </w:r>
      <w:r w:rsidRPr="000061C5">
        <w:t>Shannon diversity of nematodes among Forestry Reclamation Approach (FRA), Surface Mining Control and Reclamation soils (SMCRA), and intact forest soils in Virginia.</w:t>
      </w:r>
      <w:r>
        <w:t xml:space="preserve">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23"/>
    </w:p>
    <w:p w:rsidR="00AC49A4" w:rsidRPr="00602CBB" w:rsidRDefault="00AC49A4" w:rsidP="003C0513">
      <w:pPr>
        <w:jc w:val="center"/>
      </w:pPr>
      <w:r w:rsidRPr="00602CBB">
        <w:rPr>
          <w:noProof/>
        </w:rPr>
        <w:lastRenderedPageBreak/>
        <w:drawing>
          <wp:inline distT="0" distB="0" distL="0" distR="0" wp14:anchorId="6416A222" wp14:editId="5356E84A">
            <wp:extent cx="5943600" cy="3181350"/>
            <wp:effectExtent l="0" t="0" r="19050" b="19050"/>
            <wp:docPr id="16390" name="Chart 163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C49A4" w:rsidRPr="00BA7280" w:rsidRDefault="00AC49A4" w:rsidP="003C0513">
      <w:bookmarkStart w:id="24" w:name="_Toc340749998"/>
      <w:proofErr w:type="gramStart"/>
      <w:r>
        <w:t>Fig.</w:t>
      </w:r>
      <w:proofErr w:type="gramEnd"/>
      <w:r>
        <w:t xml:space="preserve"> </w:t>
      </w:r>
      <w:fldSimple w:instr=" SEQ Fig. \* ARABIC ">
        <w:r>
          <w:rPr>
            <w:noProof/>
          </w:rPr>
          <w:t>8</w:t>
        </w:r>
      </w:fldSimple>
      <w:r>
        <w:t xml:space="preserve">: </w:t>
      </w:r>
      <w:r w:rsidRPr="00E439BF">
        <w:t>Shannon Diversity of nematodes among Forestry Reclamation Approach (FRA), Surface Mining Control and Reclamation Act soils, and intact forest soils in Tennessee.</w:t>
      </w:r>
      <w:r>
        <w:t xml:space="preserve">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24"/>
    </w:p>
    <w:p w:rsidR="00AC49A4" w:rsidRDefault="00AC49A4" w:rsidP="003C0513">
      <w:pPr>
        <w:spacing w:line="480" w:lineRule="auto"/>
        <w:ind w:firstLine="720"/>
        <w:rPr>
          <w:rFonts w:cs="Times New Roman"/>
          <w:sz w:val="24"/>
          <w:szCs w:val="24"/>
        </w:rPr>
      </w:pPr>
    </w:p>
    <w:p w:rsidR="00AC49A4" w:rsidRPr="00BA7280" w:rsidRDefault="00AC49A4" w:rsidP="003C0513">
      <w:pPr>
        <w:jc w:val="center"/>
      </w:pPr>
      <w:r w:rsidRPr="00BA7280">
        <w:rPr>
          <w:noProof/>
        </w:rPr>
        <w:drawing>
          <wp:inline distT="0" distB="0" distL="0" distR="0" wp14:anchorId="481A34FA" wp14:editId="306F2959">
            <wp:extent cx="5943600" cy="3181350"/>
            <wp:effectExtent l="0" t="0" r="19050" b="19050"/>
            <wp:docPr id="16392" name="Chart 163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C49A4" w:rsidRPr="00BA7280" w:rsidRDefault="00AC49A4" w:rsidP="003C0513">
      <w:bookmarkStart w:id="25" w:name="_Toc340749999"/>
      <w:proofErr w:type="gramStart"/>
      <w:r>
        <w:t>Fig.</w:t>
      </w:r>
      <w:proofErr w:type="gramEnd"/>
      <w:r>
        <w:t xml:space="preserve"> </w:t>
      </w:r>
      <w:fldSimple w:instr=" SEQ Fig. \* ARABIC ">
        <w:r>
          <w:rPr>
            <w:noProof/>
          </w:rPr>
          <w:t>9</w:t>
        </w:r>
      </w:fldSimple>
      <w:r>
        <w:t xml:space="preserve">: </w:t>
      </w:r>
      <w:r w:rsidRPr="00291227">
        <w:t xml:space="preserve">Shannon Diversity of nematodes among forestry Reclamation Approach </w:t>
      </w:r>
      <w:proofErr w:type="gramStart"/>
      <w:r w:rsidRPr="00291227">
        <w:t>soils(</w:t>
      </w:r>
      <w:proofErr w:type="gramEnd"/>
      <w:r w:rsidRPr="00291227">
        <w:t>FRA), Surface Mining Control and Reclamation Act soils (SMCRA), and intact forest soils in Kentucky.</w:t>
      </w:r>
      <w:r>
        <w:t xml:space="preserve">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25"/>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r>
        <w:rPr>
          <w:rFonts w:cs="Times New Roman"/>
          <w:sz w:val="24"/>
          <w:szCs w:val="24"/>
        </w:rPr>
        <w:lastRenderedPageBreak/>
        <w:t>Numerous interactions were detected by means of canonical correspondence analysis among</w:t>
      </w:r>
      <w:r w:rsidRPr="00BA7280">
        <w:rPr>
          <w:rFonts w:cs="Times New Roman"/>
          <w:sz w:val="24"/>
          <w:szCs w:val="24"/>
        </w:rPr>
        <w:t xml:space="preserve"> nematode </w:t>
      </w:r>
      <w:proofErr w:type="spellStart"/>
      <w:r w:rsidRPr="00BA7280">
        <w:rPr>
          <w:rFonts w:cs="Times New Roman"/>
          <w:sz w:val="24"/>
          <w:szCs w:val="24"/>
        </w:rPr>
        <w:t>morphospecies</w:t>
      </w:r>
      <w:proofErr w:type="spellEnd"/>
      <w:r w:rsidRPr="00BA7280">
        <w:rPr>
          <w:rFonts w:cs="Times New Roman"/>
          <w:sz w:val="24"/>
          <w:szCs w:val="24"/>
        </w:rPr>
        <w:t xml:space="preserve"> and environmental traits (Fig</w:t>
      </w:r>
      <w:r>
        <w:rPr>
          <w:rFonts w:cs="Times New Roman"/>
          <w:sz w:val="24"/>
          <w:szCs w:val="24"/>
        </w:rPr>
        <w:t>.</w:t>
      </w:r>
      <w:r w:rsidRPr="00BA7280">
        <w:rPr>
          <w:rFonts w:cs="Times New Roman"/>
          <w:sz w:val="24"/>
          <w:szCs w:val="24"/>
        </w:rPr>
        <w:t xml:space="preserve"> 10). Shannon diversity and richness were positively associated with intact forest plots</w:t>
      </w:r>
      <w:r>
        <w:rPr>
          <w:rFonts w:cs="Times New Roman"/>
          <w:sz w:val="24"/>
          <w:szCs w:val="24"/>
        </w:rPr>
        <w:t xml:space="preserve"> and </w:t>
      </w:r>
      <w:r w:rsidRPr="00BA7280">
        <w:rPr>
          <w:rFonts w:cs="Times New Roman"/>
          <w:sz w:val="24"/>
          <w:szCs w:val="24"/>
        </w:rPr>
        <w:t xml:space="preserve">FRA plots.  Plot slope and SMCRA sites </w:t>
      </w:r>
      <w:r>
        <w:rPr>
          <w:rFonts w:cs="Times New Roman"/>
          <w:sz w:val="24"/>
          <w:szCs w:val="24"/>
        </w:rPr>
        <w:t>were</w:t>
      </w:r>
      <w:r w:rsidRPr="00BA7280">
        <w:rPr>
          <w:rFonts w:cs="Times New Roman"/>
          <w:sz w:val="24"/>
          <w:szCs w:val="24"/>
        </w:rPr>
        <w:t xml:space="preserve"> negatively associated with Shannon diversity and richness.  Several nematode </w:t>
      </w:r>
      <w:proofErr w:type="spellStart"/>
      <w:r w:rsidRPr="00BA7280">
        <w:rPr>
          <w:rFonts w:cs="Times New Roman"/>
          <w:sz w:val="24"/>
          <w:szCs w:val="24"/>
        </w:rPr>
        <w:t>morphospecies</w:t>
      </w:r>
      <w:proofErr w:type="spellEnd"/>
      <w:r w:rsidRPr="00BA7280">
        <w:rPr>
          <w:rFonts w:cs="Times New Roman"/>
          <w:sz w:val="24"/>
          <w:szCs w:val="24"/>
        </w:rPr>
        <w:t xml:space="preserve"> were found to be indicative of intact forest based on proximity</w:t>
      </w:r>
      <w:r>
        <w:rPr>
          <w:rFonts w:cs="Times New Roman"/>
          <w:sz w:val="24"/>
          <w:szCs w:val="24"/>
        </w:rPr>
        <w:t xml:space="preserve"> (Table</w:t>
      </w:r>
      <w:r w:rsidRPr="00BA7280">
        <w:rPr>
          <w:rFonts w:cs="Times New Roman"/>
          <w:sz w:val="24"/>
          <w:szCs w:val="24"/>
        </w:rPr>
        <w:t xml:space="preserve"> </w:t>
      </w:r>
      <w:r>
        <w:rPr>
          <w:rFonts w:cs="Times New Roman"/>
          <w:sz w:val="24"/>
          <w:szCs w:val="24"/>
        </w:rPr>
        <w:t>5)</w:t>
      </w:r>
      <w:r w:rsidRPr="00BA7280">
        <w:rPr>
          <w:rFonts w:cs="Times New Roman"/>
          <w:sz w:val="24"/>
          <w:szCs w:val="24"/>
        </w:rPr>
        <w:t xml:space="preserve">.  Additionally, several </w:t>
      </w:r>
      <w:proofErr w:type="spellStart"/>
      <w:r w:rsidRPr="00BA7280">
        <w:rPr>
          <w:rFonts w:cs="Times New Roman"/>
          <w:sz w:val="24"/>
          <w:szCs w:val="24"/>
        </w:rPr>
        <w:t>morphospecies</w:t>
      </w:r>
      <w:proofErr w:type="spellEnd"/>
      <w:r w:rsidRPr="00BA7280">
        <w:rPr>
          <w:rFonts w:cs="Times New Roman"/>
          <w:sz w:val="24"/>
          <w:szCs w:val="24"/>
        </w:rPr>
        <w:t xml:space="preserve"> were associated with </w:t>
      </w:r>
      <w:r>
        <w:rPr>
          <w:rFonts w:cs="Times New Roman"/>
          <w:sz w:val="24"/>
          <w:szCs w:val="24"/>
        </w:rPr>
        <w:t>SMCRA</w:t>
      </w:r>
      <w:r w:rsidRPr="00BA7280">
        <w:rPr>
          <w:rFonts w:cs="Times New Roman"/>
          <w:sz w:val="24"/>
          <w:szCs w:val="24"/>
        </w:rPr>
        <w:t xml:space="preserve"> sites and negatively associated with un-mined forest sites are described</w:t>
      </w:r>
      <w:r>
        <w:rPr>
          <w:rFonts w:cs="Times New Roman"/>
          <w:sz w:val="24"/>
          <w:szCs w:val="24"/>
        </w:rPr>
        <w:t xml:space="preserve"> </w:t>
      </w:r>
      <w:r w:rsidRPr="00BA7280">
        <w:rPr>
          <w:rFonts w:cs="Times New Roman"/>
          <w:sz w:val="24"/>
          <w:szCs w:val="24"/>
        </w:rPr>
        <w:t>(</w:t>
      </w:r>
      <w:r>
        <w:rPr>
          <w:rFonts w:cs="Times New Roman"/>
          <w:sz w:val="24"/>
          <w:szCs w:val="24"/>
        </w:rPr>
        <w:t>T</w:t>
      </w:r>
      <w:r w:rsidRPr="00BA7280">
        <w:rPr>
          <w:rFonts w:cs="Times New Roman"/>
          <w:sz w:val="24"/>
          <w:szCs w:val="24"/>
        </w:rPr>
        <w:t xml:space="preserve">able </w:t>
      </w:r>
      <w:r>
        <w:rPr>
          <w:rFonts w:cs="Times New Roman"/>
          <w:sz w:val="24"/>
          <w:szCs w:val="24"/>
        </w:rPr>
        <w:t>6</w:t>
      </w:r>
      <w:r w:rsidRPr="00BA7280">
        <w:rPr>
          <w:rFonts w:cs="Times New Roman"/>
          <w:sz w:val="24"/>
          <w:szCs w:val="24"/>
        </w:rPr>
        <w:t>).</w:t>
      </w:r>
      <w:r>
        <w:rPr>
          <w:rFonts w:cs="Times New Roman"/>
          <w:sz w:val="24"/>
          <w:szCs w:val="24"/>
        </w:rPr>
        <w:t xml:space="preserve"> </w:t>
      </w:r>
    </w:p>
    <w:p w:rsidR="00AC49A4" w:rsidRDefault="00AC49A4" w:rsidP="003C0513">
      <w:pPr>
        <w:spacing w:line="480" w:lineRule="auto"/>
        <w:ind w:firstLine="720"/>
        <w:rPr>
          <w:rFonts w:cs="Times New Roman"/>
          <w:sz w:val="24"/>
          <w:szCs w:val="24"/>
        </w:rPr>
      </w:pPr>
      <w:r>
        <w:rPr>
          <w:rFonts w:cs="Times New Roman"/>
          <w:sz w:val="24"/>
          <w:szCs w:val="24"/>
        </w:rPr>
        <w:t xml:space="preserve">All blocks had lower abundance and richness of forest indicator species in disturbed sites under both management treatments (excluding older FRA Kentucky sites) (Fig. 11). Tennessee forests had no </w:t>
      </w:r>
      <w:proofErr w:type="spellStart"/>
      <w:r w:rsidRPr="00602CBB">
        <w:rPr>
          <w:rFonts w:cs="Times New Roman"/>
          <w:i/>
          <w:sz w:val="24"/>
          <w:szCs w:val="24"/>
        </w:rPr>
        <w:t>Xiphenema</w:t>
      </w:r>
      <w:proofErr w:type="spellEnd"/>
      <w:r>
        <w:rPr>
          <w:rFonts w:cs="Times New Roman"/>
          <w:sz w:val="24"/>
          <w:szCs w:val="24"/>
        </w:rPr>
        <w:t xml:space="preserve"> sp. present.  In Virginia sites</w:t>
      </w:r>
      <w:r w:rsidRPr="00602CBB">
        <w:rPr>
          <w:rFonts w:cs="Times New Roman"/>
          <w:i/>
          <w:sz w:val="24"/>
          <w:szCs w:val="24"/>
        </w:rPr>
        <w:t xml:space="preserve">, </w:t>
      </w:r>
      <w:proofErr w:type="spellStart"/>
      <w:r w:rsidRPr="00602CBB">
        <w:rPr>
          <w:rFonts w:cs="Times New Roman"/>
          <w:i/>
          <w:sz w:val="24"/>
          <w:szCs w:val="24"/>
        </w:rPr>
        <w:t>Xiphenema</w:t>
      </w:r>
      <w:proofErr w:type="spellEnd"/>
      <w:r>
        <w:rPr>
          <w:rFonts w:cs="Times New Roman"/>
          <w:sz w:val="24"/>
          <w:szCs w:val="24"/>
        </w:rPr>
        <w:t xml:space="preserve"> species were the first indicator species to respond after disturbance. Richness of forest indicator species began to increase in the older disturbed sites.  Kentucky plots were the only location where nematode indicator species was higher in FRA sites than SMCRA sites.  In older FRA sites, </w:t>
      </w:r>
      <w:proofErr w:type="spellStart"/>
      <w:r w:rsidRPr="00602CBB">
        <w:rPr>
          <w:rFonts w:cs="Times New Roman"/>
          <w:i/>
          <w:sz w:val="24"/>
          <w:szCs w:val="24"/>
        </w:rPr>
        <w:t>Prismatolaimus</w:t>
      </w:r>
      <w:proofErr w:type="spellEnd"/>
      <w:r w:rsidRPr="00602CBB">
        <w:rPr>
          <w:rFonts w:cs="Times New Roman"/>
          <w:i/>
          <w:sz w:val="24"/>
          <w:szCs w:val="24"/>
        </w:rPr>
        <w:t xml:space="preserve">, </w:t>
      </w:r>
      <w:proofErr w:type="spellStart"/>
      <w:r w:rsidRPr="00602CBB">
        <w:rPr>
          <w:rFonts w:cs="Times New Roman"/>
          <w:i/>
          <w:sz w:val="24"/>
          <w:szCs w:val="24"/>
        </w:rPr>
        <w:t>Mylonchulus</w:t>
      </w:r>
      <w:proofErr w:type="spellEnd"/>
      <w:r>
        <w:rPr>
          <w:rFonts w:cs="Times New Roman"/>
          <w:sz w:val="24"/>
          <w:szCs w:val="24"/>
        </w:rPr>
        <w:t xml:space="preserve">, and </w:t>
      </w:r>
      <w:proofErr w:type="spellStart"/>
      <w:r w:rsidRPr="00602CBB">
        <w:rPr>
          <w:rFonts w:cs="Times New Roman"/>
          <w:i/>
          <w:sz w:val="24"/>
          <w:szCs w:val="24"/>
        </w:rPr>
        <w:t>Teratocephalus</w:t>
      </w:r>
      <w:proofErr w:type="spellEnd"/>
      <w:r>
        <w:rPr>
          <w:rFonts w:cs="Times New Roman"/>
          <w:sz w:val="24"/>
          <w:szCs w:val="24"/>
        </w:rPr>
        <w:t xml:space="preserve"> sp. abundance was higher than un-mined forest.</w:t>
      </w:r>
    </w:p>
    <w:p w:rsidR="00AC49A4" w:rsidRPr="00BA7280" w:rsidRDefault="00AC49A4" w:rsidP="003C0513">
      <w:pPr>
        <w:spacing w:line="480" w:lineRule="auto"/>
        <w:ind w:firstLine="720"/>
        <w:rPr>
          <w:rFonts w:cs="Times New Roman"/>
          <w:sz w:val="24"/>
          <w:szCs w:val="24"/>
        </w:rPr>
      </w:pPr>
      <w:r>
        <w:rPr>
          <w:rFonts w:cs="Times New Roman"/>
          <w:sz w:val="24"/>
          <w:szCs w:val="24"/>
        </w:rPr>
        <w:t xml:space="preserve">Native plant species had the strongest association with nematode </w:t>
      </w:r>
      <w:proofErr w:type="spellStart"/>
      <w:r>
        <w:rPr>
          <w:rFonts w:cs="Times New Roman"/>
          <w:sz w:val="24"/>
          <w:szCs w:val="24"/>
        </w:rPr>
        <w:t>morphospecies</w:t>
      </w:r>
      <w:proofErr w:type="spellEnd"/>
      <w:r>
        <w:rPr>
          <w:rFonts w:cs="Times New Roman"/>
          <w:sz w:val="24"/>
          <w:szCs w:val="24"/>
        </w:rPr>
        <w:t xml:space="preserve"> (Fig. 12).  Native plants that seeded into plots naturally were most strongly associated with Shannon diversity, including </w:t>
      </w:r>
      <w:proofErr w:type="spellStart"/>
      <w:r w:rsidRPr="002541A8">
        <w:rPr>
          <w:rFonts w:cs="Times New Roman"/>
          <w:i/>
          <w:sz w:val="24"/>
          <w:szCs w:val="24"/>
        </w:rPr>
        <w:t>Cornus</w:t>
      </w:r>
      <w:proofErr w:type="spellEnd"/>
      <w:r w:rsidRPr="002541A8">
        <w:rPr>
          <w:rFonts w:cs="Times New Roman"/>
          <w:i/>
          <w:sz w:val="24"/>
          <w:szCs w:val="24"/>
        </w:rPr>
        <w:t xml:space="preserve"> </w:t>
      </w:r>
      <w:proofErr w:type="spellStart"/>
      <w:proofErr w:type="gramStart"/>
      <w:r w:rsidRPr="002541A8">
        <w:rPr>
          <w:rFonts w:cs="Times New Roman"/>
          <w:i/>
          <w:sz w:val="24"/>
          <w:szCs w:val="24"/>
        </w:rPr>
        <w:t>florida</w:t>
      </w:r>
      <w:proofErr w:type="spellEnd"/>
      <w:proofErr w:type="gramEnd"/>
      <w:r>
        <w:rPr>
          <w:rFonts w:cs="Times New Roman"/>
          <w:sz w:val="24"/>
          <w:szCs w:val="24"/>
        </w:rPr>
        <w:t xml:space="preserve"> and </w:t>
      </w:r>
      <w:proofErr w:type="spellStart"/>
      <w:r w:rsidRPr="002541A8">
        <w:rPr>
          <w:rFonts w:cs="Times New Roman"/>
          <w:i/>
          <w:sz w:val="24"/>
          <w:szCs w:val="24"/>
        </w:rPr>
        <w:t>Juglans</w:t>
      </w:r>
      <w:proofErr w:type="spellEnd"/>
      <w:r w:rsidRPr="002541A8">
        <w:rPr>
          <w:rFonts w:cs="Times New Roman"/>
          <w:i/>
          <w:sz w:val="24"/>
          <w:szCs w:val="24"/>
        </w:rPr>
        <w:t xml:space="preserve"> </w:t>
      </w:r>
      <w:proofErr w:type="spellStart"/>
      <w:r>
        <w:rPr>
          <w:rFonts w:cs="Times New Roman"/>
          <w:i/>
          <w:sz w:val="24"/>
          <w:szCs w:val="24"/>
        </w:rPr>
        <w:t>ni</w:t>
      </w:r>
      <w:r w:rsidRPr="002541A8">
        <w:rPr>
          <w:rFonts w:cs="Times New Roman"/>
          <w:i/>
          <w:sz w:val="24"/>
          <w:szCs w:val="24"/>
        </w:rPr>
        <w:t>gra</w:t>
      </w:r>
      <w:proofErr w:type="spellEnd"/>
      <w:r>
        <w:rPr>
          <w:rFonts w:cs="Times New Roman"/>
          <w:sz w:val="24"/>
          <w:szCs w:val="24"/>
        </w:rPr>
        <w:t xml:space="preserve">.  </w:t>
      </w:r>
      <w:proofErr w:type="spellStart"/>
      <w:r w:rsidRPr="000A0756">
        <w:rPr>
          <w:rFonts w:cs="Times New Roman"/>
          <w:i/>
          <w:sz w:val="24"/>
          <w:szCs w:val="24"/>
        </w:rPr>
        <w:t>Eleagnus</w:t>
      </w:r>
      <w:proofErr w:type="spellEnd"/>
      <w:r w:rsidRPr="000A0756">
        <w:rPr>
          <w:rFonts w:cs="Times New Roman"/>
          <w:i/>
          <w:sz w:val="24"/>
          <w:szCs w:val="24"/>
        </w:rPr>
        <w:t xml:space="preserve"> </w:t>
      </w:r>
      <w:proofErr w:type="spellStart"/>
      <w:r>
        <w:rPr>
          <w:rFonts w:cs="Times New Roman"/>
          <w:i/>
          <w:sz w:val="24"/>
          <w:szCs w:val="24"/>
        </w:rPr>
        <w:t>u</w:t>
      </w:r>
      <w:r w:rsidRPr="000A0756">
        <w:rPr>
          <w:rFonts w:cs="Times New Roman"/>
          <w:i/>
          <w:sz w:val="24"/>
          <w:szCs w:val="24"/>
        </w:rPr>
        <w:t>mbellata</w:t>
      </w:r>
      <w:proofErr w:type="spellEnd"/>
      <w:r>
        <w:rPr>
          <w:rFonts w:cs="Times New Roman"/>
          <w:sz w:val="24"/>
          <w:szCs w:val="24"/>
        </w:rPr>
        <w:t>, a non-native invasive had a negative association with species diversity.   Other plants species (Table 6, appendix) were not found to be influential on nematode species distributions.</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Maturity indices across all </w:t>
      </w:r>
      <w:r>
        <w:rPr>
          <w:rFonts w:cs="Times New Roman"/>
          <w:sz w:val="24"/>
          <w:szCs w:val="24"/>
        </w:rPr>
        <w:t>three sites</w:t>
      </w:r>
      <w:r w:rsidRPr="00BA7280">
        <w:rPr>
          <w:rFonts w:cs="Times New Roman"/>
          <w:sz w:val="24"/>
          <w:szCs w:val="24"/>
        </w:rPr>
        <w:t xml:space="preserve"> showed older FRA sites with a higher average value than both forest soils and older SMCRA soils</w:t>
      </w:r>
      <w:r>
        <w:rPr>
          <w:rFonts w:cs="Times New Roman"/>
          <w:sz w:val="24"/>
          <w:szCs w:val="24"/>
        </w:rPr>
        <w:t xml:space="preserve"> (Fig. 13)</w:t>
      </w:r>
      <w:r w:rsidRPr="00BA7280">
        <w:rPr>
          <w:rFonts w:cs="Times New Roman"/>
          <w:sz w:val="24"/>
          <w:szCs w:val="24"/>
        </w:rPr>
        <w:t xml:space="preserve">.  The ratio of nematodes with a c-p value </w:t>
      </w:r>
      <w:r w:rsidRPr="00BA7280">
        <w:rPr>
          <w:rFonts w:cs="Times New Roman"/>
          <w:sz w:val="24"/>
          <w:szCs w:val="24"/>
        </w:rPr>
        <w:lastRenderedPageBreak/>
        <w:t xml:space="preserve">of 5 to </w:t>
      </w:r>
      <w:r>
        <w:rPr>
          <w:rFonts w:cs="Times New Roman"/>
          <w:sz w:val="24"/>
          <w:szCs w:val="24"/>
        </w:rPr>
        <w:t xml:space="preserve">nematodes with a </w:t>
      </w:r>
      <w:r w:rsidRPr="00BA7280">
        <w:rPr>
          <w:rFonts w:cs="Times New Roman"/>
          <w:sz w:val="24"/>
          <w:szCs w:val="24"/>
        </w:rPr>
        <w:t xml:space="preserve">c-p </w:t>
      </w:r>
      <w:r>
        <w:rPr>
          <w:rFonts w:cs="Times New Roman"/>
          <w:sz w:val="24"/>
          <w:szCs w:val="24"/>
        </w:rPr>
        <w:t xml:space="preserve">value </w:t>
      </w:r>
      <w:proofErr w:type="gramStart"/>
      <w:r>
        <w:rPr>
          <w:rFonts w:cs="Times New Roman"/>
          <w:sz w:val="24"/>
          <w:szCs w:val="24"/>
        </w:rPr>
        <w:t xml:space="preserve">of </w:t>
      </w:r>
      <w:r w:rsidRPr="00BA7280">
        <w:rPr>
          <w:rFonts w:cs="Times New Roman"/>
          <w:sz w:val="24"/>
          <w:szCs w:val="24"/>
        </w:rPr>
        <w:t>1 nematodes</w:t>
      </w:r>
      <w:proofErr w:type="gramEnd"/>
      <w:r w:rsidRPr="00BA7280">
        <w:rPr>
          <w:rFonts w:cs="Times New Roman"/>
          <w:sz w:val="24"/>
          <w:szCs w:val="24"/>
        </w:rPr>
        <w:t xml:space="preserve"> was greater in older FRA soils than SMCRA soils</w:t>
      </w:r>
      <w:r>
        <w:rPr>
          <w:rFonts w:cs="Times New Roman"/>
          <w:sz w:val="24"/>
          <w:szCs w:val="24"/>
        </w:rPr>
        <w:t xml:space="preserve"> (Fig. 14)</w:t>
      </w:r>
      <w:r w:rsidRPr="00BA7280">
        <w:rPr>
          <w:rFonts w:cs="Times New Roman"/>
          <w:sz w:val="24"/>
          <w:szCs w:val="24"/>
        </w:rPr>
        <w:t xml:space="preserve">. </w:t>
      </w:r>
    </w:p>
    <w:p w:rsidR="00AC49A4" w:rsidRPr="00BA7280" w:rsidRDefault="00AC49A4" w:rsidP="003C0513">
      <w:pPr>
        <w:jc w:val="center"/>
      </w:pPr>
      <w:r w:rsidRPr="00BA7280">
        <w:rPr>
          <w:noProof/>
        </w:rPr>
        <w:drawing>
          <wp:inline distT="0" distB="0" distL="0" distR="0" wp14:anchorId="3391FC98" wp14:editId="02943514">
            <wp:extent cx="5943600" cy="4809586"/>
            <wp:effectExtent l="0" t="0" r="0" b="0"/>
            <wp:docPr id="16393" name="Picture 1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809586"/>
                    </a:xfrm>
                    <a:prstGeom prst="rect">
                      <a:avLst/>
                    </a:prstGeom>
                    <a:noFill/>
                    <a:ln>
                      <a:noFill/>
                    </a:ln>
                  </pic:spPr>
                </pic:pic>
              </a:graphicData>
            </a:graphic>
          </wp:inline>
        </w:drawing>
      </w:r>
    </w:p>
    <w:tbl>
      <w:tblPr>
        <w:tblW w:w="8560" w:type="dxa"/>
        <w:tblInd w:w="93" w:type="dxa"/>
        <w:tblLook w:val="04A0" w:firstRow="1" w:lastRow="0" w:firstColumn="1" w:lastColumn="0" w:noHBand="0" w:noVBand="1"/>
      </w:tblPr>
      <w:tblGrid>
        <w:gridCol w:w="580"/>
        <w:gridCol w:w="2380"/>
        <w:gridCol w:w="960"/>
        <w:gridCol w:w="1795"/>
        <w:gridCol w:w="222"/>
        <w:gridCol w:w="780"/>
        <w:gridCol w:w="1940"/>
      </w:tblGrid>
      <w:tr w:rsidR="00AC49A4" w:rsidRPr="00BE3175" w:rsidTr="003C0513">
        <w:trPr>
          <w:trHeight w:val="300"/>
        </w:trPr>
        <w:tc>
          <w:tcPr>
            <w:tcW w:w="580" w:type="dxa"/>
            <w:tcBorders>
              <w:top w:val="single" w:sz="8" w:space="0" w:color="auto"/>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w:t>
            </w:r>
          </w:p>
        </w:tc>
        <w:tc>
          <w:tcPr>
            <w:tcW w:w="2380" w:type="dxa"/>
            <w:tcBorders>
              <w:top w:val="single" w:sz="8" w:space="0" w:color="auto"/>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Aphelenchus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avenae</w:t>
            </w:r>
            <w:proofErr w:type="spellEnd"/>
          </w:p>
        </w:tc>
        <w:tc>
          <w:tcPr>
            <w:tcW w:w="960" w:type="dxa"/>
            <w:tcBorders>
              <w:top w:val="single" w:sz="8" w:space="0" w:color="auto"/>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29</w:t>
            </w:r>
          </w:p>
        </w:tc>
        <w:tc>
          <w:tcPr>
            <w:tcW w:w="1920" w:type="dxa"/>
            <w:gridSpan w:val="2"/>
            <w:tcBorders>
              <w:top w:val="single" w:sz="8" w:space="0" w:color="auto"/>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Ceratoplectus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cornus</w:t>
            </w:r>
            <w:proofErr w:type="spellEnd"/>
          </w:p>
        </w:tc>
        <w:tc>
          <w:tcPr>
            <w:tcW w:w="780" w:type="dxa"/>
            <w:tcBorders>
              <w:top w:val="single" w:sz="8" w:space="0" w:color="auto"/>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106</w:t>
            </w:r>
          </w:p>
        </w:tc>
        <w:tc>
          <w:tcPr>
            <w:tcW w:w="1940" w:type="dxa"/>
            <w:tcBorders>
              <w:top w:val="single" w:sz="8" w:space="0" w:color="auto"/>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Plectus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w:t>
            </w:r>
            <w:r>
              <w:rPr>
                <w:rFonts w:eastAsia="Times New Roman" w:cs="Times New Roman"/>
                <w:iCs/>
                <w:color w:val="000000"/>
                <w:sz w:val="20"/>
                <w:szCs w:val="20"/>
              </w:rPr>
              <w:t>.</w:t>
            </w:r>
            <w:r w:rsidRPr="00BE13E6">
              <w:rPr>
                <w:rFonts w:eastAsia="Times New Roman" w:cs="Times New Roman"/>
                <w:iCs/>
                <w:color w:val="000000"/>
                <w:sz w:val="20"/>
                <w:szCs w:val="20"/>
              </w:rPr>
              <w:t xml:space="preserve"> 3</w:t>
            </w:r>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2</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Achromadora</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w:t>
            </w:r>
            <w:r w:rsidRPr="00BE3175">
              <w:rPr>
                <w:rFonts w:eastAsia="Times New Roman" w:cs="Times New Roman"/>
                <w:i/>
                <w:iCs/>
                <w:color w:val="000000"/>
                <w:sz w:val="20"/>
                <w:szCs w:val="20"/>
              </w:rPr>
              <w:t>.</w:t>
            </w:r>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40</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Dip</w:t>
            </w:r>
            <w:r>
              <w:rPr>
                <w:rFonts w:eastAsia="Times New Roman" w:cs="Times New Roman"/>
                <w:i/>
                <w:iCs/>
                <w:color w:val="000000"/>
                <w:sz w:val="20"/>
                <w:szCs w:val="20"/>
              </w:rPr>
              <w:t>h</w:t>
            </w:r>
            <w:r w:rsidRPr="00BE3175">
              <w:rPr>
                <w:rFonts w:eastAsia="Times New Roman" w:cs="Times New Roman"/>
                <w:i/>
                <w:iCs/>
                <w:color w:val="000000"/>
                <w:sz w:val="20"/>
                <w:szCs w:val="20"/>
              </w:rPr>
              <w:t>theropthera</w:t>
            </w:r>
            <w:proofErr w:type="spellEnd"/>
          </w:p>
        </w:tc>
        <w:tc>
          <w:tcPr>
            <w:tcW w:w="78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116</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Plectus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longcaudatus</w:t>
            </w:r>
            <w:proofErr w:type="spellEnd"/>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3</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Pr>
                <w:rFonts w:eastAsia="Times New Roman" w:cs="Times New Roman"/>
                <w:i/>
                <w:iCs/>
                <w:color w:val="000000"/>
                <w:sz w:val="20"/>
                <w:szCs w:val="20"/>
              </w:rPr>
              <w:t>Acrobe</w:t>
            </w:r>
            <w:r w:rsidRPr="00BE3175">
              <w:rPr>
                <w:rFonts w:eastAsia="Times New Roman" w:cs="Times New Roman"/>
                <w:i/>
                <w:iCs/>
                <w:color w:val="000000"/>
                <w:sz w:val="20"/>
                <w:szCs w:val="20"/>
              </w:rPr>
              <w:t>les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w:t>
            </w:r>
            <w:r w:rsidRPr="00BE3175">
              <w:rPr>
                <w:rFonts w:eastAsia="Times New Roman" w:cs="Times New Roman"/>
                <w:i/>
                <w:iCs/>
                <w:color w:val="000000"/>
                <w:sz w:val="20"/>
                <w:szCs w:val="20"/>
              </w:rPr>
              <w:t>.</w:t>
            </w:r>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41</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Ditylenchus</w:t>
            </w:r>
            <w:proofErr w:type="spellEnd"/>
          </w:p>
        </w:tc>
        <w:tc>
          <w:tcPr>
            <w:tcW w:w="78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121</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Plectus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parvus</w:t>
            </w:r>
            <w:proofErr w:type="spellEnd"/>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7</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Pr>
                <w:rFonts w:eastAsia="Times New Roman" w:cs="Times New Roman"/>
                <w:i/>
                <w:iCs/>
                <w:color w:val="000000"/>
                <w:sz w:val="20"/>
                <w:szCs w:val="20"/>
              </w:rPr>
              <w:t>Acrobe</w:t>
            </w:r>
            <w:r w:rsidRPr="00BE3175">
              <w:rPr>
                <w:rFonts w:eastAsia="Times New Roman" w:cs="Times New Roman"/>
                <w:i/>
                <w:iCs/>
                <w:color w:val="000000"/>
                <w:sz w:val="20"/>
                <w:szCs w:val="20"/>
              </w:rPr>
              <w:t>loides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apiculatus</w:t>
            </w:r>
            <w:proofErr w:type="spellEnd"/>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59</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Eucephalobus</w:t>
            </w:r>
            <w:proofErr w:type="spellEnd"/>
          </w:p>
        </w:tc>
        <w:tc>
          <w:tcPr>
            <w:tcW w:w="78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122</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Plectus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thonus</w:t>
            </w:r>
            <w:proofErr w:type="spellEnd"/>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8</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Pr>
                <w:rFonts w:eastAsia="Times New Roman" w:cs="Times New Roman"/>
                <w:i/>
                <w:iCs/>
                <w:color w:val="000000"/>
                <w:sz w:val="20"/>
                <w:szCs w:val="20"/>
              </w:rPr>
              <w:t>Acrobe</w:t>
            </w:r>
            <w:r w:rsidRPr="00BE3175">
              <w:rPr>
                <w:rFonts w:eastAsia="Times New Roman" w:cs="Times New Roman"/>
                <w:i/>
                <w:iCs/>
                <w:color w:val="000000"/>
                <w:sz w:val="20"/>
                <w:szCs w:val="20"/>
              </w:rPr>
              <w:t>loides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tricornus</w:t>
            </w:r>
            <w:proofErr w:type="spellEnd"/>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65</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Filenchus</w:t>
            </w:r>
            <w:proofErr w:type="spellEnd"/>
            <w:r w:rsidRPr="00BE3175">
              <w:rPr>
                <w:rFonts w:eastAsia="Times New Roman" w:cs="Times New Roman"/>
                <w:i/>
                <w:iCs/>
                <w:color w:val="000000"/>
                <w:sz w:val="20"/>
                <w:szCs w:val="20"/>
              </w:rPr>
              <w:t xml:space="preserve"> long</w:t>
            </w:r>
          </w:p>
        </w:tc>
        <w:tc>
          <w:tcPr>
            <w:tcW w:w="78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128</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Psilenchus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2</w:t>
            </w:r>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9</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Plectus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alaimus</w:t>
            </w:r>
            <w:proofErr w:type="spellEnd"/>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66</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Filenchus</w:t>
            </w:r>
            <w:proofErr w:type="spellEnd"/>
            <w:r w:rsidRPr="00BE3175">
              <w:rPr>
                <w:rFonts w:eastAsia="Times New Roman" w:cs="Times New Roman"/>
                <w:i/>
                <w:iCs/>
                <w:color w:val="000000"/>
                <w:sz w:val="20"/>
                <w:szCs w:val="20"/>
              </w:rPr>
              <w:t xml:space="preserve"> short</w:t>
            </w:r>
          </w:p>
        </w:tc>
        <w:tc>
          <w:tcPr>
            <w:tcW w:w="78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129</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Psilenchus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1</w:t>
            </w:r>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10</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Anaplectus</w:t>
            </w:r>
            <w:proofErr w:type="spellEnd"/>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70</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Helicotylenchus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1</w:t>
            </w:r>
          </w:p>
        </w:tc>
        <w:tc>
          <w:tcPr>
            <w:tcW w:w="780" w:type="dxa"/>
            <w:tcBorders>
              <w:top w:val="nil"/>
              <w:left w:val="nil"/>
              <w:bottom w:val="nil"/>
              <w:right w:val="nil"/>
            </w:tcBorders>
            <w:shd w:val="clear" w:color="auto" w:fill="auto"/>
            <w:noWrap/>
            <w:vAlign w:val="bottom"/>
            <w:hideMark/>
          </w:tcPr>
          <w:p w:rsidR="00AC49A4" w:rsidRPr="00BE3175" w:rsidRDefault="00AC49A4" w:rsidP="003C0513">
            <w:pPr>
              <w:jc w:val="right"/>
              <w:rPr>
                <w:rFonts w:ascii="Calibri" w:eastAsia="Times New Roman" w:hAnsi="Calibri" w:cs="Calibri"/>
                <w:i/>
                <w:iCs/>
                <w:color w:val="000000"/>
              </w:rPr>
            </w:pPr>
            <w:r w:rsidRPr="00BE3175">
              <w:rPr>
                <w:rFonts w:ascii="Calibri" w:eastAsia="Times New Roman" w:hAnsi="Calibri" w:cs="Calibri"/>
                <w:i/>
                <w:iCs/>
                <w:color w:val="000000"/>
              </w:rPr>
              <w:t>135</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Rhabditid</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4</w:t>
            </w:r>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11</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Aphelenchoides</w:t>
            </w:r>
            <w:proofErr w:type="spellEnd"/>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71</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Helicotylenchus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2</w:t>
            </w:r>
          </w:p>
        </w:tc>
        <w:tc>
          <w:tcPr>
            <w:tcW w:w="780" w:type="dxa"/>
            <w:tcBorders>
              <w:top w:val="nil"/>
              <w:left w:val="nil"/>
              <w:bottom w:val="nil"/>
              <w:right w:val="nil"/>
            </w:tcBorders>
            <w:shd w:val="clear" w:color="auto" w:fill="auto"/>
            <w:noWrap/>
            <w:vAlign w:val="bottom"/>
            <w:hideMark/>
          </w:tcPr>
          <w:p w:rsidR="00AC49A4" w:rsidRPr="00BE3175" w:rsidRDefault="00AC49A4" w:rsidP="003C0513">
            <w:pPr>
              <w:jc w:val="right"/>
              <w:rPr>
                <w:rFonts w:ascii="Calibri" w:eastAsia="Times New Roman" w:hAnsi="Calibri" w:cs="Calibri"/>
                <w:i/>
                <w:iCs/>
                <w:color w:val="000000"/>
              </w:rPr>
            </w:pPr>
            <w:r w:rsidRPr="00BE3175">
              <w:rPr>
                <w:rFonts w:ascii="Calibri" w:eastAsia="Times New Roman" w:hAnsi="Calibri" w:cs="Calibri"/>
                <w:i/>
                <w:iCs/>
                <w:color w:val="000000"/>
              </w:rPr>
              <w:t>140</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Teratocephalus</w:t>
            </w:r>
            <w:proofErr w:type="spellEnd"/>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12</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Aphelenchoides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3</w:t>
            </w:r>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89</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Monhystera</w:t>
            </w:r>
            <w:proofErr w:type="spellEnd"/>
          </w:p>
        </w:tc>
        <w:tc>
          <w:tcPr>
            <w:tcW w:w="780" w:type="dxa"/>
            <w:tcBorders>
              <w:top w:val="nil"/>
              <w:left w:val="nil"/>
              <w:bottom w:val="nil"/>
              <w:right w:val="nil"/>
            </w:tcBorders>
            <w:shd w:val="clear" w:color="auto" w:fill="auto"/>
            <w:noWrap/>
            <w:vAlign w:val="bottom"/>
            <w:hideMark/>
          </w:tcPr>
          <w:p w:rsidR="00AC49A4" w:rsidRPr="00BE3175" w:rsidRDefault="00AC49A4" w:rsidP="003C0513">
            <w:pPr>
              <w:jc w:val="right"/>
              <w:rPr>
                <w:rFonts w:ascii="Calibri" w:eastAsia="Times New Roman" w:hAnsi="Calibri" w:cs="Calibri"/>
                <w:i/>
                <w:iCs/>
                <w:color w:val="000000"/>
              </w:rPr>
            </w:pPr>
            <w:r w:rsidRPr="00BE3175">
              <w:rPr>
                <w:rFonts w:ascii="Calibri" w:eastAsia="Times New Roman" w:hAnsi="Calibri" w:cs="Calibri"/>
                <w:i/>
                <w:iCs/>
                <w:color w:val="000000"/>
              </w:rPr>
              <w:t>147</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Tylocephalus</w:t>
            </w:r>
            <w:proofErr w:type="spellEnd"/>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13</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Aphelenchus</w:t>
            </w:r>
            <w:proofErr w:type="spellEnd"/>
            <w:r w:rsidRPr="00BE3175">
              <w:rPr>
                <w:rFonts w:eastAsia="Times New Roman" w:cs="Times New Roman"/>
                <w:i/>
                <w:iCs/>
                <w:color w:val="000000"/>
                <w:sz w:val="20"/>
                <w:szCs w:val="20"/>
              </w:rPr>
              <w:t xml:space="preserve"> </w:t>
            </w:r>
            <w:proofErr w:type="spellStart"/>
            <w:r w:rsidRPr="00BE3175">
              <w:rPr>
                <w:rFonts w:eastAsia="Times New Roman" w:cs="Times New Roman"/>
                <w:i/>
                <w:iCs/>
                <w:color w:val="000000"/>
                <w:sz w:val="20"/>
                <w:szCs w:val="20"/>
              </w:rPr>
              <w:t>bicaudatus</w:t>
            </w:r>
            <w:proofErr w:type="spellEnd"/>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97</w:t>
            </w:r>
          </w:p>
        </w:tc>
        <w:tc>
          <w:tcPr>
            <w:tcW w:w="1795"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Ogma</w:t>
            </w:r>
            <w:proofErr w:type="spellEnd"/>
          </w:p>
        </w:tc>
        <w:tc>
          <w:tcPr>
            <w:tcW w:w="125"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
        </w:tc>
        <w:tc>
          <w:tcPr>
            <w:tcW w:w="780" w:type="dxa"/>
            <w:tcBorders>
              <w:top w:val="nil"/>
              <w:left w:val="nil"/>
              <w:bottom w:val="nil"/>
              <w:right w:val="nil"/>
            </w:tcBorders>
            <w:shd w:val="clear" w:color="auto" w:fill="auto"/>
            <w:noWrap/>
            <w:vAlign w:val="bottom"/>
            <w:hideMark/>
          </w:tcPr>
          <w:p w:rsidR="00AC49A4" w:rsidRPr="00BE3175" w:rsidRDefault="00AC49A4" w:rsidP="003C0513">
            <w:pPr>
              <w:jc w:val="right"/>
              <w:rPr>
                <w:rFonts w:ascii="Calibri" w:eastAsia="Times New Roman" w:hAnsi="Calibri" w:cs="Calibri"/>
                <w:i/>
                <w:iCs/>
                <w:color w:val="000000"/>
              </w:rPr>
            </w:pPr>
            <w:r w:rsidRPr="00BE3175">
              <w:rPr>
                <w:rFonts w:ascii="Calibri" w:eastAsia="Times New Roman" w:hAnsi="Calibri" w:cs="Calibri"/>
                <w:i/>
                <w:iCs/>
                <w:color w:val="000000"/>
              </w:rPr>
              <w:t>154</w:t>
            </w: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Xiphenema</w:t>
            </w:r>
            <w:proofErr w:type="spellEnd"/>
          </w:p>
        </w:tc>
      </w:tr>
      <w:tr w:rsidR="00AC49A4" w:rsidRPr="00BE3175" w:rsidTr="003C0513">
        <w:trPr>
          <w:trHeight w:val="300"/>
        </w:trPr>
        <w:tc>
          <w:tcPr>
            <w:tcW w:w="580" w:type="dxa"/>
            <w:tcBorders>
              <w:top w:val="nil"/>
              <w:left w:val="single" w:sz="8" w:space="0" w:color="auto"/>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14</w:t>
            </w:r>
          </w:p>
        </w:tc>
        <w:tc>
          <w:tcPr>
            <w:tcW w:w="2380" w:type="dxa"/>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Aphelenchoides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2</w:t>
            </w:r>
          </w:p>
        </w:tc>
        <w:tc>
          <w:tcPr>
            <w:tcW w:w="960" w:type="dxa"/>
            <w:tcBorders>
              <w:top w:val="nil"/>
              <w:left w:val="nil"/>
              <w:bottom w:val="nil"/>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100</w:t>
            </w:r>
          </w:p>
        </w:tc>
        <w:tc>
          <w:tcPr>
            <w:tcW w:w="1920" w:type="dxa"/>
            <w:gridSpan w:val="2"/>
            <w:tcBorders>
              <w:top w:val="nil"/>
              <w:left w:val="nil"/>
              <w:bottom w:val="nil"/>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Paratylenchus</w:t>
            </w:r>
            <w:proofErr w:type="spellEnd"/>
          </w:p>
        </w:tc>
        <w:tc>
          <w:tcPr>
            <w:tcW w:w="780" w:type="dxa"/>
            <w:tcBorders>
              <w:top w:val="nil"/>
              <w:left w:val="nil"/>
              <w:bottom w:val="nil"/>
              <w:right w:val="nil"/>
            </w:tcBorders>
            <w:shd w:val="clear" w:color="auto" w:fill="auto"/>
            <w:noWrap/>
            <w:vAlign w:val="bottom"/>
            <w:hideMark/>
          </w:tcPr>
          <w:p w:rsidR="00AC49A4" w:rsidRPr="00BE3175" w:rsidRDefault="00AC49A4" w:rsidP="003C0513">
            <w:pPr>
              <w:rPr>
                <w:rFonts w:ascii="Calibri" w:eastAsia="Times New Roman" w:hAnsi="Calibri" w:cs="Calibri"/>
                <w:color w:val="000000"/>
              </w:rPr>
            </w:pPr>
          </w:p>
        </w:tc>
        <w:tc>
          <w:tcPr>
            <w:tcW w:w="1940" w:type="dxa"/>
            <w:tcBorders>
              <w:top w:val="nil"/>
              <w:left w:val="nil"/>
              <w:bottom w:val="nil"/>
              <w:right w:val="single" w:sz="8" w:space="0" w:color="auto"/>
            </w:tcBorders>
            <w:shd w:val="clear" w:color="auto" w:fill="auto"/>
            <w:noWrap/>
            <w:vAlign w:val="center"/>
            <w:hideMark/>
          </w:tcPr>
          <w:p w:rsidR="00AC49A4" w:rsidRPr="00BE3175" w:rsidRDefault="00AC49A4" w:rsidP="003C0513">
            <w:pPr>
              <w:rPr>
                <w:rFonts w:eastAsia="Times New Roman" w:cs="Times New Roman"/>
                <w:color w:val="000000"/>
                <w:sz w:val="20"/>
                <w:szCs w:val="20"/>
              </w:rPr>
            </w:pPr>
            <w:r w:rsidRPr="00BE3175">
              <w:rPr>
                <w:rFonts w:eastAsia="Times New Roman" w:cs="Times New Roman"/>
                <w:color w:val="000000"/>
                <w:sz w:val="20"/>
                <w:szCs w:val="20"/>
              </w:rPr>
              <w:t> </w:t>
            </w:r>
          </w:p>
        </w:tc>
      </w:tr>
      <w:tr w:rsidR="00AC49A4" w:rsidRPr="00BE3175" w:rsidTr="003C0513">
        <w:trPr>
          <w:trHeight w:val="315"/>
        </w:trPr>
        <w:tc>
          <w:tcPr>
            <w:tcW w:w="580" w:type="dxa"/>
            <w:tcBorders>
              <w:top w:val="nil"/>
              <w:left w:val="single" w:sz="8" w:space="0" w:color="auto"/>
              <w:bottom w:val="single" w:sz="8" w:space="0" w:color="auto"/>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15</w:t>
            </w:r>
          </w:p>
        </w:tc>
        <w:tc>
          <w:tcPr>
            <w:tcW w:w="2380" w:type="dxa"/>
            <w:tcBorders>
              <w:top w:val="nil"/>
              <w:left w:val="nil"/>
              <w:bottom w:val="single" w:sz="8" w:space="0" w:color="auto"/>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Aporcellaimelus</w:t>
            </w:r>
            <w:proofErr w:type="spellEnd"/>
          </w:p>
        </w:tc>
        <w:tc>
          <w:tcPr>
            <w:tcW w:w="960" w:type="dxa"/>
            <w:tcBorders>
              <w:top w:val="nil"/>
              <w:left w:val="nil"/>
              <w:bottom w:val="single" w:sz="8" w:space="0" w:color="auto"/>
              <w:right w:val="nil"/>
            </w:tcBorders>
            <w:shd w:val="clear" w:color="auto" w:fill="auto"/>
            <w:noWrap/>
            <w:vAlign w:val="center"/>
            <w:hideMark/>
          </w:tcPr>
          <w:p w:rsidR="00AC49A4" w:rsidRPr="00BE3175" w:rsidRDefault="00AC49A4" w:rsidP="003C0513">
            <w:pPr>
              <w:jc w:val="right"/>
              <w:rPr>
                <w:rFonts w:eastAsia="Times New Roman" w:cs="Times New Roman"/>
                <w:i/>
                <w:iCs/>
                <w:color w:val="000000"/>
                <w:sz w:val="20"/>
                <w:szCs w:val="20"/>
              </w:rPr>
            </w:pPr>
            <w:r w:rsidRPr="00BE3175">
              <w:rPr>
                <w:rFonts w:eastAsia="Times New Roman" w:cs="Times New Roman"/>
                <w:i/>
                <w:iCs/>
                <w:color w:val="000000"/>
                <w:sz w:val="20"/>
                <w:szCs w:val="20"/>
              </w:rPr>
              <w:t>103</w:t>
            </w:r>
          </w:p>
        </w:tc>
        <w:tc>
          <w:tcPr>
            <w:tcW w:w="1920" w:type="dxa"/>
            <w:gridSpan w:val="2"/>
            <w:tcBorders>
              <w:top w:val="nil"/>
              <w:left w:val="nil"/>
              <w:bottom w:val="single" w:sz="8" w:space="0" w:color="auto"/>
              <w:right w:val="nil"/>
            </w:tcBorders>
            <w:shd w:val="clear" w:color="auto" w:fill="auto"/>
            <w:noWrap/>
            <w:vAlign w:val="center"/>
            <w:hideMark/>
          </w:tcPr>
          <w:p w:rsidR="00AC49A4" w:rsidRPr="00BE3175" w:rsidRDefault="00AC49A4" w:rsidP="003C0513">
            <w:pPr>
              <w:rPr>
                <w:rFonts w:eastAsia="Times New Roman" w:cs="Times New Roman"/>
                <w:i/>
                <w:iCs/>
                <w:color w:val="000000"/>
                <w:sz w:val="20"/>
                <w:szCs w:val="20"/>
              </w:rPr>
            </w:pPr>
            <w:proofErr w:type="spellStart"/>
            <w:r w:rsidRPr="00BE3175">
              <w:rPr>
                <w:rFonts w:eastAsia="Times New Roman" w:cs="Times New Roman"/>
                <w:i/>
                <w:iCs/>
                <w:color w:val="000000"/>
                <w:sz w:val="20"/>
                <w:szCs w:val="20"/>
              </w:rPr>
              <w:t>Plectus</w:t>
            </w:r>
            <w:proofErr w:type="spellEnd"/>
            <w:r w:rsidRPr="00BE3175">
              <w:rPr>
                <w:rFonts w:eastAsia="Times New Roman" w:cs="Times New Roman"/>
                <w:i/>
                <w:iCs/>
                <w:color w:val="000000"/>
                <w:sz w:val="20"/>
                <w:szCs w:val="20"/>
              </w:rPr>
              <w:t xml:space="preserve"> </w:t>
            </w:r>
            <w:r w:rsidRPr="00BE13E6">
              <w:rPr>
                <w:rFonts w:eastAsia="Times New Roman" w:cs="Times New Roman"/>
                <w:iCs/>
                <w:color w:val="000000"/>
                <w:sz w:val="20"/>
                <w:szCs w:val="20"/>
              </w:rPr>
              <w:t>sp. 10</w:t>
            </w:r>
          </w:p>
        </w:tc>
        <w:tc>
          <w:tcPr>
            <w:tcW w:w="780" w:type="dxa"/>
            <w:tcBorders>
              <w:top w:val="nil"/>
              <w:left w:val="nil"/>
              <w:bottom w:val="single" w:sz="8" w:space="0" w:color="auto"/>
              <w:right w:val="nil"/>
            </w:tcBorders>
            <w:shd w:val="clear" w:color="auto" w:fill="auto"/>
            <w:noWrap/>
            <w:vAlign w:val="center"/>
            <w:hideMark/>
          </w:tcPr>
          <w:p w:rsidR="00AC49A4" w:rsidRPr="00BE3175" w:rsidRDefault="00AC49A4" w:rsidP="003C0513">
            <w:pPr>
              <w:rPr>
                <w:rFonts w:eastAsia="Times New Roman" w:cs="Times New Roman"/>
                <w:color w:val="000000"/>
                <w:sz w:val="20"/>
                <w:szCs w:val="20"/>
              </w:rPr>
            </w:pPr>
            <w:r w:rsidRPr="00BE3175">
              <w:rPr>
                <w:rFonts w:eastAsia="Times New Roman" w:cs="Times New Roman"/>
                <w:color w:val="000000"/>
                <w:sz w:val="20"/>
                <w:szCs w:val="20"/>
              </w:rPr>
              <w:t> </w:t>
            </w:r>
          </w:p>
        </w:tc>
        <w:tc>
          <w:tcPr>
            <w:tcW w:w="1940" w:type="dxa"/>
            <w:tcBorders>
              <w:top w:val="nil"/>
              <w:left w:val="nil"/>
              <w:bottom w:val="single" w:sz="8" w:space="0" w:color="auto"/>
              <w:right w:val="single" w:sz="8" w:space="0" w:color="auto"/>
            </w:tcBorders>
            <w:shd w:val="clear" w:color="auto" w:fill="auto"/>
            <w:noWrap/>
            <w:vAlign w:val="center"/>
            <w:hideMark/>
          </w:tcPr>
          <w:p w:rsidR="00AC49A4" w:rsidRPr="00BE3175" w:rsidRDefault="00AC49A4" w:rsidP="003C0513">
            <w:pPr>
              <w:rPr>
                <w:rFonts w:eastAsia="Times New Roman" w:cs="Times New Roman"/>
                <w:color w:val="000000"/>
                <w:sz w:val="20"/>
                <w:szCs w:val="20"/>
              </w:rPr>
            </w:pPr>
            <w:r w:rsidRPr="00BE3175">
              <w:rPr>
                <w:rFonts w:eastAsia="Times New Roman" w:cs="Times New Roman"/>
                <w:color w:val="000000"/>
                <w:sz w:val="20"/>
                <w:szCs w:val="20"/>
              </w:rPr>
              <w:t> </w:t>
            </w:r>
          </w:p>
        </w:tc>
      </w:tr>
    </w:tbl>
    <w:p w:rsidR="00AC49A4" w:rsidRPr="00BA7280" w:rsidRDefault="00AC49A4" w:rsidP="003C0513">
      <w:pPr>
        <w:jc w:val="center"/>
      </w:pPr>
    </w:p>
    <w:p w:rsidR="00AC49A4" w:rsidRPr="00BA7280" w:rsidRDefault="00AC49A4" w:rsidP="003C0513">
      <w:bookmarkStart w:id="26" w:name="_Toc340750000"/>
      <w:proofErr w:type="gramStart"/>
      <w:r>
        <w:lastRenderedPageBreak/>
        <w:t>Fig.</w:t>
      </w:r>
      <w:proofErr w:type="gramEnd"/>
      <w:r>
        <w:t xml:space="preserve"> </w:t>
      </w:r>
      <w:fldSimple w:instr=" SEQ Fig. \* ARABIC ">
        <w:r>
          <w:rPr>
            <w:noProof/>
          </w:rPr>
          <w:t>10</w:t>
        </w:r>
      </w:fldSimple>
      <w:r w:rsidRPr="00963548">
        <w:t xml:space="preserve">: Canonical correspondence analysis of environmental traits and associated nematode </w:t>
      </w:r>
      <w:proofErr w:type="spellStart"/>
      <w:r w:rsidRPr="00963548">
        <w:t>morphospecies</w:t>
      </w:r>
      <w:bookmarkEnd w:id="26"/>
      <w:proofErr w:type="spellEnd"/>
    </w:p>
    <w:p w:rsidR="00AC49A4" w:rsidRPr="00BA7280" w:rsidRDefault="00AC49A4" w:rsidP="003C0513">
      <w:pPr>
        <w:rPr>
          <w:rFonts w:cs="Times New Roman"/>
        </w:rPr>
      </w:pPr>
    </w:p>
    <w:p w:rsidR="00AC49A4" w:rsidRPr="00BA7280" w:rsidRDefault="00AC49A4" w:rsidP="003C0513">
      <w:pPr>
        <w:spacing w:line="480" w:lineRule="auto"/>
        <w:rPr>
          <w:rFonts w:cs="Times New Roman"/>
          <w:sz w:val="24"/>
          <w:szCs w:val="24"/>
        </w:rPr>
      </w:pPr>
    </w:p>
    <w:p w:rsidR="00AC49A4" w:rsidRPr="00BA7280" w:rsidRDefault="00AC49A4" w:rsidP="003C0513">
      <w:pPr>
        <w:rPr>
          <w:rFonts w:cs="Times New Roman"/>
        </w:rPr>
      </w:pPr>
      <w:r w:rsidRPr="00BA7280">
        <w:rPr>
          <w:noProof/>
        </w:rPr>
        <w:drawing>
          <wp:inline distT="0" distB="0" distL="0" distR="0" wp14:anchorId="0AC4FC49" wp14:editId="420F42F4">
            <wp:extent cx="5943600" cy="5141595"/>
            <wp:effectExtent l="0" t="0" r="0" b="0"/>
            <wp:docPr id="16394" name="Picture 1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5141595"/>
                    </a:xfrm>
                    <a:prstGeom prst="rect">
                      <a:avLst/>
                    </a:prstGeom>
                    <a:noFill/>
                    <a:ln>
                      <a:noFill/>
                    </a:ln>
                  </pic:spPr>
                </pic:pic>
              </a:graphicData>
            </a:graphic>
          </wp:inline>
        </w:drawing>
      </w:r>
    </w:p>
    <w:p w:rsidR="00AC49A4" w:rsidRDefault="00AC49A4" w:rsidP="003C0513">
      <w:pPr>
        <w:rPr>
          <w:rFonts w:cs="Times New Roman"/>
        </w:rPr>
      </w:pPr>
      <w:bookmarkStart w:id="27" w:name="_Toc340750001"/>
      <w:proofErr w:type="gramStart"/>
      <w:r>
        <w:t>Fig.</w:t>
      </w:r>
      <w:proofErr w:type="gramEnd"/>
      <w:r>
        <w:t xml:space="preserve"> </w:t>
      </w:r>
      <w:fldSimple w:instr=" SEQ Fig. \* ARABIC ">
        <w:r>
          <w:rPr>
            <w:noProof/>
          </w:rPr>
          <w:t>11</w:t>
        </w:r>
      </w:fldSimple>
      <w:r>
        <w:t xml:space="preserve">: Canonical </w:t>
      </w:r>
      <w:proofErr w:type="spellStart"/>
      <w:r>
        <w:t>Correspondance</w:t>
      </w:r>
      <w:proofErr w:type="spellEnd"/>
      <w:r>
        <w:t xml:space="preserve"> A</w:t>
      </w:r>
      <w:r w:rsidRPr="004B272C">
        <w:t xml:space="preserve">nalysis of environmental traits and tree species presence in relation to nematode </w:t>
      </w:r>
      <w:proofErr w:type="spellStart"/>
      <w:r w:rsidRPr="004B272C">
        <w:t>morphosecies</w:t>
      </w:r>
      <w:proofErr w:type="spellEnd"/>
      <w:r w:rsidRPr="004B272C">
        <w:t xml:space="preserve"> abundance.</w:t>
      </w:r>
      <w:bookmarkEnd w:id="27"/>
    </w:p>
    <w:p w:rsidR="00AC49A4" w:rsidRDefault="00AC49A4" w:rsidP="003C0513">
      <w:pPr>
        <w:pStyle w:val="Heading1"/>
        <w:rPr>
          <w:rFonts w:cs="Times New Roman"/>
          <w:b w:val="0"/>
          <w:sz w:val="24"/>
          <w:szCs w:val="24"/>
        </w:rPr>
      </w:pPr>
    </w:p>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Default="00AC49A4" w:rsidP="003C0513"/>
    <w:p w:rsidR="00AC49A4" w:rsidRPr="00BE13E6" w:rsidRDefault="00AC49A4" w:rsidP="003C0513">
      <w:pPr>
        <w:rPr>
          <w:b/>
        </w:rPr>
      </w:pPr>
    </w:p>
    <w:p w:rsidR="00AC49A4" w:rsidRPr="00BE13E6" w:rsidRDefault="00AC49A4" w:rsidP="003C0513">
      <w:pPr>
        <w:rPr>
          <w:b/>
        </w:rPr>
      </w:pPr>
    </w:p>
    <w:p w:rsidR="00AC49A4" w:rsidRDefault="00AC49A4" w:rsidP="003C0513">
      <w:r>
        <w:rPr>
          <w:noProof/>
        </w:rPr>
        <w:drawing>
          <wp:inline distT="0" distB="0" distL="0" distR="0" wp14:anchorId="5E887195" wp14:editId="337A41B6">
            <wp:extent cx="2955851" cy="2254102"/>
            <wp:effectExtent l="0" t="0" r="0" b="0"/>
            <wp:docPr id="288" name="Chart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noProof/>
        </w:rPr>
        <w:drawing>
          <wp:inline distT="0" distB="0" distL="0" distR="0" wp14:anchorId="7437C220" wp14:editId="1A1F2BC1">
            <wp:extent cx="2902689" cy="2368402"/>
            <wp:effectExtent l="0" t="0" r="0" b="0"/>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noProof/>
        </w:rPr>
        <w:drawing>
          <wp:inline distT="0" distB="0" distL="0" distR="0" wp14:anchorId="38DE54C5" wp14:editId="4466D23F">
            <wp:extent cx="2955851" cy="2296633"/>
            <wp:effectExtent l="0" t="0" r="0" b="8890"/>
            <wp:docPr id="305" name="Chart 3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noProof/>
        </w:rPr>
        <w:drawing>
          <wp:inline distT="0" distB="0" distL="0" distR="0" wp14:anchorId="379C9C12" wp14:editId="0E1C2892">
            <wp:extent cx="2870791" cy="2296633"/>
            <wp:effectExtent l="0" t="0" r="6350" b="8890"/>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noProof/>
        </w:rPr>
        <w:drawing>
          <wp:inline distT="0" distB="0" distL="0" distR="0" wp14:anchorId="694D2E32" wp14:editId="50F2271A">
            <wp:extent cx="2971800" cy="2307265"/>
            <wp:effectExtent l="0" t="0" r="0" b="0"/>
            <wp:docPr id="306" name="Chart 3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noProof/>
        </w:rPr>
        <w:drawing>
          <wp:inline distT="0" distB="0" distL="0" distR="0" wp14:anchorId="74D302B5" wp14:editId="5E1BDA08">
            <wp:extent cx="2793705" cy="2307265"/>
            <wp:effectExtent l="0" t="0" r="6985" b="0"/>
            <wp:docPr id="307" name="Chart 3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C49A4" w:rsidRPr="00456B55" w:rsidRDefault="00AC49A4" w:rsidP="003C0513">
      <w:pPr>
        <w:rPr>
          <w:rFonts w:cs="Times New Roman"/>
        </w:rPr>
      </w:pPr>
    </w:p>
    <w:p w:rsidR="00AC49A4" w:rsidRPr="00BA7280" w:rsidRDefault="00AC49A4" w:rsidP="003C0513">
      <w:bookmarkStart w:id="28" w:name="_Toc340750002"/>
      <w:proofErr w:type="gramStart"/>
      <w:r>
        <w:t>Fig.</w:t>
      </w:r>
      <w:proofErr w:type="gramEnd"/>
      <w:r>
        <w:t xml:space="preserve"> </w:t>
      </w:r>
      <w:fldSimple w:instr=" SEQ Fig. \* ARABIC ">
        <w:r>
          <w:rPr>
            <w:noProof/>
          </w:rPr>
          <w:t>12</w:t>
        </w:r>
      </w:fldSimple>
      <w:r>
        <w:t xml:space="preserve">:Nematode species abundance indicative of native forest as they change over time in both Forestry Reclamation Approach management regimes (FRA), Surface mining control and reclamation act management regimes (SMCRA), as compared to un-mined forest sites in </w:t>
      </w:r>
      <w:bookmarkEnd w:id="28"/>
      <w:r>
        <w:t>Tennessee, Kentucky, and Virginia.</w:t>
      </w:r>
    </w:p>
    <w:p w:rsidR="00AC49A4" w:rsidRPr="00BA7280" w:rsidRDefault="00AC49A4" w:rsidP="003C0513"/>
    <w:p w:rsidR="00AC49A4" w:rsidRPr="00BA7280" w:rsidRDefault="00AC49A4" w:rsidP="003C0513">
      <w:pPr>
        <w:jc w:val="center"/>
      </w:pPr>
      <w:r w:rsidRPr="00BA7280">
        <w:rPr>
          <w:noProof/>
        </w:rPr>
        <w:drawing>
          <wp:inline distT="0" distB="0" distL="0" distR="0" wp14:anchorId="6D883D8B" wp14:editId="1EADF921">
            <wp:extent cx="4438650" cy="2524125"/>
            <wp:effectExtent l="0" t="0" r="19050" b="9525"/>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AC49A4" w:rsidRPr="00BA7280" w:rsidRDefault="00AC49A4" w:rsidP="003C0513">
      <w:pPr>
        <w:jc w:val="center"/>
      </w:pPr>
      <w:r w:rsidRPr="00BA7280">
        <w:rPr>
          <w:noProof/>
        </w:rPr>
        <w:drawing>
          <wp:inline distT="0" distB="0" distL="0" distR="0" wp14:anchorId="133B3597" wp14:editId="6183AA16">
            <wp:extent cx="4433977" cy="2303253"/>
            <wp:effectExtent l="0" t="0" r="24130" b="20955"/>
            <wp:docPr id="310" name="Chart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C49A4" w:rsidRPr="00BA7280" w:rsidRDefault="00AC49A4" w:rsidP="003C0513">
      <w:pPr>
        <w:jc w:val="center"/>
      </w:pPr>
      <w:r w:rsidRPr="00BA7280">
        <w:rPr>
          <w:noProof/>
        </w:rPr>
        <w:drawing>
          <wp:inline distT="0" distB="0" distL="0" distR="0" wp14:anchorId="1320EBBB" wp14:editId="71002153">
            <wp:extent cx="4455041" cy="2296633"/>
            <wp:effectExtent l="0" t="0" r="22225" b="27940"/>
            <wp:docPr id="311" name="Chart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C49A4" w:rsidRDefault="00AC49A4" w:rsidP="003C0513"/>
    <w:p w:rsidR="00AC49A4" w:rsidRDefault="00AC49A4" w:rsidP="003C0513">
      <w:pPr>
        <w:rPr>
          <w:rFonts w:cs="Times New Roman"/>
          <w:sz w:val="24"/>
          <w:szCs w:val="24"/>
        </w:rPr>
      </w:pPr>
      <w:bookmarkStart w:id="29" w:name="_Toc340750003"/>
      <w:proofErr w:type="gramStart"/>
      <w:r w:rsidRPr="003B3C28">
        <w:t>Fig.</w:t>
      </w:r>
      <w:proofErr w:type="gramEnd"/>
      <w:r w:rsidRPr="003B3C28">
        <w:t xml:space="preserve"> </w:t>
      </w:r>
      <w:r w:rsidRPr="00602CBB">
        <w:fldChar w:fldCharType="begin"/>
      </w:r>
      <w:r w:rsidRPr="003B3C28">
        <w:instrText xml:space="preserve"> SEQ Fig. \* ARABIC </w:instrText>
      </w:r>
      <w:r w:rsidRPr="00602CBB">
        <w:fldChar w:fldCharType="separate"/>
      </w:r>
      <w:r>
        <w:rPr>
          <w:noProof/>
        </w:rPr>
        <w:t>13</w:t>
      </w:r>
      <w:r w:rsidRPr="00602CBB">
        <w:fldChar w:fldCharType="end"/>
      </w:r>
      <w:r w:rsidRPr="003B3C28">
        <w:t>: Maturity index of nematode communities from three mine sites across time based on management technique</w:t>
      </w:r>
      <w:r>
        <w:t>.</w:t>
      </w:r>
      <w:bookmarkEnd w:id="29"/>
    </w:p>
    <w:p w:rsidR="00AC49A4" w:rsidRPr="00456B55" w:rsidRDefault="00AC49A4" w:rsidP="003C0513">
      <w:r w:rsidRPr="00456B55">
        <w:rPr>
          <w:noProof/>
        </w:rPr>
        <w:lastRenderedPageBreak/>
        <w:drawing>
          <wp:inline distT="0" distB="0" distL="0" distR="0" wp14:anchorId="2D0B566E" wp14:editId="26FF7562">
            <wp:extent cx="5129894" cy="2943226"/>
            <wp:effectExtent l="0" t="0" r="13970" b="9525"/>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C49A4" w:rsidRPr="00456B55" w:rsidRDefault="00AC49A4" w:rsidP="003C0513">
      <w:pPr>
        <w:rPr>
          <w:rFonts w:cs="Times New Roman"/>
        </w:rPr>
      </w:pPr>
      <w:bookmarkStart w:id="30" w:name="_Toc340750004"/>
      <w:proofErr w:type="gramStart"/>
      <w:r>
        <w:t>Fig.</w:t>
      </w:r>
      <w:proofErr w:type="gramEnd"/>
      <w:r>
        <w:t xml:space="preserve"> </w:t>
      </w:r>
      <w:fldSimple w:instr=" SEQ Fig. \* ARABIC ">
        <w:r>
          <w:rPr>
            <w:noProof/>
          </w:rPr>
          <w:t>14</w:t>
        </w:r>
      </w:fldSimple>
      <w:r>
        <w:t xml:space="preserve">: </w:t>
      </w:r>
      <w:r w:rsidRPr="006B77D2">
        <w:t>Ratio of c-p 5 to c-p 1 nematodes within samples based on management treatment across a chronosequence among three location blocks</w:t>
      </w:r>
      <w:r>
        <w:t>.</w:t>
      </w:r>
      <w:bookmarkEnd w:id="30"/>
    </w:p>
    <w:p w:rsidR="00AC49A4" w:rsidRDefault="00AC49A4" w:rsidP="003C0513">
      <w:pPr>
        <w:pStyle w:val="Heading1"/>
        <w:rPr>
          <w:rFonts w:cs="Times New Roman"/>
          <w:b w:val="0"/>
          <w:sz w:val="24"/>
          <w:szCs w:val="24"/>
        </w:rPr>
      </w:pPr>
    </w:p>
    <w:p w:rsidR="00AC49A4" w:rsidRPr="00BE13E6" w:rsidRDefault="00AC49A4" w:rsidP="003C0513">
      <w:pPr>
        <w:pStyle w:val="Heading2"/>
      </w:pPr>
      <w:bookmarkStart w:id="31" w:name="_Toc340837895"/>
      <w:r w:rsidRPr="00BA7280">
        <w:t xml:space="preserve">Greenhouse </w:t>
      </w:r>
      <w:r>
        <w:t>Results</w:t>
      </w:r>
      <w:bookmarkEnd w:id="31"/>
    </w:p>
    <w:p w:rsidR="00AC49A4" w:rsidRPr="00BA7280" w:rsidRDefault="00AC49A4" w:rsidP="003C0513">
      <w:pPr>
        <w:pStyle w:val="Heading2"/>
      </w:pPr>
    </w:p>
    <w:p w:rsidR="00AC49A4" w:rsidRDefault="00AC49A4" w:rsidP="003C0513">
      <w:pPr>
        <w:spacing w:line="480" w:lineRule="auto"/>
        <w:ind w:firstLine="720"/>
        <w:rPr>
          <w:rFonts w:cs="Times New Roman"/>
          <w:sz w:val="24"/>
          <w:szCs w:val="24"/>
        </w:rPr>
      </w:pPr>
      <w:r w:rsidRPr="00BA7280">
        <w:rPr>
          <w:rFonts w:cs="Times New Roman"/>
          <w:sz w:val="24"/>
          <w:szCs w:val="24"/>
        </w:rPr>
        <w:t xml:space="preserve">Above and </w:t>
      </w:r>
      <w:r>
        <w:rPr>
          <w:rFonts w:cs="Times New Roman"/>
          <w:sz w:val="24"/>
          <w:szCs w:val="24"/>
        </w:rPr>
        <w:t>below-ground</w:t>
      </w:r>
      <w:r w:rsidRPr="00BA7280">
        <w:rPr>
          <w:rFonts w:cs="Times New Roman"/>
          <w:sz w:val="24"/>
          <w:szCs w:val="24"/>
        </w:rPr>
        <w:t xml:space="preserve"> plant biomass of intact soils (control soils </w:t>
      </w:r>
      <w:r>
        <w:rPr>
          <w:rFonts w:cs="Times New Roman"/>
          <w:sz w:val="24"/>
          <w:szCs w:val="24"/>
        </w:rPr>
        <w:t>that</w:t>
      </w:r>
      <w:r w:rsidRPr="00BA7280">
        <w:rPr>
          <w:rFonts w:cs="Times New Roman"/>
          <w:sz w:val="24"/>
          <w:szCs w:val="24"/>
        </w:rPr>
        <w:t xml:space="preserve"> had not been </w:t>
      </w:r>
      <w:proofErr w:type="spellStart"/>
      <w:r w:rsidRPr="00BA7280">
        <w:rPr>
          <w:rFonts w:cs="Times New Roman"/>
          <w:sz w:val="24"/>
          <w:szCs w:val="24"/>
        </w:rPr>
        <w:t>defaunated</w:t>
      </w:r>
      <w:proofErr w:type="spellEnd"/>
      <w:r w:rsidRPr="00BA7280">
        <w:rPr>
          <w:rFonts w:cs="Times New Roman"/>
          <w:sz w:val="24"/>
          <w:szCs w:val="24"/>
        </w:rPr>
        <w:t>) w</w:t>
      </w:r>
      <w:r>
        <w:rPr>
          <w:rFonts w:cs="Times New Roman"/>
          <w:sz w:val="24"/>
          <w:szCs w:val="24"/>
        </w:rPr>
        <w:t>as similar for all soils (Fig. 15). Plants grown in i</w:t>
      </w:r>
      <w:r w:rsidRPr="00BA7280">
        <w:rPr>
          <w:rFonts w:cs="Times New Roman"/>
          <w:sz w:val="24"/>
          <w:szCs w:val="24"/>
        </w:rPr>
        <w:t xml:space="preserve">ntact </w:t>
      </w:r>
      <w:r>
        <w:rPr>
          <w:rFonts w:cs="Times New Roman"/>
          <w:sz w:val="24"/>
          <w:szCs w:val="24"/>
        </w:rPr>
        <w:t>15 SMCRA soil</w:t>
      </w:r>
      <w:r w:rsidRPr="00BA7280">
        <w:rPr>
          <w:rFonts w:cs="Times New Roman"/>
          <w:sz w:val="24"/>
          <w:szCs w:val="24"/>
        </w:rPr>
        <w:t xml:space="preserve"> and </w:t>
      </w:r>
      <w:r>
        <w:rPr>
          <w:rFonts w:cs="Times New Roman"/>
          <w:sz w:val="24"/>
          <w:szCs w:val="24"/>
        </w:rPr>
        <w:t xml:space="preserve">intact </w:t>
      </w:r>
      <w:r w:rsidRPr="00BA7280">
        <w:rPr>
          <w:rFonts w:cs="Times New Roman"/>
          <w:sz w:val="24"/>
          <w:szCs w:val="24"/>
        </w:rPr>
        <w:t>forest soil had highest leaf level nitrogen content (</w:t>
      </w:r>
      <w:r>
        <w:rPr>
          <w:rFonts w:cs="Times New Roman"/>
          <w:sz w:val="24"/>
          <w:szCs w:val="24"/>
        </w:rPr>
        <w:t>Fig.</w:t>
      </w:r>
      <w:r w:rsidRPr="00BA7280">
        <w:rPr>
          <w:rFonts w:cs="Times New Roman"/>
          <w:sz w:val="24"/>
          <w:szCs w:val="24"/>
        </w:rPr>
        <w:t xml:space="preserve"> 1</w:t>
      </w:r>
      <w:r>
        <w:rPr>
          <w:rFonts w:cs="Times New Roman"/>
          <w:sz w:val="24"/>
          <w:szCs w:val="24"/>
        </w:rPr>
        <w:t>6</w:t>
      </w:r>
      <w:r w:rsidRPr="00BA7280">
        <w:rPr>
          <w:rFonts w:cs="Times New Roman"/>
          <w:sz w:val="24"/>
          <w:szCs w:val="24"/>
        </w:rPr>
        <w:t xml:space="preserve">), while </w:t>
      </w:r>
      <w:r>
        <w:rPr>
          <w:rFonts w:cs="Times New Roman"/>
          <w:sz w:val="24"/>
          <w:szCs w:val="24"/>
        </w:rPr>
        <w:t>1 FRA</w:t>
      </w:r>
      <w:r w:rsidRPr="00BA7280">
        <w:rPr>
          <w:rFonts w:cs="Times New Roman"/>
          <w:sz w:val="24"/>
          <w:szCs w:val="24"/>
        </w:rPr>
        <w:t xml:space="preserve">, </w:t>
      </w:r>
      <w:r>
        <w:rPr>
          <w:rFonts w:cs="Times New Roman"/>
          <w:sz w:val="24"/>
          <w:szCs w:val="24"/>
        </w:rPr>
        <w:t>15 FRA</w:t>
      </w:r>
      <w:r w:rsidRPr="00BA7280">
        <w:rPr>
          <w:rFonts w:cs="Times New Roman"/>
          <w:sz w:val="24"/>
          <w:szCs w:val="24"/>
        </w:rPr>
        <w:t xml:space="preserve">, and </w:t>
      </w:r>
      <w:r>
        <w:rPr>
          <w:rFonts w:cs="Times New Roman"/>
          <w:sz w:val="24"/>
          <w:szCs w:val="24"/>
        </w:rPr>
        <w:t>young SMCRA</w:t>
      </w:r>
      <w:r w:rsidRPr="00BA7280">
        <w:rPr>
          <w:rFonts w:cs="Times New Roman"/>
          <w:sz w:val="24"/>
          <w:szCs w:val="24"/>
        </w:rPr>
        <w:t xml:space="preserve"> soils had lower leaf level ni</w:t>
      </w:r>
      <w:r>
        <w:rPr>
          <w:rFonts w:cs="Times New Roman"/>
          <w:sz w:val="24"/>
          <w:szCs w:val="24"/>
        </w:rPr>
        <w:t>trogen content.  Additionally, l</w:t>
      </w:r>
      <w:r w:rsidRPr="00BA7280">
        <w:rPr>
          <w:rFonts w:cs="Times New Roman"/>
          <w:sz w:val="24"/>
          <w:szCs w:val="24"/>
        </w:rPr>
        <w:t>eaf level C</w:t>
      </w:r>
      <w:proofErr w:type="gramStart"/>
      <w:r w:rsidRPr="00BA7280">
        <w:rPr>
          <w:rFonts w:cs="Times New Roman"/>
          <w:sz w:val="24"/>
          <w:szCs w:val="24"/>
        </w:rPr>
        <w:t>:N</w:t>
      </w:r>
      <w:proofErr w:type="gramEnd"/>
      <w:r w:rsidRPr="00BA7280">
        <w:rPr>
          <w:rFonts w:cs="Times New Roman"/>
          <w:sz w:val="24"/>
          <w:szCs w:val="24"/>
        </w:rPr>
        <w:t xml:space="preserve"> content of </w:t>
      </w:r>
      <w:r w:rsidRPr="00BA7280">
        <w:rPr>
          <w:rFonts w:cs="Times New Roman"/>
          <w:i/>
          <w:sz w:val="24"/>
          <w:szCs w:val="24"/>
        </w:rPr>
        <w:t xml:space="preserve">C. </w:t>
      </w:r>
      <w:proofErr w:type="spellStart"/>
      <w:r w:rsidRPr="00BA7280">
        <w:rPr>
          <w:rFonts w:cs="Times New Roman"/>
          <w:i/>
          <w:sz w:val="24"/>
          <w:szCs w:val="24"/>
        </w:rPr>
        <w:t>canadensis</w:t>
      </w:r>
      <w:proofErr w:type="spellEnd"/>
      <w:r w:rsidRPr="00BA7280">
        <w:rPr>
          <w:rFonts w:cs="Times New Roman"/>
          <w:sz w:val="24"/>
          <w:szCs w:val="24"/>
        </w:rPr>
        <w:t xml:space="preserve"> leaves was lowest in forest and </w:t>
      </w:r>
      <w:r>
        <w:rPr>
          <w:rFonts w:cs="Times New Roman"/>
          <w:sz w:val="24"/>
          <w:szCs w:val="24"/>
        </w:rPr>
        <w:t xml:space="preserve">old SMCRA </w:t>
      </w:r>
      <w:r w:rsidRPr="00BA7280">
        <w:rPr>
          <w:rFonts w:cs="Times New Roman"/>
          <w:sz w:val="24"/>
          <w:szCs w:val="24"/>
        </w:rPr>
        <w:t xml:space="preserve">soils, but similar to both </w:t>
      </w:r>
      <w:r>
        <w:rPr>
          <w:rFonts w:cs="Times New Roman"/>
          <w:sz w:val="24"/>
          <w:szCs w:val="24"/>
        </w:rPr>
        <w:t>old FRA soils</w:t>
      </w:r>
      <w:r w:rsidRPr="00BA7280">
        <w:rPr>
          <w:rFonts w:cs="Times New Roman"/>
          <w:sz w:val="24"/>
          <w:szCs w:val="24"/>
        </w:rPr>
        <w:t xml:space="preserve"> and </w:t>
      </w:r>
      <w:r>
        <w:rPr>
          <w:rFonts w:cs="Times New Roman"/>
          <w:sz w:val="24"/>
          <w:szCs w:val="24"/>
        </w:rPr>
        <w:t>young SMCRA</w:t>
      </w:r>
      <w:r w:rsidRPr="00BA7280">
        <w:rPr>
          <w:rFonts w:cs="Times New Roman"/>
          <w:sz w:val="24"/>
          <w:szCs w:val="24"/>
        </w:rPr>
        <w:t xml:space="preserve"> soils.  Seedlings from</w:t>
      </w:r>
      <w:r>
        <w:rPr>
          <w:rFonts w:cs="Times New Roman"/>
          <w:sz w:val="24"/>
          <w:szCs w:val="24"/>
        </w:rPr>
        <w:t xml:space="preserve"> intact young FRA </w:t>
      </w:r>
      <w:r w:rsidRPr="00BA7280">
        <w:rPr>
          <w:rFonts w:cs="Times New Roman"/>
          <w:sz w:val="24"/>
          <w:szCs w:val="24"/>
        </w:rPr>
        <w:t xml:space="preserve">soils had the highest </w:t>
      </w:r>
      <w:r>
        <w:rPr>
          <w:rFonts w:cs="Times New Roman"/>
          <w:sz w:val="24"/>
          <w:szCs w:val="24"/>
        </w:rPr>
        <w:t>leaf level C</w:t>
      </w:r>
      <w:proofErr w:type="gramStart"/>
      <w:r>
        <w:rPr>
          <w:rFonts w:cs="Times New Roman"/>
          <w:sz w:val="24"/>
          <w:szCs w:val="24"/>
        </w:rPr>
        <w:t>:N</w:t>
      </w:r>
      <w:proofErr w:type="gramEnd"/>
      <w:r>
        <w:rPr>
          <w:rFonts w:cs="Times New Roman"/>
          <w:sz w:val="24"/>
          <w:szCs w:val="24"/>
        </w:rPr>
        <w:t xml:space="preserve"> content (Fig.</w:t>
      </w:r>
      <w:r w:rsidRPr="00BA7280">
        <w:rPr>
          <w:rFonts w:cs="Times New Roman"/>
          <w:sz w:val="24"/>
          <w:szCs w:val="24"/>
        </w:rPr>
        <w:t xml:space="preserve"> 1</w:t>
      </w:r>
      <w:r>
        <w:rPr>
          <w:rFonts w:cs="Times New Roman"/>
          <w:sz w:val="24"/>
          <w:szCs w:val="24"/>
        </w:rPr>
        <w:t>7</w:t>
      </w:r>
      <w:r w:rsidRPr="00BA7280">
        <w:rPr>
          <w:rFonts w:cs="Times New Roman"/>
          <w:sz w:val="24"/>
          <w:szCs w:val="24"/>
        </w:rPr>
        <w:t>).</w:t>
      </w:r>
    </w:p>
    <w:p w:rsidR="00AC49A4" w:rsidRPr="00232957" w:rsidRDefault="00AC49A4" w:rsidP="003C0513">
      <w:pPr>
        <w:spacing w:line="480" w:lineRule="auto"/>
        <w:ind w:firstLine="720"/>
        <w:rPr>
          <w:rFonts w:cs="Times New Roman"/>
          <w:sz w:val="24"/>
          <w:szCs w:val="24"/>
        </w:rPr>
      </w:pPr>
      <w:r w:rsidRPr="00BA7280">
        <w:rPr>
          <w:rFonts w:cs="Times New Roman"/>
          <w:sz w:val="24"/>
          <w:szCs w:val="24"/>
        </w:rPr>
        <w:t xml:space="preserve">Above and </w:t>
      </w:r>
      <w:r>
        <w:rPr>
          <w:rFonts w:cs="Times New Roman"/>
          <w:sz w:val="24"/>
          <w:szCs w:val="24"/>
        </w:rPr>
        <w:t>below-ground</w:t>
      </w:r>
      <w:r w:rsidRPr="00BA7280">
        <w:rPr>
          <w:rFonts w:cs="Times New Roman"/>
          <w:sz w:val="24"/>
          <w:szCs w:val="24"/>
        </w:rPr>
        <w:t xml:space="preserve"> plant biomass was similar among all nematode community treatments an</w:t>
      </w:r>
      <w:r>
        <w:rPr>
          <w:rFonts w:cs="Times New Roman"/>
          <w:sz w:val="24"/>
          <w:szCs w:val="24"/>
        </w:rPr>
        <w:t>d control in FRA 1 soils (Fig.</w:t>
      </w:r>
      <w:r w:rsidRPr="00BA7280">
        <w:rPr>
          <w:rFonts w:cs="Times New Roman"/>
          <w:sz w:val="24"/>
          <w:szCs w:val="24"/>
        </w:rPr>
        <w:t xml:space="preserve"> 1</w:t>
      </w:r>
      <w:r>
        <w:rPr>
          <w:rFonts w:cs="Times New Roman"/>
          <w:sz w:val="24"/>
          <w:szCs w:val="24"/>
        </w:rPr>
        <w:t>8</w:t>
      </w:r>
      <w:r w:rsidRPr="00BA7280">
        <w:rPr>
          <w:rFonts w:cs="Times New Roman"/>
          <w:sz w:val="24"/>
          <w:szCs w:val="24"/>
        </w:rPr>
        <w:t xml:space="preserve">).  Additionally, leaf level nitrogen levels and </w:t>
      </w:r>
      <w:r>
        <w:rPr>
          <w:rFonts w:cs="Times New Roman"/>
          <w:sz w:val="24"/>
          <w:szCs w:val="24"/>
        </w:rPr>
        <w:t>C</w:t>
      </w:r>
      <w:proofErr w:type="gramStart"/>
      <w:r>
        <w:rPr>
          <w:rFonts w:cs="Times New Roman"/>
          <w:sz w:val="24"/>
          <w:szCs w:val="24"/>
        </w:rPr>
        <w:t>:N</w:t>
      </w:r>
      <w:proofErr w:type="gramEnd"/>
      <w:r w:rsidRPr="00BA7280">
        <w:rPr>
          <w:rFonts w:cs="Times New Roman"/>
          <w:sz w:val="24"/>
          <w:szCs w:val="24"/>
        </w:rPr>
        <w:t xml:space="preserve"> ratios did not va</w:t>
      </w:r>
      <w:r>
        <w:rPr>
          <w:rFonts w:cs="Times New Roman"/>
          <w:sz w:val="24"/>
          <w:szCs w:val="24"/>
        </w:rPr>
        <w:t>ry based on treatment in FRA 1 soils (</w:t>
      </w:r>
      <w:r w:rsidRPr="00BA7280">
        <w:rPr>
          <w:rFonts w:cs="Times New Roman"/>
          <w:sz w:val="24"/>
          <w:szCs w:val="24"/>
        </w:rPr>
        <w:t>Fig</w:t>
      </w:r>
      <w:r>
        <w:rPr>
          <w:rFonts w:cs="Times New Roman"/>
          <w:sz w:val="24"/>
          <w:szCs w:val="24"/>
        </w:rPr>
        <w:t>s.</w:t>
      </w:r>
      <w:r w:rsidRPr="00BA7280">
        <w:rPr>
          <w:rFonts w:cs="Times New Roman"/>
          <w:sz w:val="24"/>
          <w:szCs w:val="24"/>
        </w:rPr>
        <w:t xml:space="preserve"> 1</w:t>
      </w:r>
      <w:r>
        <w:rPr>
          <w:rFonts w:cs="Times New Roman"/>
          <w:sz w:val="24"/>
          <w:szCs w:val="24"/>
        </w:rPr>
        <w:t>9</w:t>
      </w:r>
      <w:r w:rsidRPr="00BA7280">
        <w:rPr>
          <w:rFonts w:cs="Times New Roman"/>
          <w:sz w:val="24"/>
          <w:szCs w:val="24"/>
        </w:rPr>
        <w:t>,</w:t>
      </w:r>
      <w:r>
        <w:rPr>
          <w:rFonts w:cs="Times New Roman"/>
          <w:sz w:val="24"/>
          <w:szCs w:val="24"/>
        </w:rPr>
        <w:t>20</w:t>
      </w:r>
      <w:r w:rsidRPr="00BA7280">
        <w:rPr>
          <w:rFonts w:cs="Times New Roman"/>
          <w:sz w:val="24"/>
          <w:szCs w:val="24"/>
        </w:rPr>
        <w:t>).</w:t>
      </w:r>
    </w:p>
    <w:p w:rsidR="00AC49A4" w:rsidRDefault="00AC49A4" w:rsidP="003C0513">
      <w:pPr>
        <w:spacing w:line="480" w:lineRule="auto"/>
        <w:ind w:firstLine="720"/>
        <w:rPr>
          <w:rFonts w:cs="Times New Roman"/>
          <w:sz w:val="24"/>
          <w:szCs w:val="24"/>
        </w:rPr>
      </w:pPr>
    </w:p>
    <w:p w:rsidR="00AC49A4" w:rsidRPr="00BA7280" w:rsidRDefault="00AC49A4" w:rsidP="003C0513">
      <w:pPr>
        <w:jc w:val="center"/>
      </w:pPr>
      <w:r w:rsidRPr="00BA7280">
        <w:rPr>
          <w:noProof/>
        </w:rPr>
        <w:lastRenderedPageBreak/>
        <w:drawing>
          <wp:inline distT="0" distB="0" distL="0" distR="0" wp14:anchorId="3146E5A7" wp14:editId="07E5023A">
            <wp:extent cx="5784112" cy="3593805"/>
            <wp:effectExtent l="0" t="0" r="26670" b="26035"/>
            <wp:docPr id="321" name="Chart 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C49A4" w:rsidRPr="00BA7280" w:rsidRDefault="00AC49A4" w:rsidP="003C0513">
      <w:pPr>
        <w:jc w:val="center"/>
      </w:pPr>
    </w:p>
    <w:p w:rsidR="00AC49A4" w:rsidRPr="00BA7280" w:rsidRDefault="00AC49A4" w:rsidP="003C0513">
      <w:pPr>
        <w:rPr>
          <w:rFonts w:cs="Times New Roman"/>
        </w:rPr>
      </w:pPr>
      <w:bookmarkStart w:id="32" w:name="_Toc340750005"/>
      <w:proofErr w:type="gramStart"/>
      <w:r>
        <w:t>Fig.</w:t>
      </w:r>
      <w:proofErr w:type="gramEnd"/>
      <w:r>
        <w:t xml:space="preserve"> </w:t>
      </w:r>
      <w:fldSimple w:instr=" SEQ Fig. \* ARABIC ">
        <w:r>
          <w:rPr>
            <w:noProof/>
          </w:rPr>
          <w:t>15</w:t>
        </w:r>
      </w:fldSimple>
      <w:r>
        <w:t xml:space="preserve">: </w:t>
      </w:r>
      <w:r w:rsidRPr="00FD707E">
        <w:t xml:space="preserve">Above and below-ground plant biomass of </w:t>
      </w:r>
      <w:r w:rsidRPr="00FD56BA">
        <w:rPr>
          <w:i/>
        </w:rPr>
        <w:t xml:space="preserve">C. </w:t>
      </w:r>
      <w:proofErr w:type="spellStart"/>
      <w:r w:rsidRPr="00FD56BA">
        <w:rPr>
          <w:i/>
        </w:rPr>
        <w:t>canadensis</w:t>
      </w:r>
      <w:proofErr w:type="spellEnd"/>
      <w:r w:rsidRPr="00FD707E">
        <w:t xml:space="preserve"> seedlings grown in intact soils from Tennessee site.</w:t>
      </w:r>
      <w:r>
        <w:t xml:space="preserve"> Bars represent mean values </w:t>
      </w:r>
      <w:r>
        <w:rPr>
          <w:rFonts w:cs="Times New Roman"/>
        </w:rPr>
        <w:t>±</w:t>
      </w:r>
      <w:r>
        <w:t xml:space="preserve"> standard error.</w:t>
      </w:r>
      <w:bookmarkEnd w:id="32"/>
      <w:r>
        <w:t xml:space="preserve">  </w:t>
      </w:r>
    </w:p>
    <w:p w:rsidR="00AC49A4" w:rsidRPr="00BA7280" w:rsidRDefault="00AC49A4" w:rsidP="003C0513"/>
    <w:p w:rsidR="00AC49A4" w:rsidRPr="00BA7280" w:rsidRDefault="00AC49A4" w:rsidP="003C0513">
      <w:pPr>
        <w:jc w:val="center"/>
      </w:pPr>
      <w:r w:rsidRPr="00BA7280">
        <w:rPr>
          <w:noProof/>
        </w:rPr>
        <w:drawing>
          <wp:inline distT="0" distB="0" distL="0" distR="0" wp14:anchorId="77931447" wp14:editId="607DE43F">
            <wp:extent cx="5638800" cy="3295650"/>
            <wp:effectExtent l="0" t="0" r="19050" b="19050"/>
            <wp:docPr id="322" name="Chart 3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C49A4" w:rsidRDefault="00AC49A4" w:rsidP="003C0513">
      <w:pPr>
        <w:rPr>
          <w:rFonts w:cs="Times New Roman"/>
        </w:rPr>
      </w:pPr>
    </w:p>
    <w:p w:rsidR="00AC49A4" w:rsidRDefault="00AC49A4" w:rsidP="003C0513">
      <w:bookmarkStart w:id="33" w:name="_Toc340750006"/>
      <w:proofErr w:type="gramStart"/>
      <w:r>
        <w:t>Fig.</w:t>
      </w:r>
      <w:proofErr w:type="gramEnd"/>
      <w:r>
        <w:t xml:space="preserve"> </w:t>
      </w:r>
      <w:fldSimple w:instr=" SEQ Fig. \* ARABIC ">
        <w:r>
          <w:rPr>
            <w:noProof/>
          </w:rPr>
          <w:t>16</w:t>
        </w:r>
      </w:fldSimple>
      <w:r>
        <w:t xml:space="preserve">: </w:t>
      </w:r>
      <w:r w:rsidRPr="00E06075">
        <w:t xml:space="preserve">Leaf Carbon: Nitrogen ratio of </w:t>
      </w:r>
      <w:r w:rsidRPr="00FD56BA">
        <w:rPr>
          <w:i/>
        </w:rPr>
        <w:t xml:space="preserve">C. </w:t>
      </w:r>
      <w:proofErr w:type="spellStart"/>
      <w:r w:rsidRPr="00FD56BA">
        <w:rPr>
          <w:i/>
        </w:rPr>
        <w:t>canadensis</w:t>
      </w:r>
      <w:proofErr w:type="spellEnd"/>
      <w:r w:rsidRPr="00E06075">
        <w:t xml:space="preserve"> seedlings grown in intact soils from a Tennessee surface mine and neighboring forest.</w:t>
      </w:r>
      <w:r>
        <w:t xml:space="preserve">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33"/>
    </w:p>
    <w:p w:rsidR="00AC49A4" w:rsidRPr="00602CBB" w:rsidRDefault="00AC49A4" w:rsidP="003C0513"/>
    <w:p w:rsidR="00AC49A4" w:rsidRPr="00BA7280" w:rsidRDefault="00AC49A4" w:rsidP="003C0513">
      <w:pPr>
        <w:jc w:val="center"/>
        <w:rPr>
          <w:rFonts w:cs="Times New Roman"/>
        </w:rPr>
      </w:pPr>
      <w:r w:rsidRPr="00BA7280">
        <w:rPr>
          <w:noProof/>
        </w:rPr>
        <w:drawing>
          <wp:inline distT="0" distB="0" distL="0" distR="0" wp14:anchorId="58AA39D9" wp14:editId="157A286E">
            <wp:extent cx="5443870" cy="3264195"/>
            <wp:effectExtent l="0" t="0" r="23495" b="12700"/>
            <wp:docPr id="323" name="Chart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C49A4" w:rsidRDefault="00AC49A4" w:rsidP="003C0513">
      <w:pPr>
        <w:rPr>
          <w:rFonts w:cs="Times New Roman"/>
        </w:rPr>
      </w:pPr>
    </w:p>
    <w:p w:rsidR="00AC49A4" w:rsidRDefault="00AC49A4" w:rsidP="003C0513">
      <w:pPr>
        <w:rPr>
          <w:rFonts w:cs="Times New Roman"/>
        </w:rPr>
      </w:pPr>
      <w:bookmarkStart w:id="34" w:name="_Toc340750007"/>
      <w:proofErr w:type="gramStart"/>
      <w:r>
        <w:t>Fig.</w:t>
      </w:r>
      <w:proofErr w:type="gramEnd"/>
      <w:r>
        <w:t xml:space="preserve"> </w:t>
      </w:r>
      <w:fldSimple w:instr=" SEQ Fig. \* ARABIC ">
        <w:r>
          <w:rPr>
            <w:noProof/>
          </w:rPr>
          <w:t>17</w:t>
        </w:r>
      </w:fldSimple>
      <w:r>
        <w:t xml:space="preserve">: </w:t>
      </w:r>
      <w:r w:rsidRPr="00A03B0E">
        <w:t xml:space="preserve">Leaf Nitrogen content of </w:t>
      </w:r>
      <w:r w:rsidRPr="00FD56BA">
        <w:rPr>
          <w:i/>
        </w:rPr>
        <w:t xml:space="preserve">C. </w:t>
      </w:r>
      <w:proofErr w:type="spellStart"/>
      <w:r w:rsidRPr="00FD56BA">
        <w:rPr>
          <w:i/>
        </w:rPr>
        <w:t>canadensis</w:t>
      </w:r>
      <w:proofErr w:type="spellEnd"/>
      <w:r w:rsidRPr="00A03B0E">
        <w:t xml:space="preserve"> seedlings grown in intact soils from a Tennessee surface mine and neighboring forest.</w:t>
      </w:r>
      <w:r>
        <w:t xml:space="preserve"> Bars represent mean values </w:t>
      </w:r>
      <w:r>
        <w:rPr>
          <w:rFonts w:cs="Times New Roman"/>
        </w:rPr>
        <w:t>±</w:t>
      </w:r>
      <w:r>
        <w:t xml:space="preserve"> standard error.  Means with different letters are significantly different according to a </w:t>
      </w:r>
      <w:proofErr w:type="spellStart"/>
      <w:r>
        <w:t>Tukey’s</w:t>
      </w:r>
      <w:proofErr w:type="spellEnd"/>
      <w:r>
        <w:t xml:space="preserve"> test at P=0.05.</w:t>
      </w:r>
      <w:bookmarkEnd w:id="34"/>
    </w:p>
    <w:p w:rsidR="00AC49A4" w:rsidRPr="00BA7280" w:rsidRDefault="00AC49A4" w:rsidP="003C0513">
      <w:pPr>
        <w:rPr>
          <w:rFonts w:cs="Times New Roman"/>
        </w:rPr>
      </w:pPr>
    </w:p>
    <w:p w:rsidR="00AC49A4" w:rsidRPr="00BA7280" w:rsidRDefault="00AC49A4" w:rsidP="003C0513">
      <w:pPr>
        <w:spacing w:line="480" w:lineRule="auto"/>
        <w:rPr>
          <w:rFonts w:cs="Times New Roman"/>
          <w:sz w:val="24"/>
          <w:szCs w:val="24"/>
        </w:rPr>
      </w:pPr>
    </w:p>
    <w:p w:rsidR="00AC49A4" w:rsidRPr="00232957" w:rsidRDefault="00AC49A4" w:rsidP="003C0513">
      <w:pPr>
        <w:spacing w:line="480" w:lineRule="auto"/>
        <w:ind w:firstLine="720"/>
        <w:rPr>
          <w:rFonts w:cs="Times New Roman"/>
          <w:sz w:val="24"/>
          <w:szCs w:val="24"/>
        </w:rPr>
      </w:pPr>
      <w:r w:rsidRPr="00BA7280">
        <w:rPr>
          <w:rFonts w:cs="Times New Roman"/>
          <w:sz w:val="24"/>
          <w:szCs w:val="24"/>
        </w:rPr>
        <w:t xml:space="preserve">Above and </w:t>
      </w:r>
      <w:r>
        <w:rPr>
          <w:rFonts w:cs="Times New Roman"/>
          <w:sz w:val="24"/>
          <w:szCs w:val="24"/>
        </w:rPr>
        <w:t>below-ground</w:t>
      </w:r>
      <w:r w:rsidRPr="00BA7280">
        <w:rPr>
          <w:rFonts w:cs="Times New Roman"/>
          <w:sz w:val="24"/>
          <w:szCs w:val="24"/>
        </w:rPr>
        <w:t xml:space="preserve"> plant biomass was similar among all nematode community treatments an</w:t>
      </w:r>
      <w:r>
        <w:rPr>
          <w:rFonts w:cs="Times New Roman"/>
          <w:sz w:val="24"/>
          <w:szCs w:val="24"/>
        </w:rPr>
        <w:t>d control in FRA 1 soils (Fig.</w:t>
      </w:r>
      <w:r w:rsidRPr="00BA7280">
        <w:rPr>
          <w:rFonts w:cs="Times New Roman"/>
          <w:sz w:val="24"/>
          <w:szCs w:val="24"/>
        </w:rPr>
        <w:t xml:space="preserve"> 1</w:t>
      </w:r>
      <w:r>
        <w:rPr>
          <w:rFonts w:cs="Times New Roman"/>
          <w:sz w:val="24"/>
          <w:szCs w:val="24"/>
        </w:rPr>
        <w:t>8</w:t>
      </w:r>
      <w:r w:rsidRPr="00BA7280">
        <w:rPr>
          <w:rFonts w:cs="Times New Roman"/>
          <w:sz w:val="24"/>
          <w:szCs w:val="24"/>
        </w:rPr>
        <w:t xml:space="preserve">).  Additionally, leaf level nitrogen levels and </w:t>
      </w:r>
      <w:r>
        <w:rPr>
          <w:rFonts w:cs="Times New Roman"/>
          <w:sz w:val="24"/>
          <w:szCs w:val="24"/>
        </w:rPr>
        <w:t>C</w:t>
      </w:r>
      <w:proofErr w:type="gramStart"/>
      <w:r>
        <w:rPr>
          <w:rFonts w:cs="Times New Roman"/>
          <w:sz w:val="24"/>
          <w:szCs w:val="24"/>
        </w:rPr>
        <w:t>:N</w:t>
      </w:r>
      <w:proofErr w:type="gramEnd"/>
      <w:r w:rsidRPr="00BA7280">
        <w:rPr>
          <w:rFonts w:cs="Times New Roman"/>
          <w:sz w:val="24"/>
          <w:szCs w:val="24"/>
        </w:rPr>
        <w:t xml:space="preserve"> ratios did not va</w:t>
      </w:r>
      <w:r>
        <w:rPr>
          <w:rFonts w:cs="Times New Roman"/>
          <w:sz w:val="24"/>
          <w:szCs w:val="24"/>
        </w:rPr>
        <w:t>ry based on treatment in FRA 1 soils (</w:t>
      </w:r>
      <w:r w:rsidRPr="00BA7280">
        <w:rPr>
          <w:rFonts w:cs="Times New Roman"/>
          <w:sz w:val="24"/>
          <w:szCs w:val="24"/>
        </w:rPr>
        <w:t>Fig</w:t>
      </w:r>
      <w:r>
        <w:rPr>
          <w:rFonts w:cs="Times New Roman"/>
          <w:sz w:val="24"/>
          <w:szCs w:val="24"/>
        </w:rPr>
        <w:t>s.</w:t>
      </w:r>
      <w:r w:rsidRPr="00BA7280">
        <w:rPr>
          <w:rFonts w:cs="Times New Roman"/>
          <w:sz w:val="24"/>
          <w:szCs w:val="24"/>
        </w:rPr>
        <w:t xml:space="preserve"> 1</w:t>
      </w:r>
      <w:r>
        <w:rPr>
          <w:rFonts w:cs="Times New Roman"/>
          <w:sz w:val="24"/>
          <w:szCs w:val="24"/>
        </w:rPr>
        <w:t>9</w:t>
      </w:r>
      <w:r w:rsidRPr="00BA7280">
        <w:rPr>
          <w:rFonts w:cs="Times New Roman"/>
          <w:sz w:val="24"/>
          <w:szCs w:val="24"/>
        </w:rPr>
        <w:t>,</w:t>
      </w:r>
      <w:r>
        <w:rPr>
          <w:rFonts w:cs="Times New Roman"/>
          <w:sz w:val="24"/>
          <w:szCs w:val="24"/>
        </w:rPr>
        <w:t>20</w:t>
      </w:r>
      <w:r w:rsidRPr="00BA7280">
        <w:rPr>
          <w:rFonts w:cs="Times New Roman"/>
          <w:sz w:val="24"/>
          <w:szCs w:val="24"/>
        </w:rPr>
        <w:t>).</w:t>
      </w:r>
    </w:p>
    <w:p w:rsidR="00AC49A4" w:rsidRDefault="00AC49A4" w:rsidP="003C0513">
      <w:pPr>
        <w:spacing w:line="480" w:lineRule="auto"/>
        <w:ind w:firstLine="720"/>
        <w:rPr>
          <w:rFonts w:cs="Times New Roman"/>
          <w:sz w:val="24"/>
          <w:szCs w:val="24"/>
        </w:rPr>
      </w:pPr>
      <w:r>
        <w:rPr>
          <w:rFonts w:cs="Times New Roman"/>
          <w:sz w:val="24"/>
          <w:szCs w:val="24"/>
        </w:rPr>
        <w:t>Within SMCRA 1 soils, a</w:t>
      </w:r>
      <w:r w:rsidRPr="00BA7280">
        <w:rPr>
          <w:rFonts w:cs="Times New Roman"/>
          <w:sz w:val="24"/>
          <w:szCs w:val="24"/>
        </w:rPr>
        <w:t xml:space="preserve">bove and </w:t>
      </w:r>
      <w:r>
        <w:rPr>
          <w:rFonts w:cs="Times New Roman"/>
          <w:sz w:val="24"/>
          <w:szCs w:val="24"/>
        </w:rPr>
        <w:t>below-ground</w:t>
      </w:r>
      <w:r w:rsidRPr="00BA7280">
        <w:rPr>
          <w:rFonts w:cs="Times New Roman"/>
          <w:sz w:val="24"/>
          <w:szCs w:val="24"/>
        </w:rPr>
        <w:t xml:space="preserve"> plant biomass was not influenced by nematode community addition (Fig</w:t>
      </w:r>
      <w:r>
        <w:rPr>
          <w:rFonts w:cs="Times New Roman"/>
          <w:sz w:val="24"/>
          <w:szCs w:val="24"/>
        </w:rPr>
        <w:t>.</w:t>
      </w:r>
      <w:r w:rsidRPr="00BA7280">
        <w:rPr>
          <w:rFonts w:cs="Times New Roman"/>
          <w:sz w:val="24"/>
          <w:szCs w:val="24"/>
        </w:rPr>
        <w:t xml:space="preserve"> </w:t>
      </w:r>
      <w:r>
        <w:rPr>
          <w:rFonts w:cs="Times New Roman"/>
          <w:sz w:val="24"/>
          <w:szCs w:val="24"/>
        </w:rPr>
        <w:t>21</w:t>
      </w:r>
      <w:r w:rsidRPr="00BA7280">
        <w:rPr>
          <w:rFonts w:cs="Times New Roman"/>
          <w:sz w:val="24"/>
          <w:szCs w:val="24"/>
        </w:rPr>
        <w:t>). Carbon</w:t>
      </w:r>
      <w:r>
        <w:rPr>
          <w:rFonts w:cs="Times New Roman"/>
          <w:sz w:val="24"/>
          <w:szCs w:val="24"/>
        </w:rPr>
        <w:t>: n</w:t>
      </w:r>
      <w:r w:rsidRPr="00BA7280">
        <w:rPr>
          <w:rFonts w:cs="Times New Roman"/>
          <w:sz w:val="24"/>
          <w:szCs w:val="24"/>
        </w:rPr>
        <w:t>itrogen ratios were influenced by nematode community. SMCRA 15 and SMCRA 1 soils had the lowest C</w:t>
      </w:r>
      <w:proofErr w:type="gramStart"/>
      <w:r>
        <w:rPr>
          <w:rFonts w:cs="Times New Roman"/>
          <w:sz w:val="24"/>
          <w:szCs w:val="24"/>
        </w:rPr>
        <w:t>:</w:t>
      </w:r>
      <w:r w:rsidRPr="00BA7280">
        <w:rPr>
          <w:rFonts w:cs="Times New Roman"/>
          <w:sz w:val="24"/>
          <w:szCs w:val="24"/>
        </w:rPr>
        <w:t>N</w:t>
      </w:r>
      <w:proofErr w:type="gramEnd"/>
      <w:r w:rsidRPr="00BA7280">
        <w:rPr>
          <w:rFonts w:cs="Times New Roman"/>
          <w:sz w:val="24"/>
          <w:szCs w:val="24"/>
        </w:rPr>
        <w:t xml:space="preserve"> </w:t>
      </w:r>
      <w:r>
        <w:rPr>
          <w:rFonts w:cs="Times New Roman"/>
          <w:sz w:val="24"/>
          <w:szCs w:val="24"/>
        </w:rPr>
        <w:t>ratios</w:t>
      </w:r>
      <w:r w:rsidRPr="00BA7280">
        <w:rPr>
          <w:rFonts w:cs="Times New Roman"/>
          <w:sz w:val="24"/>
          <w:szCs w:val="24"/>
        </w:rPr>
        <w:t xml:space="preserve"> (38.83 and 40.2, respectively), and the forest nematode addition was the highest (66.32)(Fig</w:t>
      </w:r>
      <w:r>
        <w:rPr>
          <w:rFonts w:cs="Times New Roman"/>
          <w:sz w:val="24"/>
          <w:szCs w:val="24"/>
        </w:rPr>
        <w:t>.</w:t>
      </w:r>
      <w:r w:rsidRPr="00BA7280">
        <w:rPr>
          <w:rFonts w:cs="Times New Roman"/>
          <w:sz w:val="24"/>
          <w:szCs w:val="24"/>
        </w:rPr>
        <w:t xml:space="preserve"> </w:t>
      </w:r>
      <w:r>
        <w:rPr>
          <w:rFonts w:cs="Times New Roman"/>
          <w:sz w:val="24"/>
          <w:szCs w:val="24"/>
        </w:rPr>
        <w:t>22</w:t>
      </w:r>
      <w:r w:rsidRPr="00BA7280">
        <w:rPr>
          <w:rFonts w:cs="Times New Roman"/>
          <w:sz w:val="24"/>
          <w:szCs w:val="24"/>
        </w:rPr>
        <w:t>). Leaf nitrogen content was not influenced by nematode addition (Fig</w:t>
      </w:r>
      <w:r>
        <w:rPr>
          <w:rFonts w:cs="Times New Roman"/>
          <w:sz w:val="24"/>
          <w:szCs w:val="24"/>
        </w:rPr>
        <w:t>. 23).</w:t>
      </w:r>
    </w:p>
    <w:p w:rsidR="00AC49A4" w:rsidRPr="00BA7280" w:rsidRDefault="00AC49A4" w:rsidP="003C0513">
      <w:pPr>
        <w:jc w:val="center"/>
        <w:rPr>
          <w:rFonts w:cs="Times New Roman"/>
        </w:rPr>
      </w:pPr>
      <w:r w:rsidRPr="00BA7280">
        <w:rPr>
          <w:noProof/>
        </w:rPr>
        <w:lastRenderedPageBreak/>
        <w:drawing>
          <wp:inline distT="0" distB="0" distL="0" distR="0" wp14:anchorId="0A6DBB56" wp14:editId="2EB88EA3">
            <wp:extent cx="5391807" cy="3294993"/>
            <wp:effectExtent l="0" t="0" r="18415" b="20320"/>
            <wp:docPr id="324" name="Chart 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AC49A4" w:rsidRPr="00BA7280" w:rsidRDefault="00AC49A4" w:rsidP="003C0513">
      <w:pPr>
        <w:rPr>
          <w:rFonts w:cs="Times New Roman"/>
        </w:rPr>
      </w:pPr>
      <w:bookmarkStart w:id="35" w:name="_Toc340750008"/>
      <w:proofErr w:type="gramStart"/>
      <w:r>
        <w:t>Fig.</w:t>
      </w:r>
      <w:proofErr w:type="gramEnd"/>
      <w:r>
        <w:t xml:space="preserve"> </w:t>
      </w:r>
      <w:fldSimple w:instr=" SEQ Fig. \* ARABIC ">
        <w:r>
          <w:rPr>
            <w:noProof/>
          </w:rPr>
          <w:t>18</w:t>
        </w:r>
      </w:fldSimple>
      <w:r>
        <w:t xml:space="preserve">: </w:t>
      </w:r>
      <w:r w:rsidRPr="0079008C">
        <w:t xml:space="preserve">Above and </w:t>
      </w:r>
      <w:r>
        <w:t>b</w:t>
      </w:r>
      <w:r w:rsidRPr="0079008C">
        <w:t xml:space="preserve">elow-ground </w:t>
      </w:r>
      <w:r>
        <w:t>p</w:t>
      </w:r>
      <w:r w:rsidRPr="0079008C">
        <w:t xml:space="preserve">lant </w:t>
      </w:r>
      <w:r>
        <w:t>b</w:t>
      </w:r>
      <w:r w:rsidRPr="0079008C">
        <w:t xml:space="preserve">iomass of  </w:t>
      </w:r>
      <w:r w:rsidRPr="00FD56BA">
        <w:rPr>
          <w:i/>
        </w:rPr>
        <w:t xml:space="preserve">C. </w:t>
      </w:r>
      <w:proofErr w:type="spellStart"/>
      <w:r w:rsidRPr="00FD56BA">
        <w:rPr>
          <w:i/>
        </w:rPr>
        <w:t>canadensis</w:t>
      </w:r>
      <w:proofErr w:type="spellEnd"/>
      <w:r w:rsidRPr="0079008C">
        <w:t xml:space="preserve"> seedlings grown in soils from a one-year-old Forestry Reclamation Approach with the ind</w:t>
      </w:r>
      <w:r>
        <w:t xml:space="preserve">icated nematode community added 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w:t>
      </w:r>
      <w:bookmarkEnd w:id="35"/>
      <w:r>
        <w:t xml:space="preserve">  </w:t>
      </w:r>
    </w:p>
    <w:p w:rsidR="00AC49A4" w:rsidRPr="00BA7280" w:rsidRDefault="00AC49A4" w:rsidP="003C0513">
      <w:pPr>
        <w:jc w:val="center"/>
        <w:rPr>
          <w:rFonts w:cs="Times New Roman"/>
        </w:rPr>
      </w:pPr>
      <w:r w:rsidRPr="00BA7280">
        <w:rPr>
          <w:noProof/>
        </w:rPr>
        <w:drawing>
          <wp:inline distT="0" distB="0" distL="0" distR="0" wp14:anchorId="7944C61F" wp14:editId="5E719B54">
            <wp:extent cx="5369441" cy="2923954"/>
            <wp:effectExtent l="0" t="0" r="22225" b="10160"/>
            <wp:docPr id="325" name="Chart 3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C49A4" w:rsidRPr="00BA7280" w:rsidRDefault="00AC49A4" w:rsidP="003C0513">
      <w:pPr>
        <w:rPr>
          <w:rFonts w:cs="Times New Roman"/>
        </w:rPr>
      </w:pPr>
      <w:bookmarkStart w:id="36" w:name="_Toc340750009"/>
      <w:proofErr w:type="gramStart"/>
      <w:r>
        <w:t>Fig.</w:t>
      </w:r>
      <w:proofErr w:type="gramEnd"/>
      <w:r>
        <w:t xml:space="preserve"> </w:t>
      </w:r>
      <w:fldSimple w:instr=" SEQ Fig. \* ARABIC ">
        <w:r>
          <w:rPr>
            <w:noProof/>
          </w:rPr>
          <w:t>19</w:t>
        </w:r>
      </w:fldSimple>
      <w:r>
        <w:t xml:space="preserve"> </w:t>
      </w:r>
      <w:r w:rsidRPr="00B57B1D">
        <w:t xml:space="preserve"> Leaf nitrogen content of </w:t>
      </w:r>
      <w:r w:rsidRPr="00FD56BA">
        <w:rPr>
          <w:i/>
        </w:rPr>
        <w:t xml:space="preserve">C. </w:t>
      </w:r>
      <w:proofErr w:type="spellStart"/>
      <w:r w:rsidRPr="00FD56BA">
        <w:rPr>
          <w:i/>
        </w:rPr>
        <w:t>canadensis</w:t>
      </w:r>
      <w:proofErr w:type="spellEnd"/>
      <w:r w:rsidRPr="00B57B1D">
        <w:t xml:space="preserve"> seedlings grown in soils from a one-year-old Forestry Reclamation Approach site with the ind</w:t>
      </w:r>
      <w:r>
        <w:t xml:space="preserve">icated nematode community added: 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Bars represent mean values </w:t>
      </w:r>
      <w:r>
        <w:rPr>
          <w:rFonts w:cs="Times New Roman"/>
        </w:rPr>
        <w:t>±</w:t>
      </w:r>
      <w:r>
        <w:t xml:space="preserve"> standard error.</w:t>
      </w:r>
      <w:bookmarkEnd w:id="36"/>
    </w:p>
    <w:p w:rsidR="00AC49A4" w:rsidRPr="00BA7280" w:rsidRDefault="00AC49A4" w:rsidP="003C0513">
      <w:pPr>
        <w:rPr>
          <w:rFonts w:cs="Times New Roman"/>
        </w:rPr>
      </w:pPr>
      <w:r w:rsidRPr="00BA7280">
        <w:rPr>
          <w:noProof/>
        </w:rPr>
        <w:lastRenderedPageBreak/>
        <w:drawing>
          <wp:inline distT="0" distB="0" distL="0" distR="0" wp14:anchorId="4760E053" wp14:editId="6A8A9ED3">
            <wp:extent cx="5644055" cy="2916621"/>
            <wp:effectExtent l="0" t="0" r="13970" b="17145"/>
            <wp:docPr id="326" name="Chart 3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C49A4" w:rsidRPr="00BA7280" w:rsidRDefault="00AC49A4" w:rsidP="003C0513">
      <w:pPr>
        <w:rPr>
          <w:rFonts w:cs="Times New Roman"/>
        </w:rPr>
      </w:pPr>
      <w:bookmarkStart w:id="37" w:name="_Toc340750010"/>
      <w:proofErr w:type="gramStart"/>
      <w:r>
        <w:t>Fig.</w:t>
      </w:r>
      <w:proofErr w:type="gramEnd"/>
      <w:r>
        <w:t xml:space="preserve"> </w:t>
      </w:r>
      <w:fldSimple w:instr=" SEQ Fig. \* ARABIC ">
        <w:r>
          <w:rPr>
            <w:noProof/>
          </w:rPr>
          <w:t>20</w:t>
        </w:r>
      </w:fldSimple>
      <w:r>
        <w:t xml:space="preserve">: </w:t>
      </w:r>
      <w:r w:rsidRPr="00F51449">
        <w:t xml:space="preserve">Leaf </w:t>
      </w:r>
      <w:proofErr w:type="spellStart"/>
      <w:r w:rsidRPr="00F51449">
        <w:t>carbon:nitrogen</w:t>
      </w:r>
      <w:proofErr w:type="spellEnd"/>
      <w:r w:rsidRPr="00F51449">
        <w:t xml:space="preserve"> ratio of </w:t>
      </w:r>
      <w:r w:rsidRPr="00BE13E6">
        <w:rPr>
          <w:i/>
        </w:rPr>
        <w:t xml:space="preserve">C. </w:t>
      </w:r>
      <w:proofErr w:type="spellStart"/>
      <w:r w:rsidRPr="00BE13E6">
        <w:rPr>
          <w:i/>
        </w:rPr>
        <w:t>canadensis</w:t>
      </w:r>
      <w:proofErr w:type="spellEnd"/>
      <w:r>
        <w:t xml:space="preserve"> seedlings grown in</w:t>
      </w:r>
      <w:r w:rsidRPr="00F51449">
        <w:t xml:space="preserve"> soils from a one-year-old Forestry Reclamation Approach site</w:t>
      </w:r>
      <w:r>
        <w:t xml:space="preserve"> (FRA)</w:t>
      </w:r>
      <w:r w:rsidRPr="00F51449">
        <w:t xml:space="preserve"> with the ind</w:t>
      </w:r>
      <w:r>
        <w:t xml:space="preserve">icated nematode community added: intact control soils, </w:t>
      </w:r>
      <w:proofErr w:type="spellStart"/>
      <w:r>
        <w:t>defaunated</w:t>
      </w:r>
      <w:proofErr w:type="spellEnd"/>
      <w:r>
        <w:t xml:space="preserve"> control,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w:t>
      </w:r>
      <w:bookmarkEnd w:id="37"/>
      <w:r>
        <w:t xml:space="preserve">  </w:t>
      </w:r>
    </w:p>
    <w:p w:rsidR="00AC49A4" w:rsidRPr="00BA7280" w:rsidRDefault="00AC49A4" w:rsidP="003C0513">
      <w:pPr>
        <w:rPr>
          <w:rFonts w:cs="Times New Roman"/>
        </w:rPr>
      </w:pPr>
    </w:p>
    <w:p w:rsidR="00AC49A4" w:rsidRPr="00BA7280" w:rsidRDefault="00AC49A4" w:rsidP="003C0513">
      <w:pPr>
        <w:rPr>
          <w:rFonts w:cs="Times New Roman"/>
        </w:rPr>
      </w:pPr>
      <w:r w:rsidRPr="00BA7280">
        <w:rPr>
          <w:noProof/>
        </w:rPr>
        <w:drawing>
          <wp:inline distT="0" distB="0" distL="0" distR="0" wp14:anchorId="62FBFA37" wp14:editId="77BAE997">
            <wp:extent cx="5911702" cy="3009014"/>
            <wp:effectExtent l="0" t="0" r="13335" b="20320"/>
            <wp:docPr id="327" name="Chart 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BA7280">
        <w:rPr>
          <w:rFonts w:cs="Times New Roman"/>
        </w:rPr>
        <w:t xml:space="preserve"> </w:t>
      </w:r>
    </w:p>
    <w:p w:rsidR="00AC49A4" w:rsidRDefault="00AC49A4" w:rsidP="003C0513">
      <w:pPr>
        <w:rPr>
          <w:rFonts w:cs="Times New Roman"/>
        </w:rPr>
      </w:pPr>
    </w:p>
    <w:p w:rsidR="00AC49A4" w:rsidRPr="00BA7280" w:rsidRDefault="00AC49A4" w:rsidP="003C0513">
      <w:bookmarkStart w:id="38" w:name="_Toc340750011"/>
      <w:proofErr w:type="gramStart"/>
      <w:r>
        <w:t>Fig.</w:t>
      </w:r>
      <w:proofErr w:type="gramEnd"/>
      <w:r>
        <w:t xml:space="preserve"> </w:t>
      </w:r>
      <w:fldSimple w:instr=" SEQ Fig. \* ARABIC ">
        <w:r>
          <w:rPr>
            <w:noProof/>
          </w:rPr>
          <w:t>21</w:t>
        </w:r>
      </w:fldSimple>
      <w:r>
        <w:t>:</w:t>
      </w:r>
      <w:r w:rsidRPr="00A13E62">
        <w:t xml:space="preserve">Above and below-ground plant biomass of  </w:t>
      </w:r>
      <w:r w:rsidRPr="00FD56BA">
        <w:rPr>
          <w:i/>
        </w:rPr>
        <w:t xml:space="preserve">C. </w:t>
      </w:r>
      <w:proofErr w:type="spellStart"/>
      <w:r w:rsidRPr="00FD56BA">
        <w:rPr>
          <w:i/>
        </w:rPr>
        <w:t>canadensis</w:t>
      </w:r>
      <w:proofErr w:type="spellEnd"/>
      <w:r w:rsidRPr="00A13E62">
        <w:t xml:space="preserve"> seedlings grown in soils from a one-year-old Surface Mining Control and Reclamation act site with the indicated nematode community added: intact control nematodes, </w:t>
      </w:r>
      <w:proofErr w:type="spellStart"/>
      <w:r w:rsidRPr="00A13E62">
        <w:t>defaunated</w:t>
      </w:r>
      <w:proofErr w:type="spellEnd"/>
      <w:r w:rsidRPr="00A13E62">
        <w:t xml:space="preserve"> control nematodes, fore</w:t>
      </w:r>
      <w:r w:rsidRPr="00887336">
        <w:t xml:space="preserve"> </w:t>
      </w:r>
      <w:proofErr w:type="spellStart"/>
      <w:r>
        <w:t>st</w:t>
      </w:r>
      <w:proofErr w:type="spellEnd"/>
      <w:r>
        <w:t xml:space="preserve">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w:t>
      </w:r>
      <w:bookmarkEnd w:id="38"/>
      <w:r>
        <w:t xml:space="preserve">  </w:t>
      </w:r>
    </w:p>
    <w:p w:rsidR="00AC49A4" w:rsidRPr="00BA7280" w:rsidRDefault="00AC49A4" w:rsidP="003C0513">
      <w:pPr>
        <w:rPr>
          <w:rFonts w:cs="Times New Roman"/>
        </w:rPr>
      </w:pPr>
      <w:r w:rsidRPr="00BA7280">
        <w:rPr>
          <w:noProof/>
        </w:rPr>
        <w:lastRenderedPageBreak/>
        <w:drawing>
          <wp:inline distT="0" distB="0" distL="0" distR="0" wp14:anchorId="58A04F59" wp14:editId="1910EF2A">
            <wp:extent cx="5915025" cy="34956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AC49A4" w:rsidRDefault="00AC49A4" w:rsidP="003C0513">
      <w:bookmarkStart w:id="39" w:name="_Toc340750012"/>
      <w:proofErr w:type="gramStart"/>
      <w:r>
        <w:t>Fig.</w:t>
      </w:r>
      <w:proofErr w:type="gramEnd"/>
      <w:r>
        <w:t xml:space="preserve"> </w:t>
      </w:r>
      <w:fldSimple w:instr=" SEQ Fig. \* ARABIC ">
        <w:r>
          <w:rPr>
            <w:noProof/>
          </w:rPr>
          <w:t>22</w:t>
        </w:r>
      </w:fldSimple>
      <w:r w:rsidRPr="00BA7280">
        <w:rPr>
          <w:rFonts w:cs="Times New Roman"/>
        </w:rPr>
        <w:t>:</w:t>
      </w:r>
      <w:r>
        <w:rPr>
          <w:rFonts w:cs="Times New Roman"/>
        </w:rPr>
        <w:t xml:space="preserve"> </w:t>
      </w:r>
      <w:r w:rsidRPr="00BA7280">
        <w:rPr>
          <w:rFonts w:cs="Times New Roman"/>
        </w:rPr>
        <w:t xml:space="preserve">Leaf nitrogen content of </w:t>
      </w:r>
      <w:r w:rsidRPr="00BA7280">
        <w:rPr>
          <w:rFonts w:cs="Times New Roman"/>
          <w:i/>
        </w:rPr>
        <w:t xml:space="preserve">C. </w:t>
      </w:r>
      <w:proofErr w:type="spellStart"/>
      <w:r w:rsidRPr="00BA7280">
        <w:rPr>
          <w:rFonts w:cs="Times New Roman"/>
          <w:i/>
        </w:rPr>
        <w:t>canadensis</w:t>
      </w:r>
      <w:proofErr w:type="spellEnd"/>
      <w:r w:rsidRPr="00BA7280">
        <w:rPr>
          <w:rFonts w:cs="Times New Roman"/>
          <w:i/>
        </w:rPr>
        <w:t xml:space="preserve"> </w:t>
      </w:r>
      <w:r w:rsidRPr="00BA7280">
        <w:rPr>
          <w:rFonts w:cs="Times New Roman"/>
        </w:rPr>
        <w:t>seedlings grown in soils from a one</w:t>
      </w:r>
      <w:r>
        <w:rPr>
          <w:rFonts w:cs="Times New Roman"/>
        </w:rPr>
        <w:t>-</w:t>
      </w:r>
      <w:r w:rsidRPr="00BA7280">
        <w:rPr>
          <w:rFonts w:cs="Times New Roman"/>
        </w:rPr>
        <w:t>year-old Surface Mine Control and Reclamation Act site with the ind</w:t>
      </w:r>
      <w:r>
        <w:rPr>
          <w:rFonts w:cs="Times New Roman"/>
        </w:rPr>
        <w:t xml:space="preserve">icated nematode community added: </w:t>
      </w:r>
      <w:r>
        <w:t xml:space="preserve">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w:t>
      </w:r>
      <w:bookmarkEnd w:id="39"/>
      <w:r>
        <w:t xml:space="preserve">  </w:t>
      </w:r>
    </w:p>
    <w:p w:rsidR="00AC49A4" w:rsidRDefault="00AC49A4" w:rsidP="003C0513">
      <w:pPr>
        <w:pStyle w:val="Caption"/>
      </w:pPr>
    </w:p>
    <w:p w:rsidR="00AC49A4" w:rsidRPr="00151D18" w:rsidRDefault="00AC49A4" w:rsidP="003C0513">
      <w:pPr>
        <w:rPr>
          <w:rFonts w:cs="Times New Roman"/>
        </w:rPr>
      </w:pPr>
    </w:p>
    <w:p w:rsidR="00AC49A4" w:rsidRDefault="00AC49A4" w:rsidP="003C0513">
      <w:pPr>
        <w:rPr>
          <w:rFonts w:cs="Times New Roman"/>
        </w:rPr>
      </w:pPr>
    </w:p>
    <w:p w:rsidR="00AC49A4" w:rsidRDefault="00AC49A4" w:rsidP="003C0513">
      <w:pPr>
        <w:rPr>
          <w:rFonts w:cs="Times New Roman"/>
        </w:rPr>
      </w:pPr>
    </w:p>
    <w:p w:rsidR="00AC49A4" w:rsidRPr="00BA7280" w:rsidRDefault="00AC49A4" w:rsidP="003C0513">
      <w:pPr>
        <w:jc w:val="center"/>
        <w:rPr>
          <w:rFonts w:cs="Times New Roman"/>
        </w:rPr>
      </w:pPr>
      <w:r w:rsidRPr="00BA7280">
        <w:rPr>
          <w:noProof/>
        </w:rPr>
        <w:lastRenderedPageBreak/>
        <w:drawing>
          <wp:inline distT="0" distB="0" distL="0" distR="0" wp14:anchorId="39B3CBF7" wp14:editId="41A494ED">
            <wp:extent cx="5794744" cy="3487479"/>
            <wp:effectExtent l="0" t="0" r="15875" b="1778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C49A4" w:rsidRPr="00151D18" w:rsidRDefault="00AC49A4" w:rsidP="003C0513">
      <w:pPr>
        <w:rPr>
          <w:rFonts w:cs="Times New Roman"/>
        </w:rPr>
      </w:pPr>
      <w:bookmarkStart w:id="40" w:name="_Toc340750013"/>
      <w:proofErr w:type="gramStart"/>
      <w:r>
        <w:t>Fig.</w:t>
      </w:r>
      <w:proofErr w:type="gramEnd"/>
      <w:r>
        <w:t xml:space="preserve"> </w:t>
      </w:r>
      <w:fldSimple w:instr=" SEQ Fig. \* ARABIC ">
        <w:r>
          <w:rPr>
            <w:noProof/>
          </w:rPr>
          <w:t>23</w:t>
        </w:r>
      </w:fldSimple>
      <w:r w:rsidRPr="00BA7280">
        <w:rPr>
          <w:rFonts w:cs="Times New Roman"/>
        </w:rPr>
        <w:t xml:space="preserve">:  Leaf </w:t>
      </w:r>
      <w:proofErr w:type="spellStart"/>
      <w:r w:rsidRPr="00BA7280">
        <w:rPr>
          <w:rFonts w:cs="Times New Roman"/>
        </w:rPr>
        <w:t>carbon:nitrogen</w:t>
      </w:r>
      <w:proofErr w:type="spellEnd"/>
      <w:r w:rsidRPr="00BA7280">
        <w:rPr>
          <w:rFonts w:cs="Times New Roman"/>
        </w:rPr>
        <w:t xml:space="preserve"> ratio of </w:t>
      </w:r>
      <w:r w:rsidRPr="00BA7280">
        <w:rPr>
          <w:rFonts w:cs="Times New Roman"/>
          <w:i/>
        </w:rPr>
        <w:t xml:space="preserve">C. </w:t>
      </w:r>
      <w:proofErr w:type="spellStart"/>
      <w:r w:rsidRPr="00BA7280">
        <w:rPr>
          <w:rFonts w:cs="Times New Roman"/>
          <w:i/>
        </w:rPr>
        <w:t>canadensis</w:t>
      </w:r>
      <w:proofErr w:type="spellEnd"/>
      <w:r w:rsidRPr="00BA7280">
        <w:rPr>
          <w:rFonts w:cs="Times New Roman"/>
          <w:i/>
        </w:rPr>
        <w:t xml:space="preserve"> </w:t>
      </w:r>
      <w:r w:rsidRPr="00BA7280">
        <w:rPr>
          <w:rFonts w:cs="Times New Roman"/>
        </w:rPr>
        <w:t>seedlings</w:t>
      </w:r>
      <w:r>
        <w:rPr>
          <w:rFonts w:cs="Times New Roman"/>
        </w:rPr>
        <w:t xml:space="preserve"> grown in soils from a one-</w:t>
      </w:r>
      <w:r w:rsidRPr="00BA7280">
        <w:rPr>
          <w:rFonts w:cs="Times New Roman"/>
        </w:rPr>
        <w:t>year-old Surface Mining Control and Reclamation Act site with the ind</w:t>
      </w:r>
      <w:r>
        <w:rPr>
          <w:rFonts w:cs="Times New Roman"/>
        </w:rPr>
        <w:t xml:space="preserve">icated nematode community added: </w:t>
      </w:r>
      <w:r>
        <w:t xml:space="preserve">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  Letters indicate significant differences between groups.</w:t>
      </w:r>
      <w:bookmarkEnd w:id="40"/>
    </w:p>
    <w:p w:rsidR="00AC49A4" w:rsidRPr="00BA7280" w:rsidRDefault="00AC49A4" w:rsidP="003C0513">
      <w:pPr>
        <w:rPr>
          <w:noProof/>
        </w:rPr>
      </w:pPr>
    </w:p>
    <w:p w:rsidR="00AC49A4" w:rsidRPr="00BA7280" w:rsidRDefault="00AC49A4" w:rsidP="003C0513">
      <w:pPr>
        <w:jc w:val="center"/>
      </w:pPr>
    </w:p>
    <w:p w:rsidR="00AC49A4" w:rsidRPr="00FD58CE" w:rsidRDefault="00AC49A4" w:rsidP="003C0513">
      <w:pPr>
        <w:spacing w:line="480" w:lineRule="auto"/>
        <w:ind w:firstLine="720"/>
        <w:rPr>
          <w:rFonts w:cs="Times New Roman"/>
          <w:sz w:val="24"/>
          <w:szCs w:val="24"/>
        </w:rPr>
      </w:pPr>
      <w:r w:rsidRPr="00BA7280">
        <w:rPr>
          <w:rFonts w:cs="Times New Roman"/>
          <w:sz w:val="24"/>
          <w:szCs w:val="24"/>
        </w:rPr>
        <w:t xml:space="preserve">Above and </w:t>
      </w:r>
      <w:r>
        <w:rPr>
          <w:rFonts w:cs="Times New Roman"/>
          <w:sz w:val="24"/>
          <w:szCs w:val="24"/>
        </w:rPr>
        <w:t>below-ground</w:t>
      </w:r>
      <w:r w:rsidRPr="00BA7280">
        <w:rPr>
          <w:rFonts w:cs="Times New Roman"/>
          <w:sz w:val="24"/>
          <w:szCs w:val="24"/>
        </w:rPr>
        <w:t xml:space="preserve"> biomass of seedlings was similar among FRA 15 soils under all nematode co</w:t>
      </w:r>
      <w:r>
        <w:rPr>
          <w:rFonts w:cs="Times New Roman"/>
          <w:sz w:val="24"/>
          <w:szCs w:val="24"/>
        </w:rPr>
        <w:t>mmunity addition treatment (Fig.</w:t>
      </w:r>
      <w:r w:rsidRPr="00BA7280">
        <w:rPr>
          <w:rFonts w:cs="Times New Roman"/>
          <w:sz w:val="24"/>
          <w:szCs w:val="24"/>
        </w:rPr>
        <w:t xml:space="preserve"> </w:t>
      </w:r>
      <w:r>
        <w:rPr>
          <w:rFonts w:cs="Times New Roman"/>
          <w:sz w:val="24"/>
          <w:szCs w:val="24"/>
        </w:rPr>
        <w:t>24</w:t>
      </w:r>
      <w:r w:rsidRPr="00BA7280">
        <w:rPr>
          <w:rFonts w:cs="Times New Roman"/>
          <w:sz w:val="24"/>
          <w:szCs w:val="24"/>
        </w:rPr>
        <w:t>).  Additionally, C</w:t>
      </w:r>
      <w:proofErr w:type="gramStart"/>
      <w:r>
        <w:rPr>
          <w:rFonts w:cs="Times New Roman"/>
          <w:sz w:val="24"/>
          <w:szCs w:val="24"/>
        </w:rPr>
        <w:t>:</w:t>
      </w:r>
      <w:r w:rsidRPr="00BA7280">
        <w:rPr>
          <w:rFonts w:cs="Times New Roman"/>
          <w:sz w:val="24"/>
          <w:szCs w:val="24"/>
        </w:rPr>
        <w:t>N</w:t>
      </w:r>
      <w:proofErr w:type="gramEnd"/>
      <w:r w:rsidRPr="00BA7280">
        <w:rPr>
          <w:rFonts w:cs="Times New Roman"/>
          <w:sz w:val="24"/>
          <w:szCs w:val="24"/>
        </w:rPr>
        <w:t xml:space="preserve"> and nitrogen levels did not vary based on treatment (Fig</w:t>
      </w:r>
      <w:r>
        <w:rPr>
          <w:rFonts w:cs="Times New Roman"/>
          <w:sz w:val="24"/>
          <w:szCs w:val="24"/>
        </w:rPr>
        <w:t>s. 25 and 26).</w:t>
      </w:r>
    </w:p>
    <w:p w:rsidR="00AC49A4" w:rsidRDefault="00AC49A4" w:rsidP="003C0513">
      <w:pPr>
        <w:spacing w:line="480" w:lineRule="auto"/>
        <w:ind w:firstLine="720"/>
        <w:rPr>
          <w:rFonts w:cs="Times New Roman"/>
          <w:sz w:val="24"/>
          <w:szCs w:val="24"/>
        </w:rPr>
      </w:pPr>
      <w:r w:rsidRPr="00BA7280">
        <w:rPr>
          <w:rFonts w:cs="Times New Roman"/>
          <w:sz w:val="24"/>
          <w:szCs w:val="24"/>
        </w:rPr>
        <w:t xml:space="preserve">Above and </w:t>
      </w:r>
      <w:r>
        <w:rPr>
          <w:rFonts w:cs="Times New Roman"/>
          <w:sz w:val="24"/>
          <w:szCs w:val="24"/>
        </w:rPr>
        <w:t>below-ground</w:t>
      </w:r>
      <w:r w:rsidRPr="00BA7280">
        <w:rPr>
          <w:rFonts w:cs="Times New Roman"/>
          <w:sz w:val="24"/>
          <w:szCs w:val="24"/>
        </w:rPr>
        <w:t xml:space="preserve"> biomass of seedlings was similar among all SMCRA soils under all nematode community addition treatment (Fig</w:t>
      </w:r>
      <w:r>
        <w:rPr>
          <w:rFonts w:cs="Times New Roman"/>
          <w:sz w:val="24"/>
          <w:szCs w:val="24"/>
        </w:rPr>
        <w:t>.</w:t>
      </w:r>
      <w:r w:rsidRPr="00BA7280">
        <w:rPr>
          <w:rFonts w:cs="Times New Roman"/>
          <w:sz w:val="24"/>
          <w:szCs w:val="24"/>
        </w:rPr>
        <w:t xml:space="preserve"> 2</w:t>
      </w:r>
      <w:r>
        <w:rPr>
          <w:rFonts w:cs="Times New Roman"/>
          <w:sz w:val="24"/>
          <w:szCs w:val="24"/>
        </w:rPr>
        <w:t>7</w:t>
      </w:r>
      <w:r w:rsidRPr="00BA7280">
        <w:rPr>
          <w:rFonts w:cs="Times New Roman"/>
          <w:sz w:val="24"/>
          <w:szCs w:val="24"/>
        </w:rPr>
        <w:t>).  Leaf nitrogen content (Fig</w:t>
      </w:r>
      <w:r>
        <w:rPr>
          <w:rFonts w:cs="Times New Roman"/>
          <w:sz w:val="24"/>
          <w:szCs w:val="24"/>
        </w:rPr>
        <w:t>.</w:t>
      </w:r>
      <w:r w:rsidRPr="00BA7280">
        <w:rPr>
          <w:rFonts w:cs="Times New Roman"/>
          <w:sz w:val="24"/>
          <w:szCs w:val="24"/>
        </w:rPr>
        <w:t xml:space="preserve"> 2</w:t>
      </w:r>
      <w:r>
        <w:rPr>
          <w:rFonts w:cs="Times New Roman"/>
          <w:sz w:val="24"/>
          <w:szCs w:val="24"/>
        </w:rPr>
        <w:t>8</w:t>
      </w:r>
      <w:r w:rsidRPr="00BA7280">
        <w:rPr>
          <w:rFonts w:cs="Times New Roman"/>
          <w:sz w:val="24"/>
          <w:szCs w:val="24"/>
        </w:rPr>
        <w:t xml:space="preserve">) was highest in intact SMCRA 15 soils, and lowest in SMCRA 15 soils </w:t>
      </w:r>
      <w:r>
        <w:rPr>
          <w:rFonts w:cs="Times New Roman"/>
          <w:sz w:val="24"/>
          <w:szCs w:val="24"/>
        </w:rPr>
        <w:t>that</w:t>
      </w:r>
      <w:r w:rsidRPr="00BA7280">
        <w:rPr>
          <w:rFonts w:cs="Times New Roman"/>
          <w:sz w:val="24"/>
          <w:szCs w:val="24"/>
        </w:rPr>
        <w:t xml:space="preserve"> had been</w:t>
      </w:r>
      <w:r>
        <w:rPr>
          <w:rFonts w:cs="Times New Roman"/>
          <w:sz w:val="24"/>
          <w:szCs w:val="24"/>
        </w:rPr>
        <w:t xml:space="preserve"> </w:t>
      </w:r>
      <w:proofErr w:type="spellStart"/>
      <w:r>
        <w:rPr>
          <w:rFonts w:cs="Times New Roman"/>
          <w:sz w:val="24"/>
          <w:szCs w:val="24"/>
        </w:rPr>
        <w:t>defaunated</w:t>
      </w:r>
      <w:proofErr w:type="spellEnd"/>
      <w:r>
        <w:rPr>
          <w:rFonts w:cs="Times New Roman"/>
          <w:sz w:val="24"/>
          <w:szCs w:val="24"/>
        </w:rPr>
        <w:t xml:space="preserve">. Similarly, </w:t>
      </w:r>
      <w:proofErr w:type="spellStart"/>
      <w:r>
        <w:rPr>
          <w:rFonts w:cs="Times New Roman"/>
          <w:sz w:val="24"/>
          <w:szCs w:val="24"/>
        </w:rPr>
        <w:t>carbon</w:t>
      </w:r>
      <w:proofErr w:type="gramStart"/>
      <w:r>
        <w:rPr>
          <w:rFonts w:cs="Times New Roman"/>
          <w:sz w:val="24"/>
          <w:szCs w:val="24"/>
        </w:rPr>
        <w:t>:</w:t>
      </w:r>
      <w:r w:rsidRPr="00BA7280">
        <w:rPr>
          <w:rFonts w:cs="Times New Roman"/>
          <w:sz w:val="24"/>
          <w:szCs w:val="24"/>
        </w:rPr>
        <w:t>nitrogen</w:t>
      </w:r>
      <w:proofErr w:type="spellEnd"/>
      <w:proofErr w:type="gramEnd"/>
      <w:r w:rsidRPr="00BA7280">
        <w:rPr>
          <w:rFonts w:cs="Times New Roman"/>
          <w:sz w:val="24"/>
          <w:szCs w:val="24"/>
        </w:rPr>
        <w:t xml:space="preserve"> leaf levels were lowest in seedlings grown in intact control soils, and highest in </w:t>
      </w:r>
      <w:proofErr w:type="spellStart"/>
      <w:r w:rsidRPr="00BA7280">
        <w:rPr>
          <w:rFonts w:cs="Times New Roman"/>
          <w:sz w:val="24"/>
          <w:szCs w:val="24"/>
        </w:rPr>
        <w:t>defaunated</w:t>
      </w:r>
      <w:proofErr w:type="spellEnd"/>
      <w:r w:rsidRPr="00BA7280">
        <w:rPr>
          <w:rFonts w:cs="Times New Roman"/>
          <w:sz w:val="24"/>
          <w:szCs w:val="24"/>
        </w:rPr>
        <w:t xml:space="preserve"> soils (Fig</w:t>
      </w:r>
      <w:r>
        <w:rPr>
          <w:rFonts w:cs="Times New Roman"/>
          <w:sz w:val="24"/>
          <w:szCs w:val="24"/>
        </w:rPr>
        <w:t>.</w:t>
      </w:r>
      <w:r w:rsidRPr="00BA7280">
        <w:rPr>
          <w:rFonts w:cs="Times New Roman"/>
          <w:sz w:val="24"/>
          <w:szCs w:val="24"/>
        </w:rPr>
        <w:t xml:space="preserve"> 2</w:t>
      </w:r>
      <w:r>
        <w:rPr>
          <w:rFonts w:cs="Times New Roman"/>
          <w:sz w:val="24"/>
          <w:szCs w:val="24"/>
        </w:rPr>
        <w:t>9</w:t>
      </w:r>
      <w:r w:rsidRPr="00BA7280">
        <w:rPr>
          <w:rFonts w:cs="Times New Roman"/>
          <w:sz w:val="24"/>
          <w:szCs w:val="24"/>
        </w:rPr>
        <w:t>).</w:t>
      </w:r>
    </w:p>
    <w:p w:rsidR="00AC49A4" w:rsidRDefault="00AC49A4" w:rsidP="003C0513">
      <w:pPr>
        <w:spacing w:line="480" w:lineRule="auto"/>
        <w:ind w:firstLine="720"/>
        <w:rPr>
          <w:rFonts w:cs="Times New Roman"/>
          <w:sz w:val="24"/>
          <w:szCs w:val="24"/>
        </w:rPr>
      </w:pPr>
    </w:p>
    <w:p w:rsidR="00AC49A4" w:rsidRPr="00887336" w:rsidRDefault="00AC49A4" w:rsidP="003C0513">
      <w:pPr>
        <w:jc w:val="center"/>
        <w:rPr>
          <w:rFonts w:cs="Times New Roman"/>
        </w:rPr>
      </w:pPr>
      <w:r w:rsidRPr="00BA7280">
        <w:rPr>
          <w:noProof/>
        </w:rPr>
        <w:lastRenderedPageBreak/>
        <w:drawing>
          <wp:inline distT="0" distB="0" distL="0" distR="0" wp14:anchorId="61F22BE7" wp14:editId="228B14A9">
            <wp:extent cx="5518297" cy="3040911"/>
            <wp:effectExtent l="0" t="0" r="25400" b="2667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AC49A4" w:rsidRDefault="00AC49A4" w:rsidP="003C0513">
      <w:bookmarkStart w:id="41" w:name="_Toc340750014"/>
      <w:proofErr w:type="gramStart"/>
      <w:r>
        <w:t>Fig.</w:t>
      </w:r>
      <w:proofErr w:type="gramEnd"/>
      <w:r>
        <w:t xml:space="preserve"> </w:t>
      </w:r>
      <w:fldSimple w:instr=" SEQ Fig. \* ARABIC ">
        <w:r>
          <w:rPr>
            <w:noProof/>
          </w:rPr>
          <w:t>24</w:t>
        </w:r>
      </w:fldSimple>
      <w:r w:rsidRPr="00BA7280">
        <w:rPr>
          <w:rFonts w:cs="Times New Roman"/>
        </w:rPr>
        <w:t xml:space="preserve">: Above and </w:t>
      </w:r>
      <w:r>
        <w:rPr>
          <w:rFonts w:cs="Times New Roman"/>
        </w:rPr>
        <w:t>below-ground</w:t>
      </w:r>
      <w:r w:rsidRPr="00BA7280">
        <w:rPr>
          <w:rFonts w:cs="Times New Roman"/>
        </w:rPr>
        <w:t xml:space="preserve"> </w:t>
      </w:r>
      <w:r>
        <w:rPr>
          <w:rFonts w:cs="Times New Roman"/>
        </w:rPr>
        <w:t>p</w:t>
      </w:r>
      <w:r w:rsidRPr="00BA7280">
        <w:rPr>
          <w:rFonts w:cs="Times New Roman"/>
        </w:rPr>
        <w:t xml:space="preserve">lant </w:t>
      </w:r>
      <w:r>
        <w:rPr>
          <w:rFonts w:cs="Times New Roman"/>
        </w:rPr>
        <w:t>biomass of</w:t>
      </w:r>
      <w:r w:rsidRPr="00BA7280">
        <w:rPr>
          <w:rFonts w:cs="Times New Roman"/>
        </w:rPr>
        <w:t xml:space="preserve"> </w:t>
      </w:r>
      <w:r w:rsidRPr="00BA7280">
        <w:rPr>
          <w:rFonts w:cs="Times New Roman"/>
          <w:i/>
        </w:rPr>
        <w:t xml:space="preserve">C. </w:t>
      </w:r>
      <w:proofErr w:type="spellStart"/>
      <w:r w:rsidRPr="00BA7280">
        <w:rPr>
          <w:rFonts w:cs="Times New Roman"/>
          <w:i/>
        </w:rPr>
        <w:t>canadensis</w:t>
      </w:r>
      <w:proofErr w:type="spellEnd"/>
      <w:r w:rsidRPr="00BA7280">
        <w:rPr>
          <w:rFonts w:cs="Times New Roman"/>
        </w:rPr>
        <w:t xml:space="preserve"> seedlings grown in soils from a fifteen</w:t>
      </w:r>
      <w:r>
        <w:rPr>
          <w:rFonts w:cs="Times New Roman"/>
        </w:rPr>
        <w:t>-</w:t>
      </w:r>
      <w:r w:rsidRPr="00BA7280">
        <w:rPr>
          <w:rFonts w:cs="Times New Roman"/>
        </w:rPr>
        <w:t>year</w:t>
      </w:r>
      <w:r>
        <w:rPr>
          <w:rFonts w:cs="Times New Roman"/>
        </w:rPr>
        <w:t>-</w:t>
      </w:r>
      <w:r w:rsidRPr="00BA7280">
        <w:rPr>
          <w:rFonts w:cs="Times New Roman"/>
        </w:rPr>
        <w:t>old Forestry Reclamation Approach  site with the ind</w:t>
      </w:r>
      <w:r>
        <w:rPr>
          <w:rFonts w:cs="Times New Roman"/>
        </w:rPr>
        <w:t xml:space="preserve">icated nematode community added: </w:t>
      </w:r>
      <w:r>
        <w:t xml:space="preserve">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  Letters indicate significant differences between groups.</w:t>
      </w:r>
      <w:bookmarkEnd w:id="41"/>
    </w:p>
    <w:p w:rsidR="00AC49A4" w:rsidRDefault="00AC49A4" w:rsidP="003C0513"/>
    <w:p w:rsidR="00AC49A4" w:rsidRDefault="00AC49A4" w:rsidP="003C0513"/>
    <w:p w:rsidR="00AC49A4" w:rsidRPr="00887336" w:rsidRDefault="00AC49A4" w:rsidP="003C0513">
      <w:pPr>
        <w:jc w:val="center"/>
        <w:rPr>
          <w:rFonts w:cs="Times New Roman"/>
        </w:rPr>
      </w:pPr>
      <w:r w:rsidRPr="00BA7280">
        <w:rPr>
          <w:noProof/>
        </w:rPr>
        <w:drawing>
          <wp:inline distT="0" distB="0" distL="0" distR="0" wp14:anchorId="4CA465C5" wp14:editId="59E11041">
            <wp:extent cx="5507665" cy="2817628"/>
            <wp:effectExtent l="0" t="0" r="17145" b="2095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C49A4" w:rsidRPr="00BA7280" w:rsidRDefault="00AC49A4" w:rsidP="003C0513">
      <w:pPr>
        <w:rPr>
          <w:rFonts w:cs="Times New Roman"/>
        </w:rPr>
      </w:pPr>
      <w:bookmarkStart w:id="42" w:name="_Toc340750015"/>
      <w:proofErr w:type="gramStart"/>
      <w:r>
        <w:t>Fig.</w:t>
      </w:r>
      <w:proofErr w:type="gramEnd"/>
      <w:r>
        <w:t xml:space="preserve"> </w:t>
      </w:r>
      <w:fldSimple w:instr=" SEQ Fig. \* ARABIC ">
        <w:r>
          <w:rPr>
            <w:noProof/>
          </w:rPr>
          <w:t>25</w:t>
        </w:r>
      </w:fldSimple>
      <w:r w:rsidRPr="00BA7280">
        <w:rPr>
          <w:rFonts w:cs="Times New Roman"/>
        </w:rPr>
        <w:t xml:space="preserve">: Leaf nitrogen content of </w:t>
      </w:r>
      <w:r w:rsidRPr="00BA7280">
        <w:rPr>
          <w:rFonts w:cs="Times New Roman"/>
          <w:i/>
        </w:rPr>
        <w:t xml:space="preserve">C. </w:t>
      </w:r>
      <w:proofErr w:type="spellStart"/>
      <w:r w:rsidRPr="00BA7280">
        <w:rPr>
          <w:rFonts w:cs="Times New Roman"/>
          <w:i/>
        </w:rPr>
        <w:t>canadensis</w:t>
      </w:r>
      <w:proofErr w:type="spellEnd"/>
      <w:r w:rsidRPr="00BA7280">
        <w:rPr>
          <w:rFonts w:cs="Times New Roman"/>
          <w:i/>
        </w:rPr>
        <w:t xml:space="preserve"> </w:t>
      </w:r>
      <w:r w:rsidRPr="00BA7280">
        <w:rPr>
          <w:rFonts w:cs="Times New Roman"/>
        </w:rPr>
        <w:t>seedlings grown in soils from a fifteen</w:t>
      </w:r>
      <w:r>
        <w:rPr>
          <w:rFonts w:cs="Times New Roman"/>
        </w:rPr>
        <w:t>-</w:t>
      </w:r>
      <w:r w:rsidRPr="00BA7280">
        <w:rPr>
          <w:rFonts w:cs="Times New Roman"/>
        </w:rPr>
        <w:t>year</w:t>
      </w:r>
      <w:r>
        <w:rPr>
          <w:rFonts w:cs="Times New Roman"/>
        </w:rPr>
        <w:t>-</w:t>
      </w:r>
      <w:r w:rsidRPr="00BA7280">
        <w:rPr>
          <w:rFonts w:cs="Times New Roman"/>
        </w:rPr>
        <w:t>old Forestry Reclamation Approach site with the ind</w:t>
      </w:r>
      <w:r>
        <w:rPr>
          <w:rFonts w:cs="Times New Roman"/>
        </w:rPr>
        <w:t xml:space="preserve">icated nematode community </w:t>
      </w:r>
      <w:proofErr w:type="gramStart"/>
      <w:r>
        <w:rPr>
          <w:rFonts w:cs="Times New Roman"/>
        </w:rPr>
        <w:t>added :</w:t>
      </w:r>
      <w:proofErr w:type="gramEnd"/>
      <w:r>
        <w:rPr>
          <w:rFonts w:cs="Times New Roman"/>
        </w:rPr>
        <w:t xml:space="preserve"> </w:t>
      </w:r>
      <w:r>
        <w:t xml:space="preserve">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  Letters indicate significant differences between groups.</w:t>
      </w:r>
      <w:bookmarkEnd w:id="42"/>
    </w:p>
    <w:p w:rsidR="00AC49A4" w:rsidRDefault="00AC49A4" w:rsidP="003C0513">
      <w:pPr>
        <w:pStyle w:val="Caption"/>
      </w:pPr>
    </w:p>
    <w:p w:rsidR="00AC49A4" w:rsidRPr="00BA7280" w:rsidRDefault="00AC49A4" w:rsidP="003C0513">
      <w:pPr>
        <w:rPr>
          <w:rFonts w:cs="Times New Roman"/>
        </w:rPr>
      </w:pPr>
    </w:p>
    <w:p w:rsidR="00AC49A4" w:rsidRPr="00BA7280" w:rsidRDefault="00AC49A4" w:rsidP="003C0513">
      <w:pPr>
        <w:rPr>
          <w:rFonts w:cs="Times New Roman"/>
        </w:rPr>
      </w:pPr>
      <w:r w:rsidRPr="00BA7280">
        <w:rPr>
          <w:noProof/>
        </w:rPr>
        <w:drawing>
          <wp:inline distT="0" distB="0" distL="0" distR="0" wp14:anchorId="2A3977B7" wp14:editId="79B262BF">
            <wp:extent cx="5522026" cy="2945080"/>
            <wp:effectExtent l="0" t="0" r="21590" b="2730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C49A4" w:rsidRPr="00B77942" w:rsidRDefault="00AC49A4" w:rsidP="003C0513">
      <w:pPr>
        <w:jc w:val="center"/>
        <w:rPr>
          <w:rFonts w:cs="Times New Roman"/>
        </w:rPr>
      </w:pPr>
      <w:r w:rsidRPr="00BA7280">
        <w:rPr>
          <w:rFonts w:cs="Times New Roman"/>
        </w:rPr>
        <w:t xml:space="preserve">  </w:t>
      </w:r>
    </w:p>
    <w:p w:rsidR="00AC49A4" w:rsidRDefault="00AC49A4" w:rsidP="003C0513">
      <w:bookmarkStart w:id="43" w:name="_Toc340750016"/>
      <w:proofErr w:type="gramStart"/>
      <w:r>
        <w:t>Fig.</w:t>
      </w:r>
      <w:proofErr w:type="gramEnd"/>
      <w:r>
        <w:t xml:space="preserve"> </w:t>
      </w:r>
      <w:fldSimple w:instr=" SEQ Fig. \* ARABIC ">
        <w:r>
          <w:rPr>
            <w:noProof/>
          </w:rPr>
          <w:t>26</w:t>
        </w:r>
      </w:fldSimple>
      <w:r>
        <w:t xml:space="preserve">: </w:t>
      </w:r>
      <w:r w:rsidRPr="00B77942">
        <w:rPr>
          <w:rFonts w:cs="Times New Roman"/>
        </w:rPr>
        <w:t xml:space="preserve"> </w:t>
      </w:r>
      <w:r w:rsidRPr="00BA7280">
        <w:rPr>
          <w:rFonts w:cs="Times New Roman"/>
        </w:rPr>
        <w:t xml:space="preserve">Leaf </w:t>
      </w:r>
      <w:proofErr w:type="spellStart"/>
      <w:r w:rsidRPr="00BA7280">
        <w:rPr>
          <w:rFonts w:cs="Times New Roman"/>
        </w:rPr>
        <w:t>carbon</w:t>
      </w:r>
      <w:proofErr w:type="gramStart"/>
      <w:r w:rsidRPr="00BA7280">
        <w:rPr>
          <w:rFonts w:cs="Times New Roman"/>
        </w:rPr>
        <w:t>:nitrogen</w:t>
      </w:r>
      <w:proofErr w:type="spellEnd"/>
      <w:proofErr w:type="gramEnd"/>
      <w:r w:rsidRPr="00BA7280">
        <w:rPr>
          <w:rFonts w:cs="Times New Roman"/>
        </w:rPr>
        <w:t xml:space="preserve"> ratio of </w:t>
      </w:r>
      <w:r w:rsidRPr="00BA7280">
        <w:rPr>
          <w:rFonts w:cs="Times New Roman"/>
          <w:i/>
        </w:rPr>
        <w:t xml:space="preserve">C. </w:t>
      </w:r>
      <w:proofErr w:type="spellStart"/>
      <w:r w:rsidRPr="00BA7280">
        <w:rPr>
          <w:rFonts w:cs="Times New Roman"/>
          <w:i/>
        </w:rPr>
        <w:t>canadensis</w:t>
      </w:r>
      <w:proofErr w:type="spellEnd"/>
      <w:r w:rsidRPr="00BA7280">
        <w:rPr>
          <w:rFonts w:cs="Times New Roman"/>
          <w:i/>
        </w:rPr>
        <w:t xml:space="preserve"> </w:t>
      </w:r>
      <w:r w:rsidRPr="00BA7280">
        <w:rPr>
          <w:rFonts w:cs="Times New Roman"/>
        </w:rPr>
        <w:t>seedlings grown in soils from a fifteen</w:t>
      </w:r>
      <w:r>
        <w:rPr>
          <w:rFonts w:cs="Times New Roman"/>
        </w:rPr>
        <w:t>-</w:t>
      </w:r>
      <w:r w:rsidRPr="00BA7280">
        <w:rPr>
          <w:rFonts w:cs="Times New Roman"/>
        </w:rPr>
        <w:t>year</w:t>
      </w:r>
      <w:r>
        <w:rPr>
          <w:rFonts w:cs="Times New Roman"/>
        </w:rPr>
        <w:t>-</w:t>
      </w:r>
      <w:r w:rsidRPr="00BA7280">
        <w:rPr>
          <w:rFonts w:cs="Times New Roman"/>
        </w:rPr>
        <w:t>old Forestry Reclamation Approach site with the ind</w:t>
      </w:r>
      <w:r>
        <w:rPr>
          <w:rFonts w:cs="Times New Roman"/>
        </w:rPr>
        <w:t xml:space="preserve">icated nematode community added: </w:t>
      </w:r>
      <w:r>
        <w:t xml:space="preserve">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w:t>
      </w:r>
      <w:r>
        <w:rPr>
          <w:rFonts w:cs="Times New Roman"/>
        </w:rPr>
        <w:t>±</w:t>
      </w:r>
      <w:r>
        <w:t xml:space="preserve"> standard error.  Letters indicate significant differences between groups. Bars represent mean values </w:t>
      </w:r>
      <w:r>
        <w:rPr>
          <w:rFonts w:cs="Times New Roman"/>
        </w:rPr>
        <w:t>±</w:t>
      </w:r>
      <w:r>
        <w:t xml:space="preserve"> standard error.</w:t>
      </w:r>
      <w:bookmarkEnd w:id="43"/>
      <w:r>
        <w:t xml:space="preserve">  </w:t>
      </w:r>
    </w:p>
    <w:p w:rsidR="00AC49A4" w:rsidRDefault="00AC49A4" w:rsidP="003C0513"/>
    <w:p w:rsidR="00AC49A4" w:rsidRDefault="00AC49A4" w:rsidP="003C0513">
      <w:pPr>
        <w:rPr>
          <w:rFonts w:cs="Times New Roman"/>
        </w:rPr>
      </w:pPr>
    </w:p>
    <w:p w:rsidR="00AC49A4" w:rsidRPr="00B77942" w:rsidRDefault="00AC49A4" w:rsidP="003C0513">
      <w:pPr>
        <w:rPr>
          <w:rFonts w:cs="Times New Roman"/>
        </w:rPr>
      </w:pPr>
    </w:p>
    <w:p w:rsidR="00AC49A4" w:rsidRPr="00BA7280" w:rsidRDefault="00AC49A4" w:rsidP="003C0513">
      <w:pPr>
        <w:spacing w:line="480" w:lineRule="auto"/>
        <w:ind w:firstLine="720"/>
        <w:rPr>
          <w:rFonts w:cs="Times New Roman"/>
          <w:sz w:val="24"/>
          <w:szCs w:val="24"/>
        </w:rPr>
      </w:pPr>
      <w:r>
        <w:rPr>
          <w:rFonts w:cs="Times New Roman"/>
          <w:sz w:val="24"/>
          <w:szCs w:val="24"/>
        </w:rPr>
        <w:t>Below-ground</w:t>
      </w:r>
      <w:r w:rsidRPr="00BA7280">
        <w:rPr>
          <w:rFonts w:cs="Times New Roman"/>
          <w:sz w:val="24"/>
          <w:szCs w:val="24"/>
        </w:rPr>
        <w:t xml:space="preserve"> biomass was influenced by nematode community, with </w:t>
      </w:r>
      <w:proofErr w:type="spellStart"/>
      <w:r w:rsidRPr="00BA7280">
        <w:rPr>
          <w:rFonts w:cs="Times New Roman"/>
          <w:sz w:val="24"/>
          <w:szCs w:val="24"/>
        </w:rPr>
        <w:t>defaunated</w:t>
      </w:r>
      <w:proofErr w:type="spellEnd"/>
      <w:r w:rsidRPr="00BA7280">
        <w:rPr>
          <w:rFonts w:cs="Times New Roman"/>
          <w:sz w:val="24"/>
          <w:szCs w:val="24"/>
        </w:rPr>
        <w:t xml:space="preserve"> soils, forest nematode addition, SMCRA 1, and intact control having lower root biomass, while nematode additions FRA 15, SMCRA 15, and FRA 1 had higher root biomass (Fig</w:t>
      </w:r>
      <w:r>
        <w:rPr>
          <w:rFonts w:cs="Times New Roman"/>
          <w:sz w:val="24"/>
          <w:szCs w:val="24"/>
        </w:rPr>
        <w:t>.</w:t>
      </w:r>
      <w:r w:rsidRPr="00BA7280">
        <w:rPr>
          <w:rFonts w:cs="Times New Roman"/>
          <w:sz w:val="24"/>
          <w:szCs w:val="24"/>
        </w:rPr>
        <w:t xml:space="preserve"> </w:t>
      </w:r>
      <w:r>
        <w:rPr>
          <w:rFonts w:cs="Times New Roman"/>
          <w:sz w:val="24"/>
          <w:szCs w:val="24"/>
        </w:rPr>
        <w:t>30</w:t>
      </w:r>
      <w:r w:rsidRPr="00BA7280">
        <w:rPr>
          <w:rFonts w:cs="Times New Roman"/>
          <w:sz w:val="24"/>
          <w:szCs w:val="24"/>
        </w:rPr>
        <w:t>).  Leaf nutrient content of seedlings grown in forest soils were not influenced by nematode community treatment (Figs</w:t>
      </w:r>
      <w:r>
        <w:rPr>
          <w:rFonts w:cs="Times New Roman"/>
          <w:sz w:val="24"/>
          <w:szCs w:val="24"/>
        </w:rPr>
        <w:t>. 27, 28).</w:t>
      </w:r>
    </w:p>
    <w:p w:rsidR="00AC49A4" w:rsidRDefault="00AC49A4" w:rsidP="003C0513">
      <w:pPr>
        <w:spacing w:line="480" w:lineRule="auto"/>
        <w:ind w:firstLine="720"/>
        <w:rPr>
          <w:rFonts w:cs="Times New Roman"/>
          <w:sz w:val="24"/>
          <w:szCs w:val="24"/>
        </w:rPr>
      </w:pPr>
      <w:r>
        <w:rPr>
          <w:rFonts w:cs="Times New Roman"/>
          <w:sz w:val="24"/>
          <w:szCs w:val="24"/>
        </w:rPr>
        <w:t>The</w:t>
      </w:r>
      <w:r w:rsidRPr="00BA7280">
        <w:rPr>
          <w:rFonts w:cs="Times New Roman"/>
          <w:sz w:val="24"/>
          <w:szCs w:val="24"/>
        </w:rPr>
        <w:t xml:space="preserve"> diversity of nematode community additions</w:t>
      </w:r>
      <w:r>
        <w:rPr>
          <w:rFonts w:cs="Times New Roman"/>
          <w:sz w:val="24"/>
          <w:szCs w:val="24"/>
        </w:rPr>
        <w:t>, as measured by the Shannon diversity index</w:t>
      </w:r>
      <w:r w:rsidRPr="00BA7280">
        <w:rPr>
          <w:rFonts w:cs="Times New Roman"/>
          <w:sz w:val="24"/>
          <w:szCs w:val="24"/>
        </w:rPr>
        <w:t xml:space="preserve"> </w:t>
      </w:r>
      <w:r>
        <w:rPr>
          <w:rFonts w:cs="Times New Roman"/>
          <w:sz w:val="24"/>
          <w:szCs w:val="24"/>
        </w:rPr>
        <w:t>was not related to</w:t>
      </w:r>
      <w:r w:rsidRPr="00BA7280">
        <w:rPr>
          <w:rFonts w:cs="Times New Roman"/>
          <w:sz w:val="24"/>
          <w:szCs w:val="24"/>
        </w:rPr>
        <w:t xml:space="preserve"> biomass measures or nutrient content of leaves in any soil.</w:t>
      </w:r>
    </w:p>
    <w:p w:rsidR="00AC49A4" w:rsidRPr="00BA7280" w:rsidRDefault="00AC49A4" w:rsidP="003C0513">
      <w:pPr>
        <w:jc w:val="center"/>
        <w:rPr>
          <w:rFonts w:cs="Times New Roman"/>
        </w:rPr>
      </w:pPr>
      <w:r w:rsidRPr="00BA7280">
        <w:rPr>
          <w:noProof/>
        </w:rPr>
        <w:lastRenderedPageBreak/>
        <w:drawing>
          <wp:inline distT="0" distB="0" distL="0" distR="0" wp14:anchorId="4B832D3A" wp14:editId="026ADCDF">
            <wp:extent cx="5867400" cy="3486150"/>
            <wp:effectExtent l="0" t="0" r="19050" b="19050"/>
            <wp:docPr id="303" name="Chart 30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AC49A4" w:rsidRPr="00151D18" w:rsidRDefault="00AC49A4" w:rsidP="003C0513">
      <w:bookmarkStart w:id="44" w:name="_Toc340750017"/>
      <w:proofErr w:type="gramStart"/>
      <w:r>
        <w:t>Fig.</w:t>
      </w:r>
      <w:proofErr w:type="gramEnd"/>
      <w:r>
        <w:t xml:space="preserve"> </w:t>
      </w:r>
      <w:fldSimple w:instr=" SEQ Fig. \* ARABIC ">
        <w:r>
          <w:rPr>
            <w:noProof/>
          </w:rPr>
          <w:t>27</w:t>
        </w:r>
      </w:fldSimple>
      <w:r w:rsidRPr="00BA7280">
        <w:t xml:space="preserve">: Above and </w:t>
      </w:r>
      <w:r>
        <w:t>below-ground p</w:t>
      </w:r>
      <w:r w:rsidRPr="00BA7280">
        <w:t xml:space="preserve">lant </w:t>
      </w:r>
      <w:r>
        <w:t>b</w:t>
      </w:r>
      <w:r w:rsidRPr="00BA7280">
        <w:t xml:space="preserve">iomass of  </w:t>
      </w:r>
      <w:r w:rsidRPr="00BA7280">
        <w:rPr>
          <w:i/>
        </w:rPr>
        <w:t xml:space="preserve">C. </w:t>
      </w:r>
      <w:proofErr w:type="spellStart"/>
      <w:r w:rsidRPr="00BA7280">
        <w:rPr>
          <w:i/>
        </w:rPr>
        <w:t>canadensis</w:t>
      </w:r>
      <w:proofErr w:type="spellEnd"/>
      <w:r w:rsidRPr="00BA7280">
        <w:t xml:space="preserve"> seedlings grown in soils from a fifteen</w:t>
      </w:r>
      <w:r>
        <w:t>-</w:t>
      </w:r>
      <w:r w:rsidRPr="00BA7280">
        <w:t>year-old Surface Mi</w:t>
      </w:r>
      <w:r>
        <w:t>ning Control and R</w:t>
      </w:r>
      <w:r w:rsidRPr="00BA7280">
        <w:t>eclamation Act site with the indicated nematode community added</w:t>
      </w:r>
      <w:r>
        <w:t xml:space="preserve">: 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 standard error.</w:t>
      </w:r>
      <w:bookmarkEnd w:id="44"/>
      <w:r>
        <w:t xml:space="preserve">  </w:t>
      </w:r>
    </w:p>
    <w:p w:rsidR="00AC49A4" w:rsidRDefault="00AC49A4" w:rsidP="003C0513">
      <w:pPr>
        <w:rPr>
          <w:rFonts w:cs="Times New Roman"/>
        </w:rPr>
      </w:pPr>
    </w:p>
    <w:p w:rsidR="00AC49A4" w:rsidRDefault="00AC49A4" w:rsidP="003C0513">
      <w:pPr>
        <w:rPr>
          <w:rFonts w:cs="Times New Roman"/>
        </w:rPr>
      </w:pPr>
    </w:p>
    <w:p w:rsidR="00AC49A4" w:rsidRDefault="00AC49A4" w:rsidP="003C0513">
      <w:pPr>
        <w:rPr>
          <w:rFonts w:cs="Times New Roman"/>
        </w:rPr>
      </w:pPr>
    </w:p>
    <w:p w:rsidR="00AC49A4" w:rsidRDefault="00AC49A4" w:rsidP="003C0513">
      <w:pPr>
        <w:rPr>
          <w:rFonts w:cs="Times New Roman"/>
        </w:rPr>
      </w:pPr>
    </w:p>
    <w:p w:rsidR="00AC49A4" w:rsidRDefault="00AC49A4" w:rsidP="003C0513">
      <w:pPr>
        <w:rPr>
          <w:rFonts w:cs="Times New Roman"/>
        </w:rPr>
      </w:pPr>
    </w:p>
    <w:p w:rsidR="00AC49A4" w:rsidRPr="00BA7280" w:rsidRDefault="00AC49A4" w:rsidP="003C0513">
      <w:pPr>
        <w:rPr>
          <w:rFonts w:cs="Times New Roman"/>
        </w:rPr>
      </w:pPr>
    </w:p>
    <w:p w:rsidR="00AC49A4" w:rsidRPr="00BA7280" w:rsidRDefault="00AC49A4" w:rsidP="003C0513">
      <w:pPr>
        <w:rPr>
          <w:rFonts w:cs="Times New Roman"/>
        </w:rPr>
      </w:pPr>
    </w:p>
    <w:p w:rsidR="00AC49A4" w:rsidRPr="00BA7280" w:rsidRDefault="00AC49A4" w:rsidP="003C0513">
      <w:pPr>
        <w:jc w:val="center"/>
        <w:rPr>
          <w:rFonts w:cs="Times New Roman"/>
        </w:rPr>
      </w:pPr>
      <w:r w:rsidRPr="00BA7280">
        <w:rPr>
          <w:noProof/>
        </w:rPr>
        <w:lastRenderedPageBreak/>
        <w:drawing>
          <wp:inline distT="0" distB="0" distL="0" distR="0" wp14:anchorId="58A7FF79" wp14:editId="4000A218">
            <wp:extent cx="5805377" cy="2892056"/>
            <wp:effectExtent l="0" t="0" r="24130" b="22860"/>
            <wp:docPr id="304" name="Chart 30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AC49A4" w:rsidRPr="00151D18" w:rsidRDefault="00AC49A4" w:rsidP="003C0513">
      <w:bookmarkStart w:id="45" w:name="_Toc340750018"/>
      <w:proofErr w:type="gramStart"/>
      <w:r>
        <w:t>Fig.</w:t>
      </w:r>
      <w:proofErr w:type="gramEnd"/>
      <w:r>
        <w:t xml:space="preserve"> </w:t>
      </w:r>
      <w:fldSimple w:instr=" SEQ Fig. \* ARABIC ">
        <w:r>
          <w:rPr>
            <w:noProof/>
          </w:rPr>
          <w:t>28</w:t>
        </w:r>
      </w:fldSimple>
      <w:r w:rsidRPr="00BA7280">
        <w:t xml:space="preserve">:  Leaf nitrogen content of </w:t>
      </w:r>
      <w:r w:rsidRPr="00BA7280">
        <w:rPr>
          <w:i/>
        </w:rPr>
        <w:t xml:space="preserve">C. </w:t>
      </w:r>
      <w:proofErr w:type="spellStart"/>
      <w:r w:rsidRPr="00BA7280">
        <w:rPr>
          <w:i/>
        </w:rPr>
        <w:t>canadensis</w:t>
      </w:r>
      <w:proofErr w:type="spellEnd"/>
      <w:r w:rsidRPr="00BA7280">
        <w:rPr>
          <w:i/>
        </w:rPr>
        <w:t xml:space="preserve"> </w:t>
      </w:r>
      <w:r w:rsidRPr="00BA7280">
        <w:t>seedlings grown in soils from a fifteen</w:t>
      </w:r>
      <w:r>
        <w:t>-</w:t>
      </w:r>
      <w:r w:rsidRPr="00BA7280">
        <w:t>year-old Surface Mining Control and Reclamation Act site with the indicated nematode community added</w:t>
      </w:r>
      <w:r>
        <w:t xml:space="preserve">: 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 standard error.  Letters indicate significant differences between groups.</w:t>
      </w:r>
      <w:bookmarkEnd w:id="45"/>
    </w:p>
    <w:p w:rsidR="00AC49A4" w:rsidRPr="00BA7280" w:rsidRDefault="00AC49A4" w:rsidP="003C0513">
      <w:pPr>
        <w:rPr>
          <w:rFonts w:cs="Times New Roman"/>
        </w:rPr>
      </w:pPr>
    </w:p>
    <w:p w:rsidR="00AC49A4" w:rsidRPr="00BA7280" w:rsidRDefault="00AC49A4" w:rsidP="003C0513">
      <w:pPr>
        <w:rPr>
          <w:rFonts w:cs="Times New Roman"/>
        </w:rPr>
      </w:pPr>
    </w:p>
    <w:p w:rsidR="00AC49A4" w:rsidRPr="00BA7280" w:rsidRDefault="00AC49A4" w:rsidP="003C0513">
      <w:pPr>
        <w:jc w:val="center"/>
        <w:rPr>
          <w:rFonts w:cs="Times New Roman"/>
        </w:rPr>
      </w:pPr>
      <w:r w:rsidRPr="00BA7280">
        <w:rPr>
          <w:noProof/>
        </w:rPr>
        <w:drawing>
          <wp:inline distT="0" distB="0" distL="0" distR="0" wp14:anchorId="73575B17" wp14:editId="794E8287">
            <wp:extent cx="5837275" cy="2892056"/>
            <wp:effectExtent l="0" t="0" r="11430" b="22860"/>
            <wp:docPr id="313" name="Chart 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AC49A4" w:rsidRPr="00FD56BA" w:rsidRDefault="00AC49A4" w:rsidP="003C0513">
      <w:bookmarkStart w:id="46" w:name="_Toc340750019"/>
      <w:proofErr w:type="gramStart"/>
      <w:r>
        <w:t>Fig.</w:t>
      </w:r>
      <w:proofErr w:type="gramEnd"/>
      <w:r>
        <w:t xml:space="preserve"> </w:t>
      </w:r>
      <w:fldSimple w:instr=" SEQ Fig. \* ARABIC ">
        <w:r>
          <w:rPr>
            <w:noProof/>
          </w:rPr>
          <w:t>29</w:t>
        </w:r>
      </w:fldSimple>
      <w:r w:rsidRPr="00BA7280">
        <w:t xml:space="preserve">: Leaf </w:t>
      </w:r>
      <w:proofErr w:type="spellStart"/>
      <w:r w:rsidRPr="00BA7280">
        <w:t>carbon:nitrogen</w:t>
      </w:r>
      <w:proofErr w:type="spellEnd"/>
      <w:r w:rsidRPr="00BA7280">
        <w:t xml:space="preserve"> ratio of </w:t>
      </w:r>
      <w:r w:rsidRPr="00BA7280">
        <w:rPr>
          <w:i/>
        </w:rPr>
        <w:t xml:space="preserve">C. </w:t>
      </w:r>
      <w:proofErr w:type="spellStart"/>
      <w:r w:rsidRPr="00BA7280">
        <w:rPr>
          <w:i/>
        </w:rPr>
        <w:t>canadensis</w:t>
      </w:r>
      <w:proofErr w:type="spellEnd"/>
      <w:r w:rsidRPr="00BA7280">
        <w:rPr>
          <w:i/>
        </w:rPr>
        <w:t xml:space="preserve"> </w:t>
      </w:r>
      <w:r w:rsidRPr="00BA7280">
        <w:t>seedlings gro</w:t>
      </w:r>
      <w:r>
        <w:t>wn in soils from a fifteen-</w:t>
      </w:r>
      <w:r w:rsidRPr="00BA7280">
        <w:t>year-old Forestry Reclamation Approach site with the ind</w:t>
      </w:r>
      <w:r>
        <w:t xml:space="preserve">icated nematode community added: 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 standard error.  Letters indicate significant differences between groups</w:t>
      </w:r>
      <w:bookmarkEnd w:id="46"/>
      <w:r>
        <w:t>.</w:t>
      </w:r>
    </w:p>
    <w:p w:rsidR="00AC49A4" w:rsidRPr="00BA7280" w:rsidRDefault="00AC49A4" w:rsidP="003C0513">
      <w:pPr>
        <w:jc w:val="center"/>
        <w:rPr>
          <w:rFonts w:cs="Times New Roman"/>
        </w:rPr>
      </w:pPr>
      <w:r w:rsidRPr="00BA7280">
        <w:rPr>
          <w:noProof/>
        </w:rPr>
        <w:lastRenderedPageBreak/>
        <w:drawing>
          <wp:inline distT="0" distB="0" distL="0" distR="0" wp14:anchorId="53F27AF0" wp14:editId="186339CF">
            <wp:extent cx="5348177" cy="3136604"/>
            <wp:effectExtent l="0" t="0" r="24130" b="26035"/>
            <wp:docPr id="314" name="Chart 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AC49A4" w:rsidRPr="00151D18" w:rsidRDefault="00AC49A4" w:rsidP="003C0513">
      <w:bookmarkStart w:id="47" w:name="_Toc340750020"/>
      <w:proofErr w:type="gramStart"/>
      <w:r>
        <w:t>Fig.</w:t>
      </w:r>
      <w:proofErr w:type="gramEnd"/>
      <w:r>
        <w:t xml:space="preserve"> </w:t>
      </w:r>
      <w:fldSimple w:instr=" SEQ Fig. \* ARABIC ">
        <w:r>
          <w:rPr>
            <w:noProof/>
          </w:rPr>
          <w:t>30</w:t>
        </w:r>
      </w:fldSimple>
      <w:r w:rsidRPr="00BA7280">
        <w:t xml:space="preserve">: Above and </w:t>
      </w:r>
      <w:r>
        <w:t>Below-ground</w:t>
      </w:r>
      <w:r w:rsidRPr="00BA7280">
        <w:t xml:space="preserve"> Plant Biomass of </w:t>
      </w:r>
      <w:r w:rsidRPr="00BA7280">
        <w:rPr>
          <w:i/>
        </w:rPr>
        <w:t xml:space="preserve">C. </w:t>
      </w:r>
      <w:proofErr w:type="spellStart"/>
      <w:r w:rsidRPr="00BA7280">
        <w:rPr>
          <w:i/>
        </w:rPr>
        <w:t>canadensis</w:t>
      </w:r>
      <w:proofErr w:type="spellEnd"/>
      <w:r w:rsidRPr="00BA7280">
        <w:t xml:space="preserve"> seedlings grown in soils from an un-mined forest site with the ind</w:t>
      </w:r>
      <w:r>
        <w:t xml:space="preserve">icated nematode community added: 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 standard error.  Letters indicate significant differences between groups.</w:t>
      </w:r>
      <w:bookmarkEnd w:id="47"/>
    </w:p>
    <w:p w:rsidR="00AC49A4" w:rsidRPr="00BA7280" w:rsidRDefault="00AC49A4" w:rsidP="003C0513">
      <w:pPr>
        <w:rPr>
          <w:rFonts w:cs="Times New Roman"/>
        </w:rPr>
      </w:pPr>
    </w:p>
    <w:p w:rsidR="00AC49A4" w:rsidRPr="00BA7280" w:rsidRDefault="00AC49A4" w:rsidP="003C0513">
      <w:pPr>
        <w:rPr>
          <w:rFonts w:cs="Times New Roman"/>
        </w:rPr>
      </w:pPr>
    </w:p>
    <w:p w:rsidR="00AC49A4" w:rsidRPr="00BA7280" w:rsidRDefault="00AC49A4" w:rsidP="003C0513">
      <w:pPr>
        <w:jc w:val="center"/>
        <w:rPr>
          <w:rFonts w:cs="Times New Roman"/>
        </w:rPr>
      </w:pPr>
      <w:r w:rsidRPr="00BA7280">
        <w:rPr>
          <w:noProof/>
        </w:rPr>
        <w:drawing>
          <wp:inline distT="0" distB="0" distL="0" distR="0" wp14:anchorId="31AD6DE7" wp14:editId="655DF721">
            <wp:extent cx="5635256" cy="2913321"/>
            <wp:effectExtent l="0" t="0" r="22860" b="20955"/>
            <wp:docPr id="317" name="Chart 3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AC49A4" w:rsidRPr="00FD56BA" w:rsidRDefault="00AC49A4" w:rsidP="003C0513">
      <w:bookmarkStart w:id="48" w:name="_Toc340750021"/>
      <w:proofErr w:type="gramStart"/>
      <w:r>
        <w:t>Fig.</w:t>
      </w:r>
      <w:proofErr w:type="gramEnd"/>
      <w:r>
        <w:t xml:space="preserve"> </w:t>
      </w:r>
      <w:fldSimple w:instr=" SEQ Fig. \* ARABIC ">
        <w:r>
          <w:rPr>
            <w:noProof/>
          </w:rPr>
          <w:t>31</w:t>
        </w:r>
      </w:fldSimple>
      <w:r>
        <w:t>:</w:t>
      </w:r>
      <w:r w:rsidRPr="00BA7280">
        <w:t xml:space="preserve">  Leaf nitrogen content of </w:t>
      </w:r>
      <w:r w:rsidRPr="00BA7280">
        <w:rPr>
          <w:i/>
        </w:rPr>
        <w:t xml:space="preserve">C. </w:t>
      </w:r>
      <w:proofErr w:type="spellStart"/>
      <w:r w:rsidRPr="00BA7280">
        <w:rPr>
          <w:i/>
        </w:rPr>
        <w:t>canadensis</w:t>
      </w:r>
      <w:proofErr w:type="spellEnd"/>
      <w:r w:rsidRPr="00BA7280">
        <w:rPr>
          <w:i/>
        </w:rPr>
        <w:t xml:space="preserve"> </w:t>
      </w:r>
      <w:r w:rsidRPr="00BA7280">
        <w:t>seedlings grown in soils from an un-mined forest site with the ind</w:t>
      </w:r>
      <w:r>
        <w:t xml:space="preserve">icated nematode community </w:t>
      </w:r>
      <w:proofErr w:type="spellStart"/>
      <w:r>
        <w:t>added</w:t>
      </w:r>
      <w:proofErr w:type="gramStart"/>
      <w:r>
        <w:t>:intact</w:t>
      </w:r>
      <w:proofErr w:type="spellEnd"/>
      <w:proofErr w:type="gramEnd"/>
      <w:r>
        <w:t xml:space="preserve"> control nematodes, </w:t>
      </w:r>
      <w:proofErr w:type="spellStart"/>
      <w:r>
        <w:t>defaunated</w:t>
      </w:r>
      <w:proofErr w:type="spellEnd"/>
      <w:r>
        <w:t xml:space="preserve"> control nematodes, forest nematodes, FRA one- year-old nematode communities, FRA fifteen-year-old communities, Surface Mining Control and Reclamation Act (SMCRA) one-year-old nematode communities, SMCRA fifteen-year-old nematodes communities . Bars represent mean values ± standard error.</w:t>
      </w:r>
      <w:bookmarkEnd w:id="48"/>
      <w:r>
        <w:t xml:space="preserve"> </w:t>
      </w:r>
    </w:p>
    <w:p w:rsidR="00AC49A4" w:rsidRPr="00BA7280" w:rsidRDefault="00AC49A4" w:rsidP="003C0513">
      <w:pPr>
        <w:jc w:val="center"/>
        <w:rPr>
          <w:rFonts w:cs="Times New Roman"/>
        </w:rPr>
      </w:pPr>
      <w:r w:rsidRPr="00BA7280">
        <w:rPr>
          <w:noProof/>
        </w:rPr>
        <w:lastRenderedPageBreak/>
        <w:drawing>
          <wp:inline distT="0" distB="0" distL="0" distR="0" wp14:anchorId="60DEA060" wp14:editId="57BB7896">
            <wp:extent cx="5943600" cy="3115340"/>
            <wp:effectExtent l="0" t="0" r="19050" b="27940"/>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AC49A4" w:rsidRPr="00CC368E" w:rsidRDefault="00AC49A4" w:rsidP="003C0513">
      <w:bookmarkStart w:id="49" w:name="_Toc340750022"/>
      <w:proofErr w:type="gramStart"/>
      <w:r>
        <w:t>Fig.</w:t>
      </w:r>
      <w:proofErr w:type="gramEnd"/>
      <w:r>
        <w:t xml:space="preserve"> </w:t>
      </w:r>
      <w:fldSimple w:instr=" SEQ Fig. \* ARABIC ">
        <w:r>
          <w:rPr>
            <w:noProof/>
          </w:rPr>
          <w:t>32</w:t>
        </w:r>
      </w:fldSimple>
      <w:r>
        <w:t xml:space="preserve">: </w:t>
      </w:r>
      <w:r w:rsidRPr="00BA7280">
        <w:t xml:space="preserve"> Leaf </w:t>
      </w:r>
      <w:proofErr w:type="spellStart"/>
      <w:r w:rsidRPr="00BA7280">
        <w:t>carbon</w:t>
      </w:r>
      <w:proofErr w:type="gramStart"/>
      <w:r w:rsidRPr="00BA7280">
        <w:t>:nitrogen</w:t>
      </w:r>
      <w:proofErr w:type="spellEnd"/>
      <w:proofErr w:type="gramEnd"/>
      <w:r w:rsidRPr="00BA7280">
        <w:t xml:space="preserve"> ratio of </w:t>
      </w:r>
      <w:r w:rsidRPr="00BA7280">
        <w:rPr>
          <w:i/>
        </w:rPr>
        <w:t xml:space="preserve">C. </w:t>
      </w:r>
      <w:proofErr w:type="spellStart"/>
      <w:r w:rsidRPr="00BA7280">
        <w:rPr>
          <w:i/>
        </w:rPr>
        <w:t>canadensis</w:t>
      </w:r>
      <w:proofErr w:type="spellEnd"/>
      <w:r w:rsidRPr="00BA7280">
        <w:rPr>
          <w:i/>
        </w:rPr>
        <w:t xml:space="preserve"> </w:t>
      </w:r>
      <w:r w:rsidRPr="00BA7280">
        <w:t>seedlings grown in soils from un-mine forest site with the indicated nematode community added</w:t>
      </w:r>
      <w:r>
        <w:t>:</w:t>
      </w:r>
      <w:r w:rsidRPr="0003638C">
        <w:t xml:space="preserve"> </w:t>
      </w:r>
      <w:r>
        <w:t xml:space="preserve">intact control nematodes, </w:t>
      </w:r>
      <w:proofErr w:type="spellStart"/>
      <w:r>
        <w:t>defaunated</w:t>
      </w:r>
      <w:proofErr w:type="spellEnd"/>
      <w:r>
        <w:t xml:space="preserve"> control nematodes, forest nematodes, FRA one- year-old nematode communities, FRA fifteen-year-old communities, Surface Mine Control and Reclamation Act (SMCRA) one-year-old nematode communities, SMCRA fifteen-year-old nematodes communities . Bars represent mean values ± standard error.</w:t>
      </w:r>
      <w:bookmarkEnd w:id="49"/>
      <w:r>
        <w:t xml:space="preserve">   </w:t>
      </w:r>
    </w:p>
    <w:p w:rsidR="00AC49A4" w:rsidRDefault="00AC49A4" w:rsidP="003C0513">
      <w:pPr>
        <w:spacing w:line="480" w:lineRule="auto"/>
        <w:ind w:firstLine="720"/>
        <w:rPr>
          <w:rFonts w:cs="Times New Roman"/>
          <w:sz w:val="24"/>
          <w:szCs w:val="24"/>
        </w:rPr>
      </w:pPr>
    </w:p>
    <w:p w:rsidR="00AC49A4" w:rsidRDefault="00AC49A4" w:rsidP="003C0513">
      <w:pPr>
        <w:spacing w:line="480" w:lineRule="auto"/>
        <w:ind w:firstLine="720"/>
        <w:rPr>
          <w:rFonts w:cs="Times New Roman"/>
          <w:sz w:val="24"/>
          <w:szCs w:val="24"/>
        </w:rPr>
      </w:pPr>
    </w:p>
    <w:p w:rsidR="00AC49A4" w:rsidRDefault="00AC49A4">
      <w:pPr>
        <w:spacing w:after="200" w:line="276" w:lineRule="auto"/>
        <w:rPr>
          <w:rFonts w:eastAsiaTheme="majorEastAsia" w:cstheme="majorBidi"/>
          <w:b/>
          <w:bCs/>
          <w:i/>
          <w:sz w:val="28"/>
          <w:szCs w:val="28"/>
        </w:rPr>
      </w:pPr>
      <w:r>
        <w:br w:type="page"/>
      </w:r>
    </w:p>
    <w:p w:rsidR="00AC49A4" w:rsidRPr="00BA7280" w:rsidRDefault="00AC49A4" w:rsidP="003C0513">
      <w:pPr>
        <w:pStyle w:val="Heading1"/>
      </w:pPr>
      <w:bookmarkStart w:id="50" w:name="_Toc340837896"/>
      <w:r>
        <w:lastRenderedPageBreak/>
        <w:t>Discussion</w:t>
      </w:r>
      <w:bookmarkEnd w:id="50"/>
    </w:p>
    <w:p w:rsidR="00AC49A4" w:rsidRPr="00BA7280" w:rsidRDefault="00AC49A4" w:rsidP="003C0513">
      <w:pPr>
        <w:pStyle w:val="ListParagraph"/>
        <w:rPr>
          <w:rFonts w:cs="Times New Roman"/>
          <w:sz w:val="24"/>
          <w:szCs w:val="24"/>
        </w:rPr>
      </w:pPr>
    </w:p>
    <w:p w:rsidR="00AC49A4" w:rsidRPr="005340AE" w:rsidRDefault="00AC49A4" w:rsidP="003C0513">
      <w:pPr>
        <w:spacing w:line="480" w:lineRule="auto"/>
        <w:ind w:firstLine="360"/>
        <w:rPr>
          <w:rFonts w:cs="Times New Roman"/>
          <w:sz w:val="24"/>
          <w:szCs w:val="24"/>
        </w:rPr>
      </w:pPr>
      <w:r w:rsidRPr="00BA7280">
        <w:rPr>
          <w:rFonts w:cs="Times New Roman"/>
          <w:sz w:val="24"/>
          <w:szCs w:val="24"/>
        </w:rPr>
        <w:t xml:space="preserve">Nematode abundance varied widely across samples, often due to a few </w:t>
      </w:r>
      <w:r>
        <w:rPr>
          <w:rFonts w:cs="Times New Roman"/>
          <w:sz w:val="24"/>
          <w:szCs w:val="24"/>
        </w:rPr>
        <w:t xml:space="preserve">dominant </w:t>
      </w:r>
      <w:proofErr w:type="spellStart"/>
      <w:r>
        <w:rPr>
          <w:rFonts w:cs="Times New Roman"/>
          <w:sz w:val="24"/>
          <w:szCs w:val="24"/>
        </w:rPr>
        <w:t>morphospecies</w:t>
      </w:r>
      <w:proofErr w:type="spellEnd"/>
      <w:r>
        <w:rPr>
          <w:rFonts w:cs="Times New Roman"/>
          <w:sz w:val="24"/>
          <w:szCs w:val="24"/>
        </w:rPr>
        <w:t xml:space="preserve">. </w:t>
      </w:r>
      <w:r w:rsidRPr="00BA7280">
        <w:rPr>
          <w:rFonts w:cs="Times New Roman"/>
          <w:sz w:val="24"/>
          <w:szCs w:val="24"/>
        </w:rPr>
        <w:t>Soil communities are highly spatially variable, often due to limited mobility of soil organisms and high nutrient variability within soils</w:t>
      </w:r>
      <w:r>
        <w:rPr>
          <w:rFonts w:cs="Times New Roman"/>
          <w:sz w:val="24"/>
          <w:szCs w:val="24"/>
        </w:rPr>
        <w:t>.</w:t>
      </w:r>
      <w:r w:rsidRPr="00BA7280">
        <w:rPr>
          <w:rFonts w:cs="Times New Roman"/>
          <w:sz w:val="24"/>
          <w:szCs w:val="24"/>
        </w:rPr>
        <w:t xml:space="preserve"> </w:t>
      </w:r>
      <w:r>
        <w:rPr>
          <w:rFonts w:cs="Times New Roman"/>
          <w:sz w:val="24"/>
          <w:szCs w:val="24"/>
        </w:rPr>
        <w:t xml:space="preserve"> Nematodes tend to non-random distributions due to unevenly distributed food resources across the landscape, explaining the wide variation of several </w:t>
      </w:r>
      <w:proofErr w:type="spellStart"/>
      <w:r>
        <w:rPr>
          <w:rFonts w:cs="Times New Roman"/>
          <w:sz w:val="24"/>
          <w:szCs w:val="24"/>
        </w:rPr>
        <w:t>morphospecies</w:t>
      </w:r>
      <w:proofErr w:type="spellEnd"/>
      <w:r>
        <w:rPr>
          <w:rFonts w:cs="Times New Roman"/>
          <w:sz w:val="24"/>
          <w:szCs w:val="24"/>
        </w:rPr>
        <w:t xml:space="preserve"> across these plots</w:t>
      </w:r>
    </w:p>
    <w:p w:rsidR="00AC49A4" w:rsidRPr="00BA7280" w:rsidRDefault="00AC49A4" w:rsidP="003C0513">
      <w:pPr>
        <w:spacing w:line="480" w:lineRule="auto"/>
        <w:ind w:firstLine="360"/>
        <w:rPr>
          <w:rFonts w:cs="Times New Roman"/>
          <w:sz w:val="24"/>
          <w:szCs w:val="24"/>
        </w:rPr>
      </w:pPr>
      <w:r w:rsidRPr="00BA7280">
        <w:rPr>
          <w:rFonts w:cs="Times New Roman"/>
          <w:sz w:val="24"/>
          <w:szCs w:val="24"/>
        </w:rPr>
        <w:t xml:space="preserve">Shannon diversity increased over time across all sites. FRA sites become more similar to un-mined forests in Shannon diversity at earlier ages than </w:t>
      </w:r>
      <w:r>
        <w:rPr>
          <w:rFonts w:cs="Times New Roman"/>
          <w:sz w:val="24"/>
          <w:szCs w:val="24"/>
        </w:rPr>
        <w:t>did</w:t>
      </w:r>
      <w:r w:rsidRPr="00BA7280">
        <w:rPr>
          <w:rFonts w:cs="Times New Roman"/>
          <w:sz w:val="24"/>
          <w:szCs w:val="24"/>
        </w:rPr>
        <w:t xml:space="preserve"> SMCRA manag</w:t>
      </w:r>
      <w:r>
        <w:rPr>
          <w:rFonts w:cs="Times New Roman"/>
          <w:sz w:val="24"/>
          <w:szCs w:val="24"/>
        </w:rPr>
        <w:t>ement in Tennessee and Virginia sites (</w:t>
      </w:r>
      <w:r w:rsidRPr="00BA7280">
        <w:rPr>
          <w:rFonts w:cs="Times New Roman"/>
          <w:sz w:val="24"/>
          <w:szCs w:val="24"/>
        </w:rPr>
        <w:t>p &lt;</w:t>
      </w:r>
      <w:r>
        <w:rPr>
          <w:rFonts w:cs="Times New Roman"/>
          <w:sz w:val="24"/>
          <w:szCs w:val="24"/>
        </w:rPr>
        <w:t>0</w:t>
      </w:r>
      <w:r w:rsidRPr="00BA7280">
        <w:rPr>
          <w:rFonts w:cs="Times New Roman"/>
          <w:sz w:val="24"/>
          <w:szCs w:val="24"/>
        </w:rPr>
        <w:t xml:space="preserve">.05).   </w:t>
      </w:r>
      <w:r>
        <w:rPr>
          <w:rFonts w:cs="Times New Roman"/>
          <w:sz w:val="24"/>
          <w:szCs w:val="24"/>
        </w:rPr>
        <w:t xml:space="preserve">Higher diversity of nematodes can help to stabilize ecosystem functions during disturbances.  Various species performing the same ecosystem function can increase likelihood of at least one of the species surviving disturbance.  FRA sites in Virginia and Tennessee will be more likely to continue nitrogen mineralization during disturbances, such as drought, for this reason.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Nutrient cycling in soil systems can occur through the fungal or bacterial pathway </w:t>
      </w:r>
      <w:r w:rsidRPr="00BA7280">
        <w:rPr>
          <w:rFonts w:cs="Times New Roman"/>
          <w:noProof/>
          <w:sz w:val="24"/>
          <w:szCs w:val="24"/>
        </w:rPr>
        <w:t>(Sylvain &amp; Wall 2011)</w:t>
      </w:r>
      <w:r w:rsidRPr="00BA7280">
        <w:rPr>
          <w:rFonts w:cs="Times New Roman"/>
          <w:color w:val="000000" w:themeColor="text1"/>
          <w:sz w:val="24"/>
          <w:szCs w:val="24"/>
        </w:rPr>
        <w:t xml:space="preserve">.  </w:t>
      </w:r>
      <w:r w:rsidRPr="00BA7280">
        <w:rPr>
          <w:rFonts w:cs="Times New Roman"/>
          <w:sz w:val="24"/>
          <w:szCs w:val="24"/>
        </w:rPr>
        <w:t>All plots in this study seem to be utilizing the bacterial pathway to a greater extent than the fungal pathway, as indicated by the increased abundance of bacteria feeding nematodes over time, and continued suppression of fungal feeders across all plots.</w:t>
      </w:r>
      <w:r>
        <w:rPr>
          <w:rFonts w:cs="Times New Roman"/>
          <w:sz w:val="24"/>
          <w:szCs w:val="24"/>
        </w:rPr>
        <w:t xml:space="preserve"> This may explain low levels of fungal feeders as well as omnivores that may be outcompeted </w:t>
      </w:r>
      <w:r w:rsidRPr="00BA7280">
        <w:rPr>
          <w:rFonts w:cs="Times New Roman"/>
          <w:sz w:val="24"/>
          <w:szCs w:val="24"/>
        </w:rPr>
        <w:t xml:space="preserve">  </w:t>
      </w:r>
      <w:r>
        <w:rPr>
          <w:rFonts w:cs="Times New Roman"/>
          <w:sz w:val="24"/>
          <w:szCs w:val="24"/>
        </w:rPr>
        <w:t xml:space="preserve">by plant parasites. </w:t>
      </w:r>
      <w:r w:rsidRPr="00BA7280">
        <w:rPr>
          <w:rFonts w:cs="Times New Roman"/>
          <w:sz w:val="24"/>
          <w:szCs w:val="24"/>
        </w:rPr>
        <w:t>Bacteria more rapidly convert nitrogen to plan</w:t>
      </w:r>
      <w:r>
        <w:rPr>
          <w:rFonts w:cs="Times New Roman"/>
          <w:sz w:val="24"/>
          <w:szCs w:val="24"/>
        </w:rPr>
        <w:t>t</w:t>
      </w:r>
      <w:r w:rsidRPr="00BA7280">
        <w:rPr>
          <w:rFonts w:cs="Times New Roman"/>
          <w:sz w:val="24"/>
          <w:szCs w:val="24"/>
        </w:rPr>
        <w:t xml:space="preserve"> available forms than do fungi</w:t>
      </w:r>
      <w:r>
        <w:rPr>
          <w:rFonts w:cs="Times New Roman"/>
          <w:sz w:val="24"/>
          <w:szCs w:val="24"/>
        </w:rPr>
        <w:t>, potentially cycling substrate more rapidly than would occur in fungus dominated sites.</w:t>
      </w:r>
      <w:r w:rsidRPr="00BA7280">
        <w:rPr>
          <w:rFonts w:cs="Times New Roman"/>
          <w:sz w:val="24"/>
          <w:szCs w:val="24"/>
        </w:rPr>
        <w:t xml:space="preserve"> (Wardle 2003, </w:t>
      </w:r>
      <w:proofErr w:type="spellStart"/>
      <w:r w:rsidRPr="00BA7280">
        <w:rPr>
          <w:rFonts w:cs="Times New Roman"/>
          <w:sz w:val="24"/>
          <w:szCs w:val="24"/>
        </w:rPr>
        <w:t>Bardgett</w:t>
      </w:r>
      <w:proofErr w:type="spellEnd"/>
      <w:r w:rsidRPr="00BA7280">
        <w:rPr>
          <w:rFonts w:cs="Times New Roman"/>
          <w:sz w:val="24"/>
          <w:szCs w:val="24"/>
        </w:rPr>
        <w:t xml:space="preserve"> 2005</w:t>
      </w:r>
      <w:r>
        <w:rPr>
          <w:rFonts w:cs="Times New Roman"/>
          <w:sz w:val="24"/>
          <w:szCs w:val="24"/>
        </w:rPr>
        <w:t>)</w:t>
      </w:r>
      <w:r w:rsidRPr="00BA7280">
        <w:rPr>
          <w:rFonts w:cs="Times New Roman"/>
          <w:sz w:val="24"/>
          <w:szCs w:val="24"/>
        </w:rPr>
        <w:t xml:space="preserve"> </w:t>
      </w:r>
    </w:p>
    <w:p w:rsidR="00AC49A4" w:rsidRPr="00BA7280" w:rsidRDefault="00AC49A4" w:rsidP="003C0513">
      <w:pPr>
        <w:spacing w:line="480" w:lineRule="auto"/>
        <w:rPr>
          <w:rFonts w:cs="Times New Roman"/>
          <w:sz w:val="24"/>
          <w:szCs w:val="24"/>
        </w:rPr>
      </w:pPr>
      <w:r w:rsidRPr="00BA7280">
        <w:rPr>
          <w:rFonts w:cs="Times New Roman"/>
          <w:sz w:val="24"/>
          <w:szCs w:val="24"/>
        </w:rPr>
        <w:t xml:space="preserve"> </w:t>
      </w:r>
      <w:r w:rsidRPr="00BA7280">
        <w:rPr>
          <w:rFonts w:cs="Times New Roman"/>
          <w:sz w:val="24"/>
          <w:szCs w:val="24"/>
        </w:rPr>
        <w:tab/>
        <w:t xml:space="preserve">Early soil communities tend to be unstable and unpredictable, and shaped by nutrient inputs, which are extremely limited in early mining restoration sites.  Detrital input quality can </w:t>
      </w:r>
      <w:r w:rsidRPr="00BA7280">
        <w:rPr>
          <w:rFonts w:cs="Times New Roman"/>
          <w:sz w:val="24"/>
          <w:szCs w:val="24"/>
        </w:rPr>
        <w:lastRenderedPageBreak/>
        <w:t>lead to long term stability of food</w:t>
      </w:r>
      <w:r>
        <w:rPr>
          <w:rFonts w:cs="Times New Roman"/>
          <w:sz w:val="24"/>
          <w:szCs w:val="24"/>
        </w:rPr>
        <w:t xml:space="preserve"> </w:t>
      </w:r>
      <w:r w:rsidRPr="00BA7280">
        <w:rPr>
          <w:rFonts w:cs="Times New Roman"/>
          <w:sz w:val="24"/>
          <w:szCs w:val="24"/>
        </w:rPr>
        <w:t xml:space="preserve">webs </w:t>
      </w:r>
      <w:r w:rsidRPr="00BA7280">
        <w:rPr>
          <w:rFonts w:cs="Times New Roman"/>
          <w:noProof/>
          <w:sz w:val="24"/>
          <w:szCs w:val="24"/>
        </w:rPr>
        <w:t>(Yeates</w:t>
      </w:r>
      <w:r w:rsidRPr="00BA7280">
        <w:rPr>
          <w:rFonts w:cs="Times New Roman"/>
          <w:i/>
          <w:noProof/>
          <w:sz w:val="24"/>
          <w:szCs w:val="24"/>
        </w:rPr>
        <w:t xml:space="preserve"> et al.</w:t>
      </w:r>
      <w:r w:rsidRPr="00BA7280">
        <w:rPr>
          <w:rFonts w:cs="Times New Roman"/>
          <w:noProof/>
          <w:sz w:val="24"/>
          <w:szCs w:val="24"/>
        </w:rPr>
        <w:t xml:space="preserve"> 1999)</w:t>
      </w:r>
      <w:r w:rsidRPr="00BA7280">
        <w:rPr>
          <w:rFonts w:cs="Times New Roman"/>
          <w:sz w:val="24"/>
          <w:szCs w:val="24"/>
        </w:rPr>
        <w:t>.  Fungal and bacterial communities are shaped by organic input quality, with more labile plant material (such as leaf litter) decomposed by bacterial pathways, and more recalcitrant material (such as twigs and bark) decomposed by fungi</w:t>
      </w:r>
      <w:r>
        <w:rPr>
          <w:rFonts w:cs="Times New Roman"/>
          <w:sz w:val="24"/>
          <w:szCs w:val="24"/>
        </w:rPr>
        <w:t xml:space="preserve"> </w:t>
      </w:r>
      <w:r w:rsidRPr="00BA7280">
        <w:rPr>
          <w:rFonts w:cs="Times New Roman"/>
          <w:noProof/>
          <w:sz w:val="24"/>
          <w:szCs w:val="24"/>
        </w:rPr>
        <w:t>(Bardgett &amp; Wardle 2003; Sylvain &amp; Wall 2011)</w:t>
      </w:r>
      <w:r w:rsidRPr="00BA7280">
        <w:rPr>
          <w:rFonts w:cs="Times New Roman"/>
          <w:sz w:val="24"/>
          <w:szCs w:val="24"/>
        </w:rPr>
        <w:t xml:space="preserve">. </w:t>
      </w:r>
      <w:r>
        <w:rPr>
          <w:rFonts w:cs="Times New Roman"/>
          <w:sz w:val="24"/>
          <w:szCs w:val="24"/>
        </w:rPr>
        <w:t xml:space="preserve">In early successional sites, there are few inputs, due to low plant biomass.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The low </w:t>
      </w:r>
      <w:proofErr w:type="spellStart"/>
      <w:r w:rsidRPr="00BA7280">
        <w:rPr>
          <w:rFonts w:cs="Times New Roman"/>
          <w:sz w:val="24"/>
          <w:szCs w:val="24"/>
        </w:rPr>
        <w:t>fungivorous</w:t>
      </w:r>
      <w:proofErr w:type="spellEnd"/>
      <w:r w:rsidRPr="00BA7280">
        <w:rPr>
          <w:rFonts w:cs="Times New Roman"/>
          <w:sz w:val="24"/>
          <w:szCs w:val="24"/>
        </w:rPr>
        <w:t xml:space="preserve"> nematode abundance found in the </w:t>
      </w:r>
      <w:r>
        <w:rPr>
          <w:rFonts w:cs="Times New Roman"/>
          <w:sz w:val="24"/>
          <w:szCs w:val="24"/>
        </w:rPr>
        <w:t xml:space="preserve">forested plots sampled in this </w:t>
      </w:r>
      <w:r w:rsidRPr="00BA7280">
        <w:rPr>
          <w:rFonts w:cs="Times New Roman"/>
          <w:sz w:val="24"/>
          <w:szCs w:val="24"/>
        </w:rPr>
        <w:t xml:space="preserve">study may be due to the high labile leaf inputs associated with diverse temperate hardwoods during fall.  Additionally, plants in high nutrient soil, such as the un-mined intact forest sampled for this study, tend to limit </w:t>
      </w:r>
      <w:proofErr w:type="spellStart"/>
      <w:r w:rsidRPr="00BA7280">
        <w:rPr>
          <w:rFonts w:cs="Times New Roman"/>
          <w:sz w:val="24"/>
          <w:szCs w:val="24"/>
        </w:rPr>
        <w:t>mycorrhizal</w:t>
      </w:r>
      <w:proofErr w:type="spellEnd"/>
      <w:r w:rsidRPr="00BA7280">
        <w:rPr>
          <w:rFonts w:cs="Times New Roman"/>
          <w:sz w:val="24"/>
          <w:szCs w:val="24"/>
        </w:rPr>
        <w:t xml:space="preserve"> associations </w:t>
      </w:r>
      <w:r>
        <w:rPr>
          <w:rFonts w:cs="Times New Roman"/>
          <w:sz w:val="24"/>
          <w:szCs w:val="24"/>
        </w:rPr>
        <w:t>to avoid potential parasitism</w:t>
      </w:r>
      <w:r w:rsidRPr="00BA7280">
        <w:rPr>
          <w:rFonts w:cs="Times New Roman"/>
          <w:sz w:val="24"/>
          <w:szCs w:val="24"/>
        </w:rPr>
        <w:t xml:space="preserve"> </w:t>
      </w:r>
      <w:r w:rsidRPr="00BA7280">
        <w:rPr>
          <w:rFonts w:cs="Times New Roman"/>
          <w:noProof/>
          <w:sz w:val="24"/>
          <w:szCs w:val="24"/>
        </w:rPr>
        <w:t>(Nilsson</w:t>
      </w:r>
      <w:r w:rsidRPr="00BA7280">
        <w:rPr>
          <w:rFonts w:cs="Times New Roman"/>
          <w:i/>
          <w:noProof/>
          <w:sz w:val="24"/>
          <w:szCs w:val="24"/>
        </w:rPr>
        <w:t xml:space="preserve"> et al.</w:t>
      </w:r>
      <w:r w:rsidRPr="00BA7280">
        <w:rPr>
          <w:rFonts w:cs="Times New Roman"/>
          <w:noProof/>
          <w:sz w:val="24"/>
          <w:szCs w:val="24"/>
        </w:rPr>
        <w:t xml:space="preserve"> 2005)</w:t>
      </w:r>
      <w:r>
        <w:rPr>
          <w:rFonts w:cs="Times New Roman"/>
          <w:sz w:val="24"/>
          <w:szCs w:val="24"/>
        </w:rPr>
        <w:t>.</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Early successional nematode</w:t>
      </w:r>
      <w:r>
        <w:rPr>
          <w:rFonts w:cs="Times New Roman"/>
          <w:sz w:val="24"/>
          <w:szCs w:val="24"/>
        </w:rPr>
        <w:t>s</w:t>
      </w:r>
      <w:r w:rsidRPr="00BA7280">
        <w:rPr>
          <w:rFonts w:cs="Times New Roman"/>
          <w:sz w:val="24"/>
          <w:szCs w:val="24"/>
        </w:rPr>
        <w:t xml:space="preserve"> (cp-1 and cp-2) tend to be bacteria feeders (</w:t>
      </w:r>
      <w:proofErr w:type="spellStart"/>
      <w:r w:rsidRPr="00BA7280">
        <w:rPr>
          <w:rFonts w:cs="Times New Roman"/>
          <w:sz w:val="24"/>
          <w:szCs w:val="24"/>
        </w:rPr>
        <w:t>Villenave</w:t>
      </w:r>
      <w:proofErr w:type="spellEnd"/>
      <w:r w:rsidRPr="00BA7280">
        <w:rPr>
          <w:rFonts w:cs="Times New Roman"/>
          <w:sz w:val="24"/>
          <w:szCs w:val="24"/>
        </w:rPr>
        <w:t xml:space="preserve">, </w:t>
      </w:r>
      <w:proofErr w:type="spellStart"/>
      <w:r w:rsidRPr="00BA7280">
        <w:rPr>
          <w:rFonts w:cs="Times New Roman"/>
          <w:sz w:val="24"/>
          <w:szCs w:val="24"/>
        </w:rPr>
        <w:t>Ettema</w:t>
      </w:r>
      <w:proofErr w:type="spellEnd"/>
      <w:r w:rsidRPr="00BA7280">
        <w:rPr>
          <w:rFonts w:cs="Times New Roman"/>
          <w:sz w:val="24"/>
          <w:szCs w:val="24"/>
        </w:rPr>
        <w:t xml:space="preserve"> and </w:t>
      </w:r>
      <w:proofErr w:type="spellStart"/>
      <w:r w:rsidRPr="00BA7280">
        <w:rPr>
          <w:rFonts w:cs="Times New Roman"/>
          <w:sz w:val="24"/>
          <w:szCs w:val="24"/>
        </w:rPr>
        <w:t>Bongers</w:t>
      </w:r>
      <w:proofErr w:type="spellEnd"/>
      <w:r w:rsidRPr="00BA7280">
        <w:rPr>
          <w:rFonts w:cs="Times New Roman"/>
          <w:sz w:val="24"/>
          <w:szCs w:val="24"/>
        </w:rPr>
        <w:t xml:space="preserve"> 1993)</w:t>
      </w:r>
      <w:r>
        <w:rPr>
          <w:rFonts w:cs="Times New Roman"/>
          <w:sz w:val="24"/>
          <w:szCs w:val="24"/>
        </w:rPr>
        <w:t>,</w:t>
      </w:r>
      <w:r w:rsidRPr="00BA7280">
        <w:rPr>
          <w:rFonts w:cs="Times New Roman"/>
          <w:sz w:val="24"/>
          <w:szCs w:val="24"/>
        </w:rPr>
        <w:t xml:space="preserve"> such as </w:t>
      </w:r>
      <w:proofErr w:type="spellStart"/>
      <w:r>
        <w:rPr>
          <w:rFonts w:cs="Times New Roman"/>
          <w:sz w:val="24"/>
          <w:szCs w:val="24"/>
        </w:rPr>
        <w:t>rhabditids</w:t>
      </w:r>
      <w:proofErr w:type="spellEnd"/>
      <w:r>
        <w:rPr>
          <w:rFonts w:cs="Times New Roman"/>
          <w:sz w:val="24"/>
          <w:szCs w:val="24"/>
        </w:rPr>
        <w:t xml:space="preserve"> and </w:t>
      </w:r>
      <w:proofErr w:type="spellStart"/>
      <w:r w:rsidRPr="00BE13E6">
        <w:rPr>
          <w:rFonts w:cs="Times New Roman"/>
          <w:i/>
          <w:sz w:val="24"/>
          <w:szCs w:val="24"/>
        </w:rPr>
        <w:t>Acrobeloides</w:t>
      </w:r>
      <w:proofErr w:type="spellEnd"/>
      <w:r w:rsidRPr="00BE13E6">
        <w:rPr>
          <w:rFonts w:cs="Times New Roman"/>
          <w:i/>
          <w:sz w:val="24"/>
          <w:szCs w:val="24"/>
        </w:rPr>
        <w:t>.</w:t>
      </w:r>
      <w:r>
        <w:rPr>
          <w:rFonts w:cs="Times New Roman"/>
          <w:sz w:val="24"/>
          <w:szCs w:val="24"/>
        </w:rPr>
        <w:t xml:space="preserve"> </w:t>
      </w:r>
      <w:r w:rsidRPr="00BA7280">
        <w:rPr>
          <w:rFonts w:cs="Times New Roman"/>
          <w:sz w:val="24"/>
          <w:szCs w:val="24"/>
        </w:rPr>
        <w:t xml:space="preserve">Bacterial grazing makes up a large portion </w:t>
      </w:r>
      <w:r>
        <w:rPr>
          <w:rFonts w:cs="Times New Roman"/>
          <w:sz w:val="24"/>
          <w:szCs w:val="24"/>
        </w:rPr>
        <w:t>of</w:t>
      </w:r>
      <w:r w:rsidRPr="00BA7280">
        <w:rPr>
          <w:rFonts w:cs="Times New Roman"/>
          <w:sz w:val="24"/>
          <w:szCs w:val="24"/>
        </w:rPr>
        <w:t xml:space="preserve"> nutrient cycling and nitrogen mineralization, up to 30% </w:t>
      </w:r>
      <w:r w:rsidRPr="00BA7280">
        <w:rPr>
          <w:rFonts w:cs="Times New Roman"/>
          <w:noProof/>
          <w:sz w:val="24"/>
          <w:szCs w:val="24"/>
        </w:rPr>
        <w:t>(Villenave</w:t>
      </w:r>
      <w:r w:rsidRPr="00BA7280">
        <w:rPr>
          <w:rFonts w:cs="Times New Roman"/>
          <w:i/>
          <w:noProof/>
          <w:sz w:val="24"/>
          <w:szCs w:val="24"/>
        </w:rPr>
        <w:t xml:space="preserve"> et al.</w:t>
      </w:r>
      <w:r w:rsidRPr="00BA7280">
        <w:rPr>
          <w:rFonts w:cs="Times New Roman"/>
          <w:noProof/>
          <w:sz w:val="24"/>
          <w:szCs w:val="24"/>
        </w:rPr>
        <w:t xml:space="preserve"> 2004)</w:t>
      </w:r>
      <w:r w:rsidRPr="00BA7280">
        <w:rPr>
          <w:rFonts w:cs="Times New Roman"/>
          <w:sz w:val="24"/>
          <w:szCs w:val="24"/>
        </w:rPr>
        <w:t>.  In this study, bacterial feeders dominate the early successional sites, and plant parasites increase at the older restoration sites, possibly due to increased biomass associated with bacterial priming</w:t>
      </w:r>
      <w:r>
        <w:rPr>
          <w:rFonts w:cs="Times New Roman"/>
          <w:sz w:val="24"/>
          <w:szCs w:val="24"/>
        </w:rPr>
        <w:t xml:space="preserve"> </w:t>
      </w:r>
      <w:r w:rsidRPr="00BA7280">
        <w:rPr>
          <w:rFonts w:cs="Times New Roman"/>
          <w:noProof/>
          <w:sz w:val="24"/>
          <w:szCs w:val="24"/>
        </w:rPr>
        <w:t>(Ingham</w:t>
      </w:r>
      <w:r w:rsidRPr="00BA7280">
        <w:rPr>
          <w:rFonts w:cs="Times New Roman"/>
          <w:i/>
          <w:noProof/>
          <w:sz w:val="24"/>
          <w:szCs w:val="24"/>
        </w:rPr>
        <w:t xml:space="preserve"> et al.</w:t>
      </w:r>
      <w:r w:rsidRPr="00BA7280">
        <w:rPr>
          <w:rFonts w:cs="Times New Roman"/>
          <w:noProof/>
          <w:sz w:val="24"/>
          <w:szCs w:val="24"/>
        </w:rPr>
        <w:t xml:space="preserve"> 1985; De Deyn</w:t>
      </w:r>
      <w:r w:rsidRPr="00BA7280">
        <w:rPr>
          <w:rFonts w:cs="Times New Roman"/>
          <w:i/>
          <w:noProof/>
          <w:sz w:val="24"/>
          <w:szCs w:val="24"/>
        </w:rPr>
        <w:t xml:space="preserve"> et al.</w:t>
      </w:r>
      <w:r w:rsidRPr="00BA7280">
        <w:rPr>
          <w:rFonts w:cs="Times New Roman"/>
          <w:noProof/>
          <w:sz w:val="24"/>
          <w:szCs w:val="24"/>
        </w:rPr>
        <w:t xml:space="preserve"> 2004)</w:t>
      </w:r>
      <w:r w:rsidRPr="00BA7280">
        <w:rPr>
          <w:rFonts w:cs="Times New Roman"/>
          <w:sz w:val="24"/>
          <w:szCs w:val="24"/>
        </w:rPr>
        <w:t xml:space="preserve">.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Root exudate </w:t>
      </w:r>
      <w:r>
        <w:rPr>
          <w:rFonts w:cs="Times New Roman"/>
          <w:sz w:val="24"/>
          <w:szCs w:val="24"/>
        </w:rPr>
        <w:t xml:space="preserve">leads to </w:t>
      </w:r>
      <w:r w:rsidRPr="00BA7280">
        <w:rPr>
          <w:rFonts w:cs="Times New Roman"/>
          <w:sz w:val="24"/>
          <w:szCs w:val="24"/>
        </w:rPr>
        <w:t xml:space="preserve">increases bacteria in the </w:t>
      </w:r>
      <w:proofErr w:type="spellStart"/>
      <w:r w:rsidRPr="00BA7280">
        <w:rPr>
          <w:rFonts w:cs="Times New Roman"/>
          <w:sz w:val="24"/>
          <w:szCs w:val="24"/>
        </w:rPr>
        <w:t>rhi</w:t>
      </w:r>
      <w:r>
        <w:rPr>
          <w:rFonts w:cs="Times New Roman"/>
          <w:sz w:val="24"/>
          <w:szCs w:val="24"/>
        </w:rPr>
        <w:t>zos</w:t>
      </w:r>
      <w:r w:rsidRPr="00BA7280">
        <w:rPr>
          <w:rFonts w:cs="Times New Roman"/>
          <w:sz w:val="24"/>
          <w:szCs w:val="24"/>
        </w:rPr>
        <w:t>phere</w:t>
      </w:r>
      <w:proofErr w:type="spellEnd"/>
      <w:r w:rsidRPr="00BA7280">
        <w:rPr>
          <w:rFonts w:cs="Times New Roman"/>
          <w:sz w:val="24"/>
          <w:szCs w:val="24"/>
        </w:rPr>
        <w:t xml:space="preserve"> </w:t>
      </w:r>
      <w:r w:rsidRPr="00BA7280">
        <w:rPr>
          <w:rFonts w:cs="Times New Roman"/>
          <w:noProof/>
          <w:sz w:val="24"/>
          <w:szCs w:val="24"/>
        </w:rPr>
        <w:t>(De Deyn</w:t>
      </w:r>
      <w:r w:rsidRPr="00BA7280">
        <w:rPr>
          <w:rFonts w:cs="Times New Roman"/>
          <w:i/>
          <w:noProof/>
          <w:sz w:val="24"/>
          <w:szCs w:val="24"/>
        </w:rPr>
        <w:t xml:space="preserve"> et al.</w:t>
      </w:r>
      <w:r w:rsidRPr="00BA7280">
        <w:rPr>
          <w:rFonts w:cs="Times New Roman"/>
          <w:noProof/>
          <w:sz w:val="24"/>
          <w:szCs w:val="24"/>
        </w:rPr>
        <w:t xml:space="preserve"> 2004; Kardol 2007)</w:t>
      </w:r>
      <w:r w:rsidRPr="00BA7280">
        <w:rPr>
          <w:rFonts w:cs="Times New Roman"/>
          <w:sz w:val="24"/>
          <w:szCs w:val="24"/>
        </w:rPr>
        <w:t xml:space="preserve">, </w:t>
      </w:r>
      <w:r>
        <w:rPr>
          <w:rFonts w:cs="Times New Roman"/>
          <w:sz w:val="24"/>
          <w:szCs w:val="24"/>
        </w:rPr>
        <w:t xml:space="preserve">and </w:t>
      </w:r>
      <w:r w:rsidRPr="00BA7280">
        <w:rPr>
          <w:rFonts w:cs="Times New Roman"/>
          <w:sz w:val="24"/>
          <w:szCs w:val="24"/>
        </w:rPr>
        <w:t>bacterial grazing</w:t>
      </w:r>
      <w:r>
        <w:rPr>
          <w:rFonts w:cs="Times New Roman"/>
          <w:sz w:val="24"/>
          <w:szCs w:val="24"/>
        </w:rPr>
        <w:t xml:space="preserve"> increases plant available nitrogen.</w:t>
      </w:r>
      <w:r w:rsidRPr="00BA7280">
        <w:rPr>
          <w:rFonts w:cs="Times New Roman"/>
          <w:sz w:val="24"/>
          <w:szCs w:val="24"/>
        </w:rPr>
        <w:t xml:space="preserve"> This perpetuating top-down, bottom-up feedback loop can be vital in nutrient deficient systems</w:t>
      </w:r>
      <w:r>
        <w:rPr>
          <w:rFonts w:cs="Times New Roman"/>
          <w:sz w:val="24"/>
          <w:szCs w:val="24"/>
        </w:rPr>
        <w:t>,</w:t>
      </w:r>
      <w:r w:rsidRPr="00BA7280">
        <w:rPr>
          <w:rFonts w:cs="Times New Roman"/>
          <w:sz w:val="24"/>
          <w:szCs w:val="24"/>
        </w:rPr>
        <w:t xml:space="preserve"> such as restored mines.  </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 Increased nutrient status in older mine restoration sites appears to be defending plants from potential nutrient impacts from plant parasitism, as seen in the greenhouse plants grown in  youngest </w:t>
      </w:r>
      <w:r>
        <w:rPr>
          <w:rFonts w:cs="Times New Roman"/>
          <w:sz w:val="24"/>
          <w:szCs w:val="24"/>
        </w:rPr>
        <w:t>SMCRA</w:t>
      </w:r>
      <w:r w:rsidRPr="00BA7280">
        <w:rPr>
          <w:rFonts w:cs="Times New Roman"/>
          <w:sz w:val="24"/>
          <w:szCs w:val="24"/>
        </w:rPr>
        <w:t xml:space="preserve"> soils with forest nematode populations added.  In this study, the forest nematode community contained the highest abundance of plant parasitic nematodes.</w:t>
      </w:r>
      <w:r>
        <w:rPr>
          <w:rFonts w:cs="Times New Roman"/>
          <w:sz w:val="24"/>
          <w:szCs w:val="24"/>
        </w:rPr>
        <w:t xml:space="preserve"> Adding a </w:t>
      </w:r>
      <w:r>
        <w:rPr>
          <w:rFonts w:cs="Times New Roman"/>
          <w:sz w:val="24"/>
          <w:szCs w:val="24"/>
        </w:rPr>
        <w:lastRenderedPageBreak/>
        <w:t xml:space="preserve">large number of plant parasites to the seedlings planted in the youngest SMCRA soil (which was presumably already nutrient-limited), resulted in poor plant nutrient status.  </w:t>
      </w:r>
      <w:r w:rsidRPr="00BA7280">
        <w:rPr>
          <w:rFonts w:cs="Times New Roman"/>
          <w:sz w:val="24"/>
          <w:szCs w:val="24"/>
        </w:rPr>
        <w:t xml:space="preserve"> Other nematode populations, which had fewer plant parasites, had no negative impacts of nitrogen content, or increasing C</w:t>
      </w:r>
      <w:proofErr w:type="gramStart"/>
      <w:r w:rsidRPr="00BA7280">
        <w:rPr>
          <w:rFonts w:cs="Times New Roman"/>
          <w:sz w:val="24"/>
          <w:szCs w:val="24"/>
        </w:rPr>
        <w:t>:N</w:t>
      </w:r>
      <w:proofErr w:type="gramEnd"/>
      <w:r w:rsidRPr="00BA7280">
        <w:rPr>
          <w:rFonts w:cs="Times New Roman"/>
          <w:sz w:val="24"/>
          <w:szCs w:val="24"/>
        </w:rPr>
        <w:t xml:space="preserve"> status in plants</w:t>
      </w:r>
      <w:r>
        <w:rPr>
          <w:rFonts w:cs="Times New Roman"/>
          <w:sz w:val="24"/>
          <w:szCs w:val="24"/>
        </w:rPr>
        <w:t>, including the SMCRA 1 soils</w:t>
      </w:r>
      <w:r w:rsidRPr="00BA7280">
        <w:rPr>
          <w:rFonts w:cs="Times New Roman"/>
          <w:sz w:val="24"/>
          <w:szCs w:val="24"/>
        </w:rPr>
        <w:t xml:space="preserve">.  This indicates that nematode populations with high </w:t>
      </w:r>
      <w:r>
        <w:rPr>
          <w:rFonts w:cs="Times New Roman"/>
          <w:sz w:val="24"/>
          <w:szCs w:val="24"/>
        </w:rPr>
        <w:t>plant parasites</w:t>
      </w:r>
      <w:r w:rsidRPr="00BA7280">
        <w:rPr>
          <w:rFonts w:cs="Times New Roman"/>
          <w:sz w:val="24"/>
          <w:szCs w:val="24"/>
        </w:rPr>
        <w:t xml:space="preserve"> may actually hinder survival of seedlings in soils with low nutrient status.</w:t>
      </w:r>
    </w:p>
    <w:p w:rsidR="00AC49A4" w:rsidRDefault="00AC49A4" w:rsidP="003C0513">
      <w:pPr>
        <w:spacing w:line="480" w:lineRule="auto"/>
        <w:ind w:firstLine="720"/>
        <w:rPr>
          <w:rFonts w:cs="Times New Roman"/>
          <w:sz w:val="24"/>
          <w:szCs w:val="24"/>
        </w:rPr>
      </w:pPr>
      <w:r w:rsidRPr="00BA7280">
        <w:rPr>
          <w:rFonts w:cs="Times New Roman"/>
          <w:sz w:val="24"/>
          <w:szCs w:val="24"/>
        </w:rPr>
        <w:t xml:space="preserve">While nutrient status in young SMCRA soils may have impacted nutrient quality of seedlings, </w:t>
      </w:r>
      <w:r>
        <w:rPr>
          <w:rFonts w:cs="Times New Roman"/>
          <w:sz w:val="24"/>
          <w:szCs w:val="24"/>
        </w:rPr>
        <w:t>f</w:t>
      </w:r>
      <w:r w:rsidRPr="00BA7280">
        <w:rPr>
          <w:rFonts w:cs="Times New Roman"/>
          <w:sz w:val="24"/>
          <w:szCs w:val="24"/>
        </w:rPr>
        <w:t xml:space="preserve">orest soils may have experienced inhibitory factors from younger nematode populations.  </w:t>
      </w:r>
      <w:r w:rsidRPr="00BA7280">
        <w:rPr>
          <w:rFonts w:cs="Times New Roman"/>
          <w:i/>
          <w:sz w:val="24"/>
          <w:szCs w:val="24"/>
        </w:rPr>
        <w:t xml:space="preserve">C. </w:t>
      </w:r>
      <w:proofErr w:type="spellStart"/>
      <w:r w:rsidRPr="00BA7280">
        <w:rPr>
          <w:rFonts w:cs="Times New Roman"/>
          <w:i/>
          <w:sz w:val="24"/>
          <w:szCs w:val="24"/>
        </w:rPr>
        <w:t>canadensis</w:t>
      </w:r>
      <w:proofErr w:type="spellEnd"/>
      <w:r w:rsidRPr="00BA7280">
        <w:rPr>
          <w:rFonts w:cs="Times New Roman"/>
          <w:i/>
          <w:sz w:val="24"/>
          <w:szCs w:val="24"/>
        </w:rPr>
        <w:t xml:space="preserve"> </w:t>
      </w:r>
      <w:r w:rsidRPr="00BA7280">
        <w:rPr>
          <w:rFonts w:cs="Times New Roman"/>
          <w:sz w:val="24"/>
          <w:szCs w:val="24"/>
        </w:rPr>
        <w:t xml:space="preserve">seedling grown in nematode communities from SMCRA 1 plots, forest plots, as well as the intact and </w:t>
      </w:r>
      <w:proofErr w:type="spellStart"/>
      <w:r w:rsidRPr="00BA7280">
        <w:rPr>
          <w:rFonts w:cs="Times New Roman"/>
          <w:sz w:val="24"/>
          <w:szCs w:val="24"/>
        </w:rPr>
        <w:t>defaunated</w:t>
      </w:r>
      <w:proofErr w:type="spellEnd"/>
      <w:r w:rsidRPr="00BA7280">
        <w:rPr>
          <w:rFonts w:cs="Times New Roman"/>
          <w:sz w:val="24"/>
          <w:szCs w:val="24"/>
        </w:rPr>
        <w:t xml:space="preserve"> </w:t>
      </w:r>
      <w:proofErr w:type="gramStart"/>
      <w:r w:rsidRPr="00BA7280">
        <w:rPr>
          <w:rFonts w:cs="Times New Roman"/>
          <w:sz w:val="24"/>
          <w:szCs w:val="24"/>
        </w:rPr>
        <w:t>controls,</w:t>
      </w:r>
      <w:proofErr w:type="gramEnd"/>
      <w:r w:rsidRPr="00BA7280">
        <w:rPr>
          <w:rFonts w:cs="Times New Roman"/>
          <w:sz w:val="24"/>
          <w:szCs w:val="24"/>
        </w:rPr>
        <w:t xml:space="preserve"> experienced reduced </w:t>
      </w:r>
      <w:r>
        <w:rPr>
          <w:rFonts w:cs="Times New Roman"/>
          <w:sz w:val="24"/>
          <w:szCs w:val="24"/>
        </w:rPr>
        <w:t>below-ground</w:t>
      </w:r>
      <w:r w:rsidRPr="00BA7280">
        <w:rPr>
          <w:rFonts w:cs="Times New Roman"/>
          <w:sz w:val="24"/>
          <w:szCs w:val="24"/>
        </w:rPr>
        <w:t xml:space="preserve"> plant biomass.  The </w:t>
      </w:r>
      <w:proofErr w:type="spellStart"/>
      <w:r w:rsidRPr="00BA7280">
        <w:rPr>
          <w:rFonts w:cs="Times New Roman"/>
          <w:sz w:val="24"/>
          <w:szCs w:val="24"/>
        </w:rPr>
        <w:t>defaunated</w:t>
      </w:r>
      <w:proofErr w:type="spellEnd"/>
      <w:r w:rsidRPr="00BA7280">
        <w:rPr>
          <w:rFonts w:cs="Times New Roman"/>
          <w:sz w:val="24"/>
          <w:szCs w:val="24"/>
        </w:rPr>
        <w:t xml:space="preserve"> control and SMCRA 1 added to forest soils had reduced nematodes for nutrient cycling, possibly limiting nitrogen mineralization rates. </w:t>
      </w:r>
    </w:p>
    <w:p w:rsidR="00AC49A4" w:rsidRPr="00BA7280" w:rsidRDefault="00AC49A4" w:rsidP="003C0513">
      <w:pPr>
        <w:spacing w:line="480" w:lineRule="auto"/>
        <w:ind w:firstLine="720"/>
        <w:rPr>
          <w:rFonts w:cs="Times New Roman"/>
          <w:sz w:val="24"/>
          <w:szCs w:val="24"/>
        </w:rPr>
      </w:pPr>
      <w:r>
        <w:rPr>
          <w:rFonts w:cs="Times New Roman"/>
          <w:sz w:val="24"/>
          <w:szCs w:val="24"/>
        </w:rPr>
        <w:t xml:space="preserve">Lower nutrient status and decreased root biomass associated with either </w:t>
      </w:r>
      <w:proofErr w:type="spellStart"/>
      <w:r>
        <w:rPr>
          <w:rFonts w:cs="Times New Roman"/>
          <w:sz w:val="24"/>
          <w:szCs w:val="24"/>
        </w:rPr>
        <w:t>depauperate</w:t>
      </w:r>
      <w:proofErr w:type="spellEnd"/>
      <w:r>
        <w:rPr>
          <w:rFonts w:cs="Times New Roman"/>
          <w:sz w:val="24"/>
          <w:szCs w:val="24"/>
        </w:rPr>
        <w:t xml:space="preserve"> soil populations (from SMCRA 1 soils) or high numbers of plant parasites (from forest soils) indicate </w:t>
      </w:r>
      <w:r w:rsidRPr="00BA7280">
        <w:rPr>
          <w:rFonts w:cs="Times New Roman"/>
          <w:sz w:val="24"/>
          <w:szCs w:val="24"/>
        </w:rPr>
        <w:t>nematode populations may be uniquely capable of cycling nutrients and preventing sever</w:t>
      </w:r>
      <w:r>
        <w:rPr>
          <w:rFonts w:cs="Times New Roman"/>
          <w:sz w:val="24"/>
          <w:szCs w:val="24"/>
        </w:rPr>
        <w:t>e</w:t>
      </w:r>
      <w:r w:rsidRPr="00BA7280">
        <w:rPr>
          <w:rFonts w:cs="Times New Roman"/>
          <w:sz w:val="24"/>
          <w:szCs w:val="24"/>
        </w:rPr>
        <w:t xml:space="preserve"> plant growth limitations within their own soils.</w:t>
      </w:r>
      <w:r>
        <w:rPr>
          <w:rFonts w:cs="Times New Roman"/>
          <w:sz w:val="24"/>
          <w:szCs w:val="24"/>
        </w:rPr>
        <w:t xml:space="preserve"> Nematode populations interact with soil nutrients to direct plant growth.</w:t>
      </w:r>
    </w:p>
    <w:p w:rsidR="00AC49A4" w:rsidRPr="0001420F" w:rsidRDefault="00AC49A4" w:rsidP="003C0513">
      <w:pPr>
        <w:spacing w:line="480" w:lineRule="auto"/>
        <w:ind w:firstLine="720"/>
        <w:rPr>
          <w:rFonts w:cs="Times New Roman"/>
          <w:sz w:val="24"/>
          <w:szCs w:val="24"/>
        </w:rPr>
      </w:pPr>
      <w:r>
        <w:rPr>
          <w:rFonts w:cs="Times New Roman"/>
          <w:sz w:val="24"/>
          <w:szCs w:val="24"/>
        </w:rPr>
        <w:t xml:space="preserve">Diverse nematode populations </w:t>
      </w:r>
      <w:r w:rsidRPr="00BA7280">
        <w:rPr>
          <w:rFonts w:cs="Times New Roman"/>
          <w:sz w:val="24"/>
          <w:szCs w:val="24"/>
        </w:rPr>
        <w:t>have been shown to exert controls on dominant plant species (or in thi</w:t>
      </w:r>
      <w:r>
        <w:rPr>
          <w:rFonts w:cs="Times New Roman"/>
          <w:sz w:val="24"/>
          <w:szCs w:val="24"/>
        </w:rPr>
        <w:t>s case, the only plant species</w:t>
      </w:r>
      <w:proofErr w:type="gramStart"/>
      <w:r>
        <w:rPr>
          <w:rFonts w:cs="Times New Roman"/>
          <w:sz w:val="24"/>
          <w:szCs w:val="24"/>
        </w:rPr>
        <w:t>)</w:t>
      </w:r>
      <w:r>
        <w:rPr>
          <w:rFonts w:cs="Times New Roman"/>
          <w:noProof/>
          <w:sz w:val="24"/>
          <w:szCs w:val="24"/>
        </w:rPr>
        <w:t>(</w:t>
      </w:r>
      <w:proofErr w:type="gramEnd"/>
      <w:r>
        <w:rPr>
          <w:rFonts w:cs="Times New Roman"/>
          <w:noProof/>
          <w:sz w:val="24"/>
          <w:szCs w:val="24"/>
        </w:rPr>
        <w:t>De Deyn</w:t>
      </w:r>
      <w:r w:rsidRPr="008900A8">
        <w:rPr>
          <w:rFonts w:cs="Times New Roman"/>
          <w:i/>
          <w:noProof/>
          <w:sz w:val="24"/>
          <w:szCs w:val="24"/>
        </w:rPr>
        <w:t xml:space="preserve"> et al.</w:t>
      </w:r>
      <w:r>
        <w:rPr>
          <w:rFonts w:cs="Times New Roman"/>
          <w:noProof/>
          <w:sz w:val="24"/>
          <w:szCs w:val="24"/>
        </w:rPr>
        <w:t xml:space="preserve"> 2004)</w:t>
      </w:r>
      <w:r w:rsidRPr="00BA7280">
        <w:rPr>
          <w:rFonts w:cs="Times New Roman"/>
          <w:sz w:val="24"/>
          <w:szCs w:val="24"/>
        </w:rPr>
        <w:t xml:space="preserve">.  The high number of plant parasites in the forest nematode community may have decreased root biomass in forest soils.  In the landscape, this </w:t>
      </w:r>
      <w:r>
        <w:rPr>
          <w:rFonts w:cs="Times New Roman"/>
          <w:sz w:val="24"/>
          <w:szCs w:val="24"/>
        </w:rPr>
        <w:t xml:space="preserve">decrease </w:t>
      </w:r>
      <w:r w:rsidRPr="00BA7280">
        <w:rPr>
          <w:rFonts w:cs="Times New Roman"/>
          <w:sz w:val="24"/>
          <w:szCs w:val="24"/>
        </w:rPr>
        <w:t>would have the impact of allowing for an increase in competition for alternative plant species.  This root biomass impact was not observed in other soils for unknown reasons</w:t>
      </w:r>
      <w:r>
        <w:rPr>
          <w:rFonts w:cs="Times New Roman"/>
          <w:sz w:val="24"/>
          <w:szCs w:val="24"/>
        </w:rPr>
        <w:t>;</w:t>
      </w:r>
      <w:r w:rsidRPr="00BA7280">
        <w:rPr>
          <w:rFonts w:cs="Times New Roman"/>
          <w:sz w:val="24"/>
          <w:szCs w:val="24"/>
        </w:rPr>
        <w:t xml:space="preserve"> but potentially</w:t>
      </w:r>
      <w:r>
        <w:rPr>
          <w:rFonts w:cs="Times New Roman"/>
          <w:sz w:val="24"/>
          <w:szCs w:val="24"/>
        </w:rPr>
        <w:t>,</w:t>
      </w:r>
      <w:r w:rsidRPr="00BA7280">
        <w:rPr>
          <w:rFonts w:cs="Times New Roman"/>
          <w:sz w:val="24"/>
          <w:szCs w:val="24"/>
        </w:rPr>
        <w:t xml:space="preserve"> due to structural limitations associated with poor soil development, plant </w:t>
      </w:r>
      <w:r w:rsidRPr="00BA7280">
        <w:rPr>
          <w:rFonts w:cs="Times New Roman"/>
          <w:sz w:val="24"/>
          <w:szCs w:val="24"/>
        </w:rPr>
        <w:lastRenderedPageBreak/>
        <w:t>parasitic nematodes may have not been as effective at parasitizing plants in younger soils, to the point that struct</w:t>
      </w:r>
      <w:r>
        <w:rPr>
          <w:rFonts w:cs="Times New Roman"/>
          <w:sz w:val="24"/>
          <w:szCs w:val="24"/>
        </w:rPr>
        <w:t>ural changes occurred in roots.</w:t>
      </w:r>
    </w:p>
    <w:p w:rsidR="00AC49A4" w:rsidRPr="00BA7280" w:rsidRDefault="00AC49A4" w:rsidP="003C0513">
      <w:pPr>
        <w:spacing w:line="480" w:lineRule="auto"/>
        <w:ind w:firstLine="720"/>
        <w:rPr>
          <w:rFonts w:cs="Times New Roman"/>
          <w:sz w:val="24"/>
          <w:szCs w:val="24"/>
        </w:rPr>
      </w:pPr>
      <w:r>
        <w:rPr>
          <w:rFonts w:cs="Times New Roman"/>
          <w:sz w:val="24"/>
          <w:szCs w:val="24"/>
        </w:rPr>
        <w:t xml:space="preserve">The maturity index </w:t>
      </w:r>
      <w:r w:rsidRPr="00BA7280">
        <w:rPr>
          <w:rFonts w:cs="Times New Roman"/>
          <w:sz w:val="24"/>
          <w:szCs w:val="24"/>
        </w:rPr>
        <w:t xml:space="preserve">between middle age and old age plots of both SMCRA and FRA treatments </w:t>
      </w:r>
      <w:r>
        <w:rPr>
          <w:rFonts w:cs="Times New Roman"/>
          <w:sz w:val="24"/>
          <w:szCs w:val="24"/>
        </w:rPr>
        <w:t>was similar to</w:t>
      </w:r>
      <w:r w:rsidRPr="00BA7280">
        <w:rPr>
          <w:rFonts w:cs="Times New Roman"/>
          <w:sz w:val="24"/>
          <w:szCs w:val="24"/>
        </w:rPr>
        <w:t xml:space="preserve"> the maturity index of the un-mined forest plots in both Virginia and Tennessee.  FRA plots exceeded maturity index of intact forest sites in all three locations, possibly due to the increase in plant biomass in forests leading to an increase in abundance of plant parasitic nematodes, many of which have a low MI value.  Many bacterial feeders remained present in forest ecosystems and increase in abundance as well in comparison to disturbed soils </w:t>
      </w:r>
      <w:r>
        <w:rPr>
          <w:rFonts w:cs="Times New Roman"/>
          <w:sz w:val="24"/>
          <w:szCs w:val="24"/>
        </w:rPr>
        <w:t>that</w:t>
      </w:r>
      <w:r w:rsidRPr="00BA7280">
        <w:rPr>
          <w:rFonts w:cs="Times New Roman"/>
          <w:sz w:val="24"/>
          <w:szCs w:val="24"/>
        </w:rPr>
        <w:t xml:space="preserve"> lack</w:t>
      </w:r>
      <w:r>
        <w:rPr>
          <w:rFonts w:cs="Times New Roman"/>
          <w:sz w:val="24"/>
          <w:szCs w:val="24"/>
        </w:rPr>
        <w:t>ed</w:t>
      </w:r>
      <w:r w:rsidRPr="00BA7280">
        <w:rPr>
          <w:rFonts w:cs="Times New Roman"/>
          <w:sz w:val="24"/>
          <w:szCs w:val="24"/>
        </w:rPr>
        <w:t xml:space="preserve"> the nutrient i</w:t>
      </w:r>
      <w:r>
        <w:rPr>
          <w:rFonts w:cs="Times New Roman"/>
          <w:sz w:val="24"/>
          <w:szCs w:val="24"/>
        </w:rPr>
        <w:t xml:space="preserve">nput to support a large </w:t>
      </w:r>
      <w:proofErr w:type="spellStart"/>
      <w:r>
        <w:rPr>
          <w:rFonts w:cs="Times New Roman"/>
          <w:sz w:val="24"/>
          <w:szCs w:val="24"/>
        </w:rPr>
        <w:t>bacteri</w:t>
      </w:r>
      <w:r w:rsidRPr="00BA7280">
        <w:rPr>
          <w:rFonts w:cs="Times New Roman"/>
          <w:sz w:val="24"/>
          <w:szCs w:val="24"/>
        </w:rPr>
        <w:t>vore</w:t>
      </w:r>
      <w:proofErr w:type="spellEnd"/>
      <w:r w:rsidRPr="00BA7280">
        <w:rPr>
          <w:rFonts w:cs="Times New Roman"/>
          <w:sz w:val="24"/>
          <w:szCs w:val="24"/>
        </w:rPr>
        <w:t xml:space="preserve"> community.</w:t>
      </w:r>
    </w:p>
    <w:p w:rsidR="00AC49A4" w:rsidRDefault="00AC49A4" w:rsidP="003C0513">
      <w:pPr>
        <w:spacing w:line="480" w:lineRule="auto"/>
        <w:ind w:firstLine="720"/>
        <w:rPr>
          <w:rFonts w:cs="Times New Roman"/>
          <w:sz w:val="24"/>
          <w:szCs w:val="24"/>
        </w:rPr>
      </w:pPr>
      <w:r w:rsidRPr="00BA7280">
        <w:rPr>
          <w:rFonts w:cs="Times New Roman"/>
          <w:sz w:val="24"/>
          <w:szCs w:val="24"/>
        </w:rPr>
        <w:t>While the maturity index was relatively similar between treatment</w:t>
      </w:r>
      <w:r>
        <w:rPr>
          <w:rFonts w:cs="Times New Roman"/>
          <w:sz w:val="24"/>
          <w:szCs w:val="24"/>
        </w:rPr>
        <w:t xml:space="preserve">s, the ratio of </w:t>
      </w:r>
      <w:r w:rsidRPr="00BA7280">
        <w:rPr>
          <w:rFonts w:cs="Times New Roman"/>
          <w:sz w:val="24"/>
          <w:szCs w:val="24"/>
        </w:rPr>
        <w:t xml:space="preserve">c-p 5 to c-p 1 values </w:t>
      </w:r>
      <w:r>
        <w:rPr>
          <w:rFonts w:cs="Times New Roman"/>
          <w:sz w:val="24"/>
          <w:szCs w:val="24"/>
        </w:rPr>
        <w:t xml:space="preserve">was </w:t>
      </w:r>
      <w:r w:rsidRPr="00BA7280">
        <w:rPr>
          <w:rFonts w:cs="Times New Roman"/>
          <w:sz w:val="24"/>
          <w:szCs w:val="24"/>
        </w:rPr>
        <w:t>over three times higher in older FRA soils tha</w:t>
      </w:r>
      <w:r>
        <w:rPr>
          <w:rFonts w:cs="Times New Roman"/>
          <w:sz w:val="24"/>
          <w:szCs w:val="24"/>
        </w:rPr>
        <w:t>n</w:t>
      </w:r>
      <w:r w:rsidRPr="00BA7280">
        <w:rPr>
          <w:rFonts w:cs="Times New Roman"/>
          <w:sz w:val="24"/>
          <w:szCs w:val="24"/>
        </w:rPr>
        <w:t xml:space="preserve"> older SMCRA soils (</w:t>
      </w:r>
      <w:proofErr w:type="gramStart"/>
      <w:r>
        <w:rPr>
          <w:rFonts w:cs="Times New Roman"/>
          <w:sz w:val="24"/>
          <w:szCs w:val="24"/>
        </w:rPr>
        <w:t>0</w:t>
      </w:r>
      <w:r w:rsidRPr="00BA7280">
        <w:rPr>
          <w:rFonts w:cs="Times New Roman"/>
          <w:sz w:val="24"/>
          <w:szCs w:val="24"/>
        </w:rPr>
        <w:t>.98  and</w:t>
      </w:r>
      <w:proofErr w:type="gramEnd"/>
      <w:r w:rsidRPr="00BA7280">
        <w:rPr>
          <w:rFonts w:cs="Times New Roman"/>
          <w:sz w:val="24"/>
          <w:szCs w:val="24"/>
        </w:rPr>
        <w:t xml:space="preserve"> </w:t>
      </w:r>
      <w:r>
        <w:rPr>
          <w:rFonts w:cs="Times New Roman"/>
          <w:sz w:val="24"/>
          <w:szCs w:val="24"/>
        </w:rPr>
        <w:t>0</w:t>
      </w:r>
      <w:r w:rsidRPr="00BA7280">
        <w:rPr>
          <w:rFonts w:cs="Times New Roman"/>
          <w:sz w:val="24"/>
          <w:szCs w:val="24"/>
        </w:rPr>
        <w:t>.29, respectiv</w:t>
      </w:r>
      <w:r>
        <w:rPr>
          <w:rFonts w:cs="Times New Roman"/>
          <w:sz w:val="24"/>
          <w:szCs w:val="24"/>
        </w:rPr>
        <w:t>ely).  Bacterial</w:t>
      </w:r>
      <w:r w:rsidRPr="00BA7280">
        <w:rPr>
          <w:rFonts w:cs="Times New Roman"/>
          <w:sz w:val="24"/>
          <w:szCs w:val="24"/>
        </w:rPr>
        <w:t xml:space="preserve"> feeders and plant feeders with c</w:t>
      </w:r>
      <w:r>
        <w:rPr>
          <w:rFonts w:cs="Times New Roman"/>
          <w:sz w:val="24"/>
          <w:szCs w:val="24"/>
        </w:rPr>
        <w:t>-</w:t>
      </w:r>
      <w:r w:rsidRPr="00BA7280">
        <w:rPr>
          <w:rFonts w:cs="Times New Roman"/>
          <w:sz w:val="24"/>
          <w:szCs w:val="24"/>
        </w:rPr>
        <w:t>p values of two increase</w:t>
      </w:r>
      <w:r>
        <w:rPr>
          <w:rFonts w:cs="Times New Roman"/>
          <w:sz w:val="24"/>
          <w:szCs w:val="24"/>
        </w:rPr>
        <w:t>d</w:t>
      </w:r>
      <w:r w:rsidRPr="00BA7280">
        <w:rPr>
          <w:rFonts w:cs="Times New Roman"/>
          <w:sz w:val="24"/>
          <w:szCs w:val="24"/>
        </w:rPr>
        <w:t xml:space="preserve"> over time,</w:t>
      </w:r>
      <w:r>
        <w:rPr>
          <w:rFonts w:cs="Times New Roman"/>
          <w:sz w:val="24"/>
          <w:szCs w:val="24"/>
        </w:rPr>
        <w:t xml:space="preserve"> and were highest in abundance in un-mine forest soils.  This increase in nematodes with lower c-p values caused the increase in c-p 5 nematodes to be overshadowed when maturity indices was calculated.</w:t>
      </w:r>
      <w:r w:rsidRPr="00BA7280">
        <w:rPr>
          <w:rFonts w:cs="Times New Roman"/>
          <w:sz w:val="24"/>
          <w:szCs w:val="24"/>
        </w:rPr>
        <w:t xml:space="preserve"> The maturity index itself may lack the resolution required to be an effective </w:t>
      </w:r>
      <w:proofErr w:type="spellStart"/>
      <w:r w:rsidRPr="00BA7280">
        <w:rPr>
          <w:rFonts w:cs="Times New Roman"/>
          <w:sz w:val="24"/>
          <w:szCs w:val="24"/>
        </w:rPr>
        <w:t>bioindicator</w:t>
      </w:r>
      <w:proofErr w:type="spellEnd"/>
      <w:r w:rsidRPr="00BA7280">
        <w:rPr>
          <w:rFonts w:cs="Times New Roman"/>
          <w:sz w:val="24"/>
          <w:szCs w:val="24"/>
        </w:rPr>
        <w:t xml:space="preserve">.  It has been suggested by the original authors of the maturity index that a finer resolution may be necessary in order to overcome issues such as population spatial heterogeneity, variations in life strategies within families, and microenvironment effects </w:t>
      </w:r>
      <w:r w:rsidRPr="00BA7280">
        <w:rPr>
          <w:rFonts w:cs="Times New Roman"/>
          <w:noProof/>
          <w:sz w:val="24"/>
          <w:szCs w:val="24"/>
        </w:rPr>
        <w:t>(Ferris &amp; Bongers 2006)</w:t>
      </w:r>
      <w:r w:rsidRPr="00BA7280">
        <w:rPr>
          <w:rFonts w:cs="Times New Roman"/>
          <w:sz w:val="24"/>
          <w:szCs w:val="24"/>
        </w:rPr>
        <w:t>.</w:t>
      </w:r>
    </w:p>
    <w:p w:rsidR="00AC49A4" w:rsidRDefault="00AC49A4" w:rsidP="003C0513">
      <w:pPr>
        <w:spacing w:line="480" w:lineRule="auto"/>
        <w:ind w:firstLine="720"/>
        <w:rPr>
          <w:rFonts w:cs="Times New Roman"/>
          <w:sz w:val="24"/>
          <w:szCs w:val="24"/>
        </w:rPr>
      </w:pPr>
      <w:r>
        <w:rPr>
          <w:rFonts w:cs="Times New Roman"/>
          <w:sz w:val="24"/>
          <w:szCs w:val="24"/>
        </w:rPr>
        <w:t xml:space="preserve">Indicator species show that differences in species composition still remain between old restored sites and un-mined forests, although Shannon diversity was similar between these sites (Fig. 11).  These indicator species represent a sensitive measure by which to assess restoration.  This method of assessing management success is site specific, as seen by the lack of </w:t>
      </w:r>
      <w:proofErr w:type="spellStart"/>
      <w:r w:rsidRPr="00602CBB">
        <w:rPr>
          <w:rFonts w:cs="Times New Roman"/>
          <w:i/>
          <w:sz w:val="24"/>
          <w:szCs w:val="24"/>
        </w:rPr>
        <w:t>Xiph</w:t>
      </w:r>
      <w:r>
        <w:rPr>
          <w:rFonts w:cs="Times New Roman"/>
          <w:i/>
          <w:sz w:val="24"/>
          <w:szCs w:val="24"/>
        </w:rPr>
        <w:t>i</w:t>
      </w:r>
      <w:r w:rsidRPr="00602CBB">
        <w:rPr>
          <w:rFonts w:cs="Times New Roman"/>
          <w:i/>
          <w:sz w:val="24"/>
          <w:szCs w:val="24"/>
        </w:rPr>
        <w:t>nema</w:t>
      </w:r>
      <w:proofErr w:type="spellEnd"/>
      <w:r w:rsidRPr="00602CBB">
        <w:rPr>
          <w:rFonts w:cs="Times New Roman"/>
          <w:i/>
          <w:sz w:val="24"/>
          <w:szCs w:val="24"/>
        </w:rPr>
        <w:t xml:space="preserve"> </w:t>
      </w:r>
      <w:r>
        <w:rPr>
          <w:rFonts w:cs="Times New Roman"/>
          <w:sz w:val="24"/>
          <w:szCs w:val="24"/>
        </w:rPr>
        <w:lastRenderedPageBreak/>
        <w:t>sp. in un-mined Tennessee forests.  Many of the species most strongly associated with intact un-mined forests had c-p values of 2, 3, or 4.  The assignment of c-p values may need to be assessed on a geographic or ecosystem basis.</w:t>
      </w:r>
    </w:p>
    <w:p w:rsidR="00AC49A4" w:rsidRPr="00BA7280" w:rsidRDefault="00AC49A4" w:rsidP="003C0513">
      <w:pPr>
        <w:spacing w:line="480" w:lineRule="auto"/>
        <w:ind w:firstLine="720"/>
        <w:rPr>
          <w:rFonts w:cs="Times New Roman"/>
          <w:sz w:val="24"/>
          <w:szCs w:val="24"/>
        </w:rPr>
      </w:pPr>
      <w:r w:rsidRPr="00FD1D31">
        <w:rPr>
          <w:rFonts w:cs="Times New Roman"/>
          <w:sz w:val="24"/>
          <w:szCs w:val="24"/>
        </w:rPr>
        <w:t xml:space="preserve">Plant species tended to have a positive association with nematode diversity.  The plant species with the strongest </w:t>
      </w:r>
      <w:r>
        <w:rPr>
          <w:rFonts w:cs="Times New Roman"/>
          <w:sz w:val="24"/>
          <w:szCs w:val="24"/>
        </w:rPr>
        <w:t xml:space="preserve">positive </w:t>
      </w:r>
      <w:r w:rsidRPr="00FD1D31">
        <w:rPr>
          <w:rFonts w:cs="Times New Roman"/>
          <w:sz w:val="24"/>
          <w:szCs w:val="24"/>
        </w:rPr>
        <w:t>effect on nematode diversity was</w:t>
      </w:r>
      <w:r>
        <w:rPr>
          <w:rFonts w:cs="Times New Roman"/>
          <w:i/>
          <w:sz w:val="24"/>
          <w:szCs w:val="24"/>
        </w:rPr>
        <w:t xml:space="preserve"> </w:t>
      </w:r>
      <w:proofErr w:type="spellStart"/>
      <w:r>
        <w:rPr>
          <w:rFonts w:cs="Times New Roman"/>
          <w:i/>
          <w:sz w:val="24"/>
          <w:szCs w:val="24"/>
        </w:rPr>
        <w:t>Cornus</w:t>
      </w:r>
      <w:proofErr w:type="spellEnd"/>
      <w:r>
        <w:rPr>
          <w:rFonts w:cs="Times New Roman"/>
          <w:i/>
          <w:sz w:val="24"/>
          <w:szCs w:val="24"/>
        </w:rPr>
        <w:t xml:space="preserve"> </w:t>
      </w:r>
      <w:proofErr w:type="spellStart"/>
      <w:proofErr w:type="gramStart"/>
      <w:r>
        <w:rPr>
          <w:rFonts w:cs="Times New Roman"/>
          <w:i/>
          <w:sz w:val="24"/>
          <w:szCs w:val="24"/>
        </w:rPr>
        <w:t>florida</w:t>
      </w:r>
      <w:proofErr w:type="spellEnd"/>
      <w:proofErr w:type="gramEnd"/>
      <w:r>
        <w:rPr>
          <w:rFonts w:cs="Times New Roman"/>
          <w:i/>
          <w:sz w:val="24"/>
          <w:szCs w:val="24"/>
        </w:rPr>
        <w:t xml:space="preserve">. </w:t>
      </w:r>
      <w:proofErr w:type="spellStart"/>
      <w:r w:rsidRPr="00F85EBB">
        <w:rPr>
          <w:rFonts w:cs="Times New Roman"/>
          <w:i/>
          <w:sz w:val="24"/>
          <w:szCs w:val="24"/>
        </w:rPr>
        <w:t>Cornus</w:t>
      </w:r>
      <w:proofErr w:type="spellEnd"/>
      <w:r w:rsidRPr="00F85EBB">
        <w:rPr>
          <w:rFonts w:cs="Times New Roman"/>
          <w:i/>
          <w:sz w:val="24"/>
          <w:szCs w:val="24"/>
        </w:rPr>
        <w:t xml:space="preserve"> </w:t>
      </w:r>
      <w:proofErr w:type="spellStart"/>
      <w:proofErr w:type="gramStart"/>
      <w:r w:rsidRPr="00F85EBB">
        <w:rPr>
          <w:rFonts w:cs="Times New Roman"/>
          <w:i/>
          <w:sz w:val="24"/>
          <w:szCs w:val="24"/>
        </w:rPr>
        <w:t>florida</w:t>
      </w:r>
      <w:proofErr w:type="spellEnd"/>
      <w:proofErr w:type="gramEnd"/>
      <w:r>
        <w:rPr>
          <w:rFonts w:cs="Times New Roman"/>
          <w:sz w:val="24"/>
          <w:szCs w:val="24"/>
        </w:rPr>
        <w:t xml:space="preserve"> may be highly associated with nematode diversity due its common presence in the </w:t>
      </w:r>
      <w:proofErr w:type="spellStart"/>
      <w:r>
        <w:rPr>
          <w:rFonts w:cs="Times New Roman"/>
          <w:sz w:val="24"/>
          <w:szCs w:val="24"/>
        </w:rPr>
        <w:t>midstory</w:t>
      </w:r>
      <w:proofErr w:type="spellEnd"/>
      <w:r>
        <w:rPr>
          <w:rFonts w:cs="Times New Roman"/>
          <w:sz w:val="24"/>
          <w:szCs w:val="24"/>
        </w:rPr>
        <w:t xml:space="preserve"> of closed canopy forests. A strong </w:t>
      </w:r>
      <w:proofErr w:type="spellStart"/>
      <w:r>
        <w:rPr>
          <w:rFonts w:cs="Times New Roman"/>
          <w:sz w:val="24"/>
          <w:szCs w:val="24"/>
        </w:rPr>
        <w:t>midstory</w:t>
      </w:r>
      <w:proofErr w:type="spellEnd"/>
      <w:r>
        <w:rPr>
          <w:rFonts w:cs="Times New Roman"/>
          <w:sz w:val="24"/>
          <w:szCs w:val="24"/>
        </w:rPr>
        <w:t xml:space="preserve"> plant presence in closed forests indicates increased plant inputs, which can influence local nematode communities.  </w:t>
      </w:r>
      <w:proofErr w:type="spellStart"/>
      <w:r>
        <w:rPr>
          <w:rFonts w:cs="Times New Roman"/>
          <w:i/>
          <w:sz w:val="24"/>
          <w:szCs w:val="24"/>
        </w:rPr>
        <w:t>Eleagnus</w:t>
      </w:r>
      <w:proofErr w:type="spellEnd"/>
      <w:r w:rsidRPr="00F85EBB">
        <w:rPr>
          <w:rFonts w:cs="Times New Roman"/>
          <w:i/>
          <w:sz w:val="24"/>
          <w:szCs w:val="24"/>
        </w:rPr>
        <w:t xml:space="preserve"> </w:t>
      </w:r>
      <w:proofErr w:type="spellStart"/>
      <w:r w:rsidRPr="00F85EBB">
        <w:rPr>
          <w:rFonts w:cs="Times New Roman"/>
          <w:i/>
          <w:sz w:val="24"/>
          <w:szCs w:val="24"/>
        </w:rPr>
        <w:t>angustifolia</w:t>
      </w:r>
      <w:proofErr w:type="spellEnd"/>
      <w:r w:rsidRPr="00F85EBB">
        <w:rPr>
          <w:rFonts w:cs="Times New Roman"/>
          <w:i/>
          <w:sz w:val="24"/>
          <w:szCs w:val="24"/>
        </w:rPr>
        <w:t xml:space="preserve"> </w:t>
      </w:r>
      <w:r>
        <w:rPr>
          <w:rFonts w:cs="Times New Roman"/>
          <w:sz w:val="24"/>
          <w:szCs w:val="24"/>
        </w:rPr>
        <w:t>was the only non-native plant to yield a strong enough impact on nematode populations to be included in the canonical analysis. The negative association of</w:t>
      </w:r>
      <w:r w:rsidRPr="00F85EBB">
        <w:rPr>
          <w:rFonts w:cs="Times New Roman"/>
          <w:i/>
          <w:sz w:val="24"/>
          <w:szCs w:val="24"/>
        </w:rPr>
        <w:t xml:space="preserve"> E. </w:t>
      </w:r>
      <w:proofErr w:type="spellStart"/>
      <w:r w:rsidRPr="00F85EBB">
        <w:rPr>
          <w:rFonts w:cs="Times New Roman"/>
          <w:i/>
          <w:sz w:val="24"/>
          <w:szCs w:val="24"/>
        </w:rPr>
        <w:t>angustifolia</w:t>
      </w:r>
      <w:proofErr w:type="spellEnd"/>
      <w:r>
        <w:rPr>
          <w:rFonts w:cs="Times New Roman"/>
          <w:sz w:val="24"/>
          <w:szCs w:val="24"/>
        </w:rPr>
        <w:t xml:space="preserve"> with diversity may be due to the presence of </w:t>
      </w:r>
      <w:proofErr w:type="spellStart"/>
      <w:r>
        <w:rPr>
          <w:rFonts w:cs="Times New Roman"/>
          <w:i/>
          <w:sz w:val="24"/>
          <w:szCs w:val="24"/>
        </w:rPr>
        <w:t>Eleagnus</w:t>
      </w:r>
      <w:proofErr w:type="spellEnd"/>
      <w:r w:rsidRPr="00F85EBB">
        <w:rPr>
          <w:rFonts w:cs="Times New Roman"/>
          <w:i/>
          <w:sz w:val="24"/>
          <w:szCs w:val="24"/>
        </w:rPr>
        <w:t xml:space="preserve"> </w:t>
      </w:r>
      <w:proofErr w:type="spellStart"/>
      <w:r w:rsidRPr="00F85EBB">
        <w:rPr>
          <w:rFonts w:cs="Times New Roman"/>
          <w:i/>
          <w:sz w:val="24"/>
          <w:szCs w:val="24"/>
        </w:rPr>
        <w:t>angustifolia</w:t>
      </w:r>
      <w:proofErr w:type="spellEnd"/>
      <w:r>
        <w:rPr>
          <w:rFonts w:cs="Times New Roman"/>
          <w:sz w:val="24"/>
          <w:szCs w:val="24"/>
        </w:rPr>
        <w:t xml:space="preserve"> exclusively on SMCRA sites. It was commonly found in lower plant diversity sites, and was often associated with agricultural grasses in relatively homogenous plant communities.  Homogenous plant communities may limit niche, diversity which rare nematode species could occupy.</w:t>
      </w:r>
    </w:p>
    <w:p w:rsidR="00AC49A4" w:rsidRDefault="00AC49A4">
      <w:pPr>
        <w:spacing w:after="200" w:line="276" w:lineRule="auto"/>
        <w:rPr>
          <w:rFonts w:eastAsiaTheme="majorEastAsia" w:cstheme="majorBidi"/>
          <w:b/>
          <w:bCs/>
          <w:i/>
          <w:sz w:val="28"/>
          <w:szCs w:val="28"/>
        </w:rPr>
      </w:pPr>
      <w:r>
        <w:br w:type="page"/>
      </w:r>
    </w:p>
    <w:p w:rsidR="00AC49A4" w:rsidRDefault="00AC49A4" w:rsidP="003C0513">
      <w:pPr>
        <w:pStyle w:val="Heading1"/>
      </w:pPr>
      <w:bookmarkStart w:id="51" w:name="_Toc340837897"/>
      <w:r w:rsidRPr="00BA7280">
        <w:lastRenderedPageBreak/>
        <w:t>Conclusions</w:t>
      </w:r>
      <w:bookmarkEnd w:id="51"/>
    </w:p>
    <w:p w:rsidR="00AC49A4" w:rsidRPr="009C27BE" w:rsidRDefault="00AC49A4" w:rsidP="003C0513"/>
    <w:p w:rsidR="00AC49A4" w:rsidRPr="00BA7280" w:rsidRDefault="00AC49A4" w:rsidP="003C0513">
      <w:pPr>
        <w:spacing w:line="480" w:lineRule="auto"/>
        <w:ind w:firstLine="720"/>
        <w:rPr>
          <w:rFonts w:cs="Times New Roman"/>
          <w:sz w:val="24"/>
          <w:szCs w:val="24"/>
        </w:rPr>
      </w:pPr>
      <w:r w:rsidRPr="00BA7280">
        <w:rPr>
          <w:rFonts w:cs="Times New Roman"/>
          <w:sz w:val="24"/>
          <w:szCs w:val="24"/>
        </w:rPr>
        <w:t>The abundance</w:t>
      </w:r>
      <w:r>
        <w:rPr>
          <w:rFonts w:cs="Times New Roman"/>
          <w:sz w:val="24"/>
          <w:szCs w:val="24"/>
        </w:rPr>
        <w:t xml:space="preserve"> of indicator species, as defined by the canonical correspondence analysis, </w:t>
      </w:r>
      <w:r w:rsidRPr="00BA7280">
        <w:rPr>
          <w:rFonts w:cs="Times New Roman"/>
          <w:sz w:val="24"/>
          <w:szCs w:val="24"/>
        </w:rPr>
        <w:t>was much lower in all treatments and</w:t>
      </w:r>
      <w:r>
        <w:rPr>
          <w:rFonts w:cs="Times New Roman"/>
          <w:sz w:val="24"/>
          <w:szCs w:val="24"/>
        </w:rPr>
        <w:t xml:space="preserve"> age groups of reclaimed sites. This lower abundance </w:t>
      </w:r>
      <w:r w:rsidRPr="00BA7280">
        <w:rPr>
          <w:rFonts w:cs="Times New Roman"/>
          <w:sz w:val="24"/>
          <w:szCs w:val="24"/>
        </w:rPr>
        <w:t>indicat</w:t>
      </w:r>
      <w:r>
        <w:rPr>
          <w:rFonts w:cs="Times New Roman"/>
          <w:sz w:val="24"/>
          <w:szCs w:val="24"/>
        </w:rPr>
        <w:t>es</w:t>
      </w:r>
      <w:r w:rsidRPr="00BA7280">
        <w:rPr>
          <w:rFonts w:cs="Times New Roman"/>
          <w:sz w:val="24"/>
          <w:szCs w:val="24"/>
        </w:rPr>
        <w:t xml:space="preserve"> that while basic community measures, such as abundance, diversity, and even trophic ratios</w:t>
      </w:r>
      <w:r>
        <w:rPr>
          <w:rFonts w:cs="Times New Roman"/>
          <w:sz w:val="24"/>
          <w:szCs w:val="24"/>
        </w:rPr>
        <w:t>,</w:t>
      </w:r>
      <w:r w:rsidRPr="00BA7280">
        <w:rPr>
          <w:rFonts w:cs="Times New Roman"/>
          <w:sz w:val="24"/>
          <w:szCs w:val="24"/>
        </w:rPr>
        <w:t xml:space="preserve"> may be similar between restored sites and forests, species level differences still exist after several years of reclamation.</w:t>
      </w:r>
      <w:r>
        <w:rPr>
          <w:rFonts w:cs="Times New Roman"/>
          <w:sz w:val="24"/>
          <w:szCs w:val="24"/>
        </w:rPr>
        <w:t xml:space="preserve"> While canonical correspondence shows a higher degree of similarity of nematode species identity between forested sites and FRA sites than forested sites and SMCRA sites, rare species are still missing from disturbed sites.</w:t>
      </w:r>
      <w:r w:rsidRPr="00BA7280">
        <w:rPr>
          <w:rFonts w:cs="Times New Roman"/>
          <w:sz w:val="24"/>
          <w:szCs w:val="24"/>
        </w:rPr>
        <w:t xml:space="preserve"> The use of a fe</w:t>
      </w:r>
      <w:r>
        <w:rPr>
          <w:rFonts w:cs="Times New Roman"/>
          <w:sz w:val="24"/>
          <w:szCs w:val="24"/>
        </w:rPr>
        <w:t xml:space="preserve">w sensitive species or families </w:t>
      </w:r>
      <w:r w:rsidRPr="00BA7280">
        <w:rPr>
          <w:rFonts w:cs="Times New Roman"/>
          <w:sz w:val="24"/>
          <w:szCs w:val="24"/>
        </w:rPr>
        <w:t>as an indicator of reclamation success may be more valuable than other co</w:t>
      </w:r>
      <w:r>
        <w:rPr>
          <w:rFonts w:cs="Times New Roman"/>
          <w:sz w:val="24"/>
          <w:szCs w:val="24"/>
        </w:rPr>
        <w:t>mmon community structure analyse</w:t>
      </w:r>
      <w:r w:rsidRPr="00BA7280">
        <w:rPr>
          <w:rFonts w:cs="Times New Roman"/>
          <w:sz w:val="24"/>
          <w:szCs w:val="24"/>
        </w:rPr>
        <w:t>s.  Trophic abundance may have strong ties to reclamation as well, based on the development of plant parasites in the forested sites being higher than in disturbed sites.  The maturity index failed to find differences within these sites in the basis of the c</w:t>
      </w:r>
      <w:r>
        <w:rPr>
          <w:rFonts w:cs="Times New Roman"/>
          <w:sz w:val="24"/>
          <w:szCs w:val="24"/>
        </w:rPr>
        <w:t>olonizer-</w:t>
      </w:r>
      <w:proofErr w:type="spellStart"/>
      <w:r>
        <w:rPr>
          <w:rFonts w:cs="Times New Roman"/>
          <w:sz w:val="24"/>
          <w:szCs w:val="24"/>
        </w:rPr>
        <w:t>persistor</w:t>
      </w:r>
      <w:proofErr w:type="spellEnd"/>
      <w:r w:rsidRPr="00BA7280">
        <w:rPr>
          <w:rFonts w:cs="Times New Roman"/>
          <w:sz w:val="24"/>
          <w:szCs w:val="24"/>
        </w:rPr>
        <w:t xml:space="preserve"> scale.</w:t>
      </w:r>
    </w:p>
    <w:p w:rsidR="00AC49A4" w:rsidRPr="00BA7280" w:rsidRDefault="00AC49A4" w:rsidP="003C0513">
      <w:pPr>
        <w:spacing w:line="480" w:lineRule="auto"/>
        <w:ind w:firstLine="720"/>
        <w:rPr>
          <w:rFonts w:cs="Times New Roman"/>
          <w:sz w:val="24"/>
          <w:szCs w:val="24"/>
        </w:rPr>
      </w:pPr>
      <w:r w:rsidRPr="00BA7280">
        <w:rPr>
          <w:rFonts w:cs="Times New Roman"/>
          <w:sz w:val="24"/>
          <w:szCs w:val="24"/>
        </w:rPr>
        <w:t xml:space="preserve">Though FRA reclamation </w:t>
      </w:r>
      <w:r>
        <w:rPr>
          <w:rFonts w:cs="Times New Roman"/>
          <w:sz w:val="24"/>
          <w:szCs w:val="24"/>
        </w:rPr>
        <w:t>is considered more successful for</w:t>
      </w:r>
      <w:r w:rsidRPr="00BA7280">
        <w:rPr>
          <w:rFonts w:cs="Times New Roman"/>
          <w:sz w:val="24"/>
          <w:szCs w:val="24"/>
        </w:rPr>
        <w:t xml:space="preserve"> </w:t>
      </w:r>
      <w:r>
        <w:rPr>
          <w:rFonts w:cs="Times New Roman"/>
          <w:sz w:val="24"/>
          <w:szCs w:val="24"/>
        </w:rPr>
        <w:t>above-ground</w:t>
      </w:r>
      <w:r w:rsidRPr="00BA7280">
        <w:rPr>
          <w:rFonts w:cs="Times New Roman"/>
          <w:sz w:val="24"/>
          <w:szCs w:val="24"/>
        </w:rPr>
        <w:t xml:space="preserve"> development of young forests, the same dramatic effects do not appear to occur </w:t>
      </w:r>
      <w:r>
        <w:rPr>
          <w:rFonts w:cs="Times New Roman"/>
          <w:sz w:val="24"/>
          <w:szCs w:val="24"/>
        </w:rPr>
        <w:t>below-ground</w:t>
      </w:r>
      <w:r w:rsidRPr="00BA7280">
        <w:rPr>
          <w:rFonts w:cs="Times New Roman"/>
          <w:sz w:val="24"/>
          <w:szCs w:val="24"/>
        </w:rPr>
        <w:t>, where community s</w:t>
      </w:r>
      <w:r>
        <w:rPr>
          <w:rFonts w:cs="Times New Roman"/>
          <w:sz w:val="24"/>
          <w:szCs w:val="24"/>
        </w:rPr>
        <w:t>tructure and development are similar in many ways between FRA and SMCRA plots.</w:t>
      </w:r>
    </w:p>
    <w:p w:rsidR="00AC49A4" w:rsidRPr="00BA7280" w:rsidRDefault="00AC49A4">
      <w:pPr>
        <w:rPr>
          <w:rFonts w:cs="Times New Roman"/>
          <w:sz w:val="24"/>
          <w:szCs w:val="24"/>
        </w:rPr>
      </w:pPr>
    </w:p>
    <w:p w:rsidR="00AC49A4" w:rsidRPr="00BA7280" w:rsidRDefault="00AC49A4">
      <w:pPr>
        <w:rPr>
          <w:rFonts w:cs="Times New Roman"/>
          <w:sz w:val="24"/>
          <w:szCs w:val="24"/>
        </w:rPr>
      </w:pPr>
    </w:p>
    <w:p w:rsidR="00AC49A4" w:rsidRDefault="00AC49A4">
      <w:pPr>
        <w:spacing w:after="200" w:line="276" w:lineRule="auto"/>
        <w:rPr>
          <w:rFonts w:cs="Times New Roman"/>
          <w:sz w:val="24"/>
          <w:szCs w:val="24"/>
        </w:rPr>
      </w:pPr>
    </w:p>
    <w:p w:rsidR="00AC49A4" w:rsidRDefault="00AC49A4">
      <w:pPr>
        <w:spacing w:after="200" w:line="276" w:lineRule="auto"/>
        <w:rPr>
          <w:rFonts w:cs="Times New Roman"/>
          <w:sz w:val="24"/>
          <w:szCs w:val="24"/>
        </w:rPr>
      </w:pPr>
    </w:p>
    <w:p w:rsidR="00AC49A4" w:rsidRDefault="00AC49A4">
      <w:pPr>
        <w:spacing w:after="200" w:line="276" w:lineRule="auto"/>
        <w:rPr>
          <w:rFonts w:cs="Times New Roman"/>
          <w:sz w:val="24"/>
          <w:szCs w:val="24"/>
        </w:rPr>
      </w:pPr>
    </w:p>
    <w:p w:rsidR="00AC49A4" w:rsidRDefault="00AC49A4">
      <w:pPr>
        <w:spacing w:after="200" w:line="276" w:lineRule="auto"/>
        <w:rPr>
          <w:rFonts w:cs="Times New Roman"/>
          <w:sz w:val="24"/>
          <w:szCs w:val="24"/>
        </w:rPr>
      </w:pPr>
    </w:p>
    <w:p w:rsidR="00AC49A4" w:rsidRDefault="00AC49A4">
      <w:pPr>
        <w:spacing w:after="200" w:line="276" w:lineRule="auto"/>
        <w:rPr>
          <w:rFonts w:cs="Times New Roman"/>
          <w:sz w:val="24"/>
          <w:szCs w:val="24"/>
        </w:rPr>
      </w:pPr>
    </w:p>
    <w:p w:rsidR="00AC49A4" w:rsidRDefault="00AC49A4">
      <w:pPr>
        <w:spacing w:after="200" w:line="276" w:lineRule="auto"/>
        <w:rPr>
          <w:rFonts w:cs="Times New Roman"/>
          <w:sz w:val="24"/>
          <w:szCs w:val="24"/>
        </w:rPr>
      </w:pPr>
    </w:p>
    <w:p w:rsidR="00AC49A4" w:rsidRDefault="00AC49A4" w:rsidP="00AC49A4"/>
    <w:p w:rsidR="00AC49A4" w:rsidRPr="000D7E4D" w:rsidRDefault="00AC49A4" w:rsidP="000D7E4D">
      <w:pPr>
        <w:pStyle w:val="Heading1"/>
      </w:pPr>
      <w:bookmarkStart w:id="52" w:name="_Toc340837898"/>
      <w:r w:rsidRPr="00FD56BA">
        <w:t>References</w:t>
      </w:r>
      <w:bookmarkEnd w:id="52"/>
    </w:p>
    <w:p w:rsidR="00AC49A4" w:rsidRPr="00BE3175" w:rsidRDefault="00AC49A4" w:rsidP="00AC49A4">
      <w:pPr>
        <w:spacing w:line="480" w:lineRule="auto"/>
        <w:rPr>
          <w:rFonts w:cs="Times New Roman"/>
          <w:sz w:val="24"/>
          <w:szCs w:val="24"/>
        </w:rPr>
      </w:pP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Abdul-Kareem A.W., &amp; McRae, S. G. (1984). The effects on topsoil of long-term storage in stockpiles. </w:t>
      </w:r>
      <w:r w:rsidRPr="00BE3175">
        <w:rPr>
          <w:rFonts w:cs="Times New Roman"/>
          <w:i/>
          <w:noProof/>
          <w:szCs w:val="24"/>
        </w:rPr>
        <w:t>Plant and Soil</w:t>
      </w:r>
      <w:r w:rsidRPr="00BE3175">
        <w:rPr>
          <w:rFonts w:cs="Times New Roman"/>
          <w:noProof/>
          <w:szCs w:val="24"/>
        </w:rPr>
        <w:t>, 76, 357-363.</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Angel P., Davis V., Burger J., Graves D. &amp; Zipper C. (2005). Forestry Reclaimation Advisory No. 1. In: </w:t>
      </w:r>
      <w:r w:rsidRPr="00BE3175">
        <w:rPr>
          <w:rFonts w:cs="Times New Roman"/>
          <w:i/>
          <w:noProof/>
          <w:szCs w:val="24"/>
        </w:rPr>
        <w:t>Forest Reclaimation Advisory</w:t>
      </w:r>
      <w:r w:rsidRPr="00BE3175">
        <w:rPr>
          <w:rFonts w:cs="Times New Roman"/>
          <w:noProof/>
          <w:szCs w:val="24"/>
        </w:rPr>
        <w:t>. Office of Surface Mining.</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Bardgett R.D. &amp; Wardle D.A. (2003). Herbivore-mediated linkages between </w:t>
      </w:r>
      <w:r>
        <w:rPr>
          <w:rFonts w:cs="Times New Roman"/>
          <w:noProof/>
          <w:szCs w:val="24"/>
        </w:rPr>
        <w:t>above-ground</w:t>
      </w:r>
      <w:r w:rsidRPr="00BE3175">
        <w:rPr>
          <w:rFonts w:cs="Times New Roman"/>
          <w:noProof/>
          <w:szCs w:val="24"/>
        </w:rPr>
        <w:t xml:space="preserve"> and </w:t>
      </w:r>
      <w:r>
        <w:rPr>
          <w:rFonts w:cs="Times New Roman"/>
          <w:noProof/>
          <w:szCs w:val="24"/>
        </w:rPr>
        <w:t>below-ground</w:t>
      </w:r>
      <w:r w:rsidRPr="00BE3175">
        <w:rPr>
          <w:rFonts w:cs="Times New Roman"/>
          <w:noProof/>
          <w:szCs w:val="24"/>
        </w:rPr>
        <w:t xml:space="preserve"> communities. </w:t>
      </w:r>
      <w:r w:rsidRPr="00BE3175">
        <w:rPr>
          <w:rFonts w:cs="Times New Roman"/>
          <w:i/>
          <w:noProof/>
          <w:szCs w:val="24"/>
        </w:rPr>
        <w:t>Ecology</w:t>
      </w:r>
      <w:r w:rsidRPr="00BE3175">
        <w:rPr>
          <w:rFonts w:cs="Times New Roman"/>
          <w:noProof/>
          <w:szCs w:val="24"/>
        </w:rPr>
        <w:t>, 84, 2258-2268.</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Bassett I.E., Simcock R.C. &amp; Mitchell N.D. (2005). Consequences of soil compaction for seedling establishment: Implications for natural regeneration and restoration. </w:t>
      </w:r>
      <w:r w:rsidRPr="00BE3175">
        <w:rPr>
          <w:rFonts w:cs="Times New Roman"/>
          <w:i/>
          <w:noProof/>
          <w:szCs w:val="24"/>
        </w:rPr>
        <w:t>Austral Ecol.</w:t>
      </w:r>
      <w:r w:rsidRPr="00BE3175">
        <w:rPr>
          <w:rFonts w:cs="Times New Roman"/>
          <w:noProof/>
          <w:szCs w:val="24"/>
        </w:rPr>
        <w:t>, 30, 827-833.</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Bernard E.C. (1991). Soil Nematode Biodiversity. </w:t>
      </w:r>
      <w:r w:rsidRPr="00BE3175">
        <w:rPr>
          <w:rFonts w:cs="Times New Roman"/>
          <w:i/>
          <w:noProof/>
          <w:szCs w:val="24"/>
        </w:rPr>
        <w:t>Biol. Fertil. Soils</w:t>
      </w:r>
      <w:r w:rsidRPr="00BE3175">
        <w:rPr>
          <w:rFonts w:cs="Times New Roman"/>
          <w:noProof/>
          <w:szCs w:val="24"/>
        </w:rPr>
        <w:t>, 14, 99.</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Bongers T. (1990). The maturity index: and ecological measure of environmental disturbance based on nematode species composition. </w:t>
      </w:r>
      <w:r w:rsidRPr="00BE3175">
        <w:rPr>
          <w:rFonts w:cs="Times New Roman"/>
          <w:i/>
          <w:noProof/>
          <w:szCs w:val="24"/>
        </w:rPr>
        <w:t>Oecologia</w:t>
      </w:r>
      <w:r w:rsidRPr="00BE3175">
        <w:rPr>
          <w:rFonts w:cs="Times New Roman"/>
          <w:noProof/>
          <w:szCs w:val="24"/>
        </w:rPr>
        <w:t>, 83, 14-19.</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Clarholm M. (1985). Interactions of bacteria, protazoa, and plants leading to mineralization of soil-nitrogen. </w:t>
      </w:r>
      <w:r w:rsidRPr="00BE3175">
        <w:rPr>
          <w:rFonts w:cs="Times New Roman"/>
          <w:i/>
          <w:noProof/>
          <w:szCs w:val="24"/>
        </w:rPr>
        <w:t>Soil Biol. Biochem.</w:t>
      </w:r>
      <w:r w:rsidRPr="00BE3175">
        <w:rPr>
          <w:rFonts w:cs="Times New Roman"/>
          <w:noProof/>
          <w:szCs w:val="24"/>
        </w:rPr>
        <w:t>, 17, 181-187.</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Daniels W.L. &amp; Amos D.F. (1985). Generating productive topsoil substitutes from hard rock overburden in the southern Appalachians. </w:t>
      </w:r>
      <w:r w:rsidRPr="00BE3175">
        <w:rPr>
          <w:rFonts w:cs="Times New Roman"/>
          <w:i/>
          <w:noProof/>
          <w:szCs w:val="24"/>
        </w:rPr>
        <w:t>Environ. Geochem. Health</w:t>
      </w:r>
      <w:r w:rsidRPr="00BE3175">
        <w:rPr>
          <w:rFonts w:cs="Times New Roman"/>
          <w:noProof/>
          <w:szCs w:val="24"/>
        </w:rPr>
        <w:t>, 7, 8-15.</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De Deyn G.B., Raaijmakers C.E. &amp; Van der Putten W.H. (2004). Plant community development is affected by nutrients and soil biota. </w:t>
      </w:r>
      <w:r w:rsidRPr="00BE3175">
        <w:rPr>
          <w:rFonts w:cs="Times New Roman"/>
          <w:i/>
          <w:noProof/>
          <w:szCs w:val="24"/>
        </w:rPr>
        <w:t>Journal of Ecology</w:t>
      </w:r>
      <w:r w:rsidRPr="00BE3175">
        <w:rPr>
          <w:rFonts w:cs="Times New Roman"/>
          <w:noProof/>
          <w:szCs w:val="24"/>
        </w:rPr>
        <w:t>, 92, 824-834.</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Dittmer S. &amp; Schrader S. (2000). Longterm effects of soil compaction and tillage on Collembola and straw decomposition in arable soil. </w:t>
      </w:r>
      <w:r w:rsidRPr="00BE3175">
        <w:rPr>
          <w:rFonts w:cs="Times New Roman"/>
          <w:i/>
          <w:noProof/>
          <w:szCs w:val="24"/>
        </w:rPr>
        <w:t>Pedobiologia</w:t>
      </w:r>
      <w:r w:rsidRPr="00BE3175">
        <w:rPr>
          <w:rFonts w:cs="Times New Roman"/>
          <w:noProof/>
          <w:szCs w:val="24"/>
        </w:rPr>
        <w:t>, 44, 527-538.</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Ferris H. &amp; Bongers T. (2006). Nematode indicators of organic enrichment. </w:t>
      </w:r>
      <w:r w:rsidRPr="00BE3175">
        <w:rPr>
          <w:rFonts w:cs="Times New Roman"/>
          <w:i/>
          <w:noProof/>
          <w:szCs w:val="24"/>
        </w:rPr>
        <w:t>J. Nematol.</w:t>
      </w:r>
      <w:r w:rsidRPr="00BE3175">
        <w:rPr>
          <w:rFonts w:cs="Times New Roman"/>
          <w:noProof/>
          <w:szCs w:val="24"/>
        </w:rPr>
        <w:t>, 38, 3-12.</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lastRenderedPageBreak/>
        <w:t xml:space="preserve">Frouz J., Prach K., Pizl V., Hanel L., Stary J., Tajovsky K., Materna J., Balik V., Kalcik J. &amp; Rehounkova K. (2008). Interactions between soil development, vegetation and soil fauna during spontaneous succession in post mining sites. </w:t>
      </w:r>
      <w:r w:rsidRPr="00BE3175">
        <w:rPr>
          <w:rFonts w:cs="Times New Roman"/>
          <w:i/>
          <w:noProof/>
          <w:szCs w:val="24"/>
        </w:rPr>
        <w:t>Eur. J. Soil Biol.</w:t>
      </w:r>
      <w:r w:rsidRPr="00BE3175">
        <w:rPr>
          <w:rFonts w:cs="Times New Roman"/>
          <w:noProof/>
          <w:szCs w:val="24"/>
        </w:rPr>
        <w:t>, 44, 109-121.</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Gandhi K.J.K. &amp; Herms D.A. (2010). Direct and indirect effects of alien insect herbivores on ecological processes and interactions in forests of eastern North America. </w:t>
      </w:r>
      <w:r w:rsidRPr="00BE3175">
        <w:rPr>
          <w:rFonts w:cs="Times New Roman"/>
          <w:i/>
          <w:noProof/>
          <w:szCs w:val="24"/>
        </w:rPr>
        <w:t>Biol. Invasions</w:t>
      </w:r>
      <w:r w:rsidRPr="00BE3175">
        <w:rPr>
          <w:rFonts w:cs="Times New Roman"/>
          <w:noProof/>
          <w:szCs w:val="24"/>
        </w:rPr>
        <w:t>, 12, 389-405.</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Groninger J., Skousen J.G., Angel P.N., Barton C.D., Burger J.A. &amp; Zipper C.E. (2007). Mine Reclamation Practices to Enhance Forest Development Through Natural Succession. In: </w:t>
      </w:r>
      <w:r w:rsidRPr="00BE3175">
        <w:rPr>
          <w:rFonts w:cs="Times New Roman"/>
          <w:i/>
          <w:noProof/>
          <w:szCs w:val="24"/>
        </w:rPr>
        <w:t>Forest Reclamation Advisory</w:t>
      </w:r>
      <w:r w:rsidRPr="00BE3175">
        <w:rPr>
          <w:rFonts w:cs="Times New Roman"/>
          <w:noProof/>
          <w:szCs w:val="24"/>
        </w:rPr>
        <w:t>. The Appalachian Regional Reforestation Initiative.</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Helingerova M., Frouz J. &amp; Santruckova H. (2010). Microbial activity in reclaimed and unreclaimed post-mining sites near Sokolov (Czech Republic). </w:t>
      </w:r>
      <w:r w:rsidRPr="00BE3175">
        <w:rPr>
          <w:rFonts w:cs="Times New Roman"/>
          <w:i/>
          <w:noProof/>
          <w:szCs w:val="24"/>
        </w:rPr>
        <w:t>Ecological Engineering</w:t>
      </w:r>
      <w:r w:rsidRPr="00BE3175">
        <w:rPr>
          <w:rFonts w:cs="Times New Roman"/>
          <w:noProof/>
          <w:szCs w:val="24"/>
        </w:rPr>
        <w:t>, 36, 768-776.</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Hutle R.F.E.W. (2001). Forest ecosystem development in post-mining landscapes: A case study of the Lusatian lignite disctrict. </w:t>
      </w:r>
      <w:r w:rsidRPr="00BE3175">
        <w:rPr>
          <w:rFonts w:cs="Times New Roman"/>
          <w:i/>
          <w:noProof/>
          <w:szCs w:val="24"/>
        </w:rPr>
        <w:t>Die Naturwissenchafteb</w:t>
      </w:r>
      <w:r w:rsidRPr="00BE3175">
        <w:rPr>
          <w:rFonts w:cs="Times New Roman"/>
          <w:noProof/>
          <w:szCs w:val="24"/>
        </w:rPr>
        <w:t>, 88, 322-329.</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Ingham R.E., Trofymow J.A., Ingham E.R. &amp; Coleman D.C. (1985). Interactions of bacteria, fungi, and their nematodes grazers- effects on nutrient cycling and plant growth. </w:t>
      </w:r>
      <w:r w:rsidRPr="00BE3175">
        <w:rPr>
          <w:rFonts w:cs="Times New Roman"/>
          <w:i/>
          <w:noProof/>
          <w:szCs w:val="24"/>
        </w:rPr>
        <w:t>Ecological Monographs</w:t>
      </w:r>
      <w:r w:rsidRPr="00BE3175">
        <w:rPr>
          <w:rFonts w:cs="Times New Roman"/>
          <w:noProof/>
          <w:szCs w:val="24"/>
        </w:rPr>
        <w:t>, 55, 119-140.</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Kardol P., N. J. Kornips, M. M. L. van Kempen, J. M. T. Bakx-Schotman, and W. H. van der Putten (2007). Microbe-mediated plant-soil feedback causes historical contingency effects in plant community assmbly. </w:t>
      </w:r>
      <w:r w:rsidRPr="00BE3175">
        <w:rPr>
          <w:rFonts w:cs="Times New Roman"/>
          <w:i/>
          <w:noProof/>
          <w:szCs w:val="24"/>
        </w:rPr>
        <w:t>Ecological Monographs</w:t>
      </w:r>
      <w:r w:rsidRPr="00BE3175">
        <w:rPr>
          <w:rFonts w:cs="Times New Roman"/>
          <w:noProof/>
          <w:szCs w:val="24"/>
        </w:rPr>
        <w:t>, 77, 147-162.</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Kardol P. &amp; Wardle D.A. (2010). How understanding </w:t>
      </w:r>
      <w:r>
        <w:rPr>
          <w:rFonts w:cs="Times New Roman"/>
          <w:noProof/>
          <w:szCs w:val="24"/>
        </w:rPr>
        <w:t>above-ground</w:t>
      </w:r>
      <w:r w:rsidRPr="00BE3175">
        <w:rPr>
          <w:rFonts w:cs="Times New Roman"/>
          <w:noProof/>
          <w:szCs w:val="24"/>
        </w:rPr>
        <w:t>-</w:t>
      </w:r>
      <w:r>
        <w:rPr>
          <w:rFonts w:cs="Times New Roman"/>
          <w:noProof/>
          <w:szCs w:val="24"/>
        </w:rPr>
        <w:t>below-ground</w:t>
      </w:r>
      <w:r w:rsidRPr="00BE3175">
        <w:rPr>
          <w:rFonts w:cs="Times New Roman"/>
          <w:noProof/>
          <w:szCs w:val="24"/>
        </w:rPr>
        <w:t xml:space="preserve"> linkages can assist restoration ecology. </w:t>
      </w:r>
      <w:r w:rsidRPr="00BE3175">
        <w:rPr>
          <w:rFonts w:cs="Times New Roman"/>
          <w:i/>
          <w:noProof/>
          <w:szCs w:val="24"/>
        </w:rPr>
        <w:t xml:space="preserve">Trends in </w:t>
      </w:r>
      <w:r>
        <w:rPr>
          <w:rFonts w:cs="Times New Roman"/>
          <w:i/>
          <w:noProof/>
          <w:szCs w:val="24"/>
        </w:rPr>
        <w:t>E</w:t>
      </w:r>
      <w:r w:rsidRPr="00BE3175">
        <w:rPr>
          <w:rFonts w:cs="Times New Roman"/>
          <w:i/>
          <w:noProof/>
          <w:szCs w:val="24"/>
        </w:rPr>
        <w:t xml:space="preserve">cology &amp; </w:t>
      </w:r>
      <w:r>
        <w:rPr>
          <w:rFonts w:cs="Times New Roman"/>
          <w:i/>
          <w:noProof/>
          <w:szCs w:val="24"/>
        </w:rPr>
        <w:t>E</w:t>
      </w:r>
      <w:r w:rsidRPr="00BE3175">
        <w:rPr>
          <w:rFonts w:cs="Times New Roman"/>
          <w:i/>
          <w:noProof/>
          <w:szCs w:val="24"/>
        </w:rPr>
        <w:t>volution</w:t>
      </w:r>
      <w:r w:rsidRPr="00BE3175">
        <w:rPr>
          <w:rFonts w:cs="Times New Roman"/>
          <w:noProof/>
          <w:szCs w:val="24"/>
        </w:rPr>
        <w:t>, 25, 670-9.</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Laakso J. &amp; Setala H. (1999). Sensitivity of primary production to changes in the architecture of </w:t>
      </w:r>
      <w:r>
        <w:rPr>
          <w:rFonts w:cs="Times New Roman"/>
          <w:noProof/>
          <w:szCs w:val="24"/>
        </w:rPr>
        <w:t>below-ground</w:t>
      </w:r>
      <w:r w:rsidRPr="00BE3175">
        <w:rPr>
          <w:rFonts w:cs="Times New Roman"/>
          <w:noProof/>
          <w:szCs w:val="24"/>
        </w:rPr>
        <w:t xml:space="preserve"> food webs. </w:t>
      </w:r>
      <w:r w:rsidRPr="00BE3175">
        <w:rPr>
          <w:rFonts w:cs="Times New Roman"/>
          <w:i/>
          <w:noProof/>
          <w:szCs w:val="24"/>
        </w:rPr>
        <w:t>Oikos</w:t>
      </w:r>
      <w:r w:rsidRPr="00BE3175">
        <w:rPr>
          <w:rFonts w:cs="Times New Roman"/>
          <w:noProof/>
          <w:szCs w:val="24"/>
        </w:rPr>
        <w:t>, 87, 57-64.</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Nilsson L.O., Giesler R., Baath E. &amp; Wallander H. (2005). Growth and biomass of mycorrhizal mycelia in coniferous forests along short natural nutrient gradients. </w:t>
      </w:r>
      <w:r w:rsidRPr="00BE3175">
        <w:rPr>
          <w:rFonts w:cs="Times New Roman"/>
          <w:i/>
          <w:noProof/>
          <w:szCs w:val="24"/>
        </w:rPr>
        <w:t>New Phytol.</w:t>
      </w:r>
      <w:r w:rsidRPr="00BE3175">
        <w:rPr>
          <w:rFonts w:cs="Times New Roman"/>
          <w:noProof/>
          <w:szCs w:val="24"/>
        </w:rPr>
        <w:t>, 165, 613-622.</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Office of Surface Mining (1999). Office of Surface Mining Annual Report 1999. In: (ed. Mining OoS).</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lastRenderedPageBreak/>
        <w:t xml:space="preserve">Office of Surface Mining Reclamation and Enforcement (2007). West Virginia Annual Evaluation Report. In: </w:t>
      </w:r>
      <w:r w:rsidRPr="00BE3175">
        <w:rPr>
          <w:rFonts w:cs="Times New Roman"/>
          <w:i/>
          <w:noProof/>
          <w:szCs w:val="24"/>
        </w:rPr>
        <w:t>Annual Evaluation Summary Report for the Regulatory and Abandoned Mine Land Reclamation Programs</w:t>
      </w:r>
      <w:r w:rsidRPr="00BE3175">
        <w:rPr>
          <w:rFonts w:cs="Times New Roman"/>
          <w:noProof/>
          <w:szCs w:val="24"/>
        </w:rPr>
        <w:t>. Office Of Surface Mining- West Virginia Charleston.</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Office of Surface Mining Reclamation and Enforcement (2009). Annual Report 2009. In: Washington DC.</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Reinhart K.O. &amp; Callaway R.M. (2006). Soil biota and invasive plants. </w:t>
      </w:r>
      <w:r w:rsidRPr="00BE3175">
        <w:rPr>
          <w:rFonts w:cs="Times New Roman"/>
          <w:i/>
          <w:noProof/>
          <w:szCs w:val="24"/>
        </w:rPr>
        <w:t>New Phytol.</w:t>
      </w:r>
      <w:r w:rsidRPr="00BE3175">
        <w:rPr>
          <w:rFonts w:cs="Times New Roman"/>
          <w:noProof/>
          <w:szCs w:val="24"/>
        </w:rPr>
        <w:t>, 170, 445-457.</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Sanchez-Moreno S., Smukler S., Ferris H., O'Geen A.T. &amp; Jackson L.E. (2008). N</w:t>
      </w:r>
      <w:r>
        <w:rPr>
          <w:rFonts w:cs="Times New Roman"/>
          <w:noProof/>
          <w:szCs w:val="24"/>
        </w:rPr>
        <w:t>e</w:t>
      </w:r>
      <w:r w:rsidRPr="00BE3175">
        <w:rPr>
          <w:rFonts w:cs="Times New Roman"/>
          <w:noProof/>
          <w:szCs w:val="24"/>
        </w:rPr>
        <w:t xml:space="preserve">matode diversity, food web condition, and chemical and physical properties in different soil habitats of an organic farm. </w:t>
      </w:r>
      <w:r w:rsidRPr="00BE3175">
        <w:rPr>
          <w:rFonts w:cs="Times New Roman"/>
          <w:i/>
          <w:noProof/>
          <w:szCs w:val="24"/>
        </w:rPr>
        <w:t>Biol. Fertil. Soils</w:t>
      </w:r>
      <w:r w:rsidRPr="00BE3175">
        <w:rPr>
          <w:rFonts w:cs="Times New Roman"/>
          <w:noProof/>
          <w:szCs w:val="24"/>
        </w:rPr>
        <w:t>, 44, 727-744.</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Scharfy D., Eggenschwiler H., Venterink H.O., Edwards P.J. &amp; Gusewell S. (2009). The invasive alien plant species </w:t>
      </w:r>
      <w:r w:rsidRPr="00AC49A4">
        <w:rPr>
          <w:rFonts w:cs="Times New Roman"/>
          <w:i/>
          <w:noProof/>
          <w:szCs w:val="24"/>
        </w:rPr>
        <w:t>Solidago gigantea</w:t>
      </w:r>
      <w:r w:rsidRPr="00BE3175">
        <w:rPr>
          <w:rFonts w:cs="Times New Roman"/>
          <w:noProof/>
          <w:szCs w:val="24"/>
        </w:rPr>
        <w:t xml:space="preserve"> alters ecosystem properties across habitats with differing fertility. </w:t>
      </w:r>
      <w:r w:rsidRPr="00BE3175">
        <w:rPr>
          <w:rFonts w:cs="Times New Roman"/>
          <w:i/>
          <w:noProof/>
          <w:szCs w:val="24"/>
        </w:rPr>
        <w:t>J. Veg. Sci.</w:t>
      </w:r>
      <w:r w:rsidRPr="00BE3175">
        <w:rPr>
          <w:rFonts w:cs="Times New Roman"/>
          <w:noProof/>
          <w:szCs w:val="24"/>
        </w:rPr>
        <w:t>, 20, 1072-1085.</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Schloter M., Dilly O. &amp; Munch J.C. (2003). Indicators for evaluating soil quality. </w:t>
      </w:r>
      <w:r w:rsidRPr="00BE3175">
        <w:rPr>
          <w:rFonts w:cs="Times New Roman"/>
          <w:i/>
          <w:noProof/>
          <w:szCs w:val="24"/>
        </w:rPr>
        <w:t>Agric. Ecosyst. Environ.</w:t>
      </w:r>
      <w:r w:rsidRPr="00BE3175">
        <w:rPr>
          <w:rFonts w:cs="Times New Roman"/>
          <w:noProof/>
          <w:szCs w:val="24"/>
        </w:rPr>
        <w:t>, 98, 255-262.</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Seinhorst J.W. (1959). A Rapid method for the transfer of nematodes from fixtative to anhydrous glycerin. </w:t>
      </w:r>
      <w:r w:rsidRPr="00BE3175">
        <w:rPr>
          <w:rFonts w:cs="Times New Roman"/>
          <w:i/>
          <w:noProof/>
          <w:szCs w:val="24"/>
        </w:rPr>
        <w:t>Nematologica</w:t>
      </w:r>
      <w:r w:rsidRPr="00BE3175">
        <w:rPr>
          <w:rFonts w:cs="Times New Roman"/>
          <w:noProof/>
          <w:szCs w:val="24"/>
        </w:rPr>
        <w:t>, 4, 67-69.</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Sohlenius B. (1980). Abundance, biomass and contribution to energy flow by soil nematodes in terrestrial systems. </w:t>
      </w:r>
      <w:r w:rsidRPr="00BE3175">
        <w:rPr>
          <w:rFonts w:cs="Times New Roman"/>
          <w:i/>
          <w:noProof/>
          <w:szCs w:val="24"/>
        </w:rPr>
        <w:t>Oikos</w:t>
      </w:r>
      <w:r w:rsidRPr="00BE3175">
        <w:rPr>
          <w:rFonts w:cs="Times New Roman"/>
          <w:noProof/>
          <w:szCs w:val="24"/>
        </w:rPr>
        <w:t>, 34, 186-194.</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Sylvain Z.A. &amp; Wall D.H. (2011). Linking soil biodivesity and vegetation: implications for a changing planet. </w:t>
      </w:r>
      <w:r w:rsidRPr="00BE3175">
        <w:rPr>
          <w:rFonts w:cs="Times New Roman"/>
          <w:i/>
          <w:noProof/>
          <w:szCs w:val="24"/>
        </w:rPr>
        <w:t>American Journal of Botany</w:t>
      </w:r>
      <w:r w:rsidRPr="00BE3175">
        <w:rPr>
          <w:rFonts w:cs="Times New Roman"/>
          <w:noProof/>
          <w:szCs w:val="24"/>
        </w:rPr>
        <w:t>, 98, 517-527.</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van der Putten W.H., Bardgett R.D., de Ruiter P.C., Hol W.H.G., Meyer K.M., Bezemer T.M., Bradford M.A., Christensen S., Eppinga M.B., Fukami T., Hemerik L., Molofsky J., Schadler M., Scherber C., Strauss S.Y., Vos M. &amp; Wardle D.A. (2009). Empirical and theoretical challenges in </w:t>
      </w:r>
      <w:r>
        <w:rPr>
          <w:rFonts w:cs="Times New Roman"/>
          <w:noProof/>
          <w:szCs w:val="24"/>
        </w:rPr>
        <w:t>above-ground</w:t>
      </w:r>
      <w:r w:rsidRPr="00BE3175">
        <w:rPr>
          <w:rFonts w:cs="Times New Roman"/>
          <w:noProof/>
          <w:szCs w:val="24"/>
        </w:rPr>
        <w:t>-</w:t>
      </w:r>
      <w:r>
        <w:rPr>
          <w:rFonts w:cs="Times New Roman"/>
          <w:noProof/>
          <w:szCs w:val="24"/>
        </w:rPr>
        <w:t>below-ground</w:t>
      </w:r>
      <w:r w:rsidRPr="00BE3175">
        <w:rPr>
          <w:rFonts w:cs="Times New Roman"/>
          <w:noProof/>
          <w:szCs w:val="24"/>
        </w:rPr>
        <w:t xml:space="preserve"> ecology. </w:t>
      </w:r>
      <w:r w:rsidRPr="00BE3175">
        <w:rPr>
          <w:rFonts w:cs="Times New Roman"/>
          <w:i/>
          <w:noProof/>
          <w:szCs w:val="24"/>
        </w:rPr>
        <w:t>Oecologia</w:t>
      </w:r>
      <w:r w:rsidRPr="00BE3175">
        <w:rPr>
          <w:rFonts w:cs="Times New Roman"/>
          <w:noProof/>
          <w:szCs w:val="24"/>
        </w:rPr>
        <w:t>, 161, 1-14.</w:t>
      </w:r>
    </w:p>
    <w:p w:rsidR="00AC49A4" w:rsidRPr="00BE3175" w:rsidRDefault="00AC49A4" w:rsidP="00AC49A4">
      <w:pPr>
        <w:spacing w:line="480" w:lineRule="auto"/>
        <w:ind w:left="720" w:hanging="720"/>
        <w:rPr>
          <w:rFonts w:cs="Times New Roman"/>
          <w:noProof/>
          <w:szCs w:val="24"/>
        </w:rPr>
      </w:pPr>
      <w:r>
        <w:rPr>
          <w:rFonts w:cs="Times New Roman"/>
          <w:noProof/>
          <w:szCs w:val="24"/>
        </w:rPr>
        <w:lastRenderedPageBreak/>
        <w:t>v</w:t>
      </w:r>
      <w:r w:rsidRPr="00BE3175">
        <w:rPr>
          <w:rFonts w:cs="Times New Roman"/>
          <w:noProof/>
          <w:szCs w:val="24"/>
        </w:rPr>
        <w:t xml:space="preserve">an der Putten W.H., Vet L.E.M., Harvey J.A. &amp; Wackers F.L. (2001). Linking above- and </w:t>
      </w:r>
      <w:r>
        <w:rPr>
          <w:rFonts w:cs="Times New Roman"/>
          <w:noProof/>
          <w:szCs w:val="24"/>
        </w:rPr>
        <w:t>below-ground</w:t>
      </w:r>
      <w:r w:rsidRPr="00BE3175">
        <w:rPr>
          <w:rFonts w:cs="Times New Roman"/>
          <w:noProof/>
          <w:szCs w:val="24"/>
        </w:rPr>
        <w:t xml:space="preserve"> multitrophic interactions of plants, herbivores, pathogens, and their antagonists. </w:t>
      </w:r>
      <w:r w:rsidRPr="00BE3175">
        <w:rPr>
          <w:rFonts w:cs="Times New Roman"/>
          <w:i/>
          <w:noProof/>
          <w:szCs w:val="24"/>
        </w:rPr>
        <w:t xml:space="preserve">Trends in </w:t>
      </w:r>
      <w:r>
        <w:rPr>
          <w:rFonts w:cs="Times New Roman"/>
          <w:i/>
          <w:noProof/>
          <w:szCs w:val="24"/>
        </w:rPr>
        <w:t>E</w:t>
      </w:r>
      <w:r w:rsidRPr="00BE3175">
        <w:rPr>
          <w:rFonts w:cs="Times New Roman"/>
          <w:i/>
          <w:noProof/>
          <w:szCs w:val="24"/>
        </w:rPr>
        <w:t xml:space="preserve">cology &amp; </w:t>
      </w:r>
      <w:r>
        <w:rPr>
          <w:rFonts w:cs="Times New Roman"/>
          <w:i/>
          <w:noProof/>
          <w:szCs w:val="24"/>
        </w:rPr>
        <w:t>E</w:t>
      </w:r>
      <w:r w:rsidRPr="00BE3175">
        <w:rPr>
          <w:rFonts w:cs="Times New Roman"/>
          <w:i/>
          <w:noProof/>
          <w:szCs w:val="24"/>
        </w:rPr>
        <w:t>volution</w:t>
      </w:r>
      <w:r w:rsidRPr="00BE3175">
        <w:rPr>
          <w:rFonts w:cs="Times New Roman"/>
          <w:noProof/>
          <w:szCs w:val="24"/>
        </w:rPr>
        <w:t>, 16, 547-554.</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Villenave C., Ekschmitt K., Nazaret S. &amp; Bongers T. (2004). Interactions between nematodes and microbial communities in a tropical soil following manipulation of the soil food web. </w:t>
      </w:r>
      <w:r w:rsidRPr="00BE3175">
        <w:rPr>
          <w:rFonts w:cs="Times New Roman"/>
          <w:i/>
          <w:noProof/>
          <w:szCs w:val="24"/>
        </w:rPr>
        <w:t>Soil Biol. Biochem.</w:t>
      </w:r>
      <w:r w:rsidRPr="00BE3175">
        <w:rPr>
          <w:rFonts w:cs="Times New Roman"/>
          <w:noProof/>
          <w:szCs w:val="24"/>
        </w:rPr>
        <w:t>, 36, 2033-2043.</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Wang X., Liu Y.G., Zeng G.M., Chai L.Y., Xiao X., Song X.C. &amp; Min Z.Y. (2008). Pedological characteristics of Mn mine tailings and metal accumulation by native plants. </w:t>
      </w:r>
      <w:r w:rsidRPr="00BE3175">
        <w:rPr>
          <w:rFonts w:cs="Times New Roman"/>
          <w:i/>
          <w:noProof/>
          <w:szCs w:val="24"/>
        </w:rPr>
        <w:t>Chemosphere</w:t>
      </w:r>
      <w:r w:rsidRPr="00BE3175">
        <w:rPr>
          <w:rFonts w:cs="Times New Roman"/>
          <w:noProof/>
          <w:szCs w:val="24"/>
        </w:rPr>
        <w:t>, 72, 1260-1266.</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Wanner M., Dunger, W., Schulz, H. J., Voigtlander, K. (1998). Primary immigration of soil organisms on coal mined areas in Eastern Germany. </w:t>
      </w:r>
      <w:r w:rsidRPr="00BE3175">
        <w:rPr>
          <w:rFonts w:cs="Times New Roman"/>
          <w:i/>
          <w:noProof/>
          <w:szCs w:val="24"/>
        </w:rPr>
        <w:t>Soil Zoological Problems in Central Europe</w:t>
      </w:r>
      <w:r w:rsidRPr="00BE3175">
        <w:rPr>
          <w:rFonts w:cs="Times New Roman"/>
          <w:noProof/>
          <w:szCs w:val="24"/>
        </w:rPr>
        <w:t>, 267-275.</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Wolcott D. &amp; Jenkins E. (1966). Geologic Map of the Meta Quadrangle Pike County, KY. In. US Geological Service.</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World Coal Association (2012). Coal Facts 2012. In. Worl Coal Association London.</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World Coal Institute (2005). The Coal Resource: A Comprehensive Overview of Coal. In. World Coal Institute London.</w:t>
      </w:r>
    </w:p>
    <w:p w:rsidR="00AC49A4" w:rsidRPr="00BE3175" w:rsidRDefault="00AC49A4" w:rsidP="00AC49A4">
      <w:pPr>
        <w:spacing w:line="480" w:lineRule="auto"/>
        <w:ind w:left="720" w:hanging="720"/>
        <w:rPr>
          <w:rFonts w:cs="Times New Roman"/>
          <w:noProof/>
          <w:szCs w:val="24"/>
        </w:rPr>
      </w:pPr>
      <w:r w:rsidRPr="00BE3175">
        <w:rPr>
          <w:rFonts w:cs="Times New Roman"/>
          <w:noProof/>
          <w:szCs w:val="24"/>
        </w:rPr>
        <w:t xml:space="preserve">Yeates G.W., Wardle D.A. &amp; Watson R.N. (1999). Responses of soil nematode populations, community structure, diversity and temporal variability to agricultural intensification over a seven-year period. </w:t>
      </w:r>
      <w:r w:rsidRPr="00BE3175">
        <w:rPr>
          <w:rFonts w:cs="Times New Roman"/>
          <w:i/>
          <w:noProof/>
          <w:szCs w:val="24"/>
        </w:rPr>
        <w:t>Soil Biol. Biochem.</w:t>
      </w:r>
      <w:r w:rsidRPr="00BE3175">
        <w:rPr>
          <w:rFonts w:cs="Times New Roman"/>
          <w:noProof/>
          <w:szCs w:val="24"/>
        </w:rPr>
        <w:t>, 31, 1721-1733.</w:t>
      </w:r>
    </w:p>
    <w:p w:rsidR="00AC49A4" w:rsidRPr="00BA7280" w:rsidRDefault="00AC49A4">
      <w:pPr>
        <w:spacing w:after="200" w:line="276" w:lineRule="auto"/>
        <w:rPr>
          <w:rFonts w:cs="Times New Roman"/>
          <w:sz w:val="24"/>
          <w:szCs w:val="24"/>
        </w:rPr>
      </w:pPr>
      <w:r>
        <w:rPr>
          <w:rFonts w:cs="Times New Roman"/>
          <w:sz w:val="24"/>
          <w:szCs w:val="24"/>
        </w:rPr>
        <w:t xml:space="preserve"> </w:t>
      </w:r>
      <w:r w:rsidRPr="00BA7280">
        <w:rPr>
          <w:rFonts w:cs="Times New Roman"/>
          <w:sz w:val="24"/>
          <w:szCs w:val="24"/>
        </w:rPr>
        <w:br w:type="page"/>
      </w:r>
    </w:p>
    <w:p w:rsidR="00AC49A4" w:rsidRDefault="00AC49A4" w:rsidP="003C0513">
      <w:pPr>
        <w:pStyle w:val="Heading1"/>
        <w:sectPr w:rsidR="00AC49A4" w:rsidSect="003C0513">
          <w:footerReference w:type="first" r:id="rId56"/>
          <w:pgSz w:w="12240" w:h="15840"/>
          <w:pgMar w:top="1440" w:right="1440" w:bottom="1440" w:left="1440" w:header="720" w:footer="720" w:gutter="0"/>
          <w:pgNumType w:start="1"/>
          <w:cols w:space="720"/>
          <w:titlePg/>
          <w:docGrid w:linePitch="360"/>
        </w:sectPr>
      </w:pPr>
    </w:p>
    <w:p w:rsidR="00AC49A4" w:rsidRPr="00BA7280" w:rsidRDefault="00AC49A4" w:rsidP="003C0513">
      <w:pPr>
        <w:pStyle w:val="Heading1"/>
      </w:pPr>
      <w:bookmarkStart w:id="53" w:name="_Toc340837899"/>
      <w:r w:rsidRPr="00265774">
        <w:lastRenderedPageBreak/>
        <w:t>Appendix</w:t>
      </w:r>
      <w:bookmarkEnd w:id="53"/>
    </w:p>
    <w:p w:rsidR="00AC49A4" w:rsidRPr="00BA7280" w:rsidRDefault="00AC49A4" w:rsidP="003C0513">
      <w:pPr>
        <w:jc w:val="center"/>
      </w:pPr>
    </w:p>
    <w:p w:rsidR="00AC49A4" w:rsidRPr="00BA7280" w:rsidRDefault="00AC49A4" w:rsidP="003C0513">
      <w:pPr>
        <w:jc w:val="center"/>
      </w:pPr>
    </w:p>
    <w:p w:rsidR="00AC49A4" w:rsidRPr="004963A8" w:rsidRDefault="00AC49A4" w:rsidP="003C0513">
      <w:r>
        <w:t xml:space="preserve">Table </w:t>
      </w:r>
      <w:fldSimple w:instr=" SEQ Table \* ARABIC ">
        <w:r>
          <w:rPr>
            <w:noProof/>
          </w:rPr>
          <w:t>4</w:t>
        </w:r>
      </w:fldSimple>
      <w:r w:rsidRPr="00433BCB">
        <w:t xml:space="preserve">: List of </w:t>
      </w:r>
      <w:proofErr w:type="gramStart"/>
      <w:r w:rsidRPr="00433BCB">
        <w:t xml:space="preserve">nematode  </w:t>
      </w:r>
      <w:proofErr w:type="spellStart"/>
      <w:r w:rsidRPr="00433BCB">
        <w:t>morphospecies</w:t>
      </w:r>
      <w:proofErr w:type="spellEnd"/>
      <w:proofErr w:type="gramEnd"/>
      <w:r w:rsidRPr="00433BCB">
        <w:t xml:space="preserve"> in all plots, order, feeding group, and c-p value</w:t>
      </w:r>
    </w:p>
    <w:tbl>
      <w:tblPr>
        <w:tblW w:w="7000" w:type="dxa"/>
        <w:tblInd w:w="93" w:type="dxa"/>
        <w:tblLook w:val="04A0" w:firstRow="1" w:lastRow="0" w:firstColumn="1" w:lastColumn="0" w:noHBand="0" w:noVBand="1"/>
      </w:tblPr>
      <w:tblGrid>
        <w:gridCol w:w="1512"/>
        <w:gridCol w:w="2940"/>
        <w:gridCol w:w="1700"/>
        <w:gridCol w:w="960"/>
      </w:tblGrid>
      <w:tr w:rsidR="00AC49A4" w:rsidRPr="00BD30E0" w:rsidTr="003C0513">
        <w:trPr>
          <w:trHeight w:val="315"/>
        </w:trPr>
        <w:tc>
          <w:tcPr>
            <w:tcW w:w="1400" w:type="dxa"/>
            <w:tcBorders>
              <w:top w:val="single" w:sz="4" w:space="0" w:color="auto"/>
              <w:left w:val="nil"/>
              <w:bottom w:val="double" w:sz="6" w:space="0" w:color="auto"/>
              <w:right w:val="nil"/>
            </w:tcBorders>
            <w:shd w:val="clear" w:color="auto" w:fill="auto"/>
            <w:noWrap/>
            <w:vAlign w:val="bottom"/>
            <w:hideMark/>
          </w:tcPr>
          <w:p w:rsidR="00AC49A4" w:rsidRPr="004163D1" w:rsidRDefault="00AC49A4" w:rsidP="003C0513">
            <w:pPr>
              <w:rPr>
                <w:rFonts w:eastAsia="Times New Roman" w:cs="Times New Roman"/>
                <w:b/>
                <w:bCs/>
                <w:color w:val="000000"/>
                <w:sz w:val="24"/>
                <w:szCs w:val="24"/>
              </w:rPr>
            </w:pPr>
            <w:r w:rsidRPr="004163D1">
              <w:rPr>
                <w:rFonts w:eastAsia="Times New Roman" w:cs="Times New Roman"/>
                <w:b/>
                <w:bCs/>
                <w:color w:val="000000"/>
                <w:sz w:val="24"/>
                <w:szCs w:val="24"/>
              </w:rPr>
              <w:t>Order</w:t>
            </w:r>
          </w:p>
        </w:tc>
        <w:tc>
          <w:tcPr>
            <w:tcW w:w="2940" w:type="dxa"/>
            <w:tcBorders>
              <w:top w:val="single" w:sz="4" w:space="0" w:color="auto"/>
              <w:left w:val="nil"/>
              <w:bottom w:val="double" w:sz="6" w:space="0" w:color="auto"/>
              <w:right w:val="nil"/>
            </w:tcBorders>
            <w:shd w:val="clear" w:color="auto" w:fill="auto"/>
            <w:noWrap/>
            <w:vAlign w:val="bottom"/>
            <w:hideMark/>
          </w:tcPr>
          <w:p w:rsidR="00AC49A4" w:rsidRPr="004163D1" w:rsidRDefault="00AC49A4" w:rsidP="003C0513">
            <w:pPr>
              <w:rPr>
                <w:rFonts w:eastAsia="Times New Roman" w:cs="Times New Roman"/>
                <w:b/>
                <w:bCs/>
                <w:color w:val="000000"/>
                <w:sz w:val="24"/>
                <w:szCs w:val="24"/>
              </w:rPr>
            </w:pPr>
            <w:proofErr w:type="spellStart"/>
            <w:r w:rsidRPr="004163D1">
              <w:rPr>
                <w:rFonts w:eastAsia="Times New Roman" w:cs="Times New Roman"/>
                <w:b/>
                <w:bCs/>
                <w:color w:val="000000"/>
                <w:sz w:val="24"/>
                <w:szCs w:val="24"/>
              </w:rPr>
              <w:t>Morphospecies</w:t>
            </w:r>
            <w:proofErr w:type="spellEnd"/>
          </w:p>
        </w:tc>
        <w:tc>
          <w:tcPr>
            <w:tcW w:w="1700" w:type="dxa"/>
            <w:tcBorders>
              <w:top w:val="single" w:sz="4" w:space="0" w:color="auto"/>
              <w:left w:val="nil"/>
              <w:bottom w:val="double" w:sz="6" w:space="0" w:color="auto"/>
              <w:right w:val="nil"/>
            </w:tcBorders>
            <w:shd w:val="clear" w:color="auto" w:fill="auto"/>
            <w:noWrap/>
            <w:vAlign w:val="bottom"/>
            <w:hideMark/>
          </w:tcPr>
          <w:p w:rsidR="00AC49A4" w:rsidRPr="004163D1" w:rsidRDefault="00AC49A4" w:rsidP="003C0513">
            <w:pPr>
              <w:jc w:val="center"/>
              <w:rPr>
                <w:rFonts w:eastAsia="Times New Roman" w:cs="Times New Roman"/>
                <w:b/>
                <w:bCs/>
                <w:color w:val="000000"/>
                <w:sz w:val="24"/>
                <w:szCs w:val="24"/>
              </w:rPr>
            </w:pPr>
            <w:r w:rsidRPr="004163D1">
              <w:rPr>
                <w:rFonts w:eastAsia="Times New Roman" w:cs="Times New Roman"/>
                <w:b/>
                <w:bCs/>
                <w:color w:val="000000"/>
                <w:sz w:val="24"/>
                <w:szCs w:val="24"/>
              </w:rPr>
              <w:t>Feeding group</w:t>
            </w:r>
          </w:p>
        </w:tc>
        <w:tc>
          <w:tcPr>
            <w:tcW w:w="960" w:type="dxa"/>
            <w:tcBorders>
              <w:top w:val="single" w:sz="4" w:space="0" w:color="auto"/>
              <w:left w:val="nil"/>
              <w:bottom w:val="double" w:sz="6" w:space="0" w:color="auto"/>
              <w:right w:val="nil"/>
            </w:tcBorders>
            <w:shd w:val="clear" w:color="auto" w:fill="auto"/>
            <w:noWrap/>
            <w:vAlign w:val="bottom"/>
            <w:hideMark/>
          </w:tcPr>
          <w:p w:rsidR="00AC49A4" w:rsidRPr="004163D1" w:rsidRDefault="00AC49A4" w:rsidP="003C0513">
            <w:pPr>
              <w:jc w:val="center"/>
              <w:rPr>
                <w:rFonts w:eastAsia="Times New Roman" w:cs="Times New Roman"/>
                <w:b/>
                <w:bCs/>
                <w:color w:val="000000"/>
                <w:sz w:val="24"/>
                <w:szCs w:val="24"/>
              </w:rPr>
            </w:pPr>
            <w:r w:rsidRPr="004163D1">
              <w:rPr>
                <w:rFonts w:eastAsia="Times New Roman" w:cs="Times New Roman"/>
                <w:b/>
                <w:bCs/>
                <w:color w:val="000000"/>
                <w:sz w:val="24"/>
                <w:szCs w:val="24"/>
              </w:rPr>
              <w:t>c-p value</w:t>
            </w:r>
          </w:p>
        </w:tc>
      </w:tr>
      <w:tr w:rsidR="00AC49A4" w:rsidRPr="00BD30E0" w:rsidTr="003C0513">
        <w:trPr>
          <w:trHeight w:val="315"/>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Alaimida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Alaimus</w:t>
            </w:r>
            <w:proofErr w:type="spellEnd"/>
            <w:r w:rsidRPr="00BD30E0">
              <w:rPr>
                <w:rFonts w:eastAsia="Times New Roman" w:cs="Times New Roman"/>
                <w:i/>
                <w:iCs/>
                <w:color w:val="000000"/>
              </w:rPr>
              <w:t xml:space="preserve"> </w:t>
            </w:r>
            <w:r w:rsidRPr="00BD30E0">
              <w:rPr>
                <w:rFonts w:eastAsia="Times New Roman" w:cs="Times New Roman"/>
                <w:color w:val="000000"/>
              </w:rPr>
              <w:t xml:space="preserve">sp.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Alaimus</w:t>
            </w:r>
            <w:proofErr w:type="spellEnd"/>
            <w:r w:rsidRPr="00BD30E0">
              <w:rPr>
                <w:rFonts w:eastAsia="Times New Roman" w:cs="Times New Roman"/>
                <w:color w:val="000000"/>
              </w:rPr>
              <w:t xml:space="preserve"> sp.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Araeolaimida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Anaplectus</w:t>
            </w:r>
            <w:proofErr w:type="spellEnd"/>
            <w:r w:rsidRPr="00BD30E0">
              <w:rPr>
                <w:rFonts w:eastAsia="Times New Roman" w:cs="Times New Roman"/>
                <w:color w:val="000000"/>
              </w:rPr>
              <w:t xml:space="preserve"> sp.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Araeolaimida</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Bastiania</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Ceratoplectus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armaidus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Ceratoplectus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cornus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Ceratoplectus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elongatus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w:t>
            </w:r>
            <w:r w:rsidRPr="00BD30E0">
              <w:rPr>
                <w:rFonts w:eastAsia="Times New Roman" w:cs="Times New Roman"/>
                <w:i/>
                <w:iCs/>
                <w:color w:val="000000"/>
              </w:rPr>
              <w:t xml:space="preserve">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Chromadorida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Achromadora</w:t>
            </w:r>
            <w:proofErr w:type="spellEnd"/>
            <w:r w:rsidRPr="00BD30E0">
              <w:rPr>
                <w:rFonts w:eastAsia="Times New Roman" w:cs="Times New Roman"/>
                <w:i/>
                <w:iCs/>
                <w:color w:val="000000"/>
              </w:rPr>
              <w:t xml:space="preserve"> </w:t>
            </w:r>
            <w:r w:rsidRPr="00BD30E0">
              <w:rPr>
                <w:rFonts w:eastAsia="Times New Roman" w:cs="Times New Roman"/>
                <w:color w:val="000000"/>
              </w:rPr>
              <w:t>sp</w:t>
            </w:r>
            <w:r w:rsidRPr="00BD30E0">
              <w:rPr>
                <w:rFonts w:eastAsia="Times New Roman" w:cs="Times New Roman"/>
                <w:i/>
                <w:iCs/>
                <w:color w:val="000000"/>
              </w:rPr>
              <w:t>.</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Teratocephalus</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Teratocephalus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Criconematida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Ogma</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Xenocriconamella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Xenocriconemella</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macrodora</w:t>
            </w:r>
            <w:proofErr w:type="spellEnd"/>
            <w:r w:rsidRPr="00BD30E0">
              <w:rPr>
                <w:rFonts w:eastAsia="Times New Roman" w:cs="Times New Roman"/>
                <w:i/>
                <w:iCs/>
                <w:color w:val="000000"/>
              </w:rPr>
              <w:t xml:space="preserve">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Diplogastera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Diplogasterid</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Triplonchida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Diphorophora</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Dorylaimida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Aporcelaimellus</w:t>
            </w:r>
            <w:proofErr w:type="spellEnd"/>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Aporcelaimellus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Aporcellaimellus</w:t>
            </w:r>
            <w:proofErr w:type="spellEnd"/>
            <w:r w:rsidRPr="00BD30E0">
              <w:rPr>
                <w:rFonts w:eastAsia="Times New Roman" w:cs="Times New Roman"/>
                <w:color w:val="000000"/>
              </w:rPr>
              <w:t xml:space="preserve"> sp. 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Aporcellaimelus</w:t>
            </w:r>
            <w:proofErr w:type="spellEnd"/>
            <w:r w:rsidRPr="00BD30E0">
              <w:rPr>
                <w:rFonts w:eastAsia="Times New Roman" w:cs="Times New Roman"/>
                <w:i/>
                <w:iCs/>
                <w:color w:val="000000"/>
              </w:rPr>
              <w:t xml:space="preserve"> </w:t>
            </w:r>
            <w:r w:rsidRPr="00BD30E0">
              <w:rPr>
                <w:rFonts w:eastAsia="Times New Roman" w:cs="Times New Roman"/>
                <w:color w:val="000000"/>
              </w:rPr>
              <w:t>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r w:rsidRPr="00BD30E0">
              <w:rPr>
                <w:rFonts w:eastAsia="Times New Roman" w:cs="Times New Roman"/>
                <w:i/>
                <w:iCs/>
                <w:color w:val="000000"/>
              </w:rPr>
              <w:t xml:space="preserve">Dory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aporcelaimellus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r w:rsidRPr="00BD30E0">
              <w:rPr>
                <w:rFonts w:eastAsia="Times New Roman" w:cs="Times New Roman"/>
                <w:color w:val="000000"/>
              </w:rPr>
              <w:t>sp. 13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r w:rsidRPr="00BD30E0">
              <w:rPr>
                <w:rFonts w:eastAsia="Times New Roman" w:cs="Times New Roman"/>
                <w:color w:val="000000"/>
              </w:rPr>
              <w:t>sp. 14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sp. 15</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color w:val="000000"/>
              </w:rPr>
              <w:t xml:space="preserve"> 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r w:rsidRPr="00BD30E0">
              <w:rPr>
                <w:rFonts w:eastAsia="Times New Roman" w:cs="Times New Roman"/>
                <w:color w:val="000000"/>
              </w:rPr>
              <w:t>sp. 8</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r w:rsidRPr="00BD30E0">
              <w:rPr>
                <w:rFonts w:eastAsia="Times New Roman" w:cs="Times New Roman"/>
                <w:color w:val="000000"/>
              </w:rPr>
              <w:t>sp. 9</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Dorylimid</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thornea</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i/>
                <w:iCs/>
                <w:color w:val="000000"/>
              </w:rPr>
              <w:t xml:space="preserve"> </w:t>
            </w:r>
            <w:r w:rsidRPr="00BD30E0">
              <w:rPr>
                <w:rFonts w:eastAsia="Times New Roman" w:cs="Times New Roman"/>
                <w:color w:val="000000"/>
              </w:rPr>
              <w:t>sp. 10</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color w:val="000000"/>
              </w:rPr>
              <w:t xml:space="preserve"> </w:t>
            </w:r>
            <w:r w:rsidRPr="00BD30E0">
              <w:rPr>
                <w:rFonts w:eastAsia="Times New Roman" w:cs="Times New Roman"/>
                <w:i/>
                <w:iCs/>
                <w:color w:val="000000"/>
              </w:rPr>
              <w:t>sp. 11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i/>
                <w:iCs/>
                <w:color w:val="000000"/>
              </w:rPr>
              <w:t xml:space="preserve"> </w:t>
            </w:r>
            <w:r w:rsidRPr="00BD30E0">
              <w:rPr>
                <w:rFonts w:eastAsia="Times New Roman" w:cs="Times New Roman"/>
                <w:color w:val="000000"/>
              </w:rPr>
              <w:t>sp. 12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i/>
                <w:iCs/>
                <w:color w:val="000000"/>
              </w:rPr>
              <w:t xml:space="preserve"> </w:t>
            </w:r>
            <w:r w:rsidRPr="00BD30E0">
              <w:rPr>
                <w:rFonts w:eastAsia="Times New Roman" w:cs="Times New Roman"/>
                <w:color w:val="000000"/>
              </w:rPr>
              <w:t>sp. 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color w:val="000000"/>
              </w:rPr>
              <w:t xml:space="preserve"> sp. 5</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i/>
                <w:iCs/>
                <w:color w:val="000000"/>
              </w:rPr>
              <w:t xml:space="preserve"> </w:t>
            </w:r>
            <w:r w:rsidRPr="00BD30E0">
              <w:rPr>
                <w:rFonts w:eastAsia="Times New Roman" w:cs="Times New Roman"/>
                <w:color w:val="000000"/>
              </w:rPr>
              <w:t>sp. 5</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Dorylymid</w:t>
            </w:r>
            <w:proofErr w:type="spellEnd"/>
            <w:r w:rsidRPr="00BD30E0">
              <w:rPr>
                <w:rFonts w:eastAsia="Times New Roman" w:cs="Times New Roman"/>
                <w:i/>
                <w:iCs/>
                <w:color w:val="000000"/>
              </w:rPr>
              <w:t xml:space="preserve"> </w:t>
            </w:r>
            <w:r w:rsidRPr="00BD30E0">
              <w:rPr>
                <w:rFonts w:eastAsia="Times New Roman" w:cs="Times New Roman"/>
                <w:color w:val="000000"/>
              </w:rPr>
              <w:t>sp. 7</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Enchodelus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Epidorylaimus</w:t>
            </w:r>
            <w:proofErr w:type="spellEnd"/>
            <w:r w:rsidRPr="00BD30E0">
              <w:rPr>
                <w:rFonts w:eastAsia="Times New Roman" w:cs="Times New Roman"/>
                <w:i/>
                <w:iCs/>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Eudorylimus</w:t>
            </w:r>
            <w:proofErr w:type="spellEnd"/>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Eudorylimus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Eudorylimus</w:t>
            </w:r>
            <w:proofErr w:type="spellEnd"/>
            <w:r w:rsidRPr="00BD30E0">
              <w:rPr>
                <w:rFonts w:eastAsia="Times New Roman" w:cs="Times New Roman"/>
                <w:i/>
                <w:iCs/>
                <w:color w:val="000000"/>
              </w:rPr>
              <w:t xml:space="preserve"> </w:t>
            </w:r>
            <w:r w:rsidRPr="00BD30E0">
              <w:rPr>
                <w:rFonts w:eastAsia="Times New Roman" w:cs="Times New Roman"/>
                <w:color w:val="000000"/>
              </w:rPr>
              <w:t>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Eudorylimus</w:t>
            </w:r>
            <w:proofErr w:type="spellEnd"/>
            <w:r w:rsidRPr="00BD30E0">
              <w:rPr>
                <w:rFonts w:eastAsia="Times New Roman" w:cs="Times New Roman"/>
                <w:i/>
                <w:iCs/>
                <w:color w:val="000000"/>
              </w:rPr>
              <w:t xml:space="preserve"> </w:t>
            </w:r>
            <w:r w:rsidRPr="00BD30E0">
              <w:rPr>
                <w:rFonts w:eastAsia="Times New Roman" w:cs="Times New Roman"/>
                <w:color w:val="000000"/>
              </w:rPr>
              <w:t>sp. 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Qudsianematidae</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O</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Thonus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Tylencholaimus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Xiphinema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Monhysterida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Geomonhystera</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Monochida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Clarkus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Prionchulus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Plectida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Odontolaimid</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armatus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elongatus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exinocaudatus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longicaudatus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parvus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 10</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color w:val="000000"/>
              </w:rPr>
              <w:t xml:space="preserve"> sp. 11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color w:val="000000"/>
              </w:rPr>
              <w:t xml:space="preserve"> 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 3b</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color w:val="000000"/>
              </w:rPr>
              <w:t xml:space="preserve"> sp. 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color w:val="000000"/>
              </w:rPr>
              <w:t xml:space="preserve"> sp. 5</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color w:val="000000"/>
              </w:rPr>
              <w:t xml:space="preserve"> sp. 6</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 6b</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 xml:space="preserve">sp. 7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r w:rsidRPr="00BD30E0">
              <w:rPr>
                <w:rFonts w:eastAsia="Times New Roman" w:cs="Times New Roman"/>
                <w:color w:val="000000"/>
              </w:rPr>
              <w:t>sp. 8</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color w:val="000000"/>
              </w:rPr>
              <w:t xml:space="preserve"> sp. 9</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thornea</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Plectus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varians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Tylocephalus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Wilsonema</w:t>
            </w:r>
            <w:proofErr w:type="spellEnd"/>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Wilsonema</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Rhabditida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15"/>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222222"/>
                <w:sz w:val="24"/>
                <w:szCs w:val="24"/>
              </w:rPr>
            </w:pPr>
            <w:r w:rsidRPr="00BD30E0">
              <w:rPr>
                <w:rFonts w:eastAsia="Times New Roman" w:cs="Times New Roman"/>
                <w:i/>
                <w:iCs/>
                <w:color w:val="222222"/>
                <w:sz w:val="24"/>
                <w:szCs w:val="24"/>
              </w:rPr>
              <w:t> </w:t>
            </w:r>
            <w:proofErr w:type="spellStart"/>
            <w:r w:rsidRPr="00BD30E0">
              <w:rPr>
                <w:rFonts w:eastAsia="Times New Roman" w:cs="Times New Roman"/>
                <w:i/>
                <w:iCs/>
                <w:color w:val="222222"/>
                <w:sz w:val="24"/>
                <w:szCs w:val="24"/>
              </w:rPr>
              <w:t>Hemicycliophora</w:t>
            </w:r>
            <w:proofErr w:type="spellEnd"/>
            <w:r w:rsidRPr="00BD30E0">
              <w:rPr>
                <w:rFonts w:eastAsia="Times New Roman" w:cs="Times New Roman"/>
                <w:color w:val="222222"/>
                <w:sz w:val="24"/>
                <w:szCs w:val="24"/>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Acrobeles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Acroboloides</w:t>
            </w:r>
            <w:proofErr w:type="spellEnd"/>
            <w:r w:rsidRPr="00BD30E0">
              <w:rPr>
                <w:rFonts w:eastAsia="Times New Roman" w:cs="Times New Roman"/>
                <w:i/>
                <w:iCs/>
                <w:color w:val="000000"/>
              </w:rPr>
              <w:t xml:space="preserve"> </w:t>
            </w:r>
            <w:r w:rsidRPr="00BD30E0">
              <w:rPr>
                <w:rFonts w:eastAsia="Times New Roman" w:cs="Times New Roman"/>
                <w:color w:val="000000"/>
              </w:rPr>
              <w:t xml:space="preserve"> 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Acroboloides</w:t>
            </w:r>
            <w:proofErr w:type="spellEnd"/>
            <w:r w:rsidRPr="00BD30E0">
              <w:rPr>
                <w:rFonts w:eastAsia="Times New Roman" w:cs="Times New Roman"/>
                <w:i/>
                <w:iCs/>
                <w:color w:val="000000"/>
              </w:rPr>
              <w:t xml:space="preserve">  </w:t>
            </w:r>
            <w:r w:rsidRPr="00BD30E0">
              <w:rPr>
                <w:rFonts w:eastAsia="Times New Roman" w:cs="Times New Roman"/>
                <w:color w:val="000000"/>
              </w:rPr>
              <w:t>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Acroboloides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apiculatus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Acroboloides</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Acroboloides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tricornis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Bunonema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Cephalobid</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Cervidellis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Chiloplacus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Cruznema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Eucephalobus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Panagrolaimus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Psilenchus</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Psilenchus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Rhabditid</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Rhabditid</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Rhabditid</w:t>
            </w:r>
            <w:proofErr w:type="spellEnd"/>
            <w:r w:rsidRPr="00BD30E0">
              <w:rPr>
                <w:rFonts w:eastAsia="Times New Roman" w:cs="Times New Roman"/>
                <w:i/>
                <w:iCs/>
                <w:color w:val="000000"/>
              </w:rPr>
              <w:t xml:space="preserve"> </w:t>
            </w:r>
            <w:r w:rsidRPr="00BD30E0">
              <w:rPr>
                <w:rFonts w:eastAsia="Times New Roman" w:cs="Times New Roman"/>
                <w:color w:val="000000"/>
              </w:rPr>
              <w:t>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Rhabditid</w:t>
            </w:r>
            <w:proofErr w:type="spellEnd"/>
            <w:r w:rsidRPr="00BD30E0">
              <w:rPr>
                <w:rFonts w:eastAsia="Times New Roman" w:cs="Times New Roman"/>
                <w:i/>
                <w:iCs/>
                <w:color w:val="000000"/>
              </w:rPr>
              <w:t xml:space="preserve"> </w:t>
            </w:r>
            <w:r w:rsidRPr="00BD30E0">
              <w:rPr>
                <w:rFonts w:eastAsia="Times New Roman" w:cs="Times New Roman"/>
                <w:color w:val="000000"/>
              </w:rPr>
              <w:t>sp. 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1</w:t>
            </w:r>
          </w:p>
        </w:tc>
      </w:tr>
      <w:tr w:rsidR="00AC49A4" w:rsidRPr="00BD30E0" w:rsidTr="003C0513">
        <w:trPr>
          <w:trHeight w:val="315"/>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Triplonchida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222222"/>
                <w:sz w:val="24"/>
                <w:szCs w:val="24"/>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Diphorophora</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Prismatolaimus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Prismatolaimus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B</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Trichodorus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Tripyla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roofErr w:type="spellStart"/>
            <w:r w:rsidRPr="00BD30E0">
              <w:rPr>
                <w:rFonts w:eastAsia="Times New Roman" w:cs="Times New Roman"/>
                <w:color w:val="000000"/>
              </w:rPr>
              <w:t>Tylenchida</w:t>
            </w:r>
            <w:proofErr w:type="spellEnd"/>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Aphelenchoides</w:t>
            </w:r>
            <w:proofErr w:type="spellEnd"/>
            <w:r w:rsidRPr="00BD30E0">
              <w:rPr>
                <w:rFonts w:eastAsia="Times New Roman" w:cs="Times New Roman"/>
                <w:i/>
                <w:iCs/>
                <w:color w:val="000000"/>
              </w:rPr>
              <w:t xml:space="preserve"> </w:t>
            </w:r>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Aphelenchoides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bicaudatus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Aphelenchoides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Aphelenchus</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avenae</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Aphelenchus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Basiria</w:t>
            </w:r>
            <w:proofErr w:type="spellEnd"/>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basiria</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Boleodoru</w:t>
            </w:r>
            <w:r w:rsidRPr="00BD30E0">
              <w:rPr>
                <w:rFonts w:eastAsia="Times New Roman" w:cs="Times New Roman"/>
                <w:color w:val="000000"/>
              </w:rPr>
              <w:t>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Criconema</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Criconemella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Ditylenchus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Filenchus</w:t>
            </w:r>
            <w:proofErr w:type="spellEnd"/>
            <w:r w:rsidRPr="00BD30E0">
              <w:rPr>
                <w:rFonts w:eastAsia="Times New Roman" w:cs="Times New Roman"/>
                <w:color w:val="000000"/>
              </w:rPr>
              <w:t xml:space="preserve"> 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Filenchus</w:t>
            </w:r>
            <w:proofErr w:type="spellEnd"/>
            <w:r w:rsidRPr="00BD30E0">
              <w:rPr>
                <w:rFonts w:eastAsia="Times New Roman" w:cs="Times New Roman"/>
                <w:i/>
                <w:iCs/>
                <w:color w:val="000000"/>
              </w:rPr>
              <w:t xml:space="preserve"> </w:t>
            </w:r>
            <w:r w:rsidRPr="00BD30E0">
              <w:rPr>
                <w:rFonts w:eastAsia="Times New Roman" w:cs="Times New Roman"/>
                <w:color w:val="000000"/>
              </w:rPr>
              <w:t>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Filenchus</w:t>
            </w:r>
            <w:proofErr w:type="spellEnd"/>
            <w:r w:rsidRPr="00BD30E0">
              <w:rPr>
                <w:rFonts w:eastAsia="Times New Roman" w:cs="Times New Roman"/>
                <w:i/>
                <w:iCs/>
                <w:color w:val="000000"/>
              </w:rPr>
              <w:t xml:space="preserve"> </w:t>
            </w:r>
            <w:r w:rsidRPr="00BD30E0">
              <w:rPr>
                <w:rFonts w:eastAsia="Times New Roman" w:cs="Times New Roman"/>
                <w:color w:val="000000"/>
              </w:rPr>
              <w:t>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Gracilicus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Gymnotylenchus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Helicotylenchus</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Helicotylenchus</w:t>
            </w:r>
            <w:proofErr w:type="spellEnd"/>
            <w:r w:rsidRPr="00BD30E0">
              <w:rPr>
                <w:rFonts w:eastAsia="Times New Roman" w:cs="Times New Roman"/>
                <w:color w:val="000000"/>
              </w:rPr>
              <w:t xml:space="preserve"> sp. 2</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Helicotylenchus</w:t>
            </w:r>
            <w:proofErr w:type="spellEnd"/>
            <w:r w:rsidRPr="00BD30E0">
              <w:rPr>
                <w:rFonts w:eastAsia="Times New Roman" w:cs="Times New Roman"/>
                <w:color w:val="000000"/>
              </w:rPr>
              <w:t xml:space="preserve"> sp. 3</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Helicotylenchus</w:t>
            </w:r>
            <w:proofErr w:type="spellEnd"/>
            <w:r w:rsidRPr="00BD30E0">
              <w:rPr>
                <w:rFonts w:eastAsia="Times New Roman" w:cs="Times New Roman"/>
                <w:color w:val="000000"/>
              </w:rPr>
              <w:t xml:space="preserve"> sp. 4</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Helicotylenchus</w:t>
            </w:r>
            <w:proofErr w:type="spellEnd"/>
            <w:r w:rsidRPr="00BD30E0">
              <w:rPr>
                <w:rFonts w:eastAsia="Times New Roman" w:cs="Times New Roman"/>
                <w:i/>
                <w:iCs/>
                <w:color w:val="000000"/>
              </w:rPr>
              <w:t xml:space="preserve"> </w:t>
            </w:r>
            <w:r w:rsidRPr="00BD30E0">
              <w:rPr>
                <w:rFonts w:eastAsia="Times New Roman" w:cs="Times New Roman"/>
                <w:color w:val="000000"/>
              </w:rPr>
              <w:t>sp. 5</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Melodiyne</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4</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Nothotylenchus</w:t>
            </w:r>
            <w:proofErr w:type="spellEnd"/>
            <w:r w:rsidRPr="00BD30E0">
              <w:rPr>
                <w:rFonts w:eastAsia="Times New Roman" w:cs="Times New Roman"/>
                <w:color w:val="000000"/>
              </w:rPr>
              <w:t xml:space="preserve"> 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H</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Ogma</w:t>
            </w:r>
            <w:proofErr w:type="spellEnd"/>
            <w:r w:rsidRPr="00BD30E0">
              <w:rPr>
                <w:rFonts w:eastAsia="Times New Roman" w:cs="Times New Roman"/>
                <w:i/>
                <w:iCs/>
                <w:color w:val="000000"/>
              </w:rPr>
              <w:t xml:space="preserve"> </w:t>
            </w:r>
            <w:r w:rsidRPr="00BD30E0">
              <w:rPr>
                <w:rFonts w:eastAsia="Times New Roman" w:cs="Times New Roman"/>
                <w:color w:val="000000"/>
              </w:rPr>
              <w:t>sp. 1</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Paraphelenchus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F</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Paratylenchus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Seriespinula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2</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000000" w:fill="FFFFFF"/>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Tylenchorenchus</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5</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Xenocriconamella</w:t>
            </w:r>
            <w:proofErr w:type="spellEnd"/>
            <w:r w:rsidRPr="00BD30E0">
              <w:rPr>
                <w:rFonts w:eastAsia="Times New Roman" w:cs="Times New Roman"/>
                <w:i/>
                <w:iCs/>
                <w:color w:val="000000"/>
              </w:rPr>
              <w:t xml:space="preserve"> </w:t>
            </w:r>
            <w:r w:rsidRPr="00BD30E0">
              <w:rPr>
                <w:rFonts w:eastAsia="Times New Roman" w:cs="Times New Roman"/>
                <w:color w:val="000000"/>
              </w:rPr>
              <w:t>sp.</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00"/>
        </w:trPr>
        <w:tc>
          <w:tcPr>
            <w:tcW w:w="140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p>
        </w:tc>
        <w:tc>
          <w:tcPr>
            <w:tcW w:w="2940" w:type="dxa"/>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i/>
                <w:iCs/>
                <w:color w:val="000000"/>
              </w:rPr>
            </w:pPr>
            <w:proofErr w:type="spellStart"/>
            <w:r w:rsidRPr="00BD30E0">
              <w:rPr>
                <w:rFonts w:eastAsia="Times New Roman" w:cs="Times New Roman"/>
                <w:i/>
                <w:iCs/>
                <w:color w:val="000000"/>
              </w:rPr>
              <w:t>Xenocriconemella</w:t>
            </w:r>
            <w:proofErr w:type="spellEnd"/>
            <w:r w:rsidRPr="00BD30E0">
              <w:rPr>
                <w:rFonts w:eastAsia="Times New Roman" w:cs="Times New Roman"/>
                <w:i/>
                <w:iCs/>
                <w:color w:val="000000"/>
              </w:rPr>
              <w:t xml:space="preserve"> </w:t>
            </w:r>
            <w:proofErr w:type="spellStart"/>
            <w:r w:rsidRPr="00BD30E0">
              <w:rPr>
                <w:rFonts w:eastAsia="Times New Roman" w:cs="Times New Roman"/>
                <w:i/>
                <w:iCs/>
                <w:color w:val="000000"/>
              </w:rPr>
              <w:t>macrodora</w:t>
            </w:r>
            <w:proofErr w:type="spellEnd"/>
            <w:r w:rsidRPr="00BD30E0">
              <w:rPr>
                <w:rFonts w:eastAsia="Times New Roman" w:cs="Times New Roman"/>
                <w:i/>
                <w:iCs/>
                <w:color w:val="000000"/>
              </w:rPr>
              <w:t xml:space="preserve"> </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P</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3</w:t>
            </w:r>
          </w:p>
        </w:tc>
      </w:tr>
      <w:tr w:rsidR="00AC49A4" w:rsidRPr="00BD30E0" w:rsidTr="003C0513">
        <w:trPr>
          <w:trHeight w:val="315"/>
        </w:trPr>
        <w:tc>
          <w:tcPr>
            <w:tcW w:w="1400" w:type="dxa"/>
            <w:tcBorders>
              <w:top w:val="nil"/>
              <w:left w:val="nil"/>
              <w:bottom w:val="double" w:sz="6" w:space="0" w:color="auto"/>
              <w:right w:val="nil"/>
            </w:tcBorders>
            <w:shd w:val="clear" w:color="auto" w:fill="auto"/>
            <w:noWrap/>
            <w:vAlign w:val="bottom"/>
            <w:hideMark/>
          </w:tcPr>
          <w:p w:rsidR="00AC49A4" w:rsidRPr="00BD30E0" w:rsidRDefault="00AC49A4" w:rsidP="003C0513">
            <w:pPr>
              <w:rPr>
                <w:rFonts w:eastAsia="Times New Roman" w:cs="Times New Roman"/>
                <w:color w:val="000000"/>
              </w:rPr>
            </w:pPr>
            <w:r w:rsidRPr="00BD30E0">
              <w:rPr>
                <w:rFonts w:eastAsia="Times New Roman" w:cs="Times New Roman"/>
                <w:color w:val="000000"/>
              </w:rPr>
              <w:t> </w:t>
            </w:r>
          </w:p>
        </w:tc>
        <w:tc>
          <w:tcPr>
            <w:tcW w:w="2940" w:type="dxa"/>
            <w:tcBorders>
              <w:top w:val="nil"/>
              <w:left w:val="nil"/>
              <w:bottom w:val="double" w:sz="6" w:space="0" w:color="auto"/>
              <w:right w:val="nil"/>
            </w:tcBorders>
            <w:shd w:val="clear" w:color="auto" w:fill="auto"/>
            <w:noWrap/>
            <w:vAlign w:val="bottom"/>
            <w:hideMark/>
          </w:tcPr>
          <w:p w:rsidR="00AC49A4" w:rsidRPr="00BD30E0" w:rsidRDefault="00AC49A4" w:rsidP="003C0513">
            <w:pPr>
              <w:rPr>
                <w:rFonts w:eastAsia="Times New Roman" w:cs="Times New Roman"/>
                <w:i/>
                <w:iCs/>
                <w:color w:val="000000"/>
              </w:rPr>
            </w:pPr>
            <w:r w:rsidRPr="00BD30E0">
              <w:rPr>
                <w:rFonts w:eastAsia="Times New Roman" w:cs="Times New Roman"/>
                <w:i/>
                <w:iCs/>
                <w:color w:val="000000"/>
              </w:rPr>
              <w:t> </w:t>
            </w:r>
          </w:p>
        </w:tc>
        <w:tc>
          <w:tcPr>
            <w:tcW w:w="1700" w:type="dxa"/>
            <w:tcBorders>
              <w:top w:val="nil"/>
              <w:left w:val="nil"/>
              <w:bottom w:val="double" w:sz="6" w:space="0" w:color="auto"/>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 </w:t>
            </w:r>
          </w:p>
        </w:tc>
        <w:tc>
          <w:tcPr>
            <w:tcW w:w="960" w:type="dxa"/>
            <w:tcBorders>
              <w:top w:val="nil"/>
              <w:left w:val="nil"/>
              <w:bottom w:val="double" w:sz="6" w:space="0" w:color="auto"/>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r w:rsidRPr="00BD30E0">
              <w:rPr>
                <w:rFonts w:eastAsia="Times New Roman" w:cs="Times New Roman"/>
                <w:i/>
                <w:iCs/>
                <w:color w:val="000000"/>
              </w:rPr>
              <w:t> </w:t>
            </w:r>
          </w:p>
        </w:tc>
      </w:tr>
      <w:tr w:rsidR="00AC49A4" w:rsidRPr="00BD30E0" w:rsidTr="003C0513">
        <w:trPr>
          <w:trHeight w:val="315"/>
        </w:trPr>
        <w:tc>
          <w:tcPr>
            <w:tcW w:w="6040" w:type="dxa"/>
            <w:gridSpan w:val="3"/>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r w:rsidRPr="00BD30E0">
              <w:rPr>
                <w:rFonts w:eastAsia="Times New Roman" w:cs="Times New Roman"/>
                <w:color w:val="000000"/>
              </w:rPr>
              <w:t xml:space="preserve">*Based on </w:t>
            </w:r>
            <w:proofErr w:type="spellStart"/>
            <w:r w:rsidRPr="00BD30E0">
              <w:rPr>
                <w:rFonts w:eastAsia="Times New Roman" w:cs="Times New Roman"/>
                <w:color w:val="000000"/>
              </w:rPr>
              <w:t>Yeates</w:t>
            </w:r>
            <w:proofErr w:type="spellEnd"/>
            <w:r w:rsidRPr="00BD30E0">
              <w:rPr>
                <w:rFonts w:eastAsia="Times New Roman" w:cs="Times New Roman"/>
                <w:color w:val="000000"/>
              </w:rPr>
              <w:t xml:space="preserve"> 1993, </w:t>
            </w:r>
            <w:proofErr w:type="spellStart"/>
            <w:r w:rsidRPr="00BD30E0">
              <w:rPr>
                <w:rFonts w:eastAsia="Times New Roman" w:cs="Times New Roman"/>
                <w:color w:val="000000"/>
              </w:rPr>
              <w:t>Bongers</w:t>
            </w:r>
            <w:proofErr w:type="spellEnd"/>
            <w:r w:rsidRPr="00BD30E0">
              <w:rPr>
                <w:rFonts w:eastAsia="Times New Roman" w:cs="Times New Roman"/>
                <w:color w:val="000000"/>
              </w:rPr>
              <w:t xml:space="preserve"> 1990. H: </w:t>
            </w:r>
            <w:proofErr w:type="spellStart"/>
            <w:r w:rsidRPr="00BD30E0">
              <w:rPr>
                <w:rFonts w:eastAsia="Times New Roman" w:cs="Times New Roman"/>
                <w:color w:val="000000"/>
              </w:rPr>
              <w:t>Hyphal</w:t>
            </w:r>
            <w:proofErr w:type="spellEnd"/>
            <w:r w:rsidRPr="00BD30E0">
              <w:rPr>
                <w:rFonts w:eastAsia="Times New Roman" w:cs="Times New Roman"/>
                <w:color w:val="000000"/>
              </w:rPr>
              <w:t xml:space="preserve"> feeding,</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6040" w:type="dxa"/>
            <w:gridSpan w:val="3"/>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r w:rsidRPr="00BD30E0">
              <w:rPr>
                <w:rFonts w:eastAsia="Times New Roman" w:cs="Times New Roman"/>
                <w:color w:val="000000"/>
              </w:rPr>
              <w:t xml:space="preserve">B: Bacteria feeding, PP: Plant Parasitic, O: Omnivore, </w:t>
            </w: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4340" w:type="dxa"/>
            <w:gridSpan w:val="2"/>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r w:rsidRPr="00BD30E0">
              <w:rPr>
                <w:rFonts w:eastAsia="Times New Roman" w:cs="Times New Roman"/>
                <w:color w:val="000000"/>
              </w:rPr>
              <w:t>PR: Predatory feeding</w:t>
            </w:r>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r w:rsidR="00AC49A4" w:rsidRPr="00BD30E0" w:rsidTr="003C0513">
        <w:trPr>
          <w:trHeight w:val="300"/>
        </w:trPr>
        <w:tc>
          <w:tcPr>
            <w:tcW w:w="4340" w:type="dxa"/>
            <w:gridSpan w:val="2"/>
            <w:tcBorders>
              <w:top w:val="nil"/>
              <w:left w:val="nil"/>
              <w:bottom w:val="nil"/>
              <w:right w:val="nil"/>
            </w:tcBorders>
            <w:shd w:val="clear" w:color="auto" w:fill="auto"/>
            <w:noWrap/>
            <w:vAlign w:val="bottom"/>
            <w:hideMark/>
          </w:tcPr>
          <w:p w:rsidR="00AC49A4" w:rsidRPr="00BD30E0" w:rsidRDefault="00AC49A4" w:rsidP="003C0513">
            <w:pPr>
              <w:rPr>
                <w:rFonts w:eastAsia="Times New Roman" w:cs="Times New Roman"/>
                <w:color w:val="000000"/>
              </w:rPr>
            </w:pPr>
            <w:r w:rsidRPr="00BD30E0">
              <w:rPr>
                <w:rFonts w:eastAsia="Times New Roman" w:cs="Times New Roman"/>
                <w:color w:val="000000"/>
              </w:rPr>
              <w:t xml:space="preserve">b' indicates similar </w:t>
            </w:r>
            <w:proofErr w:type="spellStart"/>
            <w:r w:rsidRPr="00BD30E0">
              <w:rPr>
                <w:rFonts w:eastAsia="Times New Roman" w:cs="Times New Roman"/>
                <w:color w:val="000000"/>
              </w:rPr>
              <w:t>morphospecies</w:t>
            </w:r>
            <w:proofErr w:type="spellEnd"/>
          </w:p>
        </w:tc>
        <w:tc>
          <w:tcPr>
            <w:tcW w:w="170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c>
          <w:tcPr>
            <w:tcW w:w="960" w:type="dxa"/>
            <w:tcBorders>
              <w:top w:val="nil"/>
              <w:left w:val="nil"/>
              <w:bottom w:val="nil"/>
              <w:right w:val="nil"/>
            </w:tcBorders>
            <w:shd w:val="clear" w:color="auto" w:fill="auto"/>
            <w:noWrap/>
            <w:vAlign w:val="bottom"/>
            <w:hideMark/>
          </w:tcPr>
          <w:p w:rsidR="00AC49A4" w:rsidRPr="00BD30E0" w:rsidRDefault="00AC49A4" w:rsidP="003C0513">
            <w:pPr>
              <w:jc w:val="center"/>
              <w:rPr>
                <w:rFonts w:eastAsia="Times New Roman" w:cs="Times New Roman"/>
                <w:i/>
                <w:iCs/>
                <w:color w:val="000000"/>
              </w:rPr>
            </w:pPr>
          </w:p>
        </w:tc>
      </w:tr>
    </w:tbl>
    <w:p w:rsidR="00AC49A4" w:rsidRPr="00BA7280" w:rsidRDefault="00AC49A4" w:rsidP="003C0513">
      <w:pPr>
        <w:jc w:val="center"/>
      </w:pPr>
    </w:p>
    <w:p w:rsidR="00AC49A4" w:rsidRPr="00BA7280" w:rsidRDefault="00AC49A4" w:rsidP="003C0513">
      <w:pPr>
        <w:jc w:val="center"/>
      </w:pPr>
    </w:p>
    <w:p w:rsidR="00AC49A4" w:rsidRPr="00BA7280" w:rsidRDefault="00AC49A4" w:rsidP="003C0513">
      <w:pPr>
        <w:jc w:val="center"/>
      </w:pPr>
    </w:p>
    <w:p w:rsidR="00AC49A4" w:rsidRPr="00BA7280" w:rsidRDefault="00AC49A4" w:rsidP="003C0513">
      <w:pPr>
        <w:jc w:val="center"/>
      </w:pPr>
    </w:p>
    <w:p w:rsidR="00AC49A4" w:rsidRDefault="00AC49A4">
      <w:pPr>
        <w:spacing w:after="200" w:line="276" w:lineRule="auto"/>
      </w:pPr>
      <w:r>
        <w:br w:type="page"/>
      </w:r>
    </w:p>
    <w:p w:rsidR="00AC49A4" w:rsidRPr="00BA7280" w:rsidRDefault="00AC49A4" w:rsidP="003C0513"/>
    <w:p w:rsidR="00AC49A4" w:rsidRPr="00BA7280" w:rsidRDefault="00AC49A4" w:rsidP="003C0513">
      <w:r>
        <w:t xml:space="preserve">Table </w:t>
      </w:r>
      <w:fldSimple w:instr=" SEQ Table \* ARABIC ">
        <w:r>
          <w:rPr>
            <w:noProof/>
          </w:rPr>
          <w:t>5</w:t>
        </w:r>
      </w:fldSimple>
      <w:r>
        <w:t xml:space="preserve">: Plant species in Surface Mining Control and Reclamation Act sites (SMCRA), Forestry Reclamation Approach sites (FRA), and </w:t>
      </w:r>
      <w:proofErr w:type="spellStart"/>
      <w:r>
        <w:t>unmine</w:t>
      </w:r>
      <w:proofErr w:type="spellEnd"/>
      <w:r>
        <w:t xml:space="preserve"> forest sites across a </w:t>
      </w:r>
      <w:proofErr w:type="spellStart"/>
      <w:r>
        <w:t>chronosequence</w:t>
      </w:r>
      <w:proofErr w:type="spellEnd"/>
      <w:r>
        <w:t xml:space="preserve"> in three mine </w:t>
      </w:r>
      <w:proofErr w:type="spellStart"/>
      <w:r>
        <w:t>loacations</w:t>
      </w:r>
      <w:proofErr w:type="spellEnd"/>
      <w:r>
        <w:t>, Tennessee, Virginia, and Kentucky.</w:t>
      </w:r>
    </w:p>
    <w:p w:rsidR="00AC49A4" w:rsidRPr="00BA7280" w:rsidRDefault="00AC49A4" w:rsidP="003C0513">
      <w:pPr>
        <w:jc w:val="center"/>
      </w:pPr>
    </w:p>
    <w:tbl>
      <w:tblPr>
        <w:tblW w:w="9500" w:type="dxa"/>
        <w:tblInd w:w="93" w:type="dxa"/>
        <w:tblLook w:val="04A0" w:firstRow="1" w:lastRow="0" w:firstColumn="1" w:lastColumn="0" w:noHBand="0" w:noVBand="1"/>
      </w:tblPr>
      <w:tblGrid>
        <w:gridCol w:w="380"/>
        <w:gridCol w:w="1960"/>
        <w:gridCol w:w="1240"/>
        <w:gridCol w:w="2460"/>
        <w:gridCol w:w="2040"/>
        <w:gridCol w:w="1420"/>
      </w:tblGrid>
      <w:tr w:rsidR="00AC49A4" w:rsidRPr="000E761A" w:rsidTr="003C0513">
        <w:trPr>
          <w:trHeight w:val="33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jc w:val="center"/>
              <w:rPr>
                <w:rFonts w:eastAsia="Times New Roman" w:cs="Times New Roman"/>
                <w:b/>
                <w:bCs/>
                <w:color w:val="000000"/>
                <w:sz w:val="24"/>
                <w:szCs w:val="24"/>
              </w:rPr>
            </w:pPr>
            <w:r w:rsidRPr="000E761A">
              <w:rPr>
                <w:rFonts w:eastAsia="Times New Roman" w:cs="Times New Roman"/>
                <w:b/>
                <w:bCs/>
                <w:color w:val="000000"/>
                <w:sz w:val="24"/>
                <w:szCs w:val="24"/>
              </w:rPr>
              <w:t>Plant Species in plots</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p>
        </w:tc>
      </w:tr>
      <w:tr w:rsidR="00AC49A4" w:rsidRPr="000E761A" w:rsidTr="003C0513">
        <w:trPr>
          <w:trHeight w:val="315"/>
        </w:trPr>
        <w:tc>
          <w:tcPr>
            <w:tcW w:w="380" w:type="dxa"/>
            <w:tcBorders>
              <w:top w:val="single" w:sz="4" w:space="0" w:color="auto"/>
              <w:left w:val="nil"/>
              <w:bottom w:val="double" w:sz="6" w:space="0" w:color="auto"/>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r w:rsidRPr="000E761A">
              <w:rPr>
                <w:rFonts w:ascii="Calibri" w:eastAsia="Times New Roman" w:hAnsi="Calibri" w:cs="Calibri"/>
                <w:color w:val="000000"/>
              </w:rPr>
              <w:t> </w:t>
            </w:r>
          </w:p>
        </w:tc>
        <w:tc>
          <w:tcPr>
            <w:tcW w:w="1960" w:type="dxa"/>
            <w:tcBorders>
              <w:top w:val="single" w:sz="4" w:space="0" w:color="auto"/>
              <w:left w:val="nil"/>
              <w:bottom w:val="double" w:sz="6" w:space="0" w:color="auto"/>
              <w:right w:val="nil"/>
            </w:tcBorders>
            <w:shd w:val="clear" w:color="auto" w:fill="auto"/>
            <w:noWrap/>
            <w:vAlign w:val="bottom"/>
            <w:hideMark/>
          </w:tcPr>
          <w:p w:rsidR="00AC49A4" w:rsidRPr="000E761A" w:rsidRDefault="00AC49A4" w:rsidP="003C0513">
            <w:pPr>
              <w:jc w:val="center"/>
              <w:rPr>
                <w:rFonts w:eastAsia="Times New Roman" w:cs="Times New Roman"/>
                <w:color w:val="000000"/>
              </w:rPr>
            </w:pPr>
            <w:r w:rsidRPr="000E761A">
              <w:rPr>
                <w:rFonts w:eastAsia="Times New Roman" w:cs="Times New Roman"/>
                <w:color w:val="000000"/>
              </w:rPr>
              <w:t>Management type</w:t>
            </w:r>
          </w:p>
        </w:tc>
        <w:tc>
          <w:tcPr>
            <w:tcW w:w="1240" w:type="dxa"/>
            <w:tcBorders>
              <w:top w:val="single" w:sz="4" w:space="0" w:color="auto"/>
              <w:left w:val="nil"/>
              <w:bottom w:val="double" w:sz="6" w:space="0" w:color="auto"/>
              <w:right w:val="nil"/>
            </w:tcBorders>
            <w:shd w:val="clear" w:color="auto" w:fill="auto"/>
            <w:noWrap/>
            <w:vAlign w:val="bottom"/>
            <w:hideMark/>
          </w:tcPr>
          <w:p w:rsidR="00AC49A4" w:rsidRPr="000E761A" w:rsidRDefault="00AC49A4" w:rsidP="003C0513">
            <w:pPr>
              <w:jc w:val="center"/>
              <w:rPr>
                <w:rFonts w:eastAsia="Times New Roman" w:cs="Times New Roman"/>
                <w:color w:val="000000"/>
              </w:rPr>
            </w:pPr>
            <w:r w:rsidRPr="000E761A">
              <w:rPr>
                <w:rFonts w:eastAsia="Times New Roman" w:cs="Times New Roman"/>
                <w:color w:val="000000"/>
              </w:rPr>
              <w:t>Age group</w:t>
            </w:r>
          </w:p>
        </w:tc>
        <w:tc>
          <w:tcPr>
            <w:tcW w:w="2460" w:type="dxa"/>
            <w:tcBorders>
              <w:top w:val="single" w:sz="4" w:space="0" w:color="auto"/>
              <w:left w:val="nil"/>
              <w:bottom w:val="double" w:sz="6" w:space="0" w:color="auto"/>
              <w:right w:val="nil"/>
            </w:tcBorders>
            <w:shd w:val="clear" w:color="auto" w:fill="auto"/>
            <w:noWrap/>
            <w:vAlign w:val="bottom"/>
            <w:hideMark/>
          </w:tcPr>
          <w:p w:rsidR="00AC49A4" w:rsidRPr="000E761A" w:rsidRDefault="00AC49A4" w:rsidP="003C0513">
            <w:pPr>
              <w:jc w:val="center"/>
              <w:rPr>
                <w:rFonts w:eastAsia="Times New Roman" w:cs="Times New Roman"/>
                <w:color w:val="000000"/>
              </w:rPr>
            </w:pPr>
            <w:r w:rsidRPr="000E761A">
              <w:rPr>
                <w:rFonts w:eastAsia="Times New Roman" w:cs="Times New Roman"/>
                <w:color w:val="000000"/>
              </w:rPr>
              <w:t>Scientific name</w:t>
            </w:r>
          </w:p>
        </w:tc>
        <w:tc>
          <w:tcPr>
            <w:tcW w:w="2040" w:type="dxa"/>
            <w:tcBorders>
              <w:top w:val="single" w:sz="4" w:space="0" w:color="auto"/>
              <w:left w:val="nil"/>
              <w:bottom w:val="double" w:sz="6" w:space="0" w:color="auto"/>
              <w:right w:val="nil"/>
            </w:tcBorders>
            <w:shd w:val="clear" w:color="auto" w:fill="auto"/>
            <w:noWrap/>
            <w:vAlign w:val="bottom"/>
            <w:hideMark/>
          </w:tcPr>
          <w:p w:rsidR="00AC49A4" w:rsidRPr="000E761A" w:rsidRDefault="00AC49A4" w:rsidP="003C0513">
            <w:pPr>
              <w:jc w:val="center"/>
              <w:rPr>
                <w:rFonts w:eastAsia="Times New Roman" w:cs="Times New Roman"/>
                <w:color w:val="000000"/>
              </w:rPr>
            </w:pPr>
            <w:r w:rsidRPr="000E761A">
              <w:rPr>
                <w:rFonts w:eastAsia="Times New Roman" w:cs="Times New Roman"/>
                <w:color w:val="000000"/>
              </w:rPr>
              <w:t>Common name</w:t>
            </w:r>
          </w:p>
        </w:tc>
        <w:tc>
          <w:tcPr>
            <w:tcW w:w="1420" w:type="dxa"/>
            <w:tcBorders>
              <w:top w:val="single" w:sz="4" w:space="0" w:color="auto"/>
              <w:left w:val="nil"/>
              <w:bottom w:val="double" w:sz="6" w:space="0" w:color="auto"/>
              <w:right w:val="nil"/>
            </w:tcBorders>
            <w:shd w:val="clear" w:color="auto" w:fill="auto"/>
            <w:noWrap/>
            <w:vAlign w:val="bottom"/>
            <w:hideMark/>
          </w:tcPr>
          <w:p w:rsidR="00AC49A4" w:rsidRPr="000E761A" w:rsidRDefault="00AC49A4" w:rsidP="003C0513">
            <w:pPr>
              <w:jc w:val="center"/>
              <w:rPr>
                <w:rFonts w:eastAsia="Times New Roman" w:cs="Times New Roman"/>
                <w:color w:val="000000"/>
              </w:rPr>
            </w:pPr>
            <w:r w:rsidRPr="000E761A">
              <w:rPr>
                <w:rFonts w:eastAsia="Times New Roman" w:cs="Times New Roman"/>
                <w:color w:val="000000"/>
              </w:rPr>
              <w:t>Native Status</w:t>
            </w:r>
          </w:p>
        </w:tc>
      </w:tr>
      <w:tr w:rsidR="00AC49A4" w:rsidRPr="000E761A" w:rsidTr="003C0513">
        <w:trPr>
          <w:trHeight w:val="330"/>
        </w:trPr>
        <w:tc>
          <w:tcPr>
            <w:tcW w:w="2340" w:type="dxa"/>
            <w:gridSpan w:val="2"/>
            <w:tcBorders>
              <w:top w:val="nil"/>
              <w:left w:val="nil"/>
              <w:bottom w:val="single" w:sz="8" w:space="0" w:color="auto"/>
              <w:right w:val="nil"/>
            </w:tcBorders>
            <w:shd w:val="clear" w:color="auto" w:fill="auto"/>
            <w:noWrap/>
            <w:vAlign w:val="bottom"/>
            <w:hideMark/>
          </w:tcPr>
          <w:p w:rsidR="00AC49A4" w:rsidRPr="000E761A" w:rsidRDefault="00AC49A4" w:rsidP="003C0513">
            <w:pPr>
              <w:rPr>
                <w:rFonts w:ascii="Times" w:eastAsia="Times New Roman" w:hAnsi="Times" w:cs="Times"/>
                <w:i/>
                <w:iCs/>
                <w:color w:val="000000"/>
              </w:rPr>
            </w:pPr>
            <w:proofErr w:type="spellStart"/>
            <w:r w:rsidRPr="000E761A">
              <w:rPr>
                <w:rFonts w:ascii="Times" w:eastAsia="Times New Roman" w:hAnsi="Times" w:cs="Times"/>
                <w:i/>
                <w:iCs/>
                <w:color w:val="000000"/>
              </w:rPr>
              <w:t>Tenessee</w:t>
            </w:r>
            <w:proofErr w:type="spellEnd"/>
            <w:r w:rsidRPr="000E761A">
              <w:rPr>
                <w:rFonts w:ascii="Times" w:eastAsia="Times New Roman" w:hAnsi="Times" w:cs="Times"/>
                <w:i/>
                <w:iCs/>
                <w:color w:val="000000"/>
              </w:rPr>
              <w:t xml:space="preserve"> sites</w:t>
            </w:r>
          </w:p>
        </w:tc>
        <w:tc>
          <w:tcPr>
            <w:tcW w:w="12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r w:rsidRPr="000E761A">
              <w:rPr>
                <w:rFonts w:ascii="Calibri" w:eastAsia="Times New Roman" w:hAnsi="Calibri" w:cs="Calibri"/>
                <w:color w:val="000000"/>
              </w:rPr>
              <w:t> </w:t>
            </w:r>
          </w:p>
        </w:tc>
        <w:tc>
          <w:tcPr>
            <w:tcW w:w="246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r w:rsidRPr="000E761A">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r w:rsidRPr="000E761A">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ascii="Calibri" w:eastAsia="Times New Roman" w:hAnsi="Calibri" w:cs="Calibri"/>
                <w:color w:val="000000"/>
              </w:rPr>
            </w:pPr>
            <w:r w:rsidRPr="000E761A">
              <w:rPr>
                <w:rFonts w:ascii="Calibri" w:eastAsia="Times New Roman" w:hAnsi="Calibri" w:cs="Calibri"/>
                <w:color w:val="000000"/>
              </w:rPr>
              <w:t> </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Young</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Trifolium</w:t>
            </w:r>
            <w:proofErr w:type="spellEnd"/>
            <w:r w:rsidRPr="000E761A">
              <w:rPr>
                <w:rFonts w:eastAsia="Times New Roman" w:cs="Times New Roman"/>
                <w:color w:val="000000"/>
              </w:rPr>
              <w:t xml:space="preserve"> sp.</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clover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Lotus </w:t>
            </w:r>
            <w:proofErr w:type="spellStart"/>
            <w:r w:rsidRPr="000E761A">
              <w:rPr>
                <w:rFonts w:eastAsia="Times New Roman" w:cs="Times New Roman"/>
                <w:i/>
                <w:iCs/>
                <w:color w:val="000000"/>
              </w:rPr>
              <w:t>corniculatus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birdsfoot</w:t>
            </w:r>
            <w:proofErr w:type="spellEnd"/>
            <w:r w:rsidRPr="000E761A">
              <w:rPr>
                <w:rFonts w:eastAsia="Times New Roman" w:cs="Times New Roman"/>
                <w:color w:val="000000"/>
              </w:rPr>
              <w:t xml:space="preserve"> trefoil</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Eragrostis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curvulata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xml:space="preserve">weeping </w:t>
            </w:r>
            <w:proofErr w:type="spellStart"/>
            <w:r w:rsidRPr="000E761A">
              <w:rPr>
                <w:rFonts w:eastAsia="Times New Roman" w:cs="Times New Roman"/>
                <w:color w:val="000000"/>
              </w:rPr>
              <w:t>lovegrass</w:t>
            </w:r>
            <w:proofErr w:type="spellEnd"/>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Young</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Robinia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pseudoacacia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locust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Dactylis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glomerata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orchard 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Middle-age</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Sericea</w:t>
            </w:r>
            <w:proofErr w:type="spellEnd"/>
            <w:r w:rsidRPr="000E761A">
              <w:rPr>
                <w:rFonts w:eastAsia="Times New Roman" w:cs="Times New Roman"/>
                <w:i/>
                <w:iCs/>
                <w:color w:val="000000"/>
              </w:rPr>
              <w:t xml:space="preserve"> lespedeza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Chinese lespedeza</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Middle-age</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pennsylvanica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green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strobus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pine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Old</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Sericea</w:t>
            </w:r>
            <w:proofErr w:type="spellEnd"/>
            <w:r w:rsidRPr="000E761A">
              <w:rPr>
                <w:rFonts w:eastAsia="Times New Roman" w:cs="Times New Roman"/>
                <w:i/>
                <w:iCs/>
                <w:color w:val="000000"/>
              </w:rPr>
              <w:t xml:space="preserve"> lespedeza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Chinese lespedeza</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Festuca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Arundinaceae</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tall fescue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Lotus </w:t>
            </w:r>
            <w:proofErr w:type="spellStart"/>
            <w:r w:rsidRPr="000E761A">
              <w:rPr>
                <w:rFonts w:eastAsia="Times New Roman" w:cs="Times New Roman"/>
                <w:i/>
                <w:iCs/>
                <w:color w:val="000000"/>
              </w:rPr>
              <w:t>corniculatus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birdsfoot</w:t>
            </w:r>
            <w:proofErr w:type="spellEnd"/>
            <w:r w:rsidRPr="000E761A">
              <w:rPr>
                <w:rFonts w:eastAsia="Times New Roman" w:cs="Times New Roman"/>
                <w:color w:val="000000"/>
              </w:rPr>
              <w:t xml:space="preserve"> trefoil</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Robinia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pseudoacacia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locust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Old</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borthern</w:t>
            </w:r>
            <w:proofErr w:type="spellEnd"/>
            <w:r w:rsidRPr="000E761A">
              <w:rPr>
                <w:rFonts w:eastAsia="Times New Roman" w:cs="Times New Roman"/>
                <w:color w:val="000000"/>
              </w:rPr>
              <w:t xml:space="preserve">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virginiana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Virginia pine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Acer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red maple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Juglans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nigra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walnut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Unmined</w:t>
            </w:r>
            <w:proofErr w:type="spellEnd"/>
            <w:r w:rsidRPr="000E761A">
              <w:rPr>
                <w:rFonts w:eastAsia="Times New Roman" w:cs="Times New Roman"/>
                <w:color w:val="000000"/>
              </w:rPr>
              <w:t xml:space="preserve"> Forest</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Betula</w:t>
            </w:r>
            <w:proofErr w:type="spellEnd"/>
            <w:r w:rsidRPr="000E761A">
              <w:rPr>
                <w:rFonts w:eastAsia="Times New Roman" w:cs="Times New Roman"/>
                <w:i/>
                <w:iCs/>
                <w:color w:val="000000"/>
              </w:rPr>
              <w:t xml:space="preserve"> Americana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beech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Cornus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florida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flowering dogwood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Acer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red maple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Juglans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nigra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walnut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15"/>
        </w:trPr>
        <w:tc>
          <w:tcPr>
            <w:tcW w:w="2340" w:type="dxa"/>
            <w:gridSpan w:val="2"/>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Virginia Sites</w:t>
            </w:r>
          </w:p>
        </w:tc>
        <w:tc>
          <w:tcPr>
            <w:tcW w:w="12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246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w:t>
            </w:r>
          </w:p>
        </w:tc>
        <w:tc>
          <w:tcPr>
            <w:tcW w:w="20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142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Young</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Sericea</w:t>
            </w:r>
            <w:proofErr w:type="spellEnd"/>
            <w:r w:rsidRPr="000E761A">
              <w:rPr>
                <w:rFonts w:eastAsia="Times New Roman" w:cs="Times New Roman"/>
                <w:i/>
                <w:iCs/>
                <w:color w:val="000000"/>
              </w:rPr>
              <w:t xml:space="preserve"> lespedeza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Chinese lespedeza</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Trifolium</w:t>
            </w:r>
            <w:proofErr w:type="spellEnd"/>
            <w:r w:rsidRPr="000E761A">
              <w:rPr>
                <w:rFonts w:eastAsia="Times New Roman" w:cs="Times New Roman"/>
                <w:i/>
                <w:iCs/>
                <w:color w:val="000000"/>
              </w:rPr>
              <w:t xml:space="preserve"> sp.</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clover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Lotus </w:t>
            </w:r>
            <w:proofErr w:type="spellStart"/>
            <w:r w:rsidRPr="000E761A">
              <w:rPr>
                <w:rFonts w:eastAsia="Times New Roman" w:cs="Times New Roman"/>
                <w:i/>
                <w:iCs/>
                <w:color w:val="000000"/>
              </w:rPr>
              <w:t>corniculatus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birdsfoot</w:t>
            </w:r>
            <w:proofErr w:type="spellEnd"/>
            <w:r w:rsidRPr="000E761A">
              <w:rPr>
                <w:rFonts w:eastAsia="Times New Roman" w:cs="Times New Roman"/>
                <w:color w:val="000000"/>
              </w:rPr>
              <w:t xml:space="preserve"> trefoil</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Eragrostis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curvulata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xml:space="preserve">weeping </w:t>
            </w:r>
            <w:proofErr w:type="spellStart"/>
            <w:r w:rsidRPr="000E761A">
              <w:rPr>
                <w:rFonts w:eastAsia="Times New Roman" w:cs="Times New Roman"/>
                <w:color w:val="000000"/>
              </w:rPr>
              <w:t>lovegrass</w:t>
            </w:r>
            <w:proofErr w:type="spellEnd"/>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Young</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Trifolium</w:t>
            </w:r>
            <w:proofErr w:type="spellEnd"/>
            <w:r w:rsidRPr="000E761A">
              <w:rPr>
                <w:rFonts w:eastAsia="Times New Roman" w:cs="Times New Roman"/>
                <w:i/>
                <w:iCs/>
                <w:color w:val="000000"/>
              </w:rPr>
              <w:t xml:space="preserve"> sp.</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clover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Lotus </w:t>
            </w:r>
            <w:proofErr w:type="spellStart"/>
            <w:r w:rsidRPr="000E761A">
              <w:rPr>
                <w:rFonts w:eastAsia="Times New Roman" w:cs="Times New Roman"/>
                <w:i/>
                <w:iCs/>
                <w:color w:val="000000"/>
              </w:rPr>
              <w:t>corniculatus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birdsfoot</w:t>
            </w:r>
            <w:proofErr w:type="spellEnd"/>
            <w:r w:rsidRPr="000E761A">
              <w:rPr>
                <w:rFonts w:eastAsia="Times New Roman" w:cs="Times New Roman"/>
                <w:color w:val="000000"/>
              </w:rPr>
              <w:t xml:space="preserve"> trefoil</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strobus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pine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Q. </w:t>
            </w:r>
            <w:proofErr w:type="spellStart"/>
            <w:r w:rsidRPr="000E761A">
              <w:rPr>
                <w:rFonts w:eastAsia="Times New Roman" w:cs="Times New Roman"/>
                <w:i/>
                <w:iCs/>
                <w:color w:val="000000"/>
              </w:rPr>
              <w:t>Prinus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chestnut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Dactylis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glomerata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orchard 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Middle-age</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Dactylis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glomerata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orchard 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Lotus </w:t>
            </w:r>
            <w:proofErr w:type="spellStart"/>
            <w:r w:rsidRPr="000E761A">
              <w:rPr>
                <w:rFonts w:eastAsia="Times New Roman" w:cs="Times New Roman"/>
                <w:i/>
                <w:iCs/>
                <w:color w:val="000000"/>
              </w:rPr>
              <w:t>corniculatus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birdsfoot</w:t>
            </w:r>
            <w:proofErr w:type="spellEnd"/>
            <w:r w:rsidRPr="000E761A">
              <w:rPr>
                <w:rFonts w:eastAsia="Times New Roman" w:cs="Times New Roman"/>
                <w:color w:val="000000"/>
              </w:rPr>
              <w:t xml:space="preserve"> trefoil</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Cercis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eastern redbud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Eleagnus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Umbellata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autumn olive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Middle-age</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Trifolium</w:t>
            </w:r>
            <w:proofErr w:type="spellEnd"/>
            <w:r w:rsidRPr="000E761A">
              <w:rPr>
                <w:rFonts w:eastAsia="Times New Roman" w:cs="Times New Roman"/>
                <w:color w:val="000000"/>
              </w:rPr>
              <w:t xml:space="preserve"> sp.</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clover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Cercis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eastern redbud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Old</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Trifolium</w:t>
            </w:r>
            <w:proofErr w:type="spellEnd"/>
            <w:r w:rsidRPr="000E761A">
              <w:rPr>
                <w:rFonts w:eastAsia="Times New Roman" w:cs="Times New Roman"/>
                <w:color w:val="000000"/>
              </w:rPr>
              <w:t xml:space="preserve"> sp.</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clover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strobus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pine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Old</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Solidago</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goldenrod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Festuca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Arundinaceae</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tall fescue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Eleagnus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Umbellata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autumn olive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Unminded</w:t>
            </w:r>
            <w:proofErr w:type="spellEnd"/>
            <w:r w:rsidRPr="000E761A">
              <w:rPr>
                <w:rFonts w:eastAsia="Times New Roman" w:cs="Times New Roman"/>
                <w:color w:val="000000"/>
              </w:rPr>
              <w:t xml:space="preserve"> forest</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pennsylvanica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green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Fraxinus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americana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white ash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Betula</w:t>
            </w:r>
            <w:proofErr w:type="spellEnd"/>
            <w:r w:rsidRPr="000E761A">
              <w:rPr>
                <w:rFonts w:eastAsia="Times New Roman" w:cs="Times New Roman"/>
                <w:i/>
                <w:iCs/>
                <w:color w:val="000000"/>
              </w:rPr>
              <w:t xml:space="preserve"> Americana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beech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Robinia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pseudoacacia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locust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Cornus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florida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flower dogwood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Acer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red maple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Juglans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nigra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walnut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15"/>
        </w:trPr>
        <w:tc>
          <w:tcPr>
            <w:tcW w:w="2340" w:type="dxa"/>
            <w:gridSpan w:val="2"/>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Kentucky Sites</w:t>
            </w:r>
          </w:p>
        </w:tc>
        <w:tc>
          <w:tcPr>
            <w:tcW w:w="12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246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w:t>
            </w:r>
          </w:p>
        </w:tc>
        <w:tc>
          <w:tcPr>
            <w:tcW w:w="20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142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Young</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Festuca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Arundinaceae</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tall fescue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Cercis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eastern red bud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Solidago</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goldenrod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Young</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Solidago</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goldenrod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Festuca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Arundinaceae</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tall fescue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Prunus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serotina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cherry</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Cercis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eastern redbud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Middle-age</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Sericea</w:t>
            </w:r>
            <w:proofErr w:type="spellEnd"/>
            <w:r w:rsidRPr="000E761A">
              <w:rPr>
                <w:rFonts w:eastAsia="Times New Roman" w:cs="Times New Roman"/>
                <w:i/>
                <w:iCs/>
                <w:color w:val="000000"/>
              </w:rPr>
              <w:t xml:space="preserve"> lespedeza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Chinese lespedeza</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Dactylis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glomerata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orchard 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Festuca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Arundinaceae</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tall fescue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Eleagnus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Umbellata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autumn olive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Middle-age</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Solidago</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goldenrod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Lotus </w:t>
            </w:r>
            <w:proofErr w:type="spellStart"/>
            <w:r w:rsidRPr="000E761A">
              <w:rPr>
                <w:rFonts w:eastAsia="Times New Roman" w:cs="Times New Roman"/>
                <w:i/>
                <w:iCs/>
                <w:color w:val="000000"/>
              </w:rPr>
              <w:t>corniculatus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birdsfoot</w:t>
            </w:r>
            <w:proofErr w:type="spellEnd"/>
            <w:r w:rsidRPr="000E761A">
              <w:rPr>
                <w:rFonts w:eastAsia="Times New Roman" w:cs="Times New Roman"/>
                <w:color w:val="000000"/>
              </w:rPr>
              <w:t xml:space="preserve"> trefoil</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Acer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red maple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SMCRA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Old</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Eleagnus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Umbellata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autumn olive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Festuca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Arundinaceae</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tall fescue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Solidago</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goldenrod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Lolium</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multiflorum</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annual ryegrass</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non-native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FRA</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Old</w:t>
            </w: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Prunus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serotina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cherry</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Robinia</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pseudoacacia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black locust</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Acer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red maple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Unmined</w:t>
            </w:r>
            <w:proofErr w:type="spellEnd"/>
            <w:r w:rsidRPr="000E761A">
              <w:rPr>
                <w:rFonts w:eastAsia="Times New Roman" w:cs="Times New Roman"/>
                <w:color w:val="000000"/>
              </w:rPr>
              <w:t xml:space="preserve"> forest</w:t>
            </w: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Cercis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canadensis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eastern red bud</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Quercus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northern red oak</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Liriodendron </w:t>
            </w:r>
            <w:proofErr w:type="spellStart"/>
            <w:r w:rsidRPr="000E761A">
              <w:rPr>
                <w:rFonts w:eastAsia="Times New Roman" w:cs="Times New Roman"/>
                <w:i/>
                <w:iCs/>
                <w:color w:val="000000"/>
              </w:rPr>
              <w:t>Tulipfera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yellow poplar</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Platanus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occidentalis</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sycamore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Betula</w:t>
            </w:r>
            <w:proofErr w:type="spellEnd"/>
            <w:r w:rsidRPr="000E761A">
              <w:rPr>
                <w:rFonts w:eastAsia="Times New Roman" w:cs="Times New Roman"/>
                <w:i/>
                <w:iCs/>
                <w:color w:val="000000"/>
              </w:rPr>
              <w:t xml:space="preserve"> Americana</w:t>
            </w:r>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American beech</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00"/>
        </w:trPr>
        <w:tc>
          <w:tcPr>
            <w:tcW w:w="38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9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12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p>
        </w:tc>
        <w:tc>
          <w:tcPr>
            <w:tcW w:w="246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i/>
                <w:iCs/>
                <w:color w:val="000000"/>
              </w:rPr>
            </w:pPr>
            <w:r w:rsidRPr="000E761A">
              <w:rPr>
                <w:rFonts w:eastAsia="Times New Roman" w:cs="Times New Roman"/>
                <w:i/>
                <w:iCs/>
                <w:color w:val="000000"/>
              </w:rPr>
              <w:t xml:space="preserve">Acer </w:t>
            </w:r>
            <w:proofErr w:type="spellStart"/>
            <w:r w:rsidRPr="000E761A">
              <w:rPr>
                <w:rFonts w:eastAsia="Times New Roman" w:cs="Times New Roman"/>
                <w:i/>
                <w:iCs/>
                <w:color w:val="000000"/>
              </w:rPr>
              <w:t>rubra</w:t>
            </w:r>
            <w:proofErr w:type="spellEnd"/>
          </w:p>
        </w:tc>
        <w:tc>
          <w:tcPr>
            <w:tcW w:w="204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Red maple</w:t>
            </w:r>
          </w:p>
        </w:tc>
        <w:tc>
          <w:tcPr>
            <w:tcW w:w="1420" w:type="dxa"/>
            <w:tcBorders>
              <w:top w:val="nil"/>
              <w:left w:val="nil"/>
              <w:bottom w:val="nil"/>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r w:rsidR="00AC49A4" w:rsidRPr="000E761A" w:rsidTr="003C0513">
        <w:trPr>
          <w:trHeight w:val="315"/>
        </w:trPr>
        <w:tc>
          <w:tcPr>
            <w:tcW w:w="38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196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12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 </w:t>
            </w:r>
          </w:p>
        </w:tc>
        <w:tc>
          <w:tcPr>
            <w:tcW w:w="246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i/>
                <w:iCs/>
                <w:color w:val="000000"/>
              </w:rPr>
            </w:pPr>
            <w:proofErr w:type="spellStart"/>
            <w:r w:rsidRPr="000E761A">
              <w:rPr>
                <w:rFonts w:eastAsia="Times New Roman" w:cs="Times New Roman"/>
                <w:i/>
                <w:iCs/>
                <w:color w:val="000000"/>
              </w:rPr>
              <w:t>Juglans</w:t>
            </w:r>
            <w:proofErr w:type="spellEnd"/>
            <w:r w:rsidRPr="000E761A">
              <w:rPr>
                <w:rFonts w:eastAsia="Times New Roman" w:cs="Times New Roman"/>
                <w:i/>
                <w:iCs/>
                <w:color w:val="000000"/>
              </w:rPr>
              <w:t xml:space="preserve"> </w:t>
            </w:r>
            <w:proofErr w:type="spellStart"/>
            <w:r w:rsidRPr="000E761A">
              <w:rPr>
                <w:rFonts w:eastAsia="Times New Roman" w:cs="Times New Roman"/>
                <w:i/>
                <w:iCs/>
                <w:color w:val="000000"/>
              </w:rPr>
              <w:t>nigra</w:t>
            </w:r>
            <w:proofErr w:type="spellEnd"/>
          </w:p>
        </w:tc>
        <w:tc>
          <w:tcPr>
            <w:tcW w:w="204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proofErr w:type="spellStart"/>
            <w:r w:rsidRPr="000E761A">
              <w:rPr>
                <w:rFonts w:eastAsia="Times New Roman" w:cs="Times New Roman"/>
                <w:color w:val="000000"/>
              </w:rPr>
              <w:t>rlack</w:t>
            </w:r>
            <w:proofErr w:type="spellEnd"/>
            <w:r w:rsidRPr="000E761A">
              <w:rPr>
                <w:rFonts w:eastAsia="Times New Roman" w:cs="Times New Roman"/>
                <w:color w:val="000000"/>
              </w:rPr>
              <w:t xml:space="preserve"> walnut</w:t>
            </w:r>
          </w:p>
        </w:tc>
        <w:tc>
          <w:tcPr>
            <w:tcW w:w="1420" w:type="dxa"/>
            <w:tcBorders>
              <w:top w:val="nil"/>
              <w:left w:val="nil"/>
              <w:bottom w:val="single" w:sz="8" w:space="0" w:color="auto"/>
              <w:right w:val="nil"/>
            </w:tcBorders>
            <w:shd w:val="clear" w:color="auto" w:fill="auto"/>
            <w:noWrap/>
            <w:vAlign w:val="bottom"/>
            <w:hideMark/>
          </w:tcPr>
          <w:p w:rsidR="00AC49A4" w:rsidRPr="000E761A" w:rsidRDefault="00AC49A4" w:rsidP="003C0513">
            <w:pPr>
              <w:rPr>
                <w:rFonts w:eastAsia="Times New Roman" w:cs="Times New Roman"/>
                <w:color w:val="000000"/>
              </w:rPr>
            </w:pPr>
            <w:r w:rsidRPr="000E761A">
              <w:rPr>
                <w:rFonts w:eastAsia="Times New Roman" w:cs="Times New Roman"/>
                <w:color w:val="000000"/>
              </w:rPr>
              <w:t>native</w:t>
            </w:r>
          </w:p>
        </w:tc>
      </w:tr>
    </w:tbl>
    <w:p w:rsidR="00AC49A4" w:rsidRPr="00BA7280" w:rsidRDefault="00AC49A4" w:rsidP="003C0513">
      <w:pPr>
        <w:jc w:val="center"/>
      </w:pPr>
    </w:p>
    <w:p w:rsidR="00AC49A4" w:rsidRPr="00BA7280" w:rsidRDefault="00AC49A4" w:rsidP="003C0513">
      <w:pPr>
        <w:jc w:val="center"/>
      </w:pPr>
    </w:p>
    <w:p w:rsidR="00AC49A4" w:rsidRPr="00BA7280" w:rsidRDefault="00AC49A4" w:rsidP="003C0513">
      <w:pPr>
        <w:jc w:val="center"/>
      </w:pPr>
    </w:p>
    <w:p w:rsidR="00AC49A4" w:rsidRPr="00BA7280" w:rsidRDefault="00AC49A4" w:rsidP="003C0513">
      <w:pPr>
        <w:jc w:val="center"/>
      </w:pPr>
    </w:p>
    <w:p w:rsidR="000D7E4D" w:rsidRDefault="000D7E4D">
      <w:r>
        <w:br w:type="page"/>
      </w:r>
    </w:p>
    <w:p w:rsidR="00AC49A4" w:rsidRDefault="00AC49A4"/>
    <w:p w:rsidR="00AC49A4" w:rsidRDefault="00AC49A4" w:rsidP="003C0513">
      <w:pPr>
        <w:pStyle w:val="Heading1"/>
      </w:pPr>
      <w:bookmarkStart w:id="54" w:name="_Toc340837900"/>
      <w:r>
        <w:t>Vita</w:t>
      </w:r>
      <w:r w:rsidR="000D7E4D">
        <w:t>e</w:t>
      </w:r>
      <w:bookmarkEnd w:id="54"/>
    </w:p>
    <w:p w:rsidR="000D7E4D" w:rsidRPr="000D7E4D" w:rsidRDefault="000D7E4D" w:rsidP="000D7E4D"/>
    <w:p w:rsidR="00AC49A4" w:rsidRPr="00FD56BA" w:rsidRDefault="00AC49A4" w:rsidP="003C0513">
      <w:pPr>
        <w:spacing w:line="480" w:lineRule="auto"/>
        <w:ind w:firstLine="720"/>
        <w:rPr>
          <w:sz w:val="24"/>
          <w:szCs w:val="24"/>
        </w:rPr>
      </w:pPr>
      <w:r w:rsidRPr="00FD56BA">
        <w:rPr>
          <w:sz w:val="24"/>
          <w:szCs w:val="24"/>
        </w:rPr>
        <w:t>Haley Smith had the good sense to be born in Stillwater, Oklahoma. She attended high school in Edmond, Oklahoma, prior to returning to Stillwater, Oklahoma to pursue a B.S. in forestry at Oklahoma State University.  During her tenure in her Bachelor’s program, she attended Humboldt State University in Arcata, California for an exchange program.  After graduating in 2008,</w:t>
      </w:r>
      <w:r>
        <w:rPr>
          <w:sz w:val="24"/>
          <w:szCs w:val="24"/>
        </w:rPr>
        <w:t xml:space="preserve"> </w:t>
      </w:r>
      <w:r w:rsidRPr="00FD56BA">
        <w:rPr>
          <w:sz w:val="24"/>
          <w:szCs w:val="24"/>
        </w:rPr>
        <w:t>she worked as a field technician in the Cascade Mountains in Southern Oregon, and also in the Mojave Desert in Southern California.  She moved to Knoxville Tennessee to work as a lab manager in an ecosystem ecology lab from 2009-2010. In January of 2011, she enrolled in the Entomology and Plant Pathology program at the University of Tennessee.</w:t>
      </w:r>
    </w:p>
    <w:p w:rsidR="00816E95" w:rsidRDefault="00816E95"/>
    <w:sectPr w:rsidR="00816E95" w:rsidSect="003C05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513" w:rsidRDefault="003C0513">
      <w:r>
        <w:separator/>
      </w:r>
    </w:p>
  </w:endnote>
  <w:endnote w:type="continuationSeparator" w:id="0">
    <w:p w:rsidR="003C0513" w:rsidRDefault="003C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E4D" w:rsidRDefault="000D7E4D">
    <w:pPr>
      <w:pStyle w:val="Footer"/>
      <w:jc w:val="center"/>
    </w:pPr>
  </w:p>
  <w:p w:rsidR="003C0513" w:rsidRDefault="003C05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430880"/>
      <w:docPartObj>
        <w:docPartGallery w:val="Page Numbers (Bottom of Page)"/>
        <w:docPartUnique/>
      </w:docPartObj>
    </w:sdtPr>
    <w:sdtEndPr>
      <w:rPr>
        <w:noProof/>
      </w:rPr>
    </w:sdtEndPr>
    <w:sdtContent>
      <w:p w:rsidR="000D7E4D" w:rsidRDefault="000D7E4D">
        <w:pPr>
          <w:pStyle w:val="Footer"/>
          <w:jc w:val="center"/>
        </w:pPr>
        <w:r>
          <w:fldChar w:fldCharType="begin"/>
        </w:r>
        <w:r>
          <w:instrText xml:space="preserve"> PAGE   \* MERGEFORMAT </w:instrText>
        </w:r>
        <w:r>
          <w:fldChar w:fldCharType="separate"/>
        </w:r>
        <w:r w:rsidR="00B1754F">
          <w:rPr>
            <w:noProof/>
          </w:rPr>
          <w:t>61</w:t>
        </w:r>
        <w:r>
          <w:rPr>
            <w:noProof/>
          </w:rPr>
          <w:fldChar w:fldCharType="end"/>
        </w:r>
      </w:p>
    </w:sdtContent>
  </w:sdt>
  <w:p w:rsidR="000D7E4D" w:rsidRDefault="000D7E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234202"/>
      <w:docPartObj>
        <w:docPartGallery w:val="Page Numbers (Bottom of Page)"/>
        <w:docPartUnique/>
      </w:docPartObj>
    </w:sdtPr>
    <w:sdtEndPr>
      <w:rPr>
        <w:noProof/>
      </w:rPr>
    </w:sdtEndPr>
    <w:sdtContent>
      <w:p w:rsidR="003C0513" w:rsidRDefault="003C0513">
        <w:pPr>
          <w:pStyle w:val="Footer"/>
          <w:jc w:val="center"/>
        </w:pPr>
        <w:r>
          <w:fldChar w:fldCharType="begin"/>
        </w:r>
        <w:r>
          <w:instrText xml:space="preserve"> PAGE   \* MERGEFORMAT </w:instrText>
        </w:r>
        <w:r>
          <w:fldChar w:fldCharType="separate"/>
        </w:r>
        <w:r w:rsidR="00B1754F">
          <w:rPr>
            <w:noProof/>
          </w:rPr>
          <w:t>1</w:t>
        </w:r>
        <w:r>
          <w:rPr>
            <w:noProof/>
          </w:rPr>
          <w:fldChar w:fldCharType="end"/>
        </w:r>
      </w:p>
    </w:sdtContent>
  </w:sdt>
  <w:p w:rsidR="003C0513" w:rsidRDefault="003C05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513" w:rsidRDefault="003C0513">
      <w:r>
        <w:separator/>
      </w:r>
    </w:p>
  </w:footnote>
  <w:footnote w:type="continuationSeparator" w:id="0">
    <w:p w:rsidR="003C0513" w:rsidRDefault="003C0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13DD2"/>
    <w:multiLevelType w:val="hybridMultilevel"/>
    <w:tmpl w:val="7228E9D8"/>
    <w:lvl w:ilvl="0" w:tplc="7728BD80">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
    <w:nsid w:val="33DE7BC2"/>
    <w:multiLevelType w:val="hybridMultilevel"/>
    <w:tmpl w:val="562C5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647D81"/>
    <w:multiLevelType w:val="hybridMultilevel"/>
    <w:tmpl w:val="4DEEF2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215ABF"/>
    <w:multiLevelType w:val="hybridMultilevel"/>
    <w:tmpl w:val="F1DC470C"/>
    <w:lvl w:ilvl="0" w:tplc="1DB29448">
      <w:start w:val="1"/>
      <w:numFmt w:val="lowerLetter"/>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4">
    <w:nsid w:val="4E9C75DD"/>
    <w:multiLevelType w:val="hybridMultilevel"/>
    <w:tmpl w:val="3F7281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481B1C"/>
    <w:multiLevelType w:val="hybridMultilevel"/>
    <w:tmpl w:val="BAAA97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7C1E5FAE"/>
    <w:multiLevelType w:val="hybridMultilevel"/>
    <w:tmpl w:val="4DEEF2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1&lt;/Suspended&gt;&lt;/ENInstantFormat&gt;"/>
  </w:docVars>
  <w:rsids>
    <w:rsidRoot w:val="00AC49A4"/>
    <w:rsid w:val="000D7E4D"/>
    <w:rsid w:val="003C0513"/>
    <w:rsid w:val="00816E95"/>
    <w:rsid w:val="00942169"/>
    <w:rsid w:val="009F7D0C"/>
    <w:rsid w:val="00AC49A4"/>
    <w:rsid w:val="00AD49B8"/>
    <w:rsid w:val="00B1754F"/>
    <w:rsid w:val="00B8712C"/>
    <w:rsid w:val="00C01E4C"/>
    <w:rsid w:val="00FB6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9A4"/>
    <w:pPr>
      <w:spacing w:after="0" w:line="240" w:lineRule="auto"/>
    </w:pPr>
    <w:rPr>
      <w:rFonts w:ascii="Times New Roman" w:hAnsi="Times New Roman"/>
    </w:rPr>
  </w:style>
  <w:style w:type="paragraph" w:styleId="Heading1">
    <w:name w:val="heading 1"/>
    <w:basedOn w:val="Normal"/>
    <w:next w:val="Normal"/>
    <w:link w:val="Heading1Char"/>
    <w:uiPriority w:val="9"/>
    <w:qFormat/>
    <w:rsid w:val="00AC49A4"/>
    <w:pPr>
      <w:keepNext/>
      <w:keepLines/>
      <w:spacing w:before="480" w:line="276" w:lineRule="auto"/>
      <w:jc w:val="center"/>
      <w:outlineLvl w:val="0"/>
    </w:pPr>
    <w:rPr>
      <w:rFonts w:eastAsiaTheme="majorEastAsia" w:cstheme="majorBidi"/>
      <w:b/>
      <w:bCs/>
      <w:i/>
      <w:sz w:val="28"/>
      <w:szCs w:val="28"/>
    </w:rPr>
  </w:style>
  <w:style w:type="paragraph" w:styleId="Heading2">
    <w:name w:val="heading 2"/>
    <w:basedOn w:val="Normal"/>
    <w:next w:val="Normal"/>
    <w:link w:val="Heading2Char"/>
    <w:uiPriority w:val="9"/>
    <w:unhideWhenUsed/>
    <w:qFormat/>
    <w:rsid w:val="00AC49A4"/>
    <w:pPr>
      <w:keepNext/>
      <w:keepLines/>
      <w:spacing w:before="200"/>
      <w:jc w:val="center"/>
      <w:outlineLvl w:val="1"/>
    </w:pPr>
    <w:rPr>
      <w:rFonts w:eastAsiaTheme="majorEastAsia" w:cstheme="majorBidi"/>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9A4"/>
    <w:rPr>
      <w:rFonts w:ascii="Times New Roman" w:eastAsiaTheme="majorEastAsia" w:hAnsi="Times New Roman" w:cstheme="majorBidi"/>
      <w:b/>
      <w:bCs/>
      <w:i/>
      <w:sz w:val="28"/>
      <w:szCs w:val="28"/>
    </w:rPr>
  </w:style>
  <w:style w:type="character" w:customStyle="1" w:styleId="Heading2Char">
    <w:name w:val="Heading 2 Char"/>
    <w:basedOn w:val="DefaultParagraphFont"/>
    <w:link w:val="Heading2"/>
    <w:uiPriority w:val="9"/>
    <w:rsid w:val="00AC49A4"/>
    <w:rPr>
      <w:rFonts w:ascii="Times New Roman" w:eastAsiaTheme="majorEastAsia" w:hAnsi="Times New Roman" w:cstheme="majorBidi"/>
      <w:bCs/>
      <w:i/>
      <w:sz w:val="26"/>
      <w:szCs w:val="26"/>
    </w:rPr>
  </w:style>
  <w:style w:type="paragraph" w:styleId="ListParagraph">
    <w:name w:val="List Paragraph"/>
    <w:basedOn w:val="Normal"/>
    <w:uiPriority w:val="99"/>
    <w:qFormat/>
    <w:rsid w:val="00AC49A4"/>
    <w:pPr>
      <w:ind w:left="720"/>
      <w:contextualSpacing/>
    </w:pPr>
  </w:style>
  <w:style w:type="character" w:styleId="CommentReference">
    <w:name w:val="annotation reference"/>
    <w:basedOn w:val="DefaultParagraphFont"/>
    <w:uiPriority w:val="99"/>
    <w:semiHidden/>
    <w:unhideWhenUsed/>
    <w:rsid w:val="00AC49A4"/>
    <w:rPr>
      <w:sz w:val="16"/>
      <w:szCs w:val="16"/>
    </w:rPr>
  </w:style>
  <w:style w:type="paragraph" w:styleId="CommentText">
    <w:name w:val="annotation text"/>
    <w:basedOn w:val="Normal"/>
    <w:link w:val="CommentTextChar"/>
    <w:uiPriority w:val="99"/>
    <w:semiHidden/>
    <w:unhideWhenUsed/>
    <w:rsid w:val="00AC49A4"/>
    <w:pPr>
      <w:spacing w:after="200"/>
    </w:pPr>
    <w:rPr>
      <w:sz w:val="20"/>
      <w:szCs w:val="20"/>
    </w:rPr>
  </w:style>
  <w:style w:type="character" w:customStyle="1" w:styleId="CommentTextChar">
    <w:name w:val="Comment Text Char"/>
    <w:basedOn w:val="DefaultParagraphFont"/>
    <w:link w:val="CommentText"/>
    <w:uiPriority w:val="99"/>
    <w:semiHidden/>
    <w:rsid w:val="00AC49A4"/>
    <w:rPr>
      <w:rFonts w:ascii="Times New Roman" w:hAnsi="Times New Roman"/>
      <w:sz w:val="20"/>
      <w:szCs w:val="20"/>
    </w:rPr>
  </w:style>
  <w:style w:type="paragraph" w:styleId="BalloonText">
    <w:name w:val="Balloon Text"/>
    <w:basedOn w:val="Normal"/>
    <w:link w:val="BalloonTextChar"/>
    <w:uiPriority w:val="99"/>
    <w:semiHidden/>
    <w:unhideWhenUsed/>
    <w:rsid w:val="00AC49A4"/>
    <w:rPr>
      <w:rFonts w:ascii="Tahoma" w:hAnsi="Tahoma" w:cs="Tahoma"/>
      <w:sz w:val="16"/>
      <w:szCs w:val="16"/>
    </w:rPr>
  </w:style>
  <w:style w:type="character" w:customStyle="1" w:styleId="BalloonTextChar">
    <w:name w:val="Balloon Text Char"/>
    <w:basedOn w:val="DefaultParagraphFont"/>
    <w:link w:val="BalloonText"/>
    <w:uiPriority w:val="99"/>
    <w:semiHidden/>
    <w:rsid w:val="00AC49A4"/>
    <w:rPr>
      <w:rFonts w:ascii="Tahoma" w:hAnsi="Tahoma" w:cs="Tahoma"/>
      <w:sz w:val="16"/>
      <w:szCs w:val="16"/>
    </w:rPr>
  </w:style>
  <w:style w:type="paragraph" w:styleId="EndnoteText">
    <w:name w:val="endnote text"/>
    <w:basedOn w:val="Normal"/>
    <w:link w:val="EndnoteTextChar"/>
    <w:uiPriority w:val="99"/>
    <w:semiHidden/>
    <w:unhideWhenUsed/>
    <w:rsid w:val="00AC49A4"/>
    <w:rPr>
      <w:sz w:val="20"/>
      <w:szCs w:val="20"/>
    </w:rPr>
  </w:style>
  <w:style w:type="character" w:customStyle="1" w:styleId="EndnoteTextChar">
    <w:name w:val="Endnote Text Char"/>
    <w:basedOn w:val="DefaultParagraphFont"/>
    <w:link w:val="EndnoteText"/>
    <w:uiPriority w:val="99"/>
    <w:semiHidden/>
    <w:rsid w:val="00AC49A4"/>
    <w:rPr>
      <w:rFonts w:ascii="Times New Roman" w:hAnsi="Times New Roman"/>
      <w:sz w:val="20"/>
      <w:szCs w:val="20"/>
    </w:rPr>
  </w:style>
  <w:style w:type="character" w:styleId="EndnoteReference">
    <w:name w:val="endnote reference"/>
    <w:basedOn w:val="DefaultParagraphFont"/>
    <w:uiPriority w:val="99"/>
    <w:semiHidden/>
    <w:unhideWhenUsed/>
    <w:rsid w:val="00AC49A4"/>
    <w:rPr>
      <w:vertAlign w:val="superscript"/>
    </w:rPr>
  </w:style>
  <w:style w:type="character" w:styleId="Hyperlink">
    <w:name w:val="Hyperlink"/>
    <w:basedOn w:val="DefaultParagraphFont"/>
    <w:uiPriority w:val="99"/>
    <w:unhideWhenUsed/>
    <w:rsid w:val="00AC49A4"/>
    <w:rPr>
      <w:color w:val="0000FF" w:themeColor="hyperlink"/>
      <w:u w:val="single"/>
    </w:rPr>
  </w:style>
  <w:style w:type="paragraph" w:styleId="Revision">
    <w:name w:val="Revision"/>
    <w:hidden/>
    <w:uiPriority w:val="99"/>
    <w:semiHidden/>
    <w:rsid w:val="00AC49A4"/>
    <w:pPr>
      <w:spacing w:after="0" w:line="240" w:lineRule="auto"/>
    </w:pPr>
  </w:style>
  <w:style w:type="paragraph" w:styleId="Header">
    <w:name w:val="header"/>
    <w:basedOn w:val="Normal"/>
    <w:link w:val="HeaderChar"/>
    <w:uiPriority w:val="99"/>
    <w:unhideWhenUsed/>
    <w:rsid w:val="00AC49A4"/>
    <w:pPr>
      <w:tabs>
        <w:tab w:val="center" w:pos="4680"/>
        <w:tab w:val="right" w:pos="9360"/>
      </w:tabs>
    </w:pPr>
  </w:style>
  <w:style w:type="character" w:customStyle="1" w:styleId="HeaderChar">
    <w:name w:val="Header Char"/>
    <w:basedOn w:val="DefaultParagraphFont"/>
    <w:link w:val="Header"/>
    <w:uiPriority w:val="99"/>
    <w:rsid w:val="00AC49A4"/>
    <w:rPr>
      <w:rFonts w:ascii="Times New Roman" w:hAnsi="Times New Roman"/>
    </w:rPr>
  </w:style>
  <w:style w:type="paragraph" w:styleId="Footer">
    <w:name w:val="footer"/>
    <w:basedOn w:val="Normal"/>
    <w:link w:val="FooterChar"/>
    <w:uiPriority w:val="99"/>
    <w:unhideWhenUsed/>
    <w:rsid w:val="00AC49A4"/>
    <w:pPr>
      <w:tabs>
        <w:tab w:val="center" w:pos="4680"/>
        <w:tab w:val="right" w:pos="9360"/>
      </w:tabs>
    </w:pPr>
  </w:style>
  <w:style w:type="character" w:customStyle="1" w:styleId="FooterChar">
    <w:name w:val="Footer Char"/>
    <w:basedOn w:val="DefaultParagraphFont"/>
    <w:link w:val="Footer"/>
    <w:uiPriority w:val="99"/>
    <w:rsid w:val="00AC49A4"/>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C49A4"/>
    <w:pPr>
      <w:spacing w:after="0"/>
    </w:pPr>
    <w:rPr>
      <w:b/>
      <w:bCs/>
    </w:rPr>
  </w:style>
  <w:style w:type="character" w:customStyle="1" w:styleId="CommentSubjectChar">
    <w:name w:val="Comment Subject Char"/>
    <w:basedOn w:val="CommentTextChar"/>
    <w:link w:val="CommentSubject"/>
    <w:uiPriority w:val="99"/>
    <w:semiHidden/>
    <w:rsid w:val="00AC49A4"/>
    <w:rPr>
      <w:rFonts w:ascii="Times New Roman" w:hAnsi="Times New Roman"/>
      <w:b/>
      <w:bCs/>
      <w:sz w:val="20"/>
      <w:szCs w:val="20"/>
    </w:rPr>
  </w:style>
  <w:style w:type="paragraph" w:styleId="NormalWeb">
    <w:name w:val="Normal (Web)"/>
    <w:basedOn w:val="Normal"/>
    <w:uiPriority w:val="99"/>
    <w:semiHidden/>
    <w:unhideWhenUsed/>
    <w:rsid w:val="00AC49A4"/>
    <w:pPr>
      <w:spacing w:before="100" w:beforeAutospacing="1" w:after="100" w:afterAutospacing="1"/>
    </w:pPr>
    <w:rPr>
      <w:rFonts w:eastAsiaTheme="minorEastAsia" w:cs="Times New Roman"/>
      <w:sz w:val="24"/>
      <w:szCs w:val="24"/>
    </w:rPr>
  </w:style>
  <w:style w:type="paragraph" w:styleId="Caption">
    <w:name w:val="caption"/>
    <w:basedOn w:val="Normal"/>
    <w:next w:val="Normal"/>
    <w:uiPriority w:val="35"/>
    <w:unhideWhenUsed/>
    <w:qFormat/>
    <w:rsid w:val="00AC49A4"/>
    <w:pPr>
      <w:spacing w:after="200"/>
    </w:pPr>
    <w:rPr>
      <w:b/>
      <w:bCs/>
      <w:color w:val="4F81BD" w:themeColor="accent1"/>
      <w:sz w:val="18"/>
      <w:szCs w:val="18"/>
    </w:rPr>
  </w:style>
  <w:style w:type="paragraph" w:styleId="NoSpacing">
    <w:name w:val="No Spacing"/>
    <w:uiPriority w:val="1"/>
    <w:qFormat/>
    <w:rsid w:val="00AC49A4"/>
    <w:pPr>
      <w:spacing w:after="0" w:line="240" w:lineRule="auto"/>
    </w:pPr>
  </w:style>
  <w:style w:type="paragraph" w:styleId="TableofFigures">
    <w:name w:val="table of figures"/>
    <w:basedOn w:val="Normal"/>
    <w:next w:val="Normal"/>
    <w:uiPriority w:val="99"/>
    <w:unhideWhenUsed/>
    <w:rsid w:val="00AC49A4"/>
  </w:style>
  <w:style w:type="paragraph" w:styleId="TOCHeading">
    <w:name w:val="TOC Heading"/>
    <w:basedOn w:val="Heading1"/>
    <w:next w:val="Normal"/>
    <w:uiPriority w:val="39"/>
    <w:semiHidden/>
    <w:unhideWhenUsed/>
    <w:qFormat/>
    <w:rsid w:val="00AC49A4"/>
    <w:pPr>
      <w:jc w:val="left"/>
      <w:outlineLvl w:val="9"/>
    </w:pPr>
    <w:rPr>
      <w:rFonts w:asciiTheme="majorHAnsi" w:hAnsiTheme="majorHAnsi"/>
      <w:i w:val="0"/>
      <w:color w:val="365F91" w:themeColor="accent1" w:themeShade="BF"/>
      <w:lang w:eastAsia="ja-JP"/>
    </w:rPr>
  </w:style>
  <w:style w:type="paragraph" w:styleId="TOC2">
    <w:name w:val="toc 2"/>
    <w:basedOn w:val="Normal"/>
    <w:next w:val="Normal"/>
    <w:autoRedefine/>
    <w:uiPriority w:val="39"/>
    <w:unhideWhenUsed/>
    <w:qFormat/>
    <w:rsid w:val="00AC49A4"/>
    <w:pPr>
      <w:spacing w:after="100" w:line="276" w:lineRule="auto"/>
      <w:ind w:left="220"/>
    </w:pPr>
    <w:rPr>
      <w:rFonts w:asciiTheme="minorHAnsi" w:eastAsiaTheme="minorEastAsia" w:hAnsiTheme="minorHAnsi"/>
      <w:lang w:eastAsia="ja-JP"/>
    </w:rPr>
  </w:style>
  <w:style w:type="paragraph" w:styleId="TOC1">
    <w:name w:val="toc 1"/>
    <w:basedOn w:val="Normal"/>
    <w:next w:val="Normal"/>
    <w:autoRedefine/>
    <w:uiPriority w:val="39"/>
    <w:unhideWhenUsed/>
    <w:qFormat/>
    <w:rsid w:val="00AC49A4"/>
    <w:pPr>
      <w:spacing w:after="100" w:line="276" w:lineRule="auto"/>
    </w:pPr>
    <w:rPr>
      <w:rFonts w:asciiTheme="minorHAnsi" w:eastAsiaTheme="minorEastAsia" w:hAnsiTheme="minorHAnsi"/>
      <w:lang w:eastAsia="ja-JP"/>
    </w:rPr>
  </w:style>
  <w:style w:type="paragraph" w:styleId="TOC3">
    <w:name w:val="toc 3"/>
    <w:basedOn w:val="Normal"/>
    <w:next w:val="Normal"/>
    <w:autoRedefine/>
    <w:uiPriority w:val="39"/>
    <w:semiHidden/>
    <w:unhideWhenUsed/>
    <w:qFormat/>
    <w:rsid w:val="00AC49A4"/>
    <w:pPr>
      <w:spacing w:after="100" w:line="276" w:lineRule="auto"/>
      <w:ind w:left="440"/>
    </w:pPr>
    <w:rPr>
      <w:rFonts w:asciiTheme="minorHAnsi" w:eastAsiaTheme="minorEastAsia" w:hAnsiTheme="minorHAnsi"/>
      <w:lang w:eastAsia="ja-JP"/>
    </w:rPr>
  </w:style>
  <w:style w:type="paragraph" w:styleId="Title">
    <w:name w:val="Title"/>
    <w:basedOn w:val="Normal"/>
    <w:next w:val="Normal"/>
    <w:link w:val="TitleChar"/>
    <w:uiPriority w:val="10"/>
    <w:qFormat/>
    <w:rsid w:val="00AC49A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49A4"/>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9A4"/>
    <w:pPr>
      <w:spacing w:after="0" w:line="240" w:lineRule="auto"/>
    </w:pPr>
    <w:rPr>
      <w:rFonts w:ascii="Times New Roman" w:hAnsi="Times New Roman"/>
    </w:rPr>
  </w:style>
  <w:style w:type="paragraph" w:styleId="Heading1">
    <w:name w:val="heading 1"/>
    <w:basedOn w:val="Normal"/>
    <w:next w:val="Normal"/>
    <w:link w:val="Heading1Char"/>
    <w:uiPriority w:val="9"/>
    <w:qFormat/>
    <w:rsid w:val="00AC49A4"/>
    <w:pPr>
      <w:keepNext/>
      <w:keepLines/>
      <w:spacing w:before="480" w:line="276" w:lineRule="auto"/>
      <w:jc w:val="center"/>
      <w:outlineLvl w:val="0"/>
    </w:pPr>
    <w:rPr>
      <w:rFonts w:eastAsiaTheme="majorEastAsia" w:cstheme="majorBidi"/>
      <w:b/>
      <w:bCs/>
      <w:i/>
      <w:sz w:val="28"/>
      <w:szCs w:val="28"/>
    </w:rPr>
  </w:style>
  <w:style w:type="paragraph" w:styleId="Heading2">
    <w:name w:val="heading 2"/>
    <w:basedOn w:val="Normal"/>
    <w:next w:val="Normal"/>
    <w:link w:val="Heading2Char"/>
    <w:uiPriority w:val="9"/>
    <w:unhideWhenUsed/>
    <w:qFormat/>
    <w:rsid w:val="00AC49A4"/>
    <w:pPr>
      <w:keepNext/>
      <w:keepLines/>
      <w:spacing w:before="200"/>
      <w:jc w:val="center"/>
      <w:outlineLvl w:val="1"/>
    </w:pPr>
    <w:rPr>
      <w:rFonts w:eastAsiaTheme="majorEastAsia" w:cstheme="majorBidi"/>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9A4"/>
    <w:rPr>
      <w:rFonts w:ascii="Times New Roman" w:eastAsiaTheme="majorEastAsia" w:hAnsi="Times New Roman" w:cstheme="majorBidi"/>
      <w:b/>
      <w:bCs/>
      <w:i/>
      <w:sz w:val="28"/>
      <w:szCs w:val="28"/>
    </w:rPr>
  </w:style>
  <w:style w:type="character" w:customStyle="1" w:styleId="Heading2Char">
    <w:name w:val="Heading 2 Char"/>
    <w:basedOn w:val="DefaultParagraphFont"/>
    <w:link w:val="Heading2"/>
    <w:uiPriority w:val="9"/>
    <w:rsid w:val="00AC49A4"/>
    <w:rPr>
      <w:rFonts w:ascii="Times New Roman" w:eastAsiaTheme="majorEastAsia" w:hAnsi="Times New Roman" w:cstheme="majorBidi"/>
      <w:bCs/>
      <w:i/>
      <w:sz w:val="26"/>
      <w:szCs w:val="26"/>
    </w:rPr>
  </w:style>
  <w:style w:type="paragraph" w:styleId="ListParagraph">
    <w:name w:val="List Paragraph"/>
    <w:basedOn w:val="Normal"/>
    <w:uiPriority w:val="99"/>
    <w:qFormat/>
    <w:rsid w:val="00AC49A4"/>
    <w:pPr>
      <w:ind w:left="720"/>
      <w:contextualSpacing/>
    </w:pPr>
  </w:style>
  <w:style w:type="character" w:styleId="CommentReference">
    <w:name w:val="annotation reference"/>
    <w:basedOn w:val="DefaultParagraphFont"/>
    <w:uiPriority w:val="99"/>
    <w:semiHidden/>
    <w:unhideWhenUsed/>
    <w:rsid w:val="00AC49A4"/>
    <w:rPr>
      <w:sz w:val="16"/>
      <w:szCs w:val="16"/>
    </w:rPr>
  </w:style>
  <w:style w:type="paragraph" w:styleId="CommentText">
    <w:name w:val="annotation text"/>
    <w:basedOn w:val="Normal"/>
    <w:link w:val="CommentTextChar"/>
    <w:uiPriority w:val="99"/>
    <w:semiHidden/>
    <w:unhideWhenUsed/>
    <w:rsid w:val="00AC49A4"/>
    <w:pPr>
      <w:spacing w:after="200"/>
    </w:pPr>
    <w:rPr>
      <w:sz w:val="20"/>
      <w:szCs w:val="20"/>
    </w:rPr>
  </w:style>
  <w:style w:type="character" w:customStyle="1" w:styleId="CommentTextChar">
    <w:name w:val="Comment Text Char"/>
    <w:basedOn w:val="DefaultParagraphFont"/>
    <w:link w:val="CommentText"/>
    <w:uiPriority w:val="99"/>
    <w:semiHidden/>
    <w:rsid w:val="00AC49A4"/>
    <w:rPr>
      <w:rFonts w:ascii="Times New Roman" w:hAnsi="Times New Roman"/>
      <w:sz w:val="20"/>
      <w:szCs w:val="20"/>
    </w:rPr>
  </w:style>
  <w:style w:type="paragraph" w:styleId="BalloonText">
    <w:name w:val="Balloon Text"/>
    <w:basedOn w:val="Normal"/>
    <w:link w:val="BalloonTextChar"/>
    <w:uiPriority w:val="99"/>
    <w:semiHidden/>
    <w:unhideWhenUsed/>
    <w:rsid w:val="00AC49A4"/>
    <w:rPr>
      <w:rFonts w:ascii="Tahoma" w:hAnsi="Tahoma" w:cs="Tahoma"/>
      <w:sz w:val="16"/>
      <w:szCs w:val="16"/>
    </w:rPr>
  </w:style>
  <w:style w:type="character" w:customStyle="1" w:styleId="BalloonTextChar">
    <w:name w:val="Balloon Text Char"/>
    <w:basedOn w:val="DefaultParagraphFont"/>
    <w:link w:val="BalloonText"/>
    <w:uiPriority w:val="99"/>
    <w:semiHidden/>
    <w:rsid w:val="00AC49A4"/>
    <w:rPr>
      <w:rFonts w:ascii="Tahoma" w:hAnsi="Tahoma" w:cs="Tahoma"/>
      <w:sz w:val="16"/>
      <w:szCs w:val="16"/>
    </w:rPr>
  </w:style>
  <w:style w:type="paragraph" w:styleId="EndnoteText">
    <w:name w:val="endnote text"/>
    <w:basedOn w:val="Normal"/>
    <w:link w:val="EndnoteTextChar"/>
    <w:uiPriority w:val="99"/>
    <w:semiHidden/>
    <w:unhideWhenUsed/>
    <w:rsid w:val="00AC49A4"/>
    <w:rPr>
      <w:sz w:val="20"/>
      <w:szCs w:val="20"/>
    </w:rPr>
  </w:style>
  <w:style w:type="character" w:customStyle="1" w:styleId="EndnoteTextChar">
    <w:name w:val="Endnote Text Char"/>
    <w:basedOn w:val="DefaultParagraphFont"/>
    <w:link w:val="EndnoteText"/>
    <w:uiPriority w:val="99"/>
    <w:semiHidden/>
    <w:rsid w:val="00AC49A4"/>
    <w:rPr>
      <w:rFonts w:ascii="Times New Roman" w:hAnsi="Times New Roman"/>
      <w:sz w:val="20"/>
      <w:szCs w:val="20"/>
    </w:rPr>
  </w:style>
  <w:style w:type="character" w:styleId="EndnoteReference">
    <w:name w:val="endnote reference"/>
    <w:basedOn w:val="DefaultParagraphFont"/>
    <w:uiPriority w:val="99"/>
    <w:semiHidden/>
    <w:unhideWhenUsed/>
    <w:rsid w:val="00AC49A4"/>
    <w:rPr>
      <w:vertAlign w:val="superscript"/>
    </w:rPr>
  </w:style>
  <w:style w:type="character" w:styleId="Hyperlink">
    <w:name w:val="Hyperlink"/>
    <w:basedOn w:val="DefaultParagraphFont"/>
    <w:uiPriority w:val="99"/>
    <w:unhideWhenUsed/>
    <w:rsid w:val="00AC49A4"/>
    <w:rPr>
      <w:color w:val="0000FF" w:themeColor="hyperlink"/>
      <w:u w:val="single"/>
    </w:rPr>
  </w:style>
  <w:style w:type="paragraph" w:styleId="Revision">
    <w:name w:val="Revision"/>
    <w:hidden/>
    <w:uiPriority w:val="99"/>
    <w:semiHidden/>
    <w:rsid w:val="00AC49A4"/>
    <w:pPr>
      <w:spacing w:after="0" w:line="240" w:lineRule="auto"/>
    </w:pPr>
  </w:style>
  <w:style w:type="paragraph" w:styleId="Header">
    <w:name w:val="header"/>
    <w:basedOn w:val="Normal"/>
    <w:link w:val="HeaderChar"/>
    <w:uiPriority w:val="99"/>
    <w:unhideWhenUsed/>
    <w:rsid w:val="00AC49A4"/>
    <w:pPr>
      <w:tabs>
        <w:tab w:val="center" w:pos="4680"/>
        <w:tab w:val="right" w:pos="9360"/>
      </w:tabs>
    </w:pPr>
  </w:style>
  <w:style w:type="character" w:customStyle="1" w:styleId="HeaderChar">
    <w:name w:val="Header Char"/>
    <w:basedOn w:val="DefaultParagraphFont"/>
    <w:link w:val="Header"/>
    <w:uiPriority w:val="99"/>
    <w:rsid w:val="00AC49A4"/>
    <w:rPr>
      <w:rFonts w:ascii="Times New Roman" w:hAnsi="Times New Roman"/>
    </w:rPr>
  </w:style>
  <w:style w:type="paragraph" w:styleId="Footer">
    <w:name w:val="footer"/>
    <w:basedOn w:val="Normal"/>
    <w:link w:val="FooterChar"/>
    <w:uiPriority w:val="99"/>
    <w:unhideWhenUsed/>
    <w:rsid w:val="00AC49A4"/>
    <w:pPr>
      <w:tabs>
        <w:tab w:val="center" w:pos="4680"/>
        <w:tab w:val="right" w:pos="9360"/>
      </w:tabs>
    </w:pPr>
  </w:style>
  <w:style w:type="character" w:customStyle="1" w:styleId="FooterChar">
    <w:name w:val="Footer Char"/>
    <w:basedOn w:val="DefaultParagraphFont"/>
    <w:link w:val="Footer"/>
    <w:uiPriority w:val="99"/>
    <w:rsid w:val="00AC49A4"/>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C49A4"/>
    <w:pPr>
      <w:spacing w:after="0"/>
    </w:pPr>
    <w:rPr>
      <w:b/>
      <w:bCs/>
    </w:rPr>
  </w:style>
  <w:style w:type="character" w:customStyle="1" w:styleId="CommentSubjectChar">
    <w:name w:val="Comment Subject Char"/>
    <w:basedOn w:val="CommentTextChar"/>
    <w:link w:val="CommentSubject"/>
    <w:uiPriority w:val="99"/>
    <w:semiHidden/>
    <w:rsid w:val="00AC49A4"/>
    <w:rPr>
      <w:rFonts w:ascii="Times New Roman" w:hAnsi="Times New Roman"/>
      <w:b/>
      <w:bCs/>
      <w:sz w:val="20"/>
      <w:szCs w:val="20"/>
    </w:rPr>
  </w:style>
  <w:style w:type="paragraph" w:styleId="NormalWeb">
    <w:name w:val="Normal (Web)"/>
    <w:basedOn w:val="Normal"/>
    <w:uiPriority w:val="99"/>
    <w:semiHidden/>
    <w:unhideWhenUsed/>
    <w:rsid w:val="00AC49A4"/>
    <w:pPr>
      <w:spacing w:before="100" w:beforeAutospacing="1" w:after="100" w:afterAutospacing="1"/>
    </w:pPr>
    <w:rPr>
      <w:rFonts w:eastAsiaTheme="minorEastAsia" w:cs="Times New Roman"/>
      <w:sz w:val="24"/>
      <w:szCs w:val="24"/>
    </w:rPr>
  </w:style>
  <w:style w:type="paragraph" w:styleId="Caption">
    <w:name w:val="caption"/>
    <w:basedOn w:val="Normal"/>
    <w:next w:val="Normal"/>
    <w:uiPriority w:val="35"/>
    <w:unhideWhenUsed/>
    <w:qFormat/>
    <w:rsid w:val="00AC49A4"/>
    <w:pPr>
      <w:spacing w:after="200"/>
    </w:pPr>
    <w:rPr>
      <w:b/>
      <w:bCs/>
      <w:color w:val="4F81BD" w:themeColor="accent1"/>
      <w:sz w:val="18"/>
      <w:szCs w:val="18"/>
    </w:rPr>
  </w:style>
  <w:style w:type="paragraph" w:styleId="NoSpacing">
    <w:name w:val="No Spacing"/>
    <w:uiPriority w:val="1"/>
    <w:qFormat/>
    <w:rsid w:val="00AC49A4"/>
    <w:pPr>
      <w:spacing w:after="0" w:line="240" w:lineRule="auto"/>
    </w:pPr>
  </w:style>
  <w:style w:type="paragraph" w:styleId="TableofFigures">
    <w:name w:val="table of figures"/>
    <w:basedOn w:val="Normal"/>
    <w:next w:val="Normal"/>
    <w:uiPriority w:val="99"/>
    <w:unhideWhenUsed/>
    <w:rsid w:val="00AC49A4"/>
  </w:style>
  <w:style w:type="paragraph" w:styleId="TOCHeading">
    <w:name w:val="TOC Heading"/>
    <w:basedOn w:val="Heading1"/>
    <w:next w:val="Normal"/>
    <w:uiPriority w:val="39"/>
    <w:semiHidden/>
    <w:unhideWhenUsed/>
    <w:qFormat/>
    <w:rsid w:val="00AC49A4"/>
    <w:pPr>
      <w:jc w:val="left"/>
      <w:outlineLvl w:val="9"/>
    </w:pPr>
    <w:rPr>
      <w:rFonts w:asciiTheme="majorHAnsi" w:hAnsiTheme="majorHAnsi"/>
      <w:i w:val="0"/>
      <w:color w:val="365F91" w:themeColor="accent1" w:themeShade="BF"/>
      <w:lang w:eastAsia="ja-JP"/>
    </w:rPr>
  </w:style>
  <w:style w:type="paragraph" w:styleId="TOC2">
    <w:name w:val="toc 2"/>
    <w:basedOn w:val="Normal"/>
    <w:next w:val="Normal"/>
    <w:autoRedefine/>
    <w:uiPriority w:val="39"/>
    <w:unhideWhenUsed/>
    <w:qFormat/>
    <w:rsid w:val="00AC49A4"/>
    <w:pPr>
      <w:spacing w:after="100" w:line="276" w:lineRule="auto"/>
      <w:ind w:left="220"/>
    </w:pPr>
    <w:rPr>
      <w:rFonts w:asciiTheme="minorHAnsi" w:eastAsiaTheme="minorEastAsia" w:hAnsiTheme="minorHAnsi"/>
      <w:lang w:eastAsia="ja-JP"/>
    </w:rPr>
  </w:style>
  <w:style w:type="paragraph" w:styleId="TOC1">
    <w:name w:val="toc 1"/>
    <w:basedOn w:val="Normal"/>
    <w:next w:val="Normal"/>
    <w:autoRedefine/>
    <w:uiPriority w:val="39"/>
    <w:unhideWhenUsed/>
    <w:qFormat/>
    <w:rsid w:val="00AC49A4"/>
    <w:pPr>
      <w:spacing w:after="100" w:line="276" w:lineRule="auto"/>
    </w:pPr>
    <w:rPr>
      <w:rFonts w:asciiTheme="minorHAnsi" w:eastAsiaTheme="minorEastAsia" w:hAnsiTheme="minorHAnsi"/>
      <w:lang w:eastAsia="ja-JP"/>
    </w:rPr>
  </w:style>
  <w:style w:type="paragraph" w:styleId="TOC3">
    <w:name w:val="toc 3"/>
    <w:basedOn w:val="Normal"/>
    <w:next w:val="Normal"/>
    <w:autoRedefine/>
    <w:uiPriority w:val="39"/>
    <w:semiHidden/>
    <w:unhideWhenUsed/>
    <w:qFormat/>
    <w:rsid w:val="00AC49A4"/>
    <w:pPr>
      <w:spacing w:after="100" w:line="276" w:lineRule="auto"/>
      <w:ind w:left="440"/>
    </w:pPr>
    <w:rPr>
      <w:rFonts w:asciiTheme="minorHAnsi" w:eastAsiaTheme="minorEastAsia" w:hAnsiTheme="minorHAnsi"/>
      <w:lang w:eastAsia="ja-JP"/>
    </w:rPr>
  </w:style>
  <w:style w:type="paragraph" w:styleId="Title">
    <w:name w:val="Title"/>
    <w:basedOn w:val="Normal"/>
    <w:next w:val="Normal"/>
    <w:link w:val="TitleChar"/>
    <w:uiPriority w:val="10"/>
    <w:qFormat/>
    <w:rsid w:val="00AC49A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49A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3.emf"/><Relationship Id="rId39" Type="http://schemas.openxmlformats.org/officeDocument/2006/relationships/chart" Target="charts/chart27.xml"/><Relationship Id="rId21" Type="http://schemas.openxmlformats.org/officeDocument/2006/relationships/chart" Target="charts/chart11.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chart" Target="charts/chart35.xml"/><Relationship Id="rId50" Type="http://schemas.openxmlformats.org/officeDocument/2006/relationships/chart" Target="charts/chart38.xml"/><Relationship Id="rId55" Type="http://schemas.openxmlformats.org/officeDocument/2006/relationships/chart" Target="charts/chart43.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chart" Target="charts/chart34.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7.xml"/><Relationship Id="rId41" Type="http://schemas.openxmlformats.org/officeDocument/2006/relationships/chart" Target="charts/chart29.xml"/><Relationship Id="rId54" Type="http://schemas.openxmlformats.org/officeDocument/2006/relationships/chart" Target="charts/chart4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3" Type="http://schemas.openxmlformats.org/officeDocument/2006/relationships/chart" Target="charts/chart4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chart" Target="charts/chart37.xm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hart" Target="charts/chart9.xml"/><Relationship Id="rId31" Type="http://schemas.openxmlformats.org/officeDocument/2006/relationships/chart" Target="charts/chart19.xml"/><Relationship Id="rId44" Type="http://schemas.openxmlformats.org/officeDocument/2006/relationships/chart" Target="charts/chart32.xml"/><Relationship Id="rId52" Type="http://schemas.openxmlformats.org/officeDocument/2006/relationships/chart" Target="charts/chart40.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image" Target="media/image4.emf"/><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chart" Target="charts/chart36.xm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chart" Target="charts/chart39.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Super%20important%20shit\Field%20Data%20Summary%20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uper%20important%20shit\Field%20Data%20Summary%20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Super%20important%20shit\Field%20Data%20Summary%20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Super%20important%20shit\Field%20Data%20Summary%20Sheet.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Super%20important%20shit\Field%20Data%20Summary%20Sheet.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Super%20important%20shit\Field%20Data%20Summary%20Sheet.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F:\Super%20important%20shit\Field%20Data%20Summary%20Sheet.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F:\Super%20important%20shit\Field%20Data%20Summary%20Sheet.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F:\Super%20important%20shit\Field%20Data%20Summary%20Sheet.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F:\Super%20important%20shit\Field%20Data%20Summary%20Sheet.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F:\Super%20important%20shit\Field%20Data%20Summary%20Sheet.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F:\Super%20important%20shit\Field%20Data%20Summary%20Sheet.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F:\Super%20important%20shit\Field%20Data%20Summary%20Sheet.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F:\Super%20important%20shit\Field%20Data%20Summary%20Sheet.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F:\Super%20important%20shit\Field%20Data%20Summary%20Shee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Copy%20of%20OCT11mixedmodel.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Copy%20of%20OCT11mixedmodel.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Copy%20of%20OCT11mixedmodel.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F:\Copy%20of%20OCT11mixedmodel.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F:\Copy%20of%20OCT11mixedmodel.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F:\Copy%20of%20OCT11mixedmodel.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F:\MI.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MI.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F:\MI.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F:\Super%20important%20shit\OCT11mixedmodel.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F:\Super%20important%20shit\summary%20GH%20sheet.xlsx"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F:\Super%20important%20shit\summary%20GH%20sheet.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F:\Super%20important%20shit\summary%20GH%20sheet.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39.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F:\Super%20important%20shit\summary%20GH%20sheet.xlsx" TargetMode="External"/></Relationships>
</file>

<file path=word/charts/_rels/chart40.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F:\Super%20important%20shit\summary%20GH%20sheet.xlsx" TargetMode="External"/></Relationships>
</file>

<file path=word/charts/_rels/chart41.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F:\Super%20important%20shit\summary%20GH%20sheet.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F:\Super%20important%20shit\summary%20GH%20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36486506787199"/>
          <c:y val="2.3931449745252398E-2"/>
          <c:w val="0.84856500780539701"/>
          <c:h val="0.81035602902578296"/>
        </c:manualLayout>
      </c:layout>
      <c:barChart>
        <c:barDir val="col"/>
        <c:grouping val="clustered"/>
        <c:varyColors val="0"/>
        <c:ser>
          <c:idx val="0"/>
          <c:order val="0"/>
          <c:tx>
            <c:v>Tennessee</c:v>
          </c:tx>
          <c:spPr>
            <a:solidFill>
              <a:schemeClr val="tx1"/>
            </a:solidFill>
          </c:spPr>
          <c:invertIfNegative val="0"/>
          <c:errBars>
            <c:errBarType val="both"/>
            <c:errValType val="cust"/>
            <c:noEndCap val="0"/>
            <c:plus>
              <c:numRef>
                <c:f>'F:\Super important shit\[OCT11mixedmodel.xlsx]Sheet3'!$T$20:$T$26</c:f>
                <c:numCache>
                  <c:formatCode>General</c:formatCode>
                  <c:ptCount val="7"/>
                  <c:pt idx="0">
                    <c:v>22.028163790929099</c:v>
                  </c:pt>
                  <c:pt idx="1">
                    <c:v>10.833282051160669</c:v>
                  </c:pt>
                  <c:pt idx="2">
                    <c:v>72.693878696902658</c:v>
                  </c:pt>
                  <c:pt idx="3">
                    <c:v>10.627323275406649</c:v>
                  </c:pt>
                  <c:pt idx="4">
                    <c:v>31.460451363577089</c:v>
                  </c:pt>
                  <c:pt idx="5">
                    <c:v>84.435419108333903</c:v>
                  </c:pt>
                  <c:pt idx="6">
                    <c:v>38.341883104511169</c:v>
                  </c:pt>
                </c:numCache>
              </c:numRef>
            </c:plus>
            <c:minus>
              <c:numRef>
                <c:f>'F:\Super important shit\[OCT11mixedmodel.xlsx]Sheet3'!$T$20:$T$26</c:f>
                <c:numCache>
                  <c:formatCode>General</c:formatCode>
                  <c:ptCount val="7"/>
                  <c:pt idx="0">
                    <c:v>22.028163790929099</c:v>
                  </c:pt>
                  <c:pt idx="1">
                    <c:v>10.833282051160669</c:v>
                  </c:pt>
                  <c:pt idx="2">
                    <c:v>72.693878696902658</c:v>
                  </c:pt>
                  <c:pt idx="3">
                    <c:v>10.627323275406649</c:v>
                  </c:pt>
                  <c:pt idx="4">
                    <c:v>31.460451363577089</c:v>
                  </c:pt>
                  <c:pt idx="5">
                    <c:v>84.435419108333903</c:v>
                  </c:pt>
                  <c:pt idx="6">
                    <c:v>38.341883104511169</c:v>
                  </c:pt>
                </c:numCache>
              </c:numRef>
            </c:minus>
          </c:errBars>
          <c:cat>
            <c:strRef>
              <c:f>'F:\Super important shit\[OCT11mixedmodel.xlsx]Sheet3'!$R$84:$R$90</c:f>
              <c:strCache>
                <c:ptCount val="7"/>
                <c:pt idx="0">
                  <c:v>Young FRA</c:v>
                </c:pt>
                <c:pt idx="1">
                  <c:v>Midage FRA</c:v>
                </c:pt>
                <c:pt idx="2">
                  <c:v>Old FRA</c:v>
                </c:pt>
                <c:pt idx="3">
                  <c:v>Young SMCRA</c:v>
                </c:pt>
                <c:pt idx="4">
                  <c:v>Midage SMCRA</c:v>
                </c:pt>
                <c:pt idx="5">
                  <c:v>Old SMCRA</c:v>
                </c:pt>
                <c:pt idx="6">
                  <c:v>Forest</c:v>
                </c:pt>
              </c:strCache>
            </c:strRef>
          </c:cat>
          <c:val>
            <c:numRef>
              <c:f>'F:\Super important shit\[OCT11mixedmodel.xlsx]Sheet3'!$P$2:$P$8</c:f>
              <c:numCache>
                <c:formatCode>General</c:formatCode>
                <c:ptCount val="7"/>
                <c:pt idx="0">
                  <c:v>68.2</c:v>
                </c:pt>
                <c:pt idx="1">
                  <c:v>77.599999999999994</c:v>
                </c:pt>
                <c:pt idx="2">
                  <c:v>105</c:v>
                </c:pt>
                <c:pt idx="3">
                  <c:v>19.2</c:v>
                </c:pt>
                <c:pt idx="4">
                  <c:v>105</c:v>
                </c:pt>
                <c:pt idx="5">
                  <c:v>146.80000000000001</c:v>
                </c:pt>
                <c:pt idx="6">
                  <c:v>151</c:v>
                </c:pt>
              </c:numCache>
            </c:numRef>
          </c:val>
        </c:ser>
        <c:ser>
          <c:idx val="1"/>
          <c:order val="1"/>
          <c:tx>
            <c:v>Virginia</c:v>
          </c:tx>
          <c:spPr>
            <a:solidFill>
              <a:schemeClr val="bg1">
                <a:lumMod val="50000"/>
              </a:schemeClr>
            </a:solidFill>
            <a:ln w="19050">
              <a:solidFill>
                <a:schemeClr val="tx1"/>
              </a:solidFill>
            </a:ln>
          </c:spPr>
          <c:invertIfNegative val="0"/>
          <c:errBars>
            <c:errBarType val="both"/>
            <c:errValType val="cust"/>
            <c:noEndCap val="0"/>
            <c:plus>
              <c:numRef>
                <c:f>'F:\Super important shit\[OCT11mixedmodel.xlsx]Sheet3'!$U$60:$U$66</c:f>
                <c:numCache>
                  <c:formatCode>General</c:formatCode>
                  <c:ptCount val="7"/>
                  <c:pt idx="0">
                    <c:v>10.419213022104881</c:v>
                  </c:pt>
                  <c:pt idx="1">
                    <c:v>14.64581851587681</c:v>
                  </c:pt>
                  <c:pt idx="2">
                    <c:v>10.871982339941511</c:v>
                  </c:pt>
                  <c:pt idx="3">
                    <c:v>1.314977819838292</c:v>
                  </c:pt>
                  <c:pt idx="4">
                    <c:v>5.8258046654518036</c:v>
                  </c:pt>
                  <c:pt idx="5">
                    <c:v>15.16706959171745</c:v>
                  </c:pt>
                  <c:pt idx="6">
                    <c:v>23.926972228010801</c:v>
                  </c:pt>
                </c:numCache>
              </c:numRef>
            </c:plus>
            <c:minus>
              <c:numRef>
                <c:f>'F:\Super important shit\[OCT11mixedmodel.xlsx]Sheet3'!$U$60:$U$66</c:f>
                <c:numCache>
                  <c:formatCode>General</c:formatCode>
                  <c:ptCount val="7"/>
                  <c:pt idx="0">
                    <c:v>10.419213022104881</c:v>
                  </c:pt>
                  <c:pt idx="1">
                    <c:v>14.64581851587681</c:v>
                  </c:pt>
                  <c:pt idx="2">
                    <c:v>10.871982339941511</c:v>
                  </c:pt>
                  <c:pt idx="3">
                    <c:v>1.314977819838292</c:v>
                  </c:pt>
                  <c:pt idx="4">
                    <c:v>5.8258046654518036</c:v>
                  </c:pt>
                  <c:pt idx="5">
                    <c:v>15.16706959171745</c:v>
                  </c:pt>
                  <c:pt idx="6">
                    <c:v>23.926972228010801</c:v>
                  </c:pt>
                </c:numCache>
              </c:numRef>
            </c:minus>
          </c:errBars>
          <c:cat>
            <c:strRef>
              <c:f>'F:\Super important shit\[OCT11mixedmodel.xlsx]Sheet3'!$R$84:$R$90</c:f>
              <c:strCache>
                <c:ptCount val="7"/>
                <c:pt idx="0">
                  <c:v>Young FRA</c:v>
                </c:pt>
                <c:pt idx="1">
                  <c:v>Midage FRA</c:v>
                </c:pt>
                <c:pt idx="2">
                  <c:v>Old FRA</c:v>
                </c:pt>
                <c:pt idx="3">
                  <c:v>Young SMCRA</c:v>
                </c:pt>
                <c:pt idx="4">
                  <c:v>Midage SMCRA</c:v>
                </c:pt>
                <c:pt idx="5">
                  <c:v>Old SMCRA</c:v>
                </c:pt>
                <c:pt idx="6">
                  <c:v>Forest</c:v>
                </c:pt>
              </c:strCache>
            </c:strRef>
          </c:cat>
          <c:val>
            <c:numRef>
              <c:f>'F:\Super important shit\[OCT11mixedmodel.xlsx]Sheet3'!$U$45:$U$51</c:f>
              <c:numCache>
                <c:formatCode>General</c:formatCode>
                <c:ptCount val="7"/>
                <c:pt idx="0">
                  <c:v>19.600000000000001</c:v>
                </c:pt>
                <c:pt idx="1">
                  <c:v>51</c:v>
                </c:pt>
                <c:pt idx="2">
                  <c:v>34</c:v>
                </c:pt>
                <c:pt idx="3">
                  <c:v>3.75</c:v>
                </c:pt>
                <c:pt idx="4">
                  <c:v>26.2</c:v>
                </c:pt>
                <c:pt idx="5">
                  <c:v>33.800000000000011</c:v>
                </c:pt>
                <c:pt idx="6">
                  <c:v>151</c:v>
                </c:pt>
              </c:numCache>
            </c:numRef>
          </c:val>
        </c:ser>
        <c:ser>
          <c:idx val="2"/>
          <c:order val="2"/>
          <c:tx>
            <c:v>Kentucky</c:v>
          </c:tx>
          <c:spPr>
            <a:solidFill>
              <a:schemeClr val="bg1">
                <a:lumMod val="95000"/>
              </a:schemeClr>
            </a:solidFill>
            <a:ln w="22225">
              <a:solidFill>
                <a:schemeClr val="tx1"/>
              </a:solidFill>
            </a:ln>
          </c:spPr>
          <c:invertIfNegative val="0"/>
          <c:errBars>
            <c:errBarType val="both"/>
            <c:errValType val="cust"/>
            <c:noEndCap val="0"/>
            <c:plus>
              <c:numRef>
                <c:f>'F:\Super important shit\[OCT11mixedmodel.xlsx]Sheet3'!$U$100:$U$106</c:f>
                <c:numCache>
                  <c:formatCode>General</c:formatCode>
                  <c:ptCount val="7"/>
                  <c:pt idx="0">
                    <c:v>0.629152869605896</c:v>
                  </c:pt>
                  <c:pt idx="1">
                    <c:v>0.50990195135927896</c:v>
                  </c:pt>
                  <c:pt idx="2">
                    <c:v>23.061656488639311</c:v>
                  </c:pt>
                  <c:pt idx="3">
                    <c:v>0.96225044864937703</c:v>
                  </c:pt>
                  <c:pt idx="4">
                    <c:v>19.120669444347389</c:v>
                  </c:pt>
                  <c:pt idx="5">
                    <c:v>159.28760152629579</c:v>
                  </c:pt>
                  <c:pt idx="6">
                    <c:v>14.28635712839351</c:v>
                  </c:pt>
                </c:numCache>
              </c:numRef>
            </c:plus>
            <c:minus>
              <c:numRef>
                <c:f>'F:\Super important shit\[OCT11mixedmodel.xlsx]Sheet3'!$U$100:$U$106</c:f>
                <c:numCache>
                  <c:formatCode>General</c:formatCode>
                  <c:ptCount val="7"/>
                  <c:pt idx="0">
                    <c:v>0.629152869605896</c:v>
                  </c:pt>
                  <c:pt idx="1">
                    <c:v>0.50990195135927896</c:v>
                  </c:pt>
                  <c:pt idx="2">
                    <c:v>23.061656488639311</c:v>
                  </c:pt>
                  <c:pt idx="3">
                    <c:v>0.96225044864937703</c:v>
                  </c:pt>
                  <c:pt idx="4">
                    <c:v>19.120669444347389</c:v>
                  </c:pt>
                  <c:pt idx="5">
                    <c:v>159.28760152629579</c:v>
                  </c:pt>
                  <c:pt idx="6">
                    <c:v>14.28635712839351</c:v>
                  </c:pt>
                </c:numCache>
              </c:numRef>
            </c:minus>
          </c:errBars>
          <c:cat>
            <c:strRef>
              <c:f>'F:\Super important shit\[OCT11mixedmodel.xlsx]Sheet3'!$R$84:$R$90</c:f>
              <c:strCache>
                <c:ptCount val="7"/>
                <c:pt idx="0">
                  <c:v>Young FRA</c:v>
                </c:pt>
                <c:pt idx="1">
                  <c:v>Midage FRA</c:v>
                </c:pt>
                <c:pt idx="2">
                  <c:v>Old FRA</c:v>
                </c:pt>
                <c:pt idx="3">
                  <c:v>Young SMCRA</c:v>
                </c:pt>
                <c:pt idx="4">
                  <c:v>Midage SMCRA</c:v>
                </c:pt>
                <c:pt idx="5">
                  <c:v>Old SMCRA</c:v>
                </c:pt>
                <c:pt idx="6">
                  <c:v>Forest</c:v>
                </c:pt>
              </c:strCache>
            </c:strRef>
          </c:cat>
          <c:val>
            <c:numRef>
              <c:f>'F:\Super important shit\[OCT11mixedmodel.xlsx]Sheet3'!$U$84:$U$90</c:f>
              <c:numCache>
                <c:formatCode>General</c:formatCode>
                <c:ptCount val="7"/>
                <c:pt idx="0">
                  <c:v>1.25</c:v>
                </c:pt>
                <c:pt idx="1">
                  <c:v>2.6</c:v>
                </c:pt>
                <c:pt idx="2">
                  <c:v>59.2</c:v>
                </c:pt>
                <c:pt idx="3">
                  <c:v>1.666666666666667</c:v>
                </c:pt>
                <c:pt idx="4">
                  <c:v>39</c:v>
                </c:pt>
                <c:pt idx="5">
                  <c:v>181.2</c:v>
                </c:pt>
                <c:pt idx="6">
                  <c:v>40</c:v>
                </c:pt>
              </c:numCache>
            </c:numRef>
          </c:val>
        </c:ser>
        <c:dLbls>
          <c:showLegendKey val="0"/>
          <c:showVal val="0"/>
          <c:showCatName val="0"/>
          <c:showSerName val="0"/>
          <c:showPercent val="0"/>
          <c:showBubbleSize val="0"/>
        </c:dLbls>
        <c:gapWidth val="30"/>
        <c:axId val="38423936"/>
        <c:axId val="38433920"/>
      </c:barChart>
      <c:catAx>
        <c:axId val="38423936"/>
        <c:scaling>
          <c:orientation val="minMax"/>
        </c:scaling>
        <c:delete val="0"/>
        <c:axPos val="b"/>
        <c:majorTickMark val="out"/>
        <c:minorTickMark val="none"/>
        <c:tickLblPos val="nextTo"/>
        <c:crossAx val="38433920"/>
        <c:crosses val="autoZero"/>
        <c:auto val="1"/>
        <c:lblAlgn val="ctr"/>
        <c:lblOffset val="100"/>
        <c:noMultiLvlLbl val="0"/>
      </c:catAx>
      <c:valAx>
        <c:axId val="38433920"/>
        <c:scaling>
          <c:orientation val="minMax"/>
        </c:scaling>
        <c:delete val="0"/>
        <c:axPos val="l"/>
        <c:title>
          <c:tx>
            <c:rich>
              <a:bodyPr rot="-5400000" vert="horz"/>
              <a:lstStyle/>
              <a:p>
                <a:pPr>
                  <a:defRPr/>
                </a:pPr>
                <a:r>
                  <a:rPr lang="en-US"/>
                  <a:t>Nematode abundance per 100cm3 soil</a:t>
                </a:r>
              </a:p>
            </c:rich>
          </c:tx>
          <c:layout/>
          <c:overlay val="0"/>
        </c:title>
        <c:numFmt formatCode="General" sourceLinked="1"/>
        <c:majorTickMark val="out"/>
        <c:minorTickMark val="none"/>
        <c:tickLblPos val="nextTo"/>
        <c:crossAx val="38423936"/>
        <c:crosses val="autoZero"/>
        <c:crossBetween val="between"/>
      </c:valAx>
      <c:spPr>
        <a:noFill/>
        <a:ln w="25400">
          <a:noFill/>
        </a:ln>
      </c:spPr>
    </c:plotArea>
    <c:legend>
      <c:legendPos val="r"/>
      <c:legendEntry>
        <c:idx val="0"/>
        <c:txPr>
          <a:bodyPr/>
          <a:lstStyle/>
          <a:p>
            <a:pPr>
              <a:defRPr>
                <a:latin typeface="Times New Roman" pitchFamily="18" charset="0"/>
                <a:cs typeface="Times New Roman" pitchFamily="18" charset="0"/>
              </a:defRPr>
            </a:pPr>
            <a:endParaRPr lang="en-US"/>
          </a:p>
        </c:txPr>
      </c:legendEntry>
      <c:legendEntry>
        <c:idx val="1"/>
        <c:txPr>
          <a:bodyPr/>
          <a:lstStyle/>
          <a:p>
            <a:pPr>
              <a:defRPr>
                <a:latin typeface="Times New Roman" pitchFamily="18" charset="0"/>
                <a:cs typeface="Times New Roman" pitchFamily="18" charset="0"/>
              </a:defRPr>
            </a:pPr>
            <a:endParaRPr lang="en-US"/>
          </a:p>
        </c:txPr>
      </c:legendEntry>
      <c:legendEntry>
        <c:idx val="2"/>
        <c:txPr>
          <a:bodyPr/>
          <a:lstStyle/>
          <a:p>
            <a:pPr>
              <a:defRPr>
                <a:latin typeface="Times New Roman" pitchFamily="18" charset="0"/>
                <a:cs typeface="Times New Roman" pitchFamily="18" charset="0"/>
              </a:defRPr>
            </a:pPr>
            <a:endParaRPr lang="en-US"/>
          </a:p>
        </c:txPr>
      </c:legendEntry>
      <c:layout>
        <c:manualLayout>
          <c:xMode val="edge"/>
          <c:yMode val="edge"/>
          <c:x val="0.139219549312326"/>
          <c:y val="3.1613240434234899E-2"/>
          <c:w val="0.13790271997999201"/>
          <c:h val="0.213294188888971"/>
        </c:manualLayout>
      </c:layout>
      <c:overlay val="0"/>
      <c:spPr>
        <a:ln w="19050">
          <a:solidFill>
            <a:schemeClr val="bg1"/>
          </a:solid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Tennessee</a:t>
            </a:r>
          </a:p>
        </c:rich>
      </c:tx>
      <c:overlay val="1"/>
    </c:title>
    <c:autoTitleDeleted val="0"/>
    <c:plotArea>
      <c:layout>
        <c:manualLayout>
          <c:layoutTarget val="inner"/>
          <c:xMode val="edge"/>
          <c:yMode val="edge"/>
          <c:x val="0.13134453050489101"/>
          <c:y val="4.9381808069993698E-2"/>
          <c:w val="0.81861100381320295"/>
          <c:h val="0.69059198842310698"/>
        </c:manualLayout>
      </c:layout>
      <c:barChart>
        <c:barDir val="col"/>
        <c:grouping val="clustered"/>
        <c:varyColors val="0"/>
        <c:ser>
          <c:idx val="0"/>
          <c:order val="0"/>
          <c:tx>
            <c:strRef>
              <c:f>'F:\Super important shit\[trophic.xlsx]Abundance'!$E$3</c:f>
              <c:strCache>
                <c:ptCount val="1"/>
                <c:pt idx="0">
                  <c:v>Omnivores</c:v>
                </c:pt>
              </c:strCache>
            </c:strRef>
          </c:tx>
          <c:invertIfNegative val="0"/>
          <c:errBars>
            <c:errBarType val="both"/>
            <c:errValType val="cust"/>
            <c:noEndCap val="0"/>
            <c:plus>
              <c:numRef>
                <c:f>'F:\Super important shit\[trophic.xlsx]Abundance'!$N$4:$N$10</c:f>
                <c:numCache>
                  <c:formatCode>General</c:formatCode>
                  <c:ptCount val="7"/>
                  <c:pt idx="0">
                    <c:v>2.5495097567963931</c:v>
                  </c:pt>
                  <c:pt idx="1">
                    <c:v>0.2</c:v>
                  </c:pt>
                  <c:pt idx="2">
                    <c:v>1.3928388277184121</c:v>
                  </c:pt>
                  <c:pt idx="3">
                    <c:v>0.70710678118654802</c:v>
                  </c:pt>
                  <c:pt idx="4">
                    <c:v>1.4628738838327791</c:v>
                  </c:pt>
                  <c:pt idx="5">
                    <c:v>0.86023252670426298</c:v>
                  </c:pt>
                  <c:pt idx="6">
                    <c:v>2.7676705006196101</c:v>
                  </c:pt>
                </c:numCache>
              </c:numRef>
            </c:plus>
            <c:minus>
              <c:numRef>
                <c:f>'F:\Super important shit\[trophic.xlsx]Abundance'!$N$4:$N$10</c:f>
                <c:numCache>
                  <c:formatCode>General</c:formatCode>
                  <c:ptCount val="7"/>
                  <c:pt idx="0">
                    <c:v>2.5495097567963931</c:v>
                  </c:pt>
                  <c:pt idx="1">
                    <c:v>0.2</c:v>
                  </c:pt>
                  <c:pt idx="2">
                    <c:v>1.3928388277184121</c:v>
                  </c:pt>
                  <c:pt idx="3">
                    <c:v>0.70710678118654802</c:v>
                  </c:pt>
                  <c:pt idx="4">
                    <c:v>1.4628738838327791</c:v>
                  </c:pt>
                  <c:pt idx="5">
                    <c:v>0.86023252670426298</c:v>
                  </c:pt>
                  <c:pt idx="6">
                    <c:v>2.7676705006196101</c:v>
                  </c:pt>
                </c:numCache>
              </c:numRef>
            </c:minus>
          </c:errBars>
          <c:cat>
            <c:strRef>
              <c:f>'F:\Super important shit\[trophic.xlsx]Abundance'!$D$4:$D$10</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shit\[trophic.xlsx]Abundance'!$E$4:$E$10</c:f>
              <c:numCache>
                <c:formatCode>General</c:formatCode>
                <c:ptCount val="7"/>
                <c:pt idx="0">
                  <c:v>4</c:v>
                </c:pt>
                <c:pt idx="1">
                  <c:v>0.2</c:v>
                </c:pt>
                <c:pt idx="2">
                  <c:v>2.8</c:v>
                </c:pt>
                <c:pt idx="3">
                  <c:v>2</c:v>
                </c:pt>
                <c:pt idx="4">
                  <c:v>2.8</c:v>
                </c:pt>
                <c:pt idx="5">
                  <c:v>5.2</c:v>
                </c:pt>
                <c:pt idx="6">
                  <c:v>11.4</c:v>
                </c:pt>
              </c:numCache>
            </c:numRef>
          </c:val>
        </c:ser>
        <c:ser>
          <c:idx val="1"/>
          <c:order val="1"/>
          <c:tx>
            <c:strRef>
              <c:f>'F:\Super important shit\[trophic.xlsx]Abundance'!$F$3</c:f>
              <c:strCache>
                <c:ptCount val="1"/>
                <c:pt idx="0">
                  <c:v>Predators</c:v>
                </c:pt>
              </c:strCache>
            </c:strRef>
          </c:tx>
          <c:invertIfNegative val="0"/>
          <c:errBars>
            <c:errBarType val="both"/>
            <c:errValType val="cust"/>
            <c:noEndCap val="0"/>
            <c:plus>
              <c:numRef>
                <c:f>'F:\Super important shit\[trophic.xlsx]Abundance'!$O$4:$O$10</c:f>
                <c:numCache>
                  <c:formatCode>General</c:formatCode>
                  <c:ptCount val="7"/>
                  <c:pt idx="0">
                    <c:v>0</c:v>
                  </c:pt>
                  <c:pt idx="1">
                    <c:v>1.63807251762544</c:v>
                  </c:pt>
                  <c:pt idx="2">
                    <c:v>1.0295630140987</c:v>
                  </c:pt>
                  <c:pt idx="3">
                    <c:v>1.96468827043885</c:v>
                  </c:pt>
                  <c:pt idx="4">
                    <c:v>1.319090595827292</c:v>
                  </c:pt>
                  <c:pt idx="5">
                    <c:v>0.67823299831252704</c:v>
                  </c:pt>
                  <c:pt idx="6">
                    <c:v>1.6552945357246851</c:v>
                  </c:pt>
                </c:numCache>
              </c:numRef>
            </c:plus>
            <c:minus>
              <c:numRef>
                <c:f>'F:\Super important shit\[trophic.xlsx]Abundance'!$O$4:$O$10</c:f>
                <c:numCache>
                  <c:formatCode>General</c:formatCode>
                  <c:ptCount val="7"/>
                  <c:pt idx="0">
                    <c:v>0</c:v>
                  </c:pt>
                  <c:pt idx="1">
                    <c:v>1.63807251762544</c:v>
                  </c:pt>
                  <c:pt idx="2">
                    <c:v>1.0295630140987</c:v>
                  </c:pt>
                  <c:pt idx="3">
                    <c:v>1.96468827043885</c:v>
                  </c:pt>
                  <c:pt idx="4">
                    <c:v>1.319090595827292</c:v>
                  </c:pt>
                  <c:pt idx="5">
                    <c:v>0.67823299831252704</c:v>
                  </c:pt>
                  <c:pt idx="6">
                    <c:v>1.6552945357246851</c:v>
                  </c:pt>
                </c:numCache>
              </c:numRef>
            </c:minus>
          </c:errBars>
          <c:cat>
            <c:strRef>
              <c:f>'F:\Super important shit\[trophic.xlsx]Abundance'!$D$4:$D$10</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shit\[trophic.xlsx]Abundance'!$F$4:$F$10</c:f>
              <c:numCache>
                <c:formatCode>General</c:formatCode>
                <c:ptCount val="7"/>
                <c:pt idx="0">
                  <c:v>0</c:v>
                </c:pt>
                <c:pt idx="1">
                  <c:v>1.2</c:v>
                </c:pt>
                <c:pt idx="2">
                  <c:v>4.5999999999999996</c:v>
                </c:pt>
                <c:pt idx="3">
                  <c:v>4.4000000000000004</c:v>
                </c:pt>
                <c:pt idx="4">
                  <c:v>3.2</c:v>
                </c:pt>
                <c:pt idx="5">
                  <c:v>1.6</c:v>
                </c:pt>
                <c:pt idx="6">
                  <c:v>5.2</c:v>
                </c:pt>
              </c:numCache>
            </c:numRef>
          </c:val>
        </c:ser>
        <c:ser>
          <c:idx val="2"/>
          <c:order val="2"/>
          <c:tx>
            <c:strRef>
              <c:f>'F:\Super important shit\[trophic.xlsx]Abundance'!$G$3</c:f>
              <c:strCache>
                <c:ptCount val="1"/>
                <c:pt idx="0">
                  <c:v>Bacteriovores</c:v>
                </c:pt>
              </c:strCache>
            </c:strRef>
          </c:tx>
          <c:invertIfNegative val="0"/>
          <c:errBars>
            <c:errBarType val="both"/>
            <c:errValType val="cust"/>
            <c:noEndCap val="0"/>
            <c:plus>
              <c:numRef>
                <c:f>'F:\Super important shit\[trophic.xlsx]Abundance'!$P$4:$P$10</c:f>
                <c:numCache>
                  <c:formatCode>General</c:formatCode>
                  <c:ptCount val="7"/>
                  <c:pt idx="0">
                    <c:v>13.4350288425444</c:v>
                  </c:pt>
                  <c:pt idx="1">
                    <c:v>6.144916598294885</c:v>
                  </c:pt>
                  <c:pt idx="2">
                    <c:v>12.61903324347788</c:v>
                  </c:pt>
                  <c:pt idx="3">
                    <c:v>9.4477510551453463</c:v>
                  </c:pt>
                  <c:pt idx="4">
                    <c:v>31.327304384514161</c:v>
                  </c:pt>
                  <c:pt idx="5">
                    <c:v>5.6621550667568243</c:v>
                  </c:pt>
                  <c:pt idx="6">
                    <c:v>17.113152836341989</c:v>
                  </c:pt>
                </c:numCache>
              </c:numRef>
            </c:plus>
            <c:minus>
              <c:numRef>
                <c:f>'F:\Super important shit\[trophic.xlsx]Abundance'!$P$4:$P$10</c:f>
                <c:numCache>
                  <c:formatCode>General</c:formatCode>
                  <c:ptCount val="7"/>
                  <c:pt idx="0">
                    <c:v>13.4350288425444</c:v>
                  </c:pt>
                  <c:pt idx="1">
                    <c:v>6.144916598294885</c:v>
                  </c:pt>
                  <c:pt idx="2">
                    <c:v>12.61903324347788</c:v>
                  </c:pt>
                  <c:pt idx="3">
                    <c:v>9.4477510551453463</c:v>
                  </c:pt>
                  <c:pt idx="4">
                    <c:v>31.327304384514161</c:v>
                  </c:pt>
                  <c:pt idx="5">
                    <c:v>5.6621550667568243</c:v>
                  </c:pt>
                  <c:pt idx="6">
                    <c:v>17.113152836341989</c:v>
                  </c:pt>
                </c:numCache>
              </c:numRef>
            </c:minus>
          </c:errBars>
          <c:cat>
            <c:strRef>
              <c:f>'F:\Super important shit\[trophic.xlsx]Abundance'!$D$4:$D$10</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shit\[trophic.xlsx]Abundance'!$G$4:$G$10</c:f>
              <c:numCache>
                <c:formatCode>General</c:formatCode>
                <c:ptCount val="7"/>
                <c:pt idx="0">
                  <c:v>34</c:v>
                </c:pt>
                <c:pt idx="1">
                  <c:v>12.4</c:v>
                </c:pt>
                <c:pt idx="2">
                  <c:v>40.200000000000003</c:v>
                </c:pt>
                <c:pt idx="3">
                  <c:v>19.399999999999999</c:v>
                </c:pt>
                <c:pt idx="4">
                  <c:v>47</c:v>
                </c:pt>
                <c:pt idx="5">
                  <c:v>18.399999999999999</c:v>
                </c:pt>
                <c:pt idx="6">
                  <c:v>52.6</c:v>
                </c:pt>
              </c:numCache>
            </c:numRef>
          </c:val>
        </c:ser>
        <c:ser>
          <c:idx val="3"/>
          <c:order val="3"/>
          <c:tx>
            <c:strRef>
              <c:f>'F:\Super important shit\[trophic.xlsx]Abundance'!$H$3</c:f>
              <c:strCache>
                <c:ptCount val="1"/>
                <c:pt idx="0">
                  <c:v>Plant Parasites</c:v>
                </c:pt>
              </c:strCache>
            </c:strRef>
          </c:tx>
          <c:invertIfNegative val="0"/>
          <c:errBars>
            <c:errBarType val="both"/>
            <c:errValType val="cust"/>
            <c:noEndCap val="0"/>
            <c:plus>
              <c:numRef>
                <c:f>'F:\Super important shit\[trophic.xlsx]Abundance'!$Q$4:$Q$10</c:f>
                <c:numCache>
                  <c:formatCode>General</c:formatCode>
                  <c:ptCount val="7"/>
                  <c:pt idx="0">
                    <c:v>13.27554142022087</c:v>
                  </c:pt>
                  <c:pt idx="1">
                    <c:v>1.4</c:v>
                  </c:pt>
                  <c:pt idx="2">
                    <c:v>6.3292969593786639</c:v>
                  </c:pt>
                  <c:pt idx="3">
                    <c:v>11.74137981669957</c:v>
                  </c:pt>
                  <c:pt idx="4">
                    <c:v>17.208718720462599</c:v>
                  </c:pt>
                  <c:pt idx="5">
                    <c:v>65.943460631058798</c:v>
                  </c:pt>
                  <c:pt idx="6">
                    <c:v>15.071164520368029</c:v>
                  </c:pt>
                </c:numCache>
              </c:numRef>
            </c:plus>
            <c:minus>
              <c:numRef>
                <c:f>'F:\Super important shit\[trophic.xlsx]Abundance'!$Q$4:$Q$10</c:f>
                <c:numCache>
                  <c:formatCode>General</c:formatCode>
                  <c:ptCount val="7"/>
                  <c:pt idx="0">
                    <c:v>13.27554142022087</c:v>
                  </c:pt>
                  <c:pt idx="1">
                    <c:v>1.4</c:v>
                  </c:pt>
                  <c:pt idx="2">
                    <c:v>6.3292969593786639</c:v>
                  </c:pt>
                  <c:pt idx="3">
                    <c:v>11.74137981669957</c:v>
                  </c:pt>
                  <c:pt idx="4">
                    <c:v>17.208718720462599</c:v>
                  </c:pt>
                  <c:pt idx="5">
                    <c:v>65.943460631058798</c:v>
                  </c:pt>
                  <c:pt idx="6">
                    <c:v>15.071164520368029</c:v>
                  </c:pt>
                </c:numCache>
              </c:numRef>
            </c:minus>
          </c:errBars>
          <c:cat>
            <c:strRef>
              <c:f>'F:\Super important shit\[trophic.xlsx]Abundance'!$D$4:$D$10</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shit\[trophic.xlsx]Abundance'!$H$4:$H$10</c:f>
              <c:numCache>
                <c:formatCode>General</c:formatCode>
                <c:ptCount val="7"/>
                <c:pt idx="0">
                  <c:v>18.2</c:v>
                </c:pt>
                <c:pt idx="1">
                  <c:v>2.4</c:v>
                </c:pt>
                <c:pt idx="2">
                  <c:v>11.6</c:v>
                </c:pt>
                <c:pt idx="3">
                  <c:v>17.600000000000001</c:v>
                </c:pt>
                <c:pt idx="4">
                  <c:v>25.2</c:v>
                </c:pt>
                <c:pt idx="5">
                  <c:v>78.8</c:v>
                </c:pt>
                <c:pt idx="6">
                  <c:v>55.2</c:v>
                </c:pt>
              </c:numCache>
            </c:numRef>
          </c:val>
        </c:ser>
        <c:ser>
          <c:idx val="4"/>
          <c:order val="4"/>
          <c:tx>
            <c:strRef>
              <c:f>'F:\Super important shit\[trophic.xlsx]Abundance'!$I$3</c:f>
              <c:strCache>
                <c:ptCount val="1"/>
                <c:pt idx="0">
                  <c:v>Fungivores</c:v>
                </c:pt>
              </c:strCache>
            </c:strRef>
          </c:tx>
          <c:invertIfNegative val="0"/>
          <c:errBars>
            <c:errBarType val="both"/>
            <c:errValType val="cust"/>
            <c:noEndCap val="0"/>
            <c:plus>
              <c:numRef>
                <c:f>'F:\Super important shit\[trophic.xlsx]Abundance'!$R$4:$R$10</c:f>
                <c:numCache>
                  <c:formatCode>General</c:formatCode>
                  <c:ptCount val="7"/>
                  <c:pt idx="0">
                    <c:v>5.8940648113165466</c:v>
                  </c:pt>
                  <c:pt idx="1">
                    <c:v>1.913112646970899</c:v>
                  </c:pt>
                  <c:pt idx="2">
                    <c:v>3.0983866769659332</c:v>
                  </c:pt>
                  <c:pt idx="3">
                    <c:v>5.9329587896765297</c:v>
                  </c:pt>
                  <c:pt idx="4">
                    <c:v>6.1773780845921999</c:v>
                  </c:pt>
                  <c:pt idx="5">
                    <c:v>5.4258639865002136</c:v>
                  </c:pt>
                  <c:pt idx="6">
                    <c:v>1.96468827043885</c:v>
                  </c:pt>
                </c:numCache>
              </c:numRef>
            </c:plus>
            <c:minus>
              <c:numRef>
                <c:f>'F:\Super important shit\[trophic.xlsx]Abundance'!$R$4:$R$10</c:f>
                <c:numCache>
                  <c:formatCode>General</c:formatCode>
                  <c:ptCount val="7"/>
                  <c:pt idx="0">
                    <c:v>5.8940648113165466</c:v>
                  </c:pt>
                  <c:pt idx="1">
                    <c:v>1.913112646970899</c:v>
                  </c:pt>
                  <c:pt idx="2">
                    <c:v>3.0983866769659332</c:v>
                  </c:pt>
                  <c:pt idx="3">
                    <c:v>5.9329587896765297</c:v>
                  </c:pt>
                  <c:pt idx="4">
                    <c:v>6.1773780845921999</c:v>
                  </c:pt>
                  <c:pt idx="5">
                    <c:v>5.4258639865002136</c:v>
                  </c:pt>
                  <c:pt idx="6">
                    <c:v>1.96468827043885</c:v>
                  </c:pt>
                </c:numCache>
              </c:numRef>
            </c:minus>
          </c:errBars>
          <c:cat>
            <c:strRef>
              <c:f>'F:\Super important shit\[trophic.xlsx]Abundance'!$D$4:$D$10</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shit\[trophic.xlsx]Abundance'!$I$4:$I$10</c:f>
              <c:numCache>
                <c:formatCode>General</c:formatCode>
                <c:ptCount val="7"/>
                <c:pt idx="0">
                  <c:v>6.666666666666667</c:v>
                </c:pt>
                <c:pt idx="1">
                  <c:v>2.4</c:v>
                </c:pt>
                <c:pt idx="2">
                  <c:v>11</c:v>
                </c:pt>
                <c:pt idx="3">
                  <c:v>9</c:v>
                </c:pt>
                <c:pt idx="4">
                  <c:v>7.4</c:v>
                </c:pt>
                <c:pt idx="5">
                  <c:v>16.8</c:v>
                </c:pt>
                <c:pt idx="6">
                  <c:v>4.5999999999999996</c:v>
                </c:pt>
              </c:numCache>
            </c:numRef>
          </c:val>
        </c:ser>
        <c:dLbls>
          <c:showLegendKey val="0"/>
          <c:showVal val="0"/>
          <c:showCatName val="0"/>
          <c:showSerName val="0"/>
          <c:showPercent val="0"/>
          <c:showBubbleSize val="0"/>
        </c:dLbls>
        <c:gapWidth val="57"/>
        <c:axId val="82801024"/>
        <c:axId val="82802944"/>
      </c:barChart>
      <c:catAx>
        <c:axId val="82801024"/>
        <c:scaling>
          <c:orientation val="minMax"/>
        </c:scaling>
        <c:delete val="0"/>
        <c:axPos val="b"/>
        <c:title>
          <c:tx>
            <c:rich>
              <a:bodyPr/>
              <a:lstStyle/>
              <a:p>
                <a:pPr>
                  <a:defRPr/>
                </a:pPr>
                <a:r>
                  <a:rPr lang="en-US"/>
                  <a:t>Tennessee soil treatment</a:t>
                </a:r>
              </a:p>
            </c:rich>
          </c:tx>
          <c:overlay val="0"/>
        </c:title>
        <c:majorTickMark val="out"/>
        <c:minorTickMark val="none"/>
        <c:tickLblPos val="nextTo"/>
        <c:crossAx val="82802944"/>
        <c:crosses val="autoZero"/>
        <c:auto val="1"/>
        <c:lblAlgn val="ctr"/>
        <c:lblOffset val="100"/>
        <c:noMultiLvlLbl val="0"/>
      </c:catAx>
      <c:valAx>
        <c:axId val="82802944"/>
        <c:scaling>
          <c:orientation val="minMax"/>
          <c:min val="0"/>
        </c:scaling>
        <c:delete val="0"/>
        <c:axPos val="l"/>
        <c:title>
          <c:tx>
            <c:rich>
              <a:bodyPr rot="-5400000" vert="horz"/>
              <a:lstStyle/>
              <a:p>
                <a:pPr>
                  <a:defRPr/>
                </a:pPr>
                <a:r>
                  <a:rPr lang="en-US"/>
                  <a:t>Nematode Abundance per 100 cm</a:t>
                </a:r>
                <a:r>
                  <a:rPr lang="en-US" sz="900" baseline="30000"/>
                  <a:t>3</a:t>
                </a:r>
                <a:r>
                  <a:rPr lang="en-US"/>
                  <a:t> soil</a:t>
                </a:r>
              </a:p>
            </c:rich>
          </c:tx>
          <c:overlay val="0"/>
        </c:title>
        <c:numFmt formatCode="General" sourceLinked="1"/>
        <c:majorTickMark val="out"/>
        <c:minorTickMark val="none"/>
        <c:tickLblPos val="nextTo"/>
        <c:crossAx val="82801024"/>
        <c:crosses val="autoZero"/>
        <c:crossBetween val="between"/>
      </c:valAx>
    </c:plotArea>
    <c:legend>
      <c:legendPos val="r"/>
      <c:layout>
        <c:manualLayout>
          <c:xMode val="edge"/>
          <c:yMode val="edge"/>
          <c:x val="0.17018719785346301"/>
          <c:y val="0.12646837625971999"/>
          <c:w val="0.193178816856624"/>
          <c:h val="0.401217280647166"/>
        </c:manualLayout>
      </c:layout>
      <c:overlay val="0"/>
    </c:legend>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Kentucky</a:t>
            </a:r>
          </a:p>
        </c:rich>
      </c:tx>
      <c:overlay val="1"/>
    </c:title>
    <c:autoTitleDeleted val="0"/>
    <c:plotArea>
      <c:layout/>
      <c:barChart>
        <c:barDir val="col"/>
        <c:grouping val="clustered"/>
        <c:varyColors val="0"/>
        <c:ser>
          <c:idx val="0"/>
          <c:order val="0"/>
          <c:tx>
            <c:strRef>
              <c:f>'F:\Super important shit\[trophic.xlsx]Abundance'!$E$19</c:f>
              <c:strCache>
                <c:ptCount val="1"/>
                <c:pt idx="0">
                  <c:v>Omnivores</c:v>
                </c:pt>
              </c:strCache>
            </c:strRef>
          </c:tx>
          <c:invertIfNegative val="0"/>
          <c:errBars>
            <c:errBarType val="both"/>
            <c:errValType val="cust"/>
            <c:noEndCap val="0"/>
            <c:plus>
              <c:numRef>
                <c:f>'F:\Super important shit\[trophic.xlsx]Abundance'!$N$18:$N$24</c:f>
                <c:numCache>
                  <c:formatCode>General</c:formatCode>
                  <c:ptCount val="7"/>
                  <c:pt idx="0">
                    <c:v>0.33333333333333298</c:v>
                  </c:pt>
                  <c:pt idx="1">
                    <c:v>0.25</c:v>
                  </c:pt>
                  <c:pt idx="2">
                    <c:v>1.0295630140987</c:v>
                  </c:pt>
                  <c:pt idx="3">
                    <c:v>0</c:v>
                  </c:pt>
                  <c:pt idx="4">
                    <c:v>4.3174066289845801</c:v>
                  </c:pt>
                  <c:pt idx="5">
                    <c:v>3.3075670817082452</c:v>
                  </c:pt>
                  <c:pt idx="6">
                    <c:v>1.363818169698586</c:v>
                  </c:pt>
                </c:numCache>
              </c:numRef>
            </c:plus>
            <c:minus>
              <c:numRef>
                <c:f>'F:\Super important shit\[trophic.xlsx]Abundance'!$N$18:$N$24</c:f>
                <c:numCache>
                  <c:formatCode>General</c:formatCode>
                  <c:ptCount val="7"/>
                  <c:pt idx="0">
                    <c:v>0.33333333333333298</c:v>
                  </c:pt>
                  <c:pt idx="1">
                    <c:v>0.25</c:v>
                  </c:pt>
                  <c:pt idx="2">
                    <c:v>1.0295630140987</c:v>
                  </c:pt>
                  <c:pt idx="3">
                    <c:v>0</c:v>
                  </c:pt>
                  <c:pt idx="4">
                    <c:v>4.3174066289845801</c:v>
                  </c:pt>
                  <c:pt idx="5">
                    <c:v>3.3075670817082452</c:v>
                  </c:pt>
                  <c:pt idx="6">
                    <c:v>1.363818169698586</c:v>
                  </c:pt>
                </c:numCache>
              </c:numRef>
            </c:minus>
          </c:errBars>
          <c:cat>
            <c:strRef>
              <c:f>'F:\Super important shit\[trophic.xlsx]Abundance'!$D$20:$D$26</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shit\[trophic.xlsx]Abundance'!$E$20:$E$26</c:f>
              <c:numCache>
                <c:formatCode>General</c:formatCode>
                <c:ptCount val="7"/>
                <c:pt idx="0">
                  <c:v>0.25</c:v>
                </c:pt>
                <c:pt idx="1">
                  <c:v>0.66666666666666696</c:v>
                </c:pt>
                <c:pt idx="2">
                  <c:v>3.6</c:v>
                </c:pt>
                <c:pt idx="3">
                  <c:v>0</c:v>
                </c:pt>
                <c:pt idx="4">
                  <c:v>8.8000000000000007</c:v>
                </c:pt>
                <c:pt idx="5">
                  <c:v>10.8</c:v>
                </c:pt>
                <c:pt idx="6">
                  <c:v>3.4</c:v>
                </c:pt>
              </c:numCache>
            </c:numRef>
          </c:val>
        </c:ser>
        <c:ser>
          <c:idx val="1"/>
          <c:order val="1"/>
          <c:tx>
            <c:strRef>
              <c:f>'F:\Super important shit\[trophic.xlsx]Abundance'!$F$19</c:f>
              <c:strCache>
                <c:ptCount val="1"/>
                <c:pt idx="0">
                  <c:v>Predators</c:v>
                </c:pt>
              </c:strCache>
            </c:strRef>
          </c:tx>
          <c:invertIfNegative val="0"/>
          <c:errBars>
            <c:errBarType val="both"/>
            <c:errValType val="cust"/>
            <c:noEndCap val="0"/>
            <c:plus>
              <c:numRef>
                <c:f>'F:\Super important shit\[trophic.xlsx]Abundance'!$O$18:$O$24</c:f>
                <c:numCache>
                  <c:formatCode>General</c:formatCode>
                  <c:ptCount val="7"/>
                  <c:pt idx="0">
                    <c:v>0</c:v>
                  </c:pt>
                  <c:pt idx="1">
                    <c:v>0.478713553878169</c:v>
                  </c:pt>
                  <c:pt idx="2">
                    <c:v>0.8</c:v>
                  </c:pt>
                  <c:pt idx="3">
                    <c:v>0.24494897427831799</c:v>
                  </c:pt>
                  <c:pt idx="4">
                    <c:v>0.748331477354788</c:v>
                  </c:pt>
                  <c:pt idx="5">
                    <c:v>3.6687872655688301</c:v>
                  </c:pt>
                  <c:pt idx="6">
                    <c:v>2.2934689882359431</c:v>
                  </c:pt>
                </c:numCache>
              </c:numRef>
            </c:plus>
            <c:minus>
              <c:numRef>
                <c:f>'F:\Super important shit\[trophic.xlsx]Abundance'!$O$18:$O$24</c:f>
                <c:numCache>
                  <c:formatCode>General</c:formatCode>
                  <c:ptCount val="7"/>
                  <c:pt idx="0">
                    <c:v>0</c:v>
                  </c:pt>
                  <c:pt idx="1">
                    <c:v>0.478713553878169</c:v>
                  </c:pt>
                  <c:pt idx="2">
                    <c:v>0.8</c:v>
                  </c:pt>
                  <c:pt idx="3">
                    <c:v>0.24494897427831799</c:v>
                  </c:pt>
                  <c:pt idx="4">
                    <c:v>0.748331477354788</c:v>
                  </c:pt>
                  <c:pt idx="5">
                    <c:v>3.6687872655688301</c:v>
                  </c:pt>
                  <c:pt idx="6">
                    <c:v>2.2934689882359431</c:v>
                  </c:pt>
                </c:numCache>
              </c:numRef>
            </c:minus>
          </c:errBars>
          <c:cat>
            <c:strRef>
              <c:f>'F:\Super important shit\[trophic.xlsx]Abundance'!$D$20:$D$26</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shit\[trophic.xlsx]Abundance'!$F$20:$F$26</c:f>
              <c:numCache>
                <c:formatCode>General</c:formatCode>
                <c:ptCount val="7"/>
                <c:pt idx="0">
                  <c:v>0.75</c:v>
                </c:pt>
                <c:pt idx="1">
                  <c:v>0</c:v>
                </c:pt>
                <c:pt idx="2">
                  <c:v>2.8</c:v>
                </c:pt>
                <c:pt idx="3">
                  <c:v>0.6</c:v>
                </c:pt>
                <c:pt idx="4">
                  <c:v>1.4</c:v>
                </c:pt>
                <c:pt idx="5">
                  <c:v>10.4</c:v>
                </c:pt>
                <c:pt idx="6">
                  <c:v>5.6</c:v>
                </c:pt>
              </c:numCache>
            </c:numRef>
          </c:val>
        </c:ser>
        <c:ser>
          <c:idx val="2"/>
          <c:order val="2"/>
          <c:tx>
            <c:strRef>
              <c:f>'F:\Super important shit\[trophic.xlsx]Abundance'!$G$19</c:f>
              <c:strCache>
                <c:ptCount val="1"/>
                <c:pt idx="0">
                  <c:v>Bacteriovores</c:v>
                </c:pt>
              </c:strCache>
            </c:strRef>
          </c:tx>
          <c:invertIfNegative val="0"/>
          <c:errBars>
            <c:errBarType val="both"/>
            <c:errValType val="cust"/>
            <c:noEndCap val="0"/>
            <c:plus>
              <c:numRef>
                <c:f>'F:\Super important shit\[trophic.xlsx]Abundance'!$P$18:$P$24</c:f>
                <c:numCache>
                  <c:formatCode>General</c:formatCode>
                  <c:ptCount val="7"/>
                  <c:pt idx="0">
                    <c:v>1.2018504251546629</c:v>
                  </c:pt>
                  <c:pt idx="1">
                    <c:v>0.40824829046386302</c:v>
                  </c:pt>
                  <c:pt idx="2">
                    <c:v>20.346006979257631</c:v>
                  </c:pt>
                  <c:pt idx="3">
                    <c:v>0.374165738677394</c:v>
                  </c:pt>
                  <c:pt idx="4">
                    <c:v>6.8293484315855491</c:v>
                  </c:pt>
                  <c:pt idx="5">
                    <c:v>19.027874290103981</c:v>
                  </c:pt>
                  <c:pt idx="6">
                    <c:v>7.7756028705175</c:v>
                  </c:pt>
                </c:numCache>
              </c:numRef>
            </c:plus>
            <c:minus>
              <c:numRef>
                <c:f>'F:\Super important shit\[trophic.xlsx]Abundance'!$P$18:$P$24</c:f>
                <c:numCache>
                  <c:formatCode>General</c:formatCode>
                  <c:ptCount val="7"/>
                  <c:pt idx="0">
                    <c:v>1.2018504251546629</c:v>
                  </c:pt>
                  <c:pt idx="1">
                    <c:v>0.40824829046386302</c:v>
                  </c:pt>
                  <c:pt idx="2">
                    <c:v>20.346006979257631</c:v>
                  </c:pt>
                  <c:pt idx="3">
                    <c:v>0.374165738677394</c:v>
                  </c:pt>
                  <c:pt idx="4">
                    <c:v>6.8293484315855491</c:v>
                  </c:pt>
                  <c:pt idx="5">
                    <c:v>19.027874290103981</c:v>
                  </c:pt>
                  <c:pt idx="6">
                    <c:v>7.7756028705175</c:v>
                  </c:pt>
                </c:numCache>
              </c:numRef>
            </c:minus>
          </c:errBars>
          <c:cat>
            <c:strRef>
              <c:f>'F:\Super important shit\[trophic.xlsx]Abundance'!$D$20:$D$26</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shit\[trophic.xlsx]Abundance'!$G$20:$G$26</c:f>
              <c:numCache>
                <c:formatCode>General</c:formatCode>
                <c:ptCount val="7"/>
                <c:pt idx="0">
                  <c:v>1</c:v>
                </c:pt>
                <c:pt idx="1">
                  <c:v>1.666666666666667</c:v>
                </c:pt>
                <c:pt idx="2">
                  <c:v>37.6</c:v>
                </c:pt>
                <c:pt idx="3">
                  <c:v>0.8</c:v>
                </c:pt>
                <c:pt idx="4">
                  <c:v>21.8</c:v>
                </c:pt>
                <c:pt idx="5">
                  <c:v>45.6</c:v>
                </c:pt>
                <c:pt idx="6">
                  <c:v>24.6</c:v>
                </c:pt>
              </c:numCache>
            </c:numRef>
          </c:val>
        </c:ser>
        <c:ser>
          <c:idx val="3"/>
          <c:order val="3"/>
          <c:tx>
            <c:strRef>
              <c:f>'F:\Super important shit\[trophic.xlsx]Abundance'!$H$19</c:f>
              <c:strCache>
                <c:ptCount val="1"/>
                <c:pt idx="0">
                  <c:v>Plant Parasites</c:v>
                </c:pt>
              </c:strCache>
            </c:strRef>
          </c:tx>
          <c:invertIfNegative val="0"/>
          <c:errBars>
            <c:errBarType val="both"/>
            <c:errValType val="cust"/>
            <c:noEndCap val="0"/>
            <c:plus>
              <c:numRef>
                <c:f>'F:\Super important shit\[trophic.xlsx]Abundance'!$Q$18:$Q$24</c:f>
                <c:numCache>
                  <c:formatCode>General</c:formatCode>
                  <c:ptCount val="7"/>
                  <c:pt idx="0">
                    <c:v>0</c:v>
                  </c:pt>
                  <c:pt idx="1">
                    <c:v>0</c:v>
                  </c:pt>
                  <c:pt idx="2">
                    <c:v>4.8846698967279254</c:v>
                  </c:pt>
                  <c:pt idx="3">
                    <c:v>0.4</c:v>
                  </c:pt>
                  <c:pt idx="4">
                    <c:v>156.50015974432739</c:v>
                  </c:pt>
                  <c:pt idx="5">
                    <c:v>9.1323600454647007</c:v>
                  </c:pt>
                  <c:pt idx="6">
                    <c:v>7.3986485252375651</c:v>
                  </c:pt>
                </c:numCache>
              </c:numRef>
            </c:plus>
            <c:minus>
              <c:numRef>
                <c:f>'F:\Super important shit\[trophic.xlsx]Abundance'!$Q$18:$Q$24</c:f>
                <c:numCache>
                  <c:formatCode>General</c:formatCode>
                  <c:ptCount val="7"/>
                  <c:pt idx="0">
                    <c:v>0</c:v>
                  </c:pt>
                  <c:pt idx="1">
                    <c:v>0</c:v>
                  </c:pt>
                  <c:pt idx="2">
                    <c:v>4.8846698967279254</c:v>
                  </c:pt>
                  <c:pt idx="3">
                    <c:v>0.4</c:v>
                  </c:pt>
                  <c:pt idx="4">
                    <c:v>156.50015974432739</c:v>
                  </c:pt>
                  <c:pt idx="5">
                    <c:v>9.1323600454647007</c:v>
                  </c:pt>
                  <c:pt idx="6">
                    <c:v>7.3986485252375651</c:v>
                  </c:pt>
                </c:numCache>
              </c:numRef>
            </c:minus>
          </c:errBars>
          <c:cat>
            <c:strRef>
              <c:f>'F:\Super important shit\[trophic.xlsx]Abundance'!$D$20:$D$26</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shit\[trophic.xlsx]Abundance'!$H$20:$H$26</c:f>
              <c:numCache>
                <c:formatCode>General</c:formatCode>
                <c:ptCount val="7"/>
                <c:pt idx="0">
                  <c:v>0</c:v>
                </c:pt>
                <c:pt idx="1">
                  <c:v>0</c:v>
                </c:pt>
                <c:pt idx="2">
                  <c:v>7.6</c:v>
                </c:pt>
                <c:pt idx="3">
                  <c:v>1.6</c:v>
                </c:pt>
                <c:pt idx="4">
                  <c:v>157</c:v>
                </c:pt>
                <c:pt idx="5">
                  <c:v>17</c:v>
                </c:pt>
                <c:pt idx="6">
                  <c:v>16.2</c:v>
                </c:pt>
              </c:numCache>
            </c:numRef>
          </c:val>
        </c:ser>
        <c:ser>
          <c:idx val="4"/>
          <c:order val="4"/>
          <c:tx>
            <c:strRef>
              <c:f>'F:\Super important shit\[trophic.xlsx]Abundance'!$I$19</c:f>
              <c:strCache>
                <c:ptCount val="1"/>
                <c:pt idx="0">
                  <c:v>Fungivores</c:v>
                </c:pt>
              </c:strCache>
            </c:strRef>
          </c:tx>
          <c:invertIfNegative val="0"/>
          <c:errBars>
            <c:errBarType val="both"/>
            <c:errValType val="cust"/>
            <c:noEndCap val="0"/>
            <c:plus>
              <c:numRef>
                <c:f>'F:\Super important shit\[trophic.xlsx]Abundance'!$R$18:$R$24</c:f>
                <c:numCache>
                  <c:formatCode>General</c:formatCode>
                  <c:ptCount val="7"/>
                  <c:pt idx="0">
                    <c:v>0</c:v>
                  </c:pt>
                  <c:pt idx="1">
                    <c:v>0.35355339059327401</c:v>
                  </c:pt>
                  <c:pt idx="2">
                    <c:v>5.5497747702046434</c:v>
                  </c:pt>
                  <c:pt idx="3">
                    <c:v>0.24494897427831799</c:v>
                  </c:pt>
                  <c:pt idx="4">
                    <c:v>0.96953597148326598</c:v>
                  </c:pt>
                  <c:pt idx="5">
                    <c:v>0.374165738677394</c:v>
                  </c:pt>
                  <c:pt idx="6">
                    <c:v>0.871779788708135</c:v>
                  </c:pt>
                </c:numCache>
              </c:numRef>
            </c:plus>
            <c:minus>
              <c:numLit>
                <c:formatCode>General</c:formatCode>
                <c:ptCount val="1"/>
                <c:pt idx="0">
                  <c:v>1</c:v>
                </c:pt>
              </c:numLit>
            </c:minus>
          </c:errBars>
          <c:cat>
            <c:strRef>
              <c:f>'F:\Super important shit\[trophic.xlsx]Abundance'!$D$20:$D$26</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shit\[trophic.xlsx]Abundance'!$I$20:$I$26</c:f>
              <c:numCache>
                <c:formatCode>General</c:formatCode>
                <c:ptCount val="7"/>
                <c:pt idx="0">
                  <c:v>0.25</c:v>
                </c:pt>
                <c:pt idx="1">
                  <c:v>0</c:v>
                </c:pt>
                <c:pt idx="2">
                  <c:v>7</c:v>
                </c:pt>
                <c:pt idx="3">
                  <c:v>0.6</c:v>
                </c:pt>
                <c:pt idx="4">
                  <c:v>4.2</c:v>
                </c:pt>
                <c:pt idx="5">
                  <c:v>0.8</c:v>
                </c:pt>
                <c:pt idx="6">
                  <c:v>1.4</c:v>
                </c:pt>
              </c:numCache>
            </c:numRef>
          </c:val>
        </c:ser>
        <c:dLbls>
          <c:showLegendKey val="0"/>
          <c:showVal val="0"/>
          <c:showCatName val="0"/>
          <c:showSerName val="0"/>
          <c:showPercent val="0"/>
          <c:showBubbleSize val="0"/>
        </c:dLbls>
        <c:gapWidth val="37"/>
        <c:axId val="82718720"/>
        <c:axId val="82720640"/>
      </c:barChart>
      <c:catAx>
        <c:axId val="82718720"/>
        <c:scaling>
          <c:orientation val="minMax"/>
        </c:scaling>
        <c:delete val="0"/>
        <c:axPos val="b"/>
        <c:title>
          <c:tx>
            <c:rich>
              <a:bodyPr/>
              <a:lstStyle/>
              <a:p>
                <a:pPr>
                  <a:defRPr/>
                </a:pPr>
                <a:r>
                  <a:rPr lang="en-US"/>
                  <a:t>Kentucky soil treatment</a:t>
                </a:r>
              </a:p>
            </c:rich>
          </c:tx>
          <c:overlay val="0"/>
        </c:title>
        <c:majorTickMark val="out"/>
        <c:minorTickMark val="none"/>
        <c:tickLblPos val="nextTo"/>
        <c:crossAx val="82720640"/>
        <c:crosses val="autoZero"/>
        <c:auto val="1"/>
        <c:lblAlgn val="ctr"/>
        <c:lblOffset val="100"/>
        <c:noMultiLvlLbl val="0"/>
      </c:catAx>
      <c:valAx>
        <c:axId val="82720640"/>
        <c:scaling>
          <c:orientation val="minMax"/>
          <c:max val="160"/>
          <c:min val="0"/>
        </c:scaling>
        <c:delete val="0"/>
        <c:axPos val="l"/>
        <c:title>
          <c:tx>
            <c:rich>
              <a:bodyPr rot="-5400000" vert="horz"/>
              <a:lstStyle/>
              <a:p>
                <a:pPr>
                  <a:defRPr/>
                </a:pPr>
                <a:r>
                  <a:rPr lang="en-US"/>
                  <a:t>Nematode abundance per 100 cm3 soil</a:t>
                </a:r>
              </a:p>
            </c:rich>
          </c:tx>
          <c:overlay val="0"/>
        </c:title>
        <c:numFmt formatCode="General" sourceLinked="1"/>
        <c:majorTickMark val="out"/>
        <c:minorTickMark val="none"/>
        <c:tickLblPos val="nextTo"/>
        <c:crossAx val="82718720"/>
        <c:crosses val="autoZero"/>
        <c:crossBetween val="between"/>
      </c:valAx>
    </c:plotArea>
    <c:plotVisOnly val="1"/>
    <c:dispBlanksAs val="gap"/>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Virginia</a:t>
            </a:r>
          </a:p>
        </c:rich>
      </c:tx>
      <c:layout>
        <c:manualLayout>
          <c:xMode val="edge"/>
          <c:yMode val="edge"/>
          <c:x val="0.44225617478256501"/>
          <c:y val="3.2111536516651003E-2"/>
        </c:manualLayout>
      </c:layout>
      <c:overlay val="1"/>
    </c:title>
    <c:autoTitleDeleted val="0"/>
    <c:plotArea>
      <c:layout>
        <c:manualLayout>
          <c:layoutTarget val="inner"/>
          <c:xMode val="edge"/>
          <c:yMode val="edge"/>
          <c:x val="0.12373364024196799"/>
          <c:y val="7.8473235570324401E-2"/>
          <c:w val="0.82896898078709902"/>
          <c:h val="0.68095312556990995"/>
        </c:manualLayout>
      </c:layout>
      <c:barChart>
        <c:barDir val="col"/>
        <c:grouping val="clustered"/>
        <c:varyColors val="0"/>
        <c:ser>
          <c:idx val="0"/>
          <c:order val="0"/>
          <c:tx>
            <c:strRef>
              <c:f>'F:\Super important shit\[trophic.xlsx]Abundance'!$E$11</c:f>
              <c:strCache>
                <c:ptCount val="1"/>
                <c:pt idx="0">
                  <c:v>Omnivores</c:v>
                </c:pt>
              </c:strCache>
            </c:strRef>
          </c:tx>
          <c:invertIfNegative val="0"/>
          <c:errBars>
            <c:errBarType val="both"/>
            <c:errValType val="cust"/>
            <c:noEndCap val="0"/>
            <c:plus>
              <c:numRef>
                <c:f>'F:\Super important shit\[trophic.xlsx]Abundance'!$N$11:$N$17</c:f>
                <c:numCache>
                  <c:formatCode>General</c:formatCode>
                  <c:ptCount val="7"/>
                  <c:pt idx="0">
                    <c:v>1.9595917942265419</c:v>
                  </c:pt>
                  <c:pt idx="1">
                    <c:v>0</c:v>
                  </c:pt>
                  <c:pt idx="2">
                    <c:v>1.4142135623730949</c:v>
                  </c:pt>
                  <c:pt idx="3">
                    <c:v>4.3999999999999986</c:v>
                  </c:pt>
                  <c:pt idx="4">
                    <c:v>0.58309518948452999</c:v>
                  </c:pt>
                  <c:pt idx="5">
                    <c:v>0.94868329805051399</c:v>
                  </c:pt>
                  <c:pt idx="6">
                    <c:v>2.3790754506740628</c:v>
                  </c:pt>
                </c:numCache>
              </c:numRef>
            </c:plus>
            <c:minus>
              <c:numRef>
                <c:f>'F:\Super important shit\[trophic.xlsx]Abundance'!$N$12:$N$18</c:f>
                <c:numCache>
                  <c:formatCode>General</c:formatCode>
                  <c:ptCount val="7"/>
                  <c:pt idx="0">
                    <c:v>0</c:v>
                  </c:pt>
                  <c:pt idx="1">
                    <c:v>1.4142135623730949</c:v>
                  </c:pt>
                  <c:pt idx="2">
                    <c:v>4.3999999999999986</c:v>
                  </c:pt>
                  <c:pt idx="3">
                    <c:v>0.58309518948452999</c:v>
                  </c:pt>
                  <c:pt idx="4">
                    <c:v>0.94868329805051399</c:v>
                  </c:pt>
                  <c:pt idx="5">
                    <c:v>2.3790754506740628</c:v>
                  </c:pt>
                  <c:pt idx="6">
                    <c:v>0.33333333333333298</c:v>
                  </c:pt>
                </c:numCache>
              </c:numRef>
            </c:minus>
          </c:errBars>
          <c:cat>
            <c:strRef>
              <c:f>'F:\Super important shit\[trophic.xlsx]Abundance'!$D$12:$D$18</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shit\[trophic.xlsx]Abundance'!$E$12:$E$18</c:f>
              <c:numCache>
                <c:formatCode>General</c:formatCode>
                <c:ptCount val="7"/>
                <c:pt idx="0">
                  <c:v>2.2000000000000002</c:v>
                </c:pt>
                <c:pt idx="1">
                  <c:v>0</c:v>
                </c:pt>
                <c:pt idx="2">
                  <c:v>7</c:v>
                </c:pt>
                <c:pt idx="3">
                  <c:v>8.6</c:v>
                </c:pt>
                <c:pt idx="4">
                  <c:v>0.8</c:v>
                </c:pt>
                <c:pt idx="5">
                  <c:v>2</c:v>
                </c:pt>
                <c:pt idx="6">
                  <c:v>6.4</c:v>
                </c:pt>
              </c:numCache>
            </c:numRef>
          </c:val>
        </c:ser>
        <c:ser>
          <c:idx val="1"/>
          <c:order val="1"/>
          <c:tx>
            <c:strRef>
              <c:f>'F:\Super important shit\[trophic.xlsx]Abundance'!$F$11</c:f>
              <c:strCache>
                <c:ptCount val="1"/>
                <c:pt idx="0">
                  <c:v>Predators</c:v>
                </c:pt>
              </c:strCache>
            </c:strRef>
          </c:tx>
          <c:invertIfNegative val="0"/>
          <c:errBars>
            <c:errBarType val="both"/>
            <c:errValType val="cust"/>
            <c:noEndCap val="0"/>
            <c:plus>
              <c:numLit>
                <c:formatCode>General</c:formatCode>
                <c:ptCount val="1"/>
                <c:pt idx="0">
                  <c:v>1</c:v>
                </c:pt>
              </c:numLit>
            </c:plus>
            <c:minus>
              <c:numLit>
                <c:formatCode>General</c:formatCode>
                <c:ptCount val="1"/>
                <c:pt idx="0">
                  <c:v>1</c:v>
                </c:pt>
              </c:numLit>
            </c:minus>
          </c:errBars>
          <c:cat>
            <c:strRef>
              <c:f>'F:\Super important shit\[trophic.xlsx]Abundance'!$D$12:$D$18</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shit\[trophic.xlsx]Abundance'!$F$12:$F$18</c:f>
              <c:numCache>
                <c:formatCode>General</c:formatCode>
                <c:ptCount val="7"/>
                <c:pt idx="0">
                  <c:v>1.8</c:v>
                </c:pt>
                <c:pt idx="1">
                  <c:v>0</c:v>
                </c:pt>
                <c:pt idx="2">
                  <c:v>6.2</c:v>
                </c:pt>
                <c:pt idx="3">
                  <c:v>3</c:v>
                </c:pt>
                <c:pt idx="4">
                  <c:v>6</c:v>
                </c:pt>
                <c:pt idx="5">
                  <c:v>5.6</c:v>
                </c:pt>
                <c:pt idx="6">
                  <c:v>13.6</c:v>
                </c:pt>
              </c:numCache>
            </c:numRef>
          </c:val>
        </c:ser>
        <c:ser>
          <c:idx val="2"/>
          <c:order val="2"/>
          <c:tx>
            <c:strRef>
              <c:f>'F:\Super important shit\[trophic.xlsx]Abundance'!$G$11</c:f>
              <c:strCache>
                <c:ptCount val="1"/>
                <c:pt idx="0">
                  <c:v>Bacteriovores</c:v>
                </c:pt>
              </c:strCache>
            </c:strRef>
          </c:tx>
          <c:invertIfNegative val="0"/>
          <c:errBars>
            <c:errBarType val="both"/>
            <c:errValType val="cust"/>
            <c:noEndCap val="0"/>
            <c:plus>
              <c:numRef>
                <c:f>'F:\Super important shit\[trophic.xlsx]Abundance'!$P$11:$P$17</c:f>
                <c:numCache>
                  <c:formatCode>General</c:formatCode>
                  <c:ptCount val="7"/>
                  <c:pt idx="0">
                    <c:v>8.7498571416909439</c:v>
                  </c:pt>
                  <c:pt idx="1">
                    <c:v>0</c:v>
                  </c:pt>
                  <c:pt idx="2">
                    <c:v>6.8527366796047247</c:v>
                  </c:pt>
                  <c:pt idx="3">
                    <c:v>16.57286939549093</c:v>
                  </c:pt>
                  <c:pt idx="4">
                    <c:v>8.6948260477136632</c:v>
                  </c:pt>
                  <c:pt idx="5">
                    <c:v>5.8940648113165466</c:v>
                  </c:pt>
                  <c:pt idx="6">
                    <c:v>12.994614268996219</c:v>
                  </c:pt>
                </c:numCache>
              </c:numRef>
            </c:plus>
            <c:minus>
              <c:numRef>
                <c:f>'F:\Super important shit\[trophic.xlsx]Abundance'!$P$11:$P$17</c:f>
                <c:numCache>
                  <c:formatCode>General</c:formatCode>
                  <c:ptCount val="7"/>
                  <c:pt idx="0">
                    <c:v>8.7498571416909439</c:v>
                  </c:pt>
                  <c:pt idx="1">
                    <c:v>0</c:v>
                  </c:pt>
                  <c:pt idx="2">
                    <c:v>6.8527366796047247</c:v>
                  </c:pt>
                  <c:pt idx="3">
                    <c:v>16.57286939549093</c:v>
                  </c:pt>
                  <c:pt idx="4">
                    <c:v>8.6948260477136632</c:v>
                  </c:pt>
                  <c:pt idx="5">
                    <c:v>5.8940648113165466</c:v>
                  </c:pt>
                  <c:pt idx="6">
                    <c:v>12.994614268996219</c:v>
                  </c:pt>
                </c:numCache>
              </c:numRef>
            </c:minus>
          </c:errBars>
          <c:cat>
            <c:strRef>
              <c:f>'F:\Super important shit\[trophic.xlsx]Abundance'!$D$12:$D$18</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shit\[trophic.xlsx]Abundance'!$G$12:$G$18</c:f>
              <c:numCache>
                <c:formatCode>General</c:formatCode>
                <c:ptCount val="7"/>
                <c:pt idx="0">
                  <c:v>19.399999999999999</c:v>
                </c:pt>
                <c:pt idx="1">
                  <c:v>4.5</c:v>
                </c:pt>
                <c:pt idx="2">
                  <c:v>14.6</c:v>
                </c:pt>
                <c:pt idx="3">
                  <c:v>38.6</c:v>
                </c:pt>
                <c:pt idx="4">
                  <c:v>19</c:v>
                </c:pt>
                <c:pt idx="5">
                  <c:v>19.8</c:v>
                </c:pt>
                <c:pt idx="6">
                  <c:v>45.6</c:v>
                </c:pt>
              </c:numCache>
            </c:numRef>
          </c:val>
        </c:ser>
        <c:ser>
          <c:idx val="3"/>
          <c:order val="3"/>
          <c:tx>
            <c:strRef>
              <c:f>'F:\Super important shit\[trophic.xlsx]Abundance'!$H$11</c:f>
              <c:strCache>
                <c:ptCount val="1"/>
                <c:pt idx="0">
                  <c:v>Plant Parasites</c:v>
                </c:pt>
              </c:strCache>
            </c:strRef>
          </c:tx>
          <c:invertIfNegative val="0"/>
          <c:errBars>
            <c:errBarType val="both"/>
            <c:errValType val="cust"/>
            <c:noEndCap val="0"/>
            <c:plus>
              <c:numRef>
                <c:f>'F:\Super important shit\[trophic.xlsx]Abundance'!$Q$11:$Q$17</c:f>
                <c:numCache>
                  <c:formatCode>General</c:formatCode>
                  <c:ptCount val="7"/>
                  <c:pt idx="0">
                    <c:v>0.2</c:v>
                  </c:pt>
                  <c:pt idx="1">
                    <c:v>0</c:v>
                  </c:pt>
                  <c:pt idx="2">
                    <c:v>2.3323807579381199</c:v>
                  </c:pt>
                  <c:pt idx="3">
                    <c:v>0.748331477354788</c:v>
                  </c:pt>
                  <c:pt idx="4">
                    <c:v>8.4380092438915923</c:v>
                  </c:pt>
                  <c:pt idx="5">
                    <c:v>5.1127292124656858</c:v>
                  </c:pt>
                  <c:pt idx="6">
                    <c:v>12.441864811996631</c:v>
                  </c:pt>
                </c:numCache>
              </c:numRef>
            </c:plus>
            <c:minus>
              <c:numRef>
                <c:f>'F:\Super important shit\[trophic.xlsx]Abundance'!$Q$11:$Q$17</c:f>
                <c:numCache>
                  <c:formatCode>General</c:formatCode>
                  <c:ptCount val="7"/>
                  <c:pt idx="0">
                    <c:v>0.2</c:v>
                  </c:pt>
                  <c:pt idx="1">
                    <c:v>0</c:v>
                  </c:pt>
                  <c:pt idx="2">
                    <c:v>2.3323807579381199</c:v>
                  </c:pt>
                  <c:pt idx="3">
                    <c:v>0.748331477354788</c:v>
                  </c:pt>
                  <c:pt idx="4">
                    <c:v>8.4380092438915923</c:v>
                  </c:pt>
                  <c:pt idx="5">
                    <c:v>5.1127292124656858</c:v>
                  </c:pt>
                  <c:pt idx="6">
                    <c:v>12.441864811996631</c:v>
                  </c:pt>
                </c:numCache>
              </c:numRef>
            </c:minus>
          </c:errBars>
          <c:cat>
            <c:strRef>
              <c:f>'F:\Super important shit\[trophic.xlsx]Abundance'!$D$12:$D$18</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shit\[trophic.xlsx]Abundance'!$H$12:$H$18</c:f>
              <c:numCache>
                <c:formatCode>General</c:formatCode>
                <c:ptCount val="7"/>
                <c:pt idx="0">
                  <c:v>0.2</c:v>
                </c:pt>
                <c:pt idx="1">
                  <c:v>1.75</c:v>
                </c:pt>
                <c:pt idx="2">
                  <c:v>2.8</c:v>
                </c:pt>
                <c:pt idx="3">
                  <c:v>1.4</c:v>
                </c:pt>
                <c:pt idx="4">
                  <c:v>17</c:v>
                </c:pt>
                <c:pt idx="5">
                  <c:v>14.2</c:v>
                </c:pt>
                <c:pt idx="6">
                  <c:v>54</c:v>
                </c:pt>
              </c:numCache>
            </c:numRef>
          </c:val>
        </c:ser>
        <c:ser>
          <c:idx val="4"/>
          <c:order val="4"/>
          <c:tx>
            <c:strRef>
              <c:f>'F:\Super important shit\[trophic.xlsx]Abundance'!$I$11</c:f>
              <c:strCache>
                <c:ptCount val="1"/>
                <c:pt idx="0">
                  <c:v>Fungivores</c:v>
                </c:pt>
              </c:strCache>
            </c:strRef>
          </c:tx>
          <c:invertIfNegative val="0"/>
          <c:errBars>
            <c:errBarType val="both"/>
            <c:errValType val="cust"/>
            <c:noEndCap val="0"/>
            <c:plus>
              <c:numRef>
                <c:f>'F:\Super important shit\[trophic.xlsx]Abundance'!$R$11:$R$17</c:f>
                <c:numCache>
                  <c:formatCode>General</c:formatCode>
                  <c:ptCount val="7"/>
                  <c:pt idx="0">
                    <c:v>0</c:v>
                  </c:pt>
                  <c:pt idx="1">
                    <c:v>0</c:v>
                  </c:pt>
                  <c:pt idx="2">
                    <c:v>4.1952353926806074</c:v>
                  </c:pt>
                  <c:pt idx="3">
                    <c:v>5.5677643628300224</c:v>
                  </c:pt>
                  <c:pt idx="4">
                    <c:v>3.171750305430741</c:v>
                  </c:pt>
                  <c:pt idx="5">
                    <c:v>2.03469899493758</c:v>
                  </c:pt>
                  <c:pt idx="6">
                    <c:v>0.6</c:v>
                  </c:pt>
                </c:numCache>
              </c:numRef>
            </c:plus>
            <c:minus>
              <c:numRef>
                <c:f>'F:\Super important shit\[trophic.xlsx]Abundance'!$R$11:$R$17</c:f>
                <c:numCache>
                  <c:formatCode>General</c:formatCode>
                  <c:ptCount val="7"/>
                  <c:pt idx="0">
                    <c:v>0</c:v>
                  </c:pt>
                  <c:pt idx="1">
                    <c:v>0</c:v>
                  </c:pt>
                  <c:pt idx="2">
                    <c:v>4.1952353926806074</c:v>
                  </c:pt>
                  <c:pt idx="3">
                    <c:v>5.5677643628300224</c:v>
                  </c:pt>
                  <c:pt idx="4">
                    <c:v>3.171750305430741</c:v>
                  </c:pt>
                  <c:pt idx="5">
                    <c:v>2.03469899493758</c:v>
                  </c:pt>
                  <c:pt idx="6">
                    <c:v>0.6</c:v>
                  </c:pt>
                </c:numCache>
              </c:numRef>
            </c:minus>
          </c:errBars>
          <c:cat>
            <c:strRef>
              <c:f>'F:\Super important shit\[trophic.xlsx]Abundance'!$D$12:$D$18</c:f>
              <c:strCache>
                <c:ptCount val="7"/>
                <c:pt idx="0">
                  <c:v>Young FRA</c:v>
                </c:pt>
                <c:pt idx="1">
                  <c:v>Young SMCRA</c:v>
                </c:pt>
                <c:pt idx="2">
                  <c:v>Midage FRA</c:v>
                </c:pt>
                <c:pt idx="3">
                  <c:v>Midage SMCRA</c:v>
                </c:pt>
                <c:pt idx="4">
                  <c:v>Old FRA</c:v>
                </c:pt>
                <c:pt idx="5">
                  <c:v>Old SMCRA</c:v>
                </c:pt>
                <c:pt idx="6">
                  <c:v>Forest</c:v>
                </c:pt>
              </c:strCache>
            </c:strRef>
          </c:cat>
          <c:val>
            <c:numRef>
              <c:f>'F:\Super important shit\[trophic.xlsx]Abundance'!$I$12:$I$18</c:f>
              <c:numCache>
                <c:formatCode>General</c:formatCode>
                <c:ptCount val="7"/>
                <c:pt idx="0">
                  <c:v>0</c:v>
                </c:pt>
                <c:pt idx="1">
                  <c:v>0</c:v>
                </c:pt>
                <c:pt idx="2">
                  <c:v>7</c:v>
                </c:pt>
                <c:pt idx="3">
                  <c:v>11</c:v>
                </c:pt>
                <c:pt idx="4">
                  <c:v>5.6</c:v>
                </c:pt>
                <c:pt idx="5">
                  <c:v>5.2</c:v>
                </c:pt>
                <c:pt idx="6">
                  <c:v>1.6</c:v>
                </c:pt>
              </c:numCache>
            </c:numRef>
          </c:val>
        </c:ser>
        <c:dLbls>
          <c:showLegendKey val="0"/>
          <c:showVal val="0"/>
          <c:showCatName val="0"/>
          <c:showSerName val="0"/>
          <c:showPercent val="0"/>
          <c:showBubbleSize val="0"/>
        </c:dLbls>
        <c:gapWidth val="36"/>
        <c:axId val="82754560"/>
        <c:axId val="82756736"/>
      </c:barChart>
      <c:catAx>
        <c:axId val="82754560"/>
        <c:scaling>
          <c:orientation val="minMax"/>
        </c:scaling>
        <c:delete val="0"/>
        <c:axPos val="b"/>
        <c:title>
          <c:tx>
            <c:rich>
              <a:bodyPr/>
              <a:lstStyle/>
              <a:p>
                <a:pPr>
                  <a:defRPr/>
                </a:pPr>
                <a:r>
                  <a:rPr lang="en-US"/>
                  <a:t>Virginia soil treatment</a:t>
                </a:r>
              </a:p>
            </c:rich>
          </c:tx>
          <c:overlay val="0"/>
        </c:title>
        <c:majorTickMark val="out"/>
        <c:minorTickMark val="none"/>
        <c:tickLblPos val="nextTo"/>
        <c:crossAx val="82756736"/>
        <c:crosses val="autoZero"/>
        <c:auto val="1"/>
        <c:lblAlgn val="ctr"/>
        <c:lblOffset val="100"/>
        <c:noMultiLvlLbl val="0"/>
      </c:catAx>
      <c:valAx>
        <c:axId val="82756736"/>
        <c:scaling>
          <c:orientation val="minMax"/>
          <c:max val="160"/>
          <c:min val="0"/>
        </c:scaling>
        <c:delete val="0"/>
        <c:axPos val="l"/>
        <c:title>
          <c:tx>
            <c:rich>
              <a:bodyPr rot="-5400000" vert="horz"/>
              <a:lstStyle/>
              <a:p>
                <a:pPr>
                  <a:defRPr/>
                </a:pPr>
                <a:r>
                  <a:rPr lang="en-US"/>
                  <a:t>Nematode Abundance per 100 cm3 soil</a:t>
                </a:r>
              </a:p>
            </c:rich>
          </c:tx>
          <c:overlay val="0"/>
        </c:title>
        <c:numFmt formatCode="General" sourceLinked="1"/>
        <c:majorTickMark val="out"/>
        <c:minorTickMark val="none"/>
        <c:tickLblPos val="nextTo"/>
        <c:crossAx val="82754560"/>
        <c:crosses val="autoZero"/>
        <c:crossBetween val="between"/>
        <c:majorUnit val="20"/>
      </c:valAx>
    </c:plotArea>
    <c:plotVisOnly val="1"/>
    <c:dispBlanksAs val="gap"/>
    <c:showDLblsOverMax val="0"/>
  </c:chart>
  <c:spPr>
    <a:ln>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534221721668909E-2"/>
          <c:y val="3.5076496266982164E-2"/>
          <c:w val="0.85936425413287154"/>
          <c:h val="0.81628192390859677"/>
        </c:manualLayout>
      </c:layout>
      <c:barChart>
        <c:barDir val="col"/>
        <c:grouping val="clustered"/>
        <c:varyColors val="0"/>
        <c:ser>
          <c:idx val="0"/>
          <c:order val="0"/>
          <c:tx>
            <c:v>Tennessee</c:v>
          </c:tx>
          <c:spPr>
            <a:solidFill>
              <a:schemeClr val="tx1">
                <a:lumMod val="75000"/>
                <a:lumOff val="25000"/>
              </a:schemeClr>
            </a:solidFill>
            <a:ln w="19050">
              <a:solidFill>
                <a:schemeClr val="tx1"/>
              </a:solidFill>
            </a:ln>
          </c:spPr>
          <c:invertIfNegative val="0"/>
          <c:errBars>
            <c:errBarType val="both"/>
            <c:errValType val="cust"/>
            <c:noEndCap val="0"/>
            <c:plus>
              <c:numRef>
                <c:f>'F:\Super important shit\[OCT11mixedmodel.xlsx]Sheet3'!$R$20:$R$26</c:f>
                <c:numCache>
                  <c:formatCode>General</c:formatCode>
                  <c:ptCount val="7"/>
                  <c:pt idx="0">
                    <c:v>2.2583179581272428</c:v>
                  </c:pt>
                  <c:pt idx="1">
                    <c:v>3.4496376621320679</c:v>
                  </c:pt>
                  <c:pt idx="2">
                    <c:v>6.3529520697074346</c:v>
                  </c:pt>
                  <c:pt idx="3">
                    <c:v>2.5416530054277668</c:v>
                  </c:pt>
                  <c:pt idx="4">
                    <c:v>3.8987177379235858</c:v>
                  </c:pt>
                  <c:pt idx="5">
                    <c:v>2.4899799195977459</c:v>
                  </c:pt>
                  <c:pt idx="6">
                    <c:v>7.7175125526298931</c:v>
                  </c:pt>
                </c:numCache>
              </c:numRef>
            </c:plus>
            <c:minus>
              <c:numRef>
                <c:f>'F:\Super important shit\[OCT11mixedmodel.xlsx]Sheet3'!$R$20:$R$26</c:f>
                <c:numCache>
                  <c:formatCode>General</c:formatCode>
                  <c:ptCount val="7"/>
                  <c:pt idx="0">
                    <c:v>2.2583179581272428</c:v>
                  </c:pt>
                  <c:pt idx="1">
                    <c:v>3.4496376621320679</c:v>
                  </c:pt>
                  <c:pt idx="2">
                    <c:v>6.3529520697074346</c:v>
                  </c:pt>
                  <c:pt idx="3">
                    <c:v>2.5416530054277668</c:v>
                  </c:pt>
                  <c:pt idx="4">
                    <c:v>3.8987177379235858</c:v>
                  </c:pt>
                  <c:pt idx="5">
                    <c:v>2.4899799195977459</c:v>
                  </c:pt>
                  <c:pt idx="6">
                    <c:v>7.7175125526298931</c:v>
                  </c:pt>
                </c:numCache>
              </c:numRef>
            </c:minus>
          </c:errBars>
          <c:cat>
            <c:strRef>
              <c:f>'F:\Super important shit\[OCT11mixedmodel.xlsx]Sheet3'!$M$2:$M$8</c:f>
              <c:strCache>
                <c:ptCount val="7"/>
                <c:pt idx="0">
                  <c:v>Young FRA</c:v>
                </c:pt>
                <c:pt idx="1">
                  <c:v>Midage FRA</c:v>
                </c:pt>
                <c:pt idx="2">
                  <c:v>Old FRA</c:v>
                </c:pt>
                <c:pt idx="3">
                  <c:v>Young SMCRA</c:v>
                </c:pt>
                <c:pt idx="4">
                  <c:v>Midage SMCRA</c:v>
                </c:pt>
                <c:pt idx="5">
                  <c:v>Old SMCRA</c:v>
                </c:pt>
                <c:pt idx="6">
                  <c:v>Forest</c:v>
                </c:pt>
              </c:strCache>
            </c:strRef>
          </c:cat>
          <c:val>
            <c:numRef>
              <c:f>'F:\Super important shit\[OCT11mixedmodel.xlsx]Sheet3'!$N$2:$N$8</c:f>
              <c:numCache>
                <c:formatCode>General</c:formatCode>
                <c:ptCount val="7"/>
                <c:pt idx="0">
                  <c:v>12</c:v>
                </c:pt>
                <c:pt idx="1">
                  <c:v>19</c:v>
                </c:pt>
                <c:pt idx="2">
                  <c:v>19.600000000000001</c:v>
                </c:pt>
                <c:pt idx="3">
                  <c:v>7.6</c:v>
                </c:pt>
                <c:pt idx="4">
                  <c:v>18</c:v>
                </c:pt>
                <c:pt idx="5">
                  <c:v>20</c:v>
                </c:pt>
                <c:pt idx="6">
                  <c:v>39.6</c:v>
                </c:pt>
              </c:numCache>
            </c:numRef>
          </c:val>
        </c:ser>
        <c:ser>
          <c:idx val="1"/>
          <c:order val="1"/>
          <c:tx>
            <c:v>Virginia</c:v>
          </c:tx>
          <c:spPr>
            <a:solidFill>
              <a:schemeClr val="bg1">
                <a:lumMod val="75000"/>
              </a:schemeClr>
            </a:solidFill>
            <a:ln w="19050">
              <a:solidFill>
                <a:schemeClr val="tx1"/>
              </a:solidFill>
            </a:ln>
          </c:spPr>
          <c:invertIfNegative val="0"/>
          <c:errBars>
            <c:errBarType val="both"/>
            <c:errValType val="cust"/>
            <c:noEndCap val="0"/>
            <c:plus>
              <c:numRef>
                <c:f>'F:\Super important shit\[OCT11mixedmodel.xlsx]Sheet3'!$S$60:$S$66</c:f>
                <c:numCache>
                  <c:formatCode>General</c:formatCode>
                  <c:ptCount val="7"/>
                  <c:pt idx="0">
                    <c:v>3.7202150475476552</c:v>
                  </c:pt>
                  <c:pt idx="1">
                    <c:v>2.2226110770892862</c:v>
                  </c:pt>
                  <c:pt idx="2">
                    <c:v>3.1685959035509712</c:v>
                  </c:pt>
                  <c:pt idx="3">
                    <c:v>0.25</c:v>
                  </c:pt>
                  <c:pt idx="4">
                    <c:v>1.7435595774162691</c:v>
                  </c:pt>
                  <c:pt idx="5">
                    <c:v>4.9030602688525047</c:v>
                  </c:pt>
                  <c:pt idx="6">
                    <c:v>4.8538644398046378</c:v>
                  </c:pt>
                </c:numCache>
              </c:numRef>
            </c:plus>
            <c:minus>
              <c:numRef>
                <c:f>'F:\Super important shit\[OCT11mixedmodel.xlsx]Sheet3'!$S$60:$S$66</c:f>
                <c:numCache>
                  <c:formatCode>General</c:formatCode>
                  <c:ptCount val="7"/>
                  <c:pt idx="0">
                    <c:v>3.7202150475476552</c:v>
                  </c:pt>
                  <c:pt idx="1">
                    <c:v>2.2226110770892862</c:v>
                  </c:pt>
                  <c:pt idx="2">
                    <c:v>3.1685959035509712</c:v>
                  </c:pt>
                  <c:pt idx="3">
                    <c:v>0.25</c:v>
                  </c:pt>
                  <c:pt idx="4">
                    <c:v>1.7435595774162691</c:v>
                  </c:pt>
                  <c:pt idx="5">
                    <c:v>4.9030602688525047</c:v>
                  </c:pt>
                  <c:pt idx="6">
                    <c:v>4.8538644398046378</c:v>
                  </c:pt>
                </c:numCache>
              </c:numRef>
            </c:minus>
          </c:errBars>
          <c:val>
            <c:numRef>
              <c:f>'F:\Super important shit\[OCT11mixedmodel.xlsx]Sheet3'!$N$45:$N$51</c:f>
              <c:numCache>
                <c:formatCode>General</c:formatCode>
                <c:ptCount val="7"/>
                <c:pt idx="0">
                  <c:v>2.25</c:v>
                </c:pt>
                <c:pt idx="1">
                  <c:v>7.2</c:v>
                </c:pt>
                <c:pt idx="2">
                  <c:v>12.8</c:v>
                </c:pt>
                <c:pt idx="3">
                  <c:v>12.8</c:v>
                </c:pt>
                <c:pt idx="4">
                  <c:v>12.2</c:v>
                </c:pt>
                <c:pt idx="5">
                  <c:v>15.8</c:v>
                </c:pt>
                <c:pt idx="6">
                  <c:v>27.4</c:v>
                </c:pt>
              </c:numCache>
            </c:numRef>
          </c:val>
        </c:ser>
        <c:ser>
          <c:idx val="2"/>
          <c:order val="2"/>
          <c:tx>
            <c:v>Kentucky</c:v>
          </c:tx>
          <c:spPr>
            <a:solidFill>
              <a:schemeClr val="bg1"/>
            </a:solidFill>
            <a:ln w="25400">
              <a:solidFill>
                <a:schemeClr val="tx1"/>
              </a:solidFill>
            </a:ln>
          </c:spPr>
          <c:invertIfNegative val="0"/>
          <c:errBars>
            <c:errBarType val="both"/>
            <c:errValType val="cust"/>
            <c:noEndCap val="0"/>
            <c:plus>
              <c:numRef>
                <c:f>'F:\Super important shit\[OCT11mixedmodel.xlsx]Sheet3'!$S$100:$S$106</c:f>
                <c:numCache>
                  <c:formatCode>General</c:formatCode>
                  <c:ptCount val="7"/>
                  <c:pt idx="0">
                    <c:v>1.314977819838292</c:v>
                  </c:pt>
                  <c:pt idx="1">
                    <c:v>0.871779788708135</c:v>
                  </c:pt>
                  <c:pt idx="2">
                    <c:v>3.00665927567458</c:v>
                  </c:pt>
                  <c:pt idx="3">
                    <c:v>1.347150628109127</c:v>
                  </c:pt>
                  <c:pt idx="4">
                    <c:v>3.1464265445104549</c:v>
                  </c:pt>
                  <c:pt idx="5">
                    <c:v>2.3958297101421868</c:v>
                  </c:pt>
                  <c:pt idx="6">
                    <c:v>4.8785243670601854</c:v>
                  </c:pt>
                </c:numCache>
              </c:numRef>
            </c:plus>
            <c:minus>
              <c:numRef>
                <c:f>'F:\Super important shit\[OCT11mixedmodel.xlsx]Sheet3'!$S$100:$S$106</c:f>
                <c:numCache>
                  <c:formatCode>General</c:formatCode>
                  <c:ptCount val="7"/>
                  <c:pt idx="0">
                    <c:v>1.314977819838292</c:v>
                  </c:pt>
                  <c:pt idx="1">
                    <c:v>0.871779788708135</c:v>
                  </c:pt>
                  <c:pt idx="2">
                    <c:v>3.00665927567458</c:v>
                  </c:pt>
                  <c:pt idx="3">
                    <c:v>1.347150628109127</c:v>
                  </c:pt>
                  <c:pt idx="4">
                    <c:v>3.1464265445104549</c:v>
                  </c:pt>
                  <c:pt idx="5">
                    <c:v>2.3958297101421868</c:v>
                  </c:pt>
                  <c:pt idx="6">
                    <c:v>4.8785243670601854</c:v>
                  </c:pt>
                </c:numCache>
              </c:numRef>
            </c:minus>
          </c:errBars>
          <c:val>
            <c:numRef>
              <c:f>'F:\Super important shit\[OCT11mixedmodel.xlsx]Sheet3'!$S$84:$S$90</c:f>
              <c:numCache>
                <c:formatCode>General</c:formatCode>
                <c:ptCount val="7"/>
                <c:pt idx="0">
                  <c:v>2.25</c:v>
                </c:pt>
                <c:pt idx="1">
                  <c:v>3.4</c:v>
                </c:pt>
                <c:pt idx="2">
                  <c:v>20.2</c:v>
                </c:pt>
                <c:pt idx="3">
                  <c:v>2.333333333333333</c:v>
                </c:pt>
                <c:pt idx="4">
                  <c:v>14</c:v>
                </c:pt>
                <c:pt idx="5">
                  <c:v>12.8</c:v>
                </c:pt>
                <c:pt idx="6">
                  <c:v>21</c:v>
                </c:pt>
              </c:numCache>
            </c:numRef>
          </c:val>
        </c:ser>
        <c:dLbls>
          <c:showLegendKey val="0"/>
          <c:showVal val="0"/>
          <c:showCatName val="0"/>
          <c:showSerName val="0"/>
          <c:showPercent val="0"/>
          <c:showBubbleSize val="0"/>
        </c:dLbls>
        <c:gapWidth val="33"/>
        <c:axId val="83931520"/>
        <c:axId val="83933056"/>
      </c:barChart>
      <c:catAx>
        <c:axId val="83931520"/>
        <c:scaling>
          <c:orientation val="minMax"/>
        </c:scaling>
        <c:delete val="0"/>
        <c:axPos val="b"/>
        <c:majorTickMark val="out"/>
        <c:minorTickMark val="none"/>
        <c:tickLblPos val="nextTo"/>
        <c:crossAx val="83933056"/>
        <c:crosses val="autoZero"/>
        <c:auto val="1"/>
        <c:lblAlgn val="ctr"/>
        <c:lblOffset val="100"/>
        <c:noMultiLvlLbl val="0"/>
      </c:catAx>
      <c:valAx>
        <c:axId val="83933056"/>
        <c:scaling>
          <c:orientation val="minMax"/>
          <c:min val="0"/>
        </c:scaling>
        <c:delete val="0"/>
        <c:axPos val="l"/>
        <c:title>
          <c:tx>
            <c:rich>
              <a:bodyPr rot="-5400000" vert="horz"/>
              <a:lstStyle/>
              <a:p>
                <a:pPr>
                  <a:defRPr/>
                </a:pPr>
                <a:r>
                  <a:rPr lang="en-US"/>
                  <a:t>Richness (species per 100 cm3 soil)</a:t>
                </a:r>
              </a:p>
            </c:rich>
          </c:tx>
          <c:layout>
            <c:manualLayout>
              <c:xMode val="edge"/>
              <c:yMode val="edge"/>
              <c:x val="6.0897269753832596E-3"/>
              <c:y val="0.15404294670420099"/>
            </c:manualLayout>
          </c:layout>
          <c:overlay val="0"/>
        </c:title>
        <c:numFmt formatCode="General" sourceLinked="1"/>
        <c:majorTickMark val="out"/>
        <c:minorTickMark val="none"/>
        <c:tickLblPos val="nextTo"/>
        <c:crossAx val="83931520"/>
        <c:crosses val="autoZero"/>
        <c:crossBetween val="between"/>
      </c:valAx>
      <c:spPr>
        <a:noFill/>
        <a:ln w="25400">
          <a:noFill/>
        </a:ln>
      </c:spPr>
    </c:plotArea>
    <c:legend>
      <c:legendPos val="r"/>
      <c:layout>
        <c:manualLayout>
          <c:xMode val="edge"/>
          <c:yMode val="edge"/>
          <c:x val="0.1290338922088953"/>
          <c:y val="9.2063971278201623E-2"/>
          <c:w val="0.1289584284220226"/>
          <c:h val="0.18747933590813021"/>
        </c:manualLayout>
      </c:layout>
      <c:overlay val="0"/>
    </c:legend>
    <c:plotVisOnly val="1"/>
    <c:dispBlanksAs val="gap"/>
    <c:showDLblsOverMax val="0"/>
  </c:chart>
  <c:txPr>
    <a:bodyPr/>
    <a:lstStyle/>
    <a:p>
      <a:pPr>
        <a:defRPr>
          <a:solidFill>
            <a:sysClr val="windowText" lastClr="000000"/>
          </a:solidFill>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Virginia</a:t>
            </a:r>
          </a:p>
        </c:rich>
      </c:tx>
      <c:layout/>
      <c:overlay val="1"/>
    </c:title>
    <c:autoTitleDeleted val="0"/>
    <c:plotArea>
      <c:layout>
        <c:manualLayout>
          <c:layoutTarget val="inner"/>
          <c:xMode val="edge"/>
          <c:yMode val="edge"/>
          <c:x val="0.11060485913494562"/>
          <c:y val="5.3910925453567134E-2"/>
          <c:w val="0.86608965127632398"/>
          <c:h val="0.76479060774025254"/>
        </c:manualLayout>
      </c:layout>
      <c:barChart>
        <c:barDir val="col"/>
        <c:grouping val="clustered"/>
        <c:varyColors val="0"/>
        <c:ser>
          <c:idx val="1"/>
          <c:order val="0"/>
          <c:spPr>
            <a:solidFill>
              <a:schemeClr val="bg1">
                <a:lumMod val="75000"/>
              </a:schemeClr>
            </a:solidFill>
            <a:ln w="19050">
              <a:solidFill>
                <a:schemeClr val="tx1"/>
              </a:solidFill>
            </a:ln>
          </c:spPr>
          <c:invertIfNegative val="0"/>
          <c:errBars>
            <c:errBarType val="both"/>
            <c:errValType val="cust"/>
            <c:noEndCap val="0"/>
            <c:plus>
              <c:numRef>
                <c:f>[1]Sheet3!$S$60:$S$66</c:f>
                <c:numCache>
                  <c:formatCode>General</c:formatCode>
                  <c:ptCount val="7"/>
                  <c:pt idx="0">
                    <c:v>3.7202150475476552</c:v>
                  </c:pt>
                  <c:pt idx="1">
                    <c:v>2.2226110770892862</c:v>
                  </c:pt>
                  <c:pt idx="2">
                    <c:v>3.1685959035509712</c:v>
                  </c:pt>
                  <c:pt idx="3">
                    <c:v>0.25</c:v>
                  </c:pt>
                  <c:pt idx="4">
                    <c:v>1.7435595774162691</c:v>
                  </c:pt>
                  <c:pt idx="5">
                    <c:v>4.9030602688525047</c:v>
                  </c:pt>
                  <c:pt idx="6">
                    <c:v>4.8538644398046378</c:v>
                  </c:pt>
                </c:numCache>
              </c:numRef>
            </c:plus>
            <c:minus>
              <c:numRef>
                <c:f>[1]Sheet3!$S$60:$S$66</c:f>
                <c:numCache>
                  <c:formatCode>General</c:formatCode>
                  <c:ptCount val="7"/>
                  <c:pt idx="0">
                    <c:v>3.7202150475476552</c:v>
                  </c:pt>
                  <c:pt idx="1">
                    <c:v>2.2226110770892862</c:v>
                  </c:pt>
                  <c:pt idx="2">
                    <c:v>3.1685959035509712</c:v>
                  </c:pt>
                  <c:pt idx="3">
                    <c:v>0.25</c:v>
                  </c:pt>
                  <c:pt idx="4">
                    <c:v>1.7435595774162691</c:v>
                  </c:pt>
                  <c:pt idx="5">
                    <c:v>4.9030602688525047</c:v>
                  </c:pt>
                  <c:pt idx="6">
                    <c:v>4.8538644398046378</c:v>
                  </c:pt>
                </c:numCache>
              </c:numRef>
            </c:minus>
          </c:errBars>
          <c:cat>
            <c:strRef>
              <c:f>[1]VA!$K$62:$K$68</c:f>
              <c:strCache>
                <c:ptCount val="7"/>
                <c:pt idx="0">
                  <c:v>Young FRA</c:v>
                </c:pt>
                <c:pt idx="1">
                  <c:v>Midage FRA</c:v>
                </c:pt>
                <c:pt idx="2">
                  <c:v>Old FRA</c:v>
                </c:pt>
                <c:pt idx="3">
                  <c:v>Young SMCRA</c:v>
                </c:pt>
                <c:pt idx="4">
                  <c:v>Midage SMCRA</c:v>
                </c:pt>
                <c:pt idx="5">
                  <c:v>Old SMCRA</c:v>
                </c:pt>
                <c:pt idx="6">
                  <c:v>Forest</c:v>
                </c:pt>
              </c:strCache>
            </c:strRef>
          </c:cat>
          <c:val>
            <c:numRef>
              <c:f>[1]Sheet3!$S$45:$S$51</c:f>
              <c:numCache>
                <c:formatCode>General</c:formatCode>
                <c:ptCount val="7"/>
                <c:pt idx="0">
                  <c:v>7.2</c:v>
                </c:pt>
                <c:pt idx="1">
                  <c:v>12.8</c:v>
                </c:pt>
                <c:pt idx="2">
                  <c:v>15.8</c:v>
                </c:pt>
                <c:pt idx="3">
                  <c:v>2.25</c:v>
                </c:pt>
                <c:pt idx="4">
                  <c:v>12.8</c:v>
                </c:pt>
                <c:pt idx="5">
                  <c:v>12.2</c:v>
                </c:pt>
                <c:pt idx="6">
                  <c:v>39.6</c:v>
                </c:pt>
              </c:numCache>
            </c:numRef>
          </c:val>
        </c:ser>
        <c:dLbls>
          <c:showLegendKey val="0"/>
          <c:showVal val="0"/>
          <c:showCatName val="0"/>
          <c:showSerName val="0"/>
          <c:showPercent val="0"/>
          <c:showBubbleSize val="0"/>
        </c:dLbls>
        <c:gapWidth val="33"/>
        <c:axId val="83991552"/>
        <c:axId val="83993344"/>
      </c:barChart>
      <c:catAx>
        <c:axId val="83991552"/>
        <c:scaling>
          <c:orientation val="minMax"/>
        </c:scaling>
        <c:delete val="0"/>
        <c:axPos val="b"/>
        <c:majorTickMark val="out"/>
        <c:minorTickMark val="none"/>
        <c:tickLblPos val="nextTo"/>
        <c:crossAx val="83993344"/>
        <c:crosses val="autoZero"/>
        <c:auto val="1"/>
        <c:lblAlgn val="ctr"/>
        <c:lblOffset val="100"/>
        <c:noMultiLvlLbl val="0"/>
      </c:catAx>
      <c:valAx>
        <c:axId val="83993344"/>
        <c:scaling>
          <c:orientation val="minMax"/>
        </c:scaling>
        <c:delete val="0"/>
        <c:axPos val="l"/>
        <c:title>
          <c:tx>
            <c:rich>
              <a:bodyPr rot="-5400000" vert="horz"/>
              <a:lstStyle/>
              <a:p>
                <a:pPr>
                  <a:defRPr/>
                </a:pPr>
                <a:r>
                  <a:rPr lang="en-US" b="0"/>
                  <a:t>Richness (species per 100 cm</a:t>
                </a:r>
                <a:r>
                  <a:rPr lang="en-US" b="0" baseline="30000"/>
                  <a:t>3</a:t>
                </a:r>
                <a:r>
                  <a:rPr lang="en-US" b="0"/>
                  <a:t> soil)</a:t>
                </a:r>
              </a:p>
            </c:rich>
          </c:tx>
          <c:layout>
            <c:manualLayout>
              <c:xMode val="edge"/>
              <c:yMode val="edge"/>
              <c:x val="2.0399464617916207E-2"/>
              <c:y val="7.589368230379652E-2"/>
            </c:manualLayout>
          </c:layout>
          <c:overlay val="0"/>
        </c:title>
        <c:numFmt formatCode="General" sourceLinked="1"/>
        <c:majorTickMark val="out"/>
        <c:minorTickMark val="none"/>
        <c:tickLblPos val="nextTo"/>
        <c:crossAx val="83991552"/>
        <c:crosses val="autoZero"/>
        <c:crossBetween val="between"/>
      </c:valAx>
      <c:spPr>
        <a:noFill/>
        <a:ln w="25400">
          <a:noFill/>
        </a:ln>
      </c:spPr>
    </c:plotArea>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Kentucky</a:t>
            </a:r>
          </a:p>
        </c:rich>
      </c:tx>
      <c:layout/>
      <c:overlay val="0"/>
    </c:title>
    <c:autoTitleDeleted val="0"/>
    <c:plotArea>
      <c:layout>
        <c:manualLayout>
          <c:layoutTarget val="inner"/>
          <c:xMode val="edge"/>
          <c:yMode val="edge"/>
          <c:x val="0.10560480982010821"/>
          <c:y val="7.067879860213204E-2"/>
          <c:w val="0.86974256803735484"/>
          <c:h val="0.73991249314476248"/>
        </c:manualLayout>
      </c:layout>
      <c:barChart>
        <c:barDir val="col"/>
        <c:grouping val="clustered"/>
        <c:varyColors val="0"/>
        <c:ser>
          <c:idx val="2"/>
          <c:order val="0"/>
          <c:tx>
            <c:v>Kentucky</c:v>
          </c:tx>
          <c:spPr>
            <a:solidFill>
              <a:schemeClr val="bg1">
                <a:lumMod val="75000"/>
              </a:schemeClr>
            </a:solidFill>
            <a:ln w="19050">
              <a:solidFill>
                <a:schemeClr val="tx1"/>
              </a:solidFill>
            </a:ln>
          </c:spPr>
          <c:invertIfNegative val="0"/>
          <c:errBars>
            <c:errBarType val="both"/>
            <c:errValType val="cust"/>
            <c:noEndCap val="0"/>
            <c:plus>
              <c:numRef>
                <c:f>[1]Sheet3!$S$100:$S$106</c:f>
                <c:numCache>
                  <c:formatCode>General</c:formatCode>
                  <c:ptCount val="7"/>
                  <c:pt idx="0">
                    <c:v>1.314977819838292</c:v>
                  </c:pt>
                  <c:pt idx="1">
                    <c:v>0.871779788708135</c:v>
                  </c:pt>
                  <c:pt idx="2">
                    <c:v>3.00665927567458</c:v>
                  </c:pt>
                  <c:pt idx="3">
                    <c:v>1.347150628109127</c:v>
                  </c:pt>
                  <c:pt idx="4">
                    <c:v>3.1464265445104549</c:v>
                  </c:pt>
                  <c:pt idx="5">
                    <c:v>2.3958297101421868</c:v>
                  </c:pt>
                  <c:pt idx="6">
                    <c:v>4.8785243670601854</c:v>
                  </c:pt>
                </c:numCache>
              </c:numRef>
            </c:plus>
            <c:minus>
              <c:numRef>
                <c:f>[1]Sheet3!$S$100:$S$106</c:f>
                <c:numCache>
                  <c:formatCode>General</c:formatCode>
                  <c:ptCount val="7"/>
                  <c:pt idx="0">
                    <c:v>1.314977819838292</c:v>
                  </c:pt>
                  <c:pt idx="1">
                    <c:v>0.871779788708135</c:v>
                  </c:pt>
                  <c:pt idx="2">
                    <c:v>3.00665927567458</c:v>
                  </c:pt>
                  <c:pt idx="3">
                    <c:v>1.347150628109127</c:v>
                  </c:pt>
                  <c:pt idx="4">
                    <c:v>3.1464265445104549</c:v>
                  </c:pt>
                  <c:pt idx="5">
                    <c:v>2.3958297101421868</c:v>
                  </c:pt>
                  <c:pt idx="6">
                    <c:v>4.8785243670601854</c:v>
                  </c:pt>
                </c:numCache>
              </c:numRef>
            </c:minus>
          </c:errBars>
          <c:cat>
            <c:strRef>
              <c:f>[1]KY!$C$70:$C$76</c:f>
              <c:strCache>
                <c:ptCount val="7"/>
                <c:pt idx="0">
                  <c:v>Young FRA</c:v>
                </c:pt>
                <c:pt idx="1">
                  <c:v>Midage FRA</c:v>
                </c:pt>
                <c:pt idx="2">
                  <c:v>Old FRA</c:v>
                </c:pt>
                <c:pt idx="3">
                  <c:v>Young SMCRA</c:v>
                </c:pt>
                <c:pt idx="4">
                  <c:v>Midage SMCRA</c:v>
                </c:pt>
                <c:pt idx="5">
                  <c:v>Old SMCRA</c:v>
                </c:pt>
                <c:pt idx="6">
                  <c:v>Forest</c:v>
                </c:pt>
              </c:strCache>
            </c:strRef>
          </c:cat>
          <c:val>
            <c:numRef>
              <c:f>[1]Sheet3!$S$84:$S$90</c:f>
              <c:numCache>
                <c:formatCode>General</c:formatCode>
                <c:ptCount val="7"/>
                <c:pt idx="0">
                  <c:v>2.25</c:v>
                </c:pt>
                <c:pt idx="1">
                  <c:v>3.4</c:v>
                </c:pt>
                <c:pt idx="2">
                  <c:v>20.2</c:v>
                </c:pt>
                <c:pt idx="3">
                  <c:v>2.333333333333333</c:v>
                </c:pt>
                <c:pt idx="4">
                  <c:v>14</c:v>
                </c:pt>
                <c:pt idx="5">
                  <c:v>12.8</c:v>
                </c:pt>
                <c:pt idx="6">
                  <c:v>21</c:v>
                </c:pt>
              </c:numCache>
            </c:numRef>
          </c:val>
        </c:ser>
        <c:dLbls>
          <c:showLegendKey val="0"/>
          <c:showVal val="0"/>
          <c:showCatName val="0"/>
          <c:showSerName val="0"/>
          <c:showPercent val="0"/>
          <c:showBubbleSize val="0"/>
        </c:dLbls>
        <c:gapWidth val="33"/>
        <c:axId val="85066496"/>
        <c:axId val="85068032"/>
      </c:barChart>
      <c:catAx>
        <c:axId val="85066496"/>
        <c:scaling>
          <c:orientation val="minMax"/>
        </c:scaling>
        <c:delete val="0"/>
        <c:axPos val="b"/>
        <c:numFmt formatCode="General" sourceLinked="1"/>
        <c:majorTickMark val="out"/>
        <c:minorTickMark val="none"/>
        <c:tickLblPos val="nextTo"/>
        <c:crossAx val="85068032"/>
        <c:crosses val="autoZero"/>
        <c:auto val="1"/>
        <c:lblAlgn val="ctr"/>
        <c:lblOffset val="100"/>
        <c:noMultiLvlLbl val="0"/>
      </c:catAx>
      <c:valAx>
        <c:axId val="85068032"/>
        <c:scaling>
          <c:orientation val="minMax"/>
          <c:max val="50"/>
        </c:scaling>
        <c:delete val="0"/>
        <c:axPos val="l"/>
        <c:title>
          <c:tx>
            <c:rich>
              <a:bodyPr rot="-5400000" vert="horz"/>
              <a:lstStyle/>
              <a:p>
                <a:pPr>
                  <a:defRPr/>
                </a:pPr>
                <a:r>
                  <a:rPr lang="en-US" b="0"/>
                  <a:t>Richness (species per 100 cm</a:t>
                </a:r>
                <a:r>
                  <a:rPr lang="en-US" b="0" baseline="30000"/>
                  <a:t>3</a:t>
                </a:r>
                <a:r>
                  <a:rPr lang="en-US" b="0"/>
                  <a:t> soil)</a:t>
                </a:r>
              </a:p>
            </c:rich>
          </c:tx>
          <c:layout>
            <c:manualLayout>
              <c:xMode val="edge"/>
              <c:yMode val="edge"/>
              <c:x val="1.5942217204614521E-2"/>
              <c:y val="8.7248257668859006E-2"/>
            </c:manualLayout>
          </c:layout>
          <c:overlay val="0"/>
        </c:title>
        <c:numFmt formatCode="General" sourceLinked="1"/>
        <c:majorTickMark val="out"/>
        <c:minorTickMark val="none"/>
        <c:tickLblPos val="nextTo"/>
        <c:crossAx val="85066496"/>
        <c:crosses val="autoZero"/>
        <c:crossBetween val="between"/>
      </c:valAx>
      <c:spPr>
        <a:noFill/>
        <a:ln w="25400">
          <a:noFill/>
        </a:ln>
      </c:spPr>
    </c:plotArea>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Tennessee</a:t>
            </a:r>
          </a:p>
        </c:rich>
      </c:tx>
      <c:layout/>
      <c:overlay val="0"/>
    </c:title>
    <c:autoTitleDeleted val="0"/>
    <c:plotArea>
      <c:layout>
        <c:manualLayout>
          <c:layoutTarget val="inner"/>
          <c:xMode val="edge"/>
          <c:yMode val="edge"/>
          <c:x val="0.13345141552503328"/>
          <c:y val="5.3527133432645257E-2"/>
          <c:w val="0.84180446120424357"/>
          <c:h val="0.77213426186783873"/>
        </c:manualLayout>
      </c:layout>
      <c:barChart>
        <c:barDir val="col"/>
        <c:grouping val="clustered"/>
        <c:varyColors val="0"/>
        <c:ser>
          <c:idx val="0"/>
          <c:order val="0"/>
          <c:tx>
            <c:v>Tennessee</c:v>
          </c:tx>
          <c:spPr>
            <a:solidFill>
              <a:schemeClr val="bg1">
                <a:lumMod val="75000"/>
              </a:schemeClr>
            </a:solidFill>
            <a:ln w="19050">
              <a:solidFill>
                <a:schemeClr val="tx1"/>
              </a:solidFill>
            </a:ln>
          </c:spPr>
          <c:invertIfNegative val="0"/>
          <c:errBars>
            <c:errBarType val="both"/>
            <c:errValType val="cust"/>
            <c:noEndCap val="0"/>
            <c:plus>
              <c:numRef>
                <c:f>[1]Sheet3!$R$20:$R$26</c:f>
                <c:numCache>
                  <c:formatCode>General</c:formatCode>
                  <c:ptCount val="7"/>
                  <c:pt idx="0">
                    <c:v>2.2583179581272428</c:v>
                  </c:pt>
                  <c:pt idx="1">
                    <c:v>3.4496376621320679</c:v>
                  </c:pt>
                  <c:pt idx="2">
                    <c:v>6.3529520697074346</c:v>
                  </c:pt>
                  <c:pt idx="3">
                    <c:v>2.5416530054277668</c:v>
                  </c:pt>
                  <c:pt idx="4">
                    <c:v>3.8987177379235858</c:v>
                  </c:pt>
                  <c:pt idx="5">
                    <c:v>2.4899799195977459</c:v>
                  </c:pt>
                  <c:pt idx="6">
                    <c:v>7.7175125526298931</c:v>
                  </c:pt>
                </c:numCache>
              </c:numRef>
            </c:plus>
            <c:minus>
              <c:numRef>
                <c:f>[1]Sheet3!$R$20:$R$26</c:f>
                <c:numCache>
                  <c:formatCode>General</c:formatCode>
                  <c:ptCount val="7"/>
                  <c:pt idx="0">
                    <c:v>2.2583179581272428</c:v>
                  </c:pt>
                  <c:pt idx="1">
                    <c:v>3.4496376621320679</c:v>
                  </c:pt>
                  <c:pt idx="2">
                    <c:v>6.3529520697074346</c:v>
                  </c:pt>
                  <c:pt idx="3">
                    <c:v>2.5416530054277668</c:v>
                  </c:pt>
                  <c:pt idx="4">
                    <c:v>3.8987177379235858</c:v>
                  </c:pt>
                  <c:pt idx="5">
                    <c:v>2.4899799195977459</c:v>
                  </c:pt>
                  <c:pt idx="6">
                    <c:v>7.7175125526298931</c:v>
                  </c:pt>
                </c:numCache>
              </c:numRef>
            </c:minus>
          </c:errBars>
          <c:cat>
            <c:strRef>
              <c:f>[1]Sheet3!$M$2:$M$8</c:f>
              <c:strCache>
                <c:ptCount val="7"/>
                <c:pt idx="0">
                  <c:v>Young FRA</c:v>
                </c:pt>
                <c:pt idx="1">
                  <c:v>Midage FRA</c:v>
                </c:pt>
                <c:pt idx="2">
                  <c:v>Old FRA</c:v>
                </c:pt>
                <c:pt idx="3">
                  <c:v>Young SMCRA</c:v>
                </c:pt>
                <c:pt idx="4">
                  <c:v>Midage SMCRA</c:v>
                </c:pt>
                <c:pt idx="5">
                  <c:v>Old SMCRA</c:v>
                </c:pt>
                <c:pt idx="6">
                  <c:v>Forest</c:v>
                </c:pt>
              </c:strCache>
            </c:strRef>
          </c:cat>
          <c:val>
            <c:numRef>
              <c:f>[1]Sheet3!$N$2:$N$8</c:f>
              <c:numCache>
                <c:formatCode>General</c:formatCode>
                <c:ptCount val="7"/>
                <c:pt idx="0">
                  <c:v>12</c:v>
                </c:pt>
                <c:pt idx="1">
                  <c:v>19</c:v>
                </c:pt>
                <c:pt idx="2">
                  <c:v>19.600000000000001</c:v>
                </c:pt>
                <c:pt idx="3">
                  <c:v>7.6</c:v>
                </c:pt>
                <c:pt idx="4">
                  <c:v>18</c:v>
                </c:pt>
                <c:pt idx="5">
                  <c:v>20</c:v>
                </c:pt>
                <c:pt idx="6">
                  <c:v>39.6</c:v>
                </c:pt>
              </c:numCache>
            </c:numRef>
          </c:val>
        </c:ser>
        <c:dLbls>
          <c:showLegendKey val="0"/>
          <c:showVal val="0"/>
          <c:showCatName val="0"/>
          <c:showSerName val="0"/>
          <c:showPercent val="0"/>
          <c:showBubbleSize val="0"/>
        </c:dLbls>
        <c:gapWidth val="33"/>
        <c:axId val="85108992"/>
        <c:axId val="85123072"/>
      </c:barChart>
      <c:catAx>
        <c:axId val="85108992"/>
        <c:scaling>
          <c:orientation val="minMax"/>
        </c:scaling>
        <c:delete val="0"/>
        <c:axPos val="b"/>
        <c:majorTickMark val="out"/>
        <c:minorTickMark val="none"/>
        <c:tickLblPos val="nextTo"/>
        <c:crossAx val="85123072"/>
        <c:crosses val="autoZero"/>
        <c:auto val="1"/>
        <c:lblAlgn val="ctr"/>
        <c:lblOffset val="100"/>
        <c:noMultiLvlLbl val="0"/>
      </c:catAx>
      <c:valAx>
        <c:axId val="85123072"/>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b="0"/>
                  <a:t>Richness (species per </a:t>
                </a:r>
                <a:r>
                  <a:rPr lang="en-US" sz="1000" b="0"/>
                  <a:t>100 </a:t>
                </a:r>
                <a:r>
                  <a:rPr lang="en-US" sz="1000" b="0" i="0" baseline="0">
                    <a:effectLst/>
                  </a:rPr>
                  <a:t>cm</a:t>
                </a:r>
                <a:r>
                  <a:rPr lang="en-US" sz="1000" b="0" i="0" baseline="30000">
                    <a:effectLst/>
                  </a:rPr>
                  <a:t>3</a:t>
                </a:r>
                <a:r>
                  <a:rPr lang="en-US" sz="1000" b="0" i="0" baseline="0">
                    <a:effectLst/>
                  </a:rPr>
                  <a:t> soil</a:t>
                </a:r>
                <a:r>
                  <a:rPr lang="en-US" b="0"/>
                  <a:t>)</a:t>
                </a:r>
              </a:p>
            </c:rich>
          </c:tx>
          <c:layout>
            <c:manualLayout>
              <c:xMode val="edge"/>
              <c:yMode val="edge"/>
              <c:x val="3.1612204915824595E-2"/>
              <c:y val="6.2663545435198975E-2"/>
            </c:manualLayout>
          </c:layout>
          <c:overlay val="0"/>
          <c:spPr>
            <a:ln>
              <a:noFill/>
            </a:ln>
          </c:spPr>
        </c:title>
        <c:numFmt formatCode="General" sourceLinked="1"/>
        <c:majorTickMark val="out"/>
        <c:minorTickMark val="none"/>
        <c:tickLblPos val="nextTo"/>
        <c:crossAx val="85108992"/>
        <c:crosses val="autoZero"/>
        <c:crossBetween val="between"/>
        <c:majorUnit val="5"/>
      </c:valAx>
      <c:spPr>
        <a:noFill/>
        <a:ln w="25400">
          <a:noFill/>
        </a:ln>
      </c:spPr>
    </c:plotArea>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997979914302303"/>
          <c:y val="5.1890245050753181E-2"/>
          <c:w val="0.83606901219159147"/>
          <c:h val="0.67487610039446944"/>
        </c:manualLayout>
      </c:layout>
      <c:barChart>
        <c:barDir val="col"/>
        <c:grouping val="clustered"/>
        <c:varyColors val="0"/>
        <c:ser>
          <c:idx val="0"/>
          <c:order val="0"/>
          <c:tx>
            <c:strRef>
              <c:f>[2]Sheet9!$F$1</c:f>
              <c:strCache>
                <c:ptCount val="1"/>
                <c:pt idx="0">
                  <c:v>Omnivores</c:v>
                </c:pt>
              </c:strCache>
            </c:strRef>
          </c:tx>
          <c:invertIfNegative val="0"/>
          <c:errBars>
            <c:errBarType val="both"/>
            <c:errValType val="cust"/>
            <c:noEndCap val="0"/>
            <c:plus>
              <c:numRef>
                <c:f>[2]Sheet9!$M$2:$M$8</c:f>
                <c:numCache>
                  <c:formatCode>General</c:formatCode>
                  <c:ptCount val="7"/>
                  <c:pt idx="0">
                    <c:v>0.67823299831252704</c:v>
                  </c:pt>
                  <c:pt idx="1">
                    <c:v>0.2</c:v>
                  </c:pt>
                  <c:pt idx="2">
                    <c:v>0.6</c:v>
                  </c:pt>
                  <c:pt idx="3">
                    <c:v>0.50990195135927896</c:v>
                  </c:pt>
                  <c:pt idx="4">
                    <c:v>0.50990195135927896</c:v>
                  </c:pt>
                  <c:pt idx="5">
                    <c:v>0.66332495807108005</c:v>
                  </c:pt>
                  <c:pt idx="6">
                    <c:v>1.1401754250991381</c:v>
                  </c:pt>
                </c:numCache>
              </c:numRef>
            </c:plus>
            <c:minus>
              <c:numRef>
                <c:f>[2]Sheet9!$M$2:$M$8</c:f>
                <c:numCache>
                  <c:formatCode>General</c:formatCode>
                  <c:ptCount val="7"/>
                  <c:pt idx="0">
                    <c:v>0.67823299831252704</c:v>
                  </c:pt>
                  <c:pt idx="1">
                    <c:v>0.2</c:v>
                  </c:pt>
                  <c:pt idx="2">
                    <c:v>0.6</c:v>
                  </c:pt>
                  <c:pt idx="3">
                    <c:v>0.50990195135927896</c:v>
                  </c:pt>
                  <c:pt idx="4">
                    <c:v>0.50990195135927896</c:v>
                  </c:pt>
                  <c:pt idx="5">
                    <c:v>0.66332495807108005</c:v>
                  </c:pt>
                  <c:pt idx="6">
                    <c:v>1.1401754250991381</c:v>
                  </c:pt>
                </c:numCache>
              </c:numRef>
            </c:minus>
          </c:errBars>
          <c:cat>
            <c:strRef>
              <c:f>[2]Sheet9!$E$2:$E$8</c:f>
              <c:strCache>
                <c:ptCount val="7"/>
                <c:pt idx="0">
                  <c:v>Young FRA</c:v>
                </c:pt>
                <c:pt idx="1">
                  <c:v>Young SMCRA</c:v>
                </c:pt>
                <c:pt idx="2">
                  <c:v>Midage FRA</c:v>
                </c:pt>
                <c:pt idx="3">
                  <c:v>Midage SMCRA</c:v>
                </c:pt>
                <c:pt idx="4">
                  <c:v>Old FRA</c:v>
                </c:pt>
                <c:pt idx="5">
                  <c:v>Old SMCRA</c:v>
                </c:pt>
                <c:pt idx="6">
                  <c:v>Forest</c:v>
                </c:pt>
              </c:strCache>
            </c:strRef>
          </c:cat>
          <c:val>
            <c:numRef>
              <c:f>[2]Sheet9!$F$2:$F$8</c:f>
              <c:numCache>
                <c:formatCode>General</c:formatCode>
                <c:ptCount val="7"/>
                <c:pt idx="0">
                  <c:v>1.6</c:v>
                </c:pt>
                <c:pt idx="1">
                  <c:v>0.2</c:v>
                </c:pt>
                <c:pt idx="2">
                  <c:v>1.6</c:v>
                </c:pt>
                <c:pt idx="3">
                  <c:v>1.6</c:v>
                </c:pt>
                <c:pt idx="4">
                  <c:v>1.4</c:v>
                </c:pt>
                <c:pt idx="5">
                  <c:v>2.8</c:v>
                </c:pt>
                <c:pt idx="6">
                  <c:v>6</c:v>
                </c:pt>
              </c:numCache>
            </c:numRef>
          </c:val>
        </c:ser>
        <c:ser>
          <c:idx val="1"/>
          <c:order val="1"/>
          <c:tx>
            <c:strRef>
              <c:f>[2]Sheet9!$G$1</c:f>
              <c:strCache>
                <c:ptCount val="1"/>
                <c:pt idx="0">
                  <c:v>Predators</c:v>
                </c:pt>
              </c:strCache>
            </c:strRef>
          </c:tx>
          <c:invertIfNegative val="0"/>
          <c:errBars>
            <c:errBarType val="both"/>
            <c:errValType val="cust"/>
            <c:noEndCap val="0"/>
            <c:plus>
              <c:numRef>
                <c:f>[2]Sheet9!$N$2:$N$8</c:f>
                <c:numCache>
                  <c:formatCode>General</c:formatCode>
                  <c:ptCount val="7"/>
                  <c:pt idx="0">
                    <c:v>0</c:v>
                  </c:pt>
                  <c:pt idx="1">
                    <c:v>0.6</c:v>
                  </c:pt>
                  <c:pt idx="2">
                    <c:v>0.24494897427831799</c:v>
                  </c:pt>
                  <c:pt idx="3">
                    <c:v>0.24494897427831799</c:v>
                  </c:pt>
                  <c:pt idx="4">
                    <c:v>0.58309518948452999</c:v>
                  </c:pt>
                  <c:pt idx="5">
                    <c:v>0.2</c:v>
                  </c:pt>
                  <c:pt idx="6">
                    <c:v>0.83666002653407601</c:v>
                  </c:pt>
                </c:numCache>
              </c:numRef>
            </c:plus>
            <c:minus>
              <c:numRef>
                <c:f>[2]Sheet9!$N$2:$N$8</c:f>
                <c:numCache>
                  <c:formatCode>General</c:formatCode>
                  <c:ptCount val="7"/>
                  <c:pt idx="0">
                    <c:v>0</c:v>
                  </c:pt>
                  <c:pt idx="1">
                    <c:v>0.6</c:v>
                  </c:pt>
                  <c:pt idx="2">
                    <c:v>0.24494897427831799</c:v>
                  </c:pt>
                  <c:pt idx="3">
                    <c:v>0.24494897427831799</c:v>
                  </c:pt>
                  <c:pt idx="4">
                    <c:v>0.58309518948452999</c:v>
                  </c:pt>
                  <c:pt idx="5">
                    <c:v>0.2</c:v>
                  </c:pt>
                  <c:pt idx="6">
                    <c:v>0.83666002653407601</c:v>
                  </c:pt>
                </c:numCache>
              </c:numRef>
            </c:minus>
          </c:errBars>
          <c:cat>
            <c:strRef>
              <c:f>[2]Sheet9!$E$2:$E$8</c:f>
              <c:strCache>
                <c:ptCount val="7"/>
                <c:pt idx="0">
                  <c:v>Young FRA</c:v>
                </c:pt>
                <c:pt idx="1">
                  <c:v>Young SMCRA</c:v>
                </c:pt>
                <c:pt idx="2">
                  <c:v>Midage FRA</c:v>
                </c:pt>
                <c:pt idx="3">
                  <c:v>Midage SMCRA</c:v>
                </c:pt>
                <c:pt idx="4">
                  <c:v>Old FRA</c:v>
                </c:pt>
                <c:pt idx="5">
                  <c:v>Old SMCRA</c:v>
                </c:pt>
                <c:pt idx="6">
                  <c:v>Forest</c:v>
                </c:pt>
              </c:strCache>
            </c:strRef>
          </c:cat>
          <c:val>
            <c:numRef>
              <c:f>[2]Sheet9!$G$2:$G$8</c:f>
              <c:numCache>
                <c:formatCode>General</c:formatCode>
                <c:ptCount val="7"/>
                <c:pt idx="0">
                  <c:v>0</c:v>
                </c:pt>
                <c:pt idx="1">
                  <c:v>0.6</c:v>
                </c:pt>
                <c:pt idx="2">
                  <c:v>1.6</c:v>
                </c:pt>
                <c:pt idx="3">
                  <c:v>1.6</c:v>
                </c:pt>
                <c:pt idx="4">
                  <c:v>1.8</c:v>
                </c:pt>
                <c:pt idx="5">
                  <c:v>0.8</c:v>
                </c:pt>
                <c:pt idx="6">
                  <c:v>3</c:v>
                </c:pt>
              </c:numCache>
            </c:numRef>
          </c:val>
        </c:ser>
        <c:ser>
          <c:idx val="2"/>
          <c:order val="2"/>
          <c:tx>
            <c:strRef>
              <c:f>[2]Sheet9!$H$1</c:f>
              <c:strCache>
                <c:ptCount val="1"/>
                <c:pt idx="0">
                  <c:v>Bacteriovores</c:v>
                </c:pt>
              </c:strCache>
            </c:strRef>
          </c:tx>
          <c:invertIfNegative val="0"/>
          <c:errBars>
            <c:errBarType val="both"/>
            <c:errValType val="cust"/>
            <c:noEndCap val="0"/>
            <c:plus>
              <c:numRef>
                <c:f>[2]Sheet9!$O$2:$O$8</c:f>
                <c:numCache>
                  <c:formatCode>General</c:formatCode>
                  <c:ptCount val="7"/>
                  <c:pt idx="0">
                    <c:v>1.7435595774162691</c:v>
                  </c:pt>
                  <c:pt idx="1">
                    <c:v>1.363818169698586</c:v>
                  </c:pt>
                  <c:pt idx="2">
                    <c:v>1.5937377450509229</c:v>
                  </c:pt>
                  <c:pt idx="3">
                    <c:v>1.8814887722226781</c:v>
                  </c:pt>
                  <c:pt idx="4">
                    <c:v>2.9899832775452109</c:v>
                  </c:pt>
                  <c:pt idx="5">
                    <c:v>0.92736184954957002</c:v>
                  </c:pt>
                  <c:pt idx="6">
                    <c:v>2.9563490998188948</c:v>
                  </c:pt>
                </c:numCache>
              </c:numRef>
            </c:plus>
            <c:minus>
              <c:numRef>
                <c:f>[2]Sheet9!$O$2:$O$8</c:f>
                <c:numCache>
                  <c:formatCode>General</c:formatCode>
                  <c:ptCount val="7"/>
                  <c:pt idx="0">
                    <c:v>1.7435595774162691</c:v>
                  </c:pt>
                  <c:pt idx="1">
                    <c:v>1.363818169698586</c:v>
                  </c:pt>
                  <c:pt idx="2">
                    <c:v>1.5937377450509229</c:v>
                  </c:pt>
                  <c:pt idx="3">
                    <c:v>1.8814887722226781</c:v>
                  </c:pt>
                  <c:pt idx="4">
                    <c:v>2.9899832775452109</c:v>
                  </c:pt>
                  <c:pt idx="5">
                    <c:v>0.92736184954957002</c:v>
                  </c:pt>
                  <c:pt idx="6">
                    <c:v>2.9563490998188948</c:v>
                  </c:pt>
                </c:numCache>
              </c:numRef>
            </c:minus>
          </c:errBars>
          <c:cat>
            <c:strRef>
              <c:f>[2]Sheet9!$E$2:$E$8</c:f>
              <c:strCache>
                <c:ptCount val="7"/>
                <c:pt idx="0">
                  <c:v>Young FRA</c:v>
                </c:pt>
                <c:pt idx="1">
                  <c:v>Young SMCRA</c:v>
                </c:pt>
                <c:pt idx="2">
                  <c:v>Midage FRA</c:v>
                </c:pt>
                <c:pt idx="3">
                  <c:v>Midage SMCRA</c:v>
                </c:pt>
                <c:pt idx="4">
                  <c:v>Old FRA</c:v>
                </c:pt>
                <c:pt idx="5">
                  <c:v>Old SMCRA</c:v>
                </c:pt>
                <c:pt idx="6">
                  <c:v>Forest</c:v>
                </c:pt>
              </c:strCache>
            </c:strRef>
          </c:cat>
          <c:val>
            <c:numRef>
              <c:f>[2]Sheet9!$H$2:$H$8</c:f>
              <c:numCache>
                <c:formatCode>General</c:formatCode>
                <c:ptCount val="7"/>
                <c:pt idx="0">
                  <c:v>5.8</c:v>
                </c:pt>
                <c:pt idx="1">
                  <c:v>4.4000000000000004</c:v>
                </c:pt>
                <c:pt idx="2">
                  <c:v>9.2000000000000011</c:v>
                </c:pt>
                <c:pt idx="3">
                  <c:v>6.8</c:v>
                </c:pt>
                <c:pt idx="4">
                  <c:v>9.2000000000000011</c:v>
                </c:pt>
                <c:pt idx="5">
                  <c:v>7.4</c:v>
                </c:pt>
                <c:pt idx="6">
                  <c:v>13.8</c:v>
                </c:pt>
              </c:numCache>
            </c:numRef>
          </c:val>
        </c:ser>
        <c:ser>
          <c:idx val="3"/>
          <c:order val="3"/>
          <c:tx>
            <c:strRef>
              <c:f>[2]Sheet9!$I$1</c:f>
              <c:strCache>
                <c:ptCount val="1"/>
                <c:pt idx="0">
                  <c:v>Plant Parasites</c:v>
                </c:pt>
              </c:strCache>
            </c:strRef>
          </c:tx>
          <c:invertIfNegative val="0"/>
          <c:errBars>
            <c:errBarType val="both"/>
            <c:errValType val="cust"/>
            <c:noEndCap val="0"/>
            <c:plus>
              <c:numRef>
                <c:f>[2]Sheet9!$P$2:$P$8</c:f>
                <c:numCache>
                  <c:formatCode>General</c:formatCode>
                  <c:ptCount val="7"/>
                  <c:pt idx="0">
                    <c:v>0.54772255750516596</c:v>
                  </c:pt>
                  <c:pt idx="1">
                    <c:v>0.4</c:v>
                  </c:pt>
                  <c:pt idx="2">
                    <c:v>0.92736184954957002</c:v>
                  </c:pt>
                  <c:pt idx="3">
                    <c:v>1.019803902718557</c:v>
                  </c:pt>
                  <c:pt idx="4">
                    <c:v>1.860107523773828</c:v>
                  </c:pt>
                  <c:pt idx="5">
                    <c:v>1.28062484748657</c:v>
                  </c:pt>
                  <c:pt idx="6">
                    <c:v>1.5811388300841891</c:v>
                  </c:pt>
                </c:numCache>
              </c:numRef>
            </c:plus>
            <c:minus>
              <c:numRef>
                <c:f>[2]Sheet9!$P$2:$P$8</c:f>
                <c:numCache>
                  <c:formatCode>General</c:formatCode>
                  <c:ptCount val="7"/>
                  <c:pt idx="0">
                    <c:v>0.54772255750516596</c:v>
                  </c:pt>
                  <c:pt idx="1">
                    <c:v>0.4</c:v>
                  </c:pt>
                  <c:pt idx="2">
                    <c:v>0.92736184954957002</c:v>
                  </c:pt>
                  <c:pt idx="3">
                    <c:v>1.019803902718557</c:v>
                  </c:pt>
                  <c:pt idx="4">
                    <c:v>1.860107523773828</c:v>
                  </c:pt>
                  <c:pt idx="5">
                    <c:v>1.28062484748657</c:v>
                  </c:pt>
                  <c:pt idx="6">
                    <c:v>1.5811388300841891</c:v>
                  </c:pt>
                </c:numCache>
              </c:numRef>
            </c:minus>
          </c:errBars>
          <c:cat>
            <c:strRef>
              <c:f>[2]Sheet9!$E$2:$E$8</c:f>
              <c:strCache>
                <c:ptCount val="7"/>
                <c:pt idx="0">
                  <c:v>Young FRA</c:v>
                </c:pt>
                <c:pt idx="1">
                  <c:v>Young SMCRA</c:v>
                </c:pt>
                <c:pt idx="2">
                  <c:v>Midage FRA</c:v>
                </c:pt>
                <c:pt idx="3">
                  <c:v>Midage SMCRA</c:v>
                </c:pt>
                <c:pt idx="4">
                  <c:v>Old FRA</c:v>
                </c:pt>
                <c:pt idx="5">
                  <c:v>Old SMCRA</c:v>
                </c:pt>
                <c:pt idx="6">
                  <c:v>Forest</c:v>
                </c:pt>
              </c:strCache>
            </c:strRef>
          </c:cat>
          <c:val>
            <c:numRef>
              <c:f>[2]Sheet9!$I$2:$I$8</c:f>
              <c:numCache>
                <c:formatCode>General</c:formatCode>
                <c:ptCount val="7"/>
                <c:pt idx="0">
                  <c:v>2</c:v>
                </c:pt>
                <c:pt idx="1">
                  <c:v>1.4</c:v>
                </c:pt>
                <c:pt idx="2">
                  <c:v>2.4</c:v>
                </c:pt>
                <c:pt idx="3">
                  <c:v>2.8</c:v>
                </c:pt>
                <c:pt idx="4">
                  <c:v>4.4000000000000004</c:v>
                </c:pt>
                <c:pt idx="5">
                  <c:v>4.2</c:v>
                </c:pt>
                <c:pt idx="6">
                  <c:v>8</c:v>
                </c:pt>
              </c:numCache>
            </c:numRef>
          </c:val>
        </c:ser>
        <c:ser>
          <c:idx val="4"/>
          <c:order val="4"/>
          <c:tx>
            <c:strRef>
              <c:f>[2]Sheet9!$J$1</c:f>
              <c:strCache>
                <c:ptCount val="1"/>
                <c:pt idx="0">
                  <c:v>Fungivores</c:v>
                </c:pt>
              </c:strCache>
            </c:strRef>
          </c:tx>
          <c:invertIfNegative val="0"/>
          <c:errBars>
            <c:errBarType val="both"/>
            <c:errValType val="cust"/>
            <c:noEndCap val="0"/>
            <c:plus>
              <c:numRef>
                <c:f>[2]Sheet9!$Q$2:$Q$8</c:f>
                <c:numCache>
                  <c:formatCode>General</c:formatCode>
                  <c:ptCount val="7"/>
                  <c:pt idx="0">
                    <c:v>0.374165738677394</c:v>
                  </c:pt>
                  <c:pt idx="1">
                    <c:v>0.24494897427831799</c:v>
                  </c:pt>
                  <c:pt idx="2">
                    <c:v>0.24494897427831799</c:v>
                  </c:pt>
                  <c:pt idx="3">
                    <c:v>0.63245553203367599</c:v>
                  </c:pt>
                  <c:pt idx="4">
                    <c:v>0.63245553203367599</c:v>
                  </c:pt>
                  <c:pt idx="5">
                    <c:v>0.63245553203367599</c:v>
                  </c:pt>
                  <c:pt idx="6">
                    <c:v>0.66332495807108005</c:v>
                  </c:pt>
                </c:numCache>
              </c:numRef>
            </c:plus>
            <c:minus>
              <c:numRef>
                <c:f>[2]Sheet9!$Q$2:$Q$8</c:f>
                <c:numCache>
                  <c:formatCode>General</c:formatCode>
                  <c:ptCount val="7"/>
                  <c:pt idx="0">
                    <c:v>0.374165738677394</c:v>
                  </c:pt>
                  <c:pt idx="1">
                    <c:v>0.24494897427831799</c:v>
                  </c:pt>
                  <c:pt idx="2">
                    <c:v>0.24494897427831799</c:v>
                  </c:pt>
                  <c:pt idx="3">
                    <c:v>0.63245553203367599</c:v>
                  </c:pt>
                  <c:pt idx="4">
                    <c:v>0.63245553203367599</c:v>
                  </c:pt>
                  <c:pt idx="5">
                    <c:v>0.63245553203367599</c:v>
                  </c:pt>
                  <c:pt idx="6">
                    <c:v>0.66332495807108005</c:v>
                  </c:pt>
                </c:numCache>
              </c:numRef>
            </c:minus>
          </c:errBars>
          <c:cat>
            <c:strRef>
              <c:f>[2]Sheet9!$E$2:$E$8</c:f>
              <c:strCache>
                <c:ptCount val="7"/>
                <c:pt idx="0">
                  <c:v>Young FRA</c:v>
                </c:pt>
                <c:pt idx="1">
                  <c:v>Young SMCRA</c:v>
                </c:pt>
                <c:pt idx="2">
                  <c:v>Midage FRA</c:v>
                </c:pt>
                <c:pt idx="3">
                  <c:v>Midage SMCRA</c:v>
                </c:pt>
                <c:pt idx="4">
                  <c:v>Old FRA</c:v>
                </c:pt>
                <c:pt idx="5">
                  <c:v>Old SMCRA</c:v>
                </c:pt>
                <c:pt idx="6">
                  <c:v>Forest</c:v>
                </c:pt>
              </c:strCache>
            </c:strRef>
          </c:cat>
          <c:val>
            <c:numRef>
              <c:f>[2]Sheet9!$J$2:$J$8</c:f>
              <c:numCache>
                <c:formatCode>General</c:formatCode>
                <c:ptCount val="7"/>
                <c:pt idx="0">
                  <c:v>1.2</c:v>
                </c:pt>
                <c:pt idx="1">
                  <c:v>0.6</c:v>
                </c:pt>
                <c:pt idx="2">
                  <c:v>1.4</c:v>
                </c:pt>
                <c:pt idx="3">
                  <c:v>1.8</c:v>
                </c:pt>
                <c:pt idx="4">
                  <c:v>1.4</c:v>
                </c:pt>
                <c:pt idx="5">
                  <c:v>1.2</c:v>
                </c:pt>
                <c:pt idx="6">
                  <c:v>1.8</c:v>
                </c:pt>
              </c:numCache>
            </c:numRef>
          </c:val>
        </c:ser>
        <c:dLbls>
          <c:showLegendKey val="0"/>
          <c:showVal val="0"/>
          <c:showCatName val="0"/>
          <c:showSerName val="0"/>
          <c:showPercent val="0"/>
          <c:showBubbleSize val="0"/>
        </c:dLbls>
        <c:gapWidth val="150"/>
        <c:axId val="91496448"/>
        <c:axId val="91498368"/>
      </c:barChart>
      <c:catAx>
        <c:axId val="91496448"/>
        <c:scaling>
          <c:orientation val="minMax"/>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Tennessee soil treatments</a:t>
                </a:r>
              </a:p>
            </c:rich>
          </c:tx>
          <c:layout/>
          <c:overlay val="0"/>
        </c:title>
        <c:majorTickMark val="out"/>
        <c:minorTickMark val="none"/>
        <c:tickLblPos val="nextTo"/>
        <c:crossAx val="91498368"/>
        <c:crosses val="autoZero"/>
        <c:auto val="1"/>
        <c:lblAlgn val="ctr"/>
        <c:lblOffset val="100"/>
        <c:noMultiLvlLbl val="0"/>
      </c:catAx>
      <c:valAx>
        <c:axId val="91498368"/>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Species Richness </a:t>
                </a:r>
              </a:p>
            </c:rich>
          </c:tx>
          <c:layout/>
          <c:overlay val="0"/>
        </c:title>
        <c:numFmt formatCode="General" sourceLinked="1"/>
        <c:majorTickMark val="out"/>
        <c:minorTickMark val="none"/>
        <c:tickLblPos val="nextTo"/>
        <c:crossAx val="91496448"/>
        <c:crosses val="autoZero"/>
        <c:crossBetween val="between"/>
      </c:valAx>
    </c:plotArea>
    <c:legend>
      <c:legendPos val="r"/>
      <c:legendEntry>
        <c:idx val="0"/>
        <c:txPr>
          <a:bodyPr/>
          <a:lstStyle/>
          <a:p>
            <a:pPr>
              <a:defRPr>
                <a:latin typeface="Times New Roman" pitchFamily="18" charset="0"/>
                <a:cs typeface="Times New Roman" pitchFamily="18" charset="0"/>
              </a:defRPr>
            </a:pPr>
            <a:endParaRPr lang="en-US"/>
          </a:p>
        </c:txPr>
      </c:legendEntry>
      <c:legendEntry>
        <c:idx val="1"/>
        <c:txPr>
          <a:bodyPr/>
          <a:lstStyle/>
          <a:p>
            <a:pPr>
              <a:defRPr>
                <a:latin typeface="Times New Roman" pitchFamily="18" charset="0"/>
                <a:cs typeface="Times New Roman" pitchFamily="18" charset="0"/>
              </a:defRPr>
            </a:pPr>
            <a:endParaRPr lang="en-US"/>
          </a:p>
        </c:txPr>
      </c:legendEntry>
      <c:legendEntry>
        <c:idx val="2"/>
        <c:txPr>
          <a:bodyPr/>
          <a:lstStyle/>
          <a:p>
            <a:pPr>
              <a:defRPr>
                <a:latin typeface="Times New Roman" pitchFamily="18" charset="0"/>
                <a:cs typeface="Times New Roman" pitchFamily="18" charset="0"/>
              </a:defRPr>
            </a:pPr>
            <a:endParaRPr lang="en-US"/>
          </a:p>
        </c:txPr>
      </c:legendEntry>
      <c:legendEntry>
        <c:idx val="3"/>
        <c:txPr>
          <a:bodyPr/>
          <a:lstStyle/>
          <a:p>
            <a:pPr>
              <a:defRPr>
                <a:latin typeface="Times New Roman" pitchFamily="18" charset="0"/>
                <a:cs typeface="Times New Roman" pitchFamily="18" charset="0"/>
              </a:defRPr>
            </a:pPr>
            <a:endParaRPr lang="en-US"/>
          </a:p>
        </c:txPr>
      </c:legendEntry>
      <c:legendEntry>
        <c:idx val="4"/>
        <c:txPr>
          <a:bodyPr/>
          <a:lstStyle/>
          <a:p>
            <a:pPr>
              <a:defRPr>
                <a:latin typeface="Times New Roman" pitchFamily="18" charset="0"/>
                <a:cs typeface="Times New Roman" pitchFamily="18" charset="0"/>
              </a:defRPr>
            </a:pPr>
            <a:endParaRPr lang="en-US"/>
          </a:p>
        </c:txPr>
      </c:legendEntry>
      <c:layout>
        <c:manualLayout>
          <c:xMode val="edge"/>
          <c:yMode val="edge"/>
          <c:x val="0.13526506351294679"/>
          <c:y val="4.5682908472617592E-2"/>
          <c:w val="0.18712275843008777"/>
          <c:h val="0.42257245279449868"/>
        </c:manualLayout>
      </c:layout>
      <c:overlay val="0"/>
    </c:legend>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[2]Sheet9!$F$19</c:f>
              <c:strCache>
                <c:ptCount val="1"/>
                <c:pt idx="0">
                  <c:v>Omnivores</c:v>
                </c:pt>
              </c:strCache>
            </c:strRef>
          </c:tx>
          <c:invertIfNegative val="0"/>
          <c:errBars>
            <c:errBarType val="both"/>
            <c:errValType val="cust"/>
            <c:noEndCap val="0"/>
            <c:plus>
              <c:numRef>
                <c:f>[2]Sheet9!$M$20:$M$26</c:f>
                <c:numCache>
                  <c:formatCode>General</c:formatCode>
                  <c:ptCount val="7"/>
                  <c:pt idx="0">
                    <c:v>0.25</c:v>
                  </c:pt>
                  <c:pt idx="1">
                    <c:v>0.33333333333333298</c:v>
                  </c:pt>
                  <c:pt idx="2">
                    <c:v>0</c:v>
                  </c:pt>
                  <c:pt idx="3">
                    <c:v>0.50990195135927896</c:v>
                  </c:pt>
                  <c:pt idx="4">
                    <c:v>0.24494897427831799</c:v>
                  </c:pt>
                  <c:pt idx="5">
                    <c:v>0.58309518948452999</c:v>
                  </c:pt>
                  <c:pt idx="6">
                    <c:v>0.73484692283495301</c:v>
                  </c:pt>
                </c:numCache>
              </c:numRef>
            </c:plus>
            <c:minus>
              <c:numRef>
                <c:f>[2]Sheet9!$M$20:$M$26</c:f>
                <c:numCache>
                  <c:formatCode>General</c:formatCode>
                  <c:ptCount val="7"/>
                  <c:pt idx="0">
                    <c:v>0.25</c:v>
                  </c:pt>
                  <c:pt idx="1">
                    <c:v>0.33333333333333298</c:v>
                  </c:pt>
                  <c:pt idx="2">
                    <c:v>0</c:v>
                  </c:pt>
                  <c:pt idx="3">
                    <c:v>0.50990195135927896</c:v>
                  </c:pt>
                  <c:pt idx="4">
                    <c:v>0.24494897427831799</c:v>
                  </c:pt>
                  <c:pt idx="5">
                    <c:v>0.58309518948452999</c:v>
                  </c:pt>
                  <c:pt idx="6">
                    <c:v>0.73484692283495301</c:v>
                  </c:pt>
                </c:numCache>
              </c:numRef>
            </c:minus>
          </c:errBars>
          <c:cat>
            <c:strRef>
              <c:f>[2]Sheet9!$E$20:$E$26</c:f>
              <c:strCache>
                <c:ptCount val="7"/>
                <c:pt idx="0">
                  <c:v>Young FRA</c:v>
                </c:pt>
                <c:pt idx="1">
                  <c:v>Young SMCRA</c:v>
                </c:pt>
                <c:pt idx="2">
                  <c:v>Midage FRA</c:v>
                </c:pt>
                <c:pt idx="3">
                  <c:v>Midage SMCRA</c:v>
                </c:pt>
                <c:pt idx="4">
                  <c:v>Old FRA</c:v>
                </c:pt>
                <c:pt idx="5">
                  <c:v>Old SMCRA</c:v>
                </c:pt>
                <c:pt idx="6">
                  <c:v>Forest</c:v>
                </c:pt>
              </c:strCache>
            </c:strRef>
          </c:cat>
          <c:val>
            <c:numRef>
              <c:f>[2]Sheet9!$F$20:$F$26</c:f>
              <c:numCache>
                <c:formatCode>General</c:formatCode>
                <c:ptCount val="7"/>
                <c:pt idx="0">
                  <c:v>0.25</c:v>
                </c:pt>
                <c:pt idx="1">
                  <c:v>0.66666666666666696</c:v>
                </c:pt>
                <c:pt idx="2">
                  <c:v>0</c:v>
                </c:pt>
                <c:pt idx="3">
                  <c:v>2.4</c:v>
                </c:pt>
                <c:pt idx="4">
                  <c:v>1.2</c:v>
                </c:pt>
                <c:pt idx="5">
                  <c:v>3.4</c:v>
                </c:pt>
                <c:pt idx="6">
                  <c:v>2.2000000000000002</c:v>
                </c:pt>
              </c:numCache>
            </c:numRef>
          </c:val>
        </c:ser>
        <c:ser>
          <c:idx val="1"/>
          <c:order val="1"/>
          <c:tx>
            <c:strRef>
              <c:f>[2]Sheet9!$G$19</c:f>
              <c:strCache>
                <c:ptCount val="1"/>
                <c:pt idx="0">
                  <c:v>Predators</c:v>
                </c:pt>
              </c:strCache>
            </c:strRef>
          </c:tx>
          <c:invertIfNegative val="0"/>
          <c:errBars>
            <c:errBarType val="both"/>
            <c:errValType val="cust"/>
            <c:noEndCap val="0"/>
            <c:plus>
              <c:numRef>
                <c:f>[2]Sheet9!$N$20:$N$26</c:f>
                <c:numCache>
                  <c:formatCode>General</c:formatCode>
                  <c:ptCount val="7"/>
                  <c:pt idx="0">
                    <c:v>0.478713553878169</c:v>
                  </c:pt>
                  <c:pt idx="1">
                    <c:v>0</c:v>
                  </c:pt>
                  <c:pt idx="2">
                    <c:v>0.24494897427831799</c:v>
                  </c:pt>
                  <c:pt idx="3">
                    <c:v>0.4</c:v>
                  </c:pt>
                  <c:pt idx="4">
                    <c:v>1.113552872566004</c:v>
                  </c:pt>
                  <c:pt idx="5">
                    <c:v>0.33466401061362999</c:v>
                  </c:pt>
                  <c:pt idx="6">
                    <c:v>0.8</c:v>
                  </c:pt>
                </c:numCache>
              </c:numRef>
            </c:plus>
            <c:minus>
              <c:numRef>
                <c:f>[2]Sheet9!$N$20:$N$26</c:f>
                <c:numCache>
                  <c:formatCode>General</c:formatCode>
                  <c:ptCount val="7"/>
                  <c:pt idx="0">
                    <c:v>0.478713553878169</c:v>
                  </c:pt>
                  <c:pt idx="1">
                    <c:v>0</c:v>
                  </c:pt>
                  <c:pt idx="2">
                    <c:v>0.24494897427831799</c:v>
                  </c:pt>
                  <c:pt idx="3">
                    <c:v>0.4</c:v>
                  </c:pt>
                  <c:pt idx="4">
                    <c:v>1.113552872566004</c:v>
                  </c:pt>
                  <c:pt idx="5">
                    <c:v>0.33466401061362999</c:v>
                  </c:pt>
                  <c:pt idx="6">
                    <c:v>0.8</c:v>
                  </c:pt>
                </c:numCache>
              </c:numRef>
            </c:minus>
          </c:errBars>
          <c:cat>
            <c:strRef>
              <c:f>[2]Sheet9!$E$20:$E$26</c:f>
              <c:strCache>
                <c:ptCount val="7"/>
                <c:pt idx="0">
                  <c:v>Young FRA</c:v>
                </c:pt>
                <c:pt idx="1">
                  <c:v>Young SMCRA</c:v>
                </c:pt>
                <c:pt idx="2">
                  <c:v>Midage FRA</c:v>
                </c:pt>
                <c:pt idx="3">
                  <c:v>Midage SMCRA</c:v>
                </c:pt>
                <c:pt idx="4">
                  <c:v>Old FRA</c:v>
                </c:pt>
                <c:pt idx="5">
                  <c:v>Old SMCRA</c:v>
                </c:pt>
                <c:pt idx="6">
                  <c:v>Forest</c:v>
                </c:pt>
              </c:strCache>
            </c:strRef>
          </c:cat>
          <c:val>
            <c:numRef>
              <c:f>[2]Sheet9!$G$20:$G$26</c:f>
              <c:numCache>
                <c:formatCode>General</c:formatCode>
                <c:ptCount val="7"/>
                <c:pt idx="0">
                  <c:v>0.75</c:v>
                </c:pt>
                <c:pt idx="1">
                  <c:v>0</c:v>
                </c:pt>
                <c:pt idx="2">
                  <c:v>0.6</c:v>
                </c:pt>
                <c:pt idx="3">
                  <c:v>1.4</c:v>
                </c:pt>
                <c:pt idx="4">
                  <c:v>1</c:v>
                </c:pt>
                <c:pt idx="5">
                  <c:v>2.8</c:v>
                </c:pt>
                <c:pt idx="6">
                  <c:v>2.2000000000000002</c:v>
                </c:pt>
              </c:numCache>
            </c:numRef>
          </c:val>
        </c:ser>
        <c:ser>
          <c:idx val="2"/>
          <c:order val="2"/>
          <c:tx>
            <c:strRef>
              <c:f>[2]Sheet9!$H$19</c:f>
              <c:strCache>
                <c:ptCount val="1"/>
                <c:pt idx="0">
                  <c:v>Bacteriovores</c:v>
                </c:pt>
              </c:strCache>
            </c:strRef>
          </c:tx>
          <c:invertIfNegative val="0"/>
          <c:errBars>
            <c:errBarType val="both"/>
            <c:errValType val="cust"/>
            <c:noEndCap val="0"/>
            <c:plus>
              <c:numRef>
                <c:f>[2]Sheet9!$O$20:$O$26</c:f>
                <c:numCache>
                  <c:formatCode>General</c:formatCode>
                  <c:ptCount val="7"/>
                  <c:pt idx="0">
                    <c:v>0.40824829046386302</c:v>
                  </c:pt>
                  <c:pt idx="1">
                    <c:v>1.2018504251546629</c:v>
                  </c:pt>
                  <c:pt idx="2">
                    <c:v>0.374165738677394</c:v>
                  </c:pt>
                  <c:pt idx="3">
                    <c:v>2.2891046284519199</c:v>
                  </c:pt>
                  <c:pt idx="4">
                    <c:v>2.6944387170614972</c:v>
                  </c:pt>
                  <c:pt idx="5">
                    <c:v>1.9849433241279211</c:v>
                  </c:pt>
                  <c:pt idx="6">
                    <c:v>1.74928556845359</c:v>
                  </c:pt>
                </c:numCache>
              </c:numRef>
            </c:plus>
            <c:minus>
              <c:numRef>
                <c:f>[2]Sheet9!$O$20:$O$26</c:f>
                <c:numCache>
                  <c:formatCode>General</c:formatCode>
                  <c:ptCount val="7"/>
                  <c:pt idx="0">
                    <c:v>0.40824829046386302</c:v>
                  </c:pt>
                  <c:pt idx="1">
                    <c:v>1.2018504251546629</c:v>
                  </c:pt>
                  <c:pt idx="2">
                    <c:v>0.374165738677394</c:v>
                  </c:pt>
                  <c:pt idx="3">
                    <c:v>2.2891046284519199</c:v>
                  </c:pt>
                  <c:pt idx="4">
                    <c:v>2.6944387170614972</c:v>
                  </c:pt>
                  <c:pt idx="5">
                    <c:v>1.9849433241279211</c:v>
                  </c:pt>
                  <c:pt idx="6">
                    <c:v>1.74928556845359</c:v>
                  </c:pt>
                </c:numCache>
              </c:numRef>
            </c:minus>
          </c:errBars>
          <c:cat>
            <c:strRef>
              <c:f>[2]Sheet9!$E$20:$E$26</c:f>
              <c:strCache>
                <c:ptCount val="7"/>
                <c:pt idx="0">
                  <c:v>Young FRA</c:v>
                </c:pt>
                <c:pt idx="1">
                  <c:v>Young SMCRA</c:v>
                </c:pt>
                <c:pt idx="2">
                  <c:v>Midage FRA</c:v>
                </c:pt>
                <c:pt idx="3">
                  <c:v>Midage SMCRA</c:v>
                </c:pt>
                <c:pt idx="4">
                  <c:v>Old FRA</c:v>
                </c:pt>
                <c:pt idx="5">
                  <c:v>Old SMCRA</c:v>
                </c:pt>
                <c:pt idx="6">
                  <c:v>Forest</c:v>
                </c:pt>
              </c:strCache>
            </c:strRef>
          </c:cat>
          <c:val>
            <c:numRef>
              <c:f>[2]Sheet9!$H$20:$H$26</c:f>
              <c:numCache>
                <c:formatCode>General</c:formatCode>
                <c:ptCount val="7"/>
                <c:pt idx="0">
                  <c:v>1</c:v>
                </c:pt>
                <c:pt idx="1">
                  <c:v>1.666666666666667</c:v>
                </c:pt>
                <c:pt idx="2">
                  <c:v>0.8</c:v>
                </c:pt>
                <c:pt idx="3">
                  <c:v>7.2</c:v>
                </c:pt>
                <c:pt idx="4">
                  <c:v>7.2</c:v>
                </c:pt>
                <c:pt idx="5">
                  <c:v>10.6</c:v>
                </c:pt>
                <c:pt idx="6">
                  <c:v>6.4</c:v>
                </c:pt>
              </c:numCache>
            </c:numRef>
          </c:val>
        </c:ser>
        <c:ser>
          <c:idx val="3"/>
          <c:order val="3"/>
          <c:tx>
            <c:strRef>
              <c:f>[2]Sheet9!$I$19</c:f>
              <c:strCache>
                <c:ptCount val="1"/>
                <c:pt idx="0">
                  <c:v>Plant Parasites</c:v>
                </c:pt>
              </c:strCache>
            </c:strRef>
          </c:tx>
          <c:invertIfNegative val="0"/>
          <c:errBars>
            <c:errBarType val="both"/>
            <c:errValType val="cust"/>
            <c:noEndCap val="0"/>
            <c:plus>
              <c:numRef>
                <c:f>[2]Sheet9!$P$20:$P$26</c:f>
                <c:numCache>
                  <c:formatCode>General</c:formatCode>
                  <c:ptCount val="7"/>
                  <c:pt idx="0">
                    <c:v>0</c:v>
                  </c:pt>
                  <c:pt idx="1">
                    <c:v>0</c:v>
                  </c:pt>
                  <c:pt idx="2">
                    <c:v>0.4</c:v>
                  </c:pt>
                  <c:pt idx="3">
                    <c:v>0.58309518948452999</c:v>
                  </c:pt>
                  <c:pt idx="4">
                    <c:v>0.44721359549995798</c:v>
                  </c:pt>
                  <c:pt idx="5">
                    <c:v>0.73484692283495301</c:v>
                  </c:pt>
                  <c:pt idx="6">
                    <c:v>1.2083045973594571</c:v>
                  </c:pt>
                </c:numCache>
              </c:numRef>
            </c:plus>
            <c:minus>
              <c:numRef>
                <c:f>[2]Sheet9!$P$20:$P$26</c:f>
                <c:numCache>
                  <c:formatCode>General</c:formatCode>
                  <c:ptCount val="7"/>
                  <c:pt idx="0">
                    <c:v>0</c:v>
                  </c:pt>
                  <c:pt idx="1">
                    <c:v>0</c:v>
                  </c:pt>
                  <c:pt idx="2">
                    <c:v>0.4</c:v>
                  </c:pt>
                  <c:pt idx="3">
                    <c:v>0.58309518948452999</c:v>
                  </c:pt>
                  <c:pt idx="4">
                    <c:v>0.44721359549995798</c:v>
                  </c:pt>
                  <c:pt idx="5">
                    <c:v>0.73484692283495301</c:v>
                  </c:pt>
                  <c:pt idx="6">
                    <c:v>1.2083045973594571</c:v>
                  </c:pt>
                </c:numCache>
              </c:numRef>
            </c:minus>
          </c:errBars>
          <c:cat>
            <c:strRef>
              <c:f>[2]Sheet9!$E$20:$E$26</c:f>
              <c:strCache>
                <c:ptCount val="7"/>
                <c:pt idx="0">
                  <c:v>Young FRA</c:v>
                </c:pt>
                <c:pt idx="1">
                  <c:v>Young SMCRA</c:v>
                </c:pt>
                <c:pt idx="2">
                  <c:v>Midage FRA</c:v>
                </c:pt>
                <c:pt idx="3">
                  <c:v>Midage SMCRA</c:v>
                </c:pt>
                <c:pt idx="4">
                  <c:v>Old FRA</c:v>
                </c:pt>
                <c:pt idx="5">
                  <c:v>Old SMCRA</c:v>
                </c:pt>
                <c:pt idx="6">
                  <c:v>Forest</c:v>
                </c:pt>
              </c:strCache>
            </c:strRef>
          </c:cat>
          <c:val>
            <c:numRef>
              <c:f>[2]Sheet9!$I$20:$I$26</c:f>
              <c:numCache>
                <c:formatCode>General</c:formatCode>
                <c:ptCount val="7"/>
                <c:pt idx="0">
                  <c:v>0</c:v>
                </c:pt>
                <c:pt idx="1">
                  <c:v>0</c:v>
                </c:pt>
                <c:pt idx="2">
                  <c:v>1.4</c:v>
                </c:pt>
                <c:pt idx="3">
                  <c:v>2.1666666666666661</c:v>
                </c:pt>
                <c:pt idx="4">
                  <c:v>1.2</c:v>
                </c:pt>
                <c:pt idx="5">
                  <c:v>1</c:v>
                </c:pt>
                <c:pt idx="6">
                  <c:v>5.6</c:v>
                </c:pt>
              </c:numCache>
            </c:numRef>
          </c:val>
        </c:ser>
        <c:ser>
          <c:idx val="4"/>
          <c:order val="4"/>
          <c:tx>
            <c:strRef>
              <c:f>[2]Sheet9!$J$19</c:f>
              <c:strCache>
                <c:ptCount val="1"/>
                <c:pt idx="0">
                  <c:v>Fungivores</c:v>
                </c:pt>
              </c:strCache>
            </c:strRef>
          </c:tx>
          <c:invertIfNegative val="0"/>
          <c:errBars>
            <c:errBarType val="both"/>
            <c:errValType val="cust"/>
            <c:noEndCap val="0"/>
            <c:plus>
              <c:numRef>
                <c:f>[2]Sheet9!$Q$20:$Q$26</c:f>
                <c:numCache>
                  <c:formatCode>General</c:formatCode>
                  <c:ptCount val="7"/>
                  <c:pt idx="0">
                    <c:v>0.25</c:v>
                  </c:pt>
                  <c:pt idx="1">
                    <c:v>0</c:v>
                  </c:pt>
                  <c:pt idx="2">
                    <c:v>0.24494897427831799</c:v>
                  </c:pt>
                  <c:pt idx="3">
                    <c:v>0.374165738677394</c:v>
                  </c:pt>
                  <c:pt idx="4">
                    <c:v>0.28867513459481298</c:v>
                  </c:pt>
                  <c:pt idx="5">
                    <c:v>0.2</c:v>
                  </c:pt>
                  <c:pt idx="6">
                    <c:v>0.24494897427831799</c:v>
                  </c:pt>
                </c:numCache>
              </c:numRef>
            </c:plus>
            <c:minus>
              <c:numRef>
                <c:f>[2]Sheet9!$Q$20:$Q$26</c:f>
                <c:numCache>
                  <c:formatCode>General</c:formatCode>
                  <c:ptCount val="7"/>
                  <c:pt idx="0">
                    <c:v>0.25</c:v>
                  </c:pt>
                  <c:pt idx="1">
                    <c:v>0</c:v>
                  </c:pt>
                  <c:pt idx="2">
                    <c:v>0.24494897427831799</c:v>
                  </c:pt>
                  <c:pt idx="3">
                    <c:v>0.374165738677394</c:v>
                  </c:pt>
                  <c:pt idx="4">
                    <c:v>0.28867513459481298</c:v>
                  </c:pt>
                  <c:pt idx="5">
                    <c:v>0.2</c:v>
                  </c:pt>
                  <c:pt idx="6">
                    <c:v>0.24494897427831799</c:v>
                  </c:pt>
                </c:numCache>
              </c:numRef>
            </c:minus>
          </c:errBars>
          <c:cat>
            <c:strRef>
              <c:f>[2]Sheet9!$E$20:$E$26</c:f>
              <c:strCache>
                <c:ptCount val="7"/>
                <c:pt idx="0">
                  <c:v>Young FRA</c:v>
                </c:pt>
                <c:pt idx="1">
                  <c:v>Young SMCRA</c:v>
                </c:pt>
                <c:pt idx="2">
                  <c:v>Midage FRA</c:v>
                </c:pt>
                <c:pt idx="3">
                  <c:v>Midage SMCRA</c:v>
                </c:pt>
                <c:pt idx="4">
                  <c:v>Old FRA</c:v>
                </c:pt>
                <c:pt idx="5">
                  <c:v>Old SMCRA</c:v>
                </c:pt>
                <c:pt idx="6">
                  <c:v>Forest</c:v>
                </c:pt>
              </c:strCache>
            </c:strRef>
          </c:cat>
          <c:val>
            <c:numRef>
              <c:f>[2]Sheet9!$J$20:$J$26</c:f>
              <c:numCache>
                <c:formatCode>General</c:formatCode>
                <c:ptCount val="7"/>
                <c:pt idx="0">
                  <c:v>0.25</c:v>
                </c:pt>
                <c:pt idx="1">
                  <c:v>0</c:v>
                </c:pt>
                <c:pt idx="2">
                  <c:v>0.6</c:v>
                </c:pt>
                <c:pt idx="3">
                  <c:v>0.8</c:v>
                </c:pt>
                <c:pt idx="4">
                  <c:v>1.2</c:v>
                </c:pt>
                <c:pt idx="5">
                  <c:v>0.6</c:v>
                </c:pt>
                <c:pt idx="6">
                  <c:v>0.4</c:v>
                </c:pt>
              </c:numCache>
            </c:numRef>
          </c:val>
        </c:ser>
        <c:dLbls>
          <c:showLegendKey val="0"/>
          <c:showVal val="0"/>
          <c:showCatName val="0"/>
          <c:showSerName val="0"/>
          <c:showPercent val="0"/>
          <c:showBubbleSize val="0"/>
        </c:dLbls>
        <c:gapWidth val="150"/>
        <c:axId val="91550848"/>
        <c:axId val="91552768"/>
      </c:barChart>
      <c:catAx>
        <c:axId val="91550848"/>
        <c:scaling>
          <c:orientation val="minMax"/>
        </c:scaling>
        <c:delete val="0"/>
        <c:axPos val="b"/>
        <c:title>
          <c:tx>
            <c:rich>
              <a:bodyPr/>
              <a:lstStyle/>
              <a:p>
                <a:pPr>
                  <a:defRPr/>
                </a:pPr>
                <a:r>
                  <a:rPr lang="en-US">
                    <a:latin typeface="Times New Roman" pitchFamily="18" charset="0"/>
                    <a:cs typeface="Times New Roman" pitchFamily="18" charset="0"/>
                  </a:rPr>
                  <a:t>Kentucky soil treatments</a:t>
                </a:r>
              </a:p>
            </c:rich>
          </c:tx>
          <c:layout/>
          <c:overlay val="0"/>
        </c:title>
        <c:majorTickMark val="out"/>
        <c:minorTickMark val="none"/>
        <c:tickLblPos val="nextTo"/>
        <c:crossAx val="91552768"/>
        <c:crosses val="autoZero"/>
        <c:auto val="1"/>
        <c:lblAlgn val="ctr"/>
        <c:lblOffset val="100"/>
        <c:noMultiLvlLbl val="0"/>
      </c:catAx>
      <c:valAx>
        <c:axId val="91552768"/>
        <c:scaling>
          <c:orientation val="minMax"/>
          <c:max val="18"/>
          <c:min val="0"/>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Species richness</a:t>
                </a:r>
              </a:p>
            </c:rich>
          </c:tx>
          <c:layout/>
          <c:overlay val="0"/>
        </c:title>
        <c:numFmt formatCode="General" sourceLinked="1"/>
        <c:majorTickMark val="out"/>
        <c:minorTickMark val="none"/>
        <c:tickLblPos val="nextTo"/>
        <c:crossAx val="91550848"/>
        <c:crosses val="autoZero"/>
        <c:crossBetween val="between"/>
      </c:valAx>
      <c:spPr>
        <a:noFill/>
        <a:ln w="25400">
          <a:noFill/>
        </a:ln>
      </c:spPr>
    </c:plotArea>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[2]Sheet9!$F$10</c:f>
              <c:strCache>
                <c:ptCount val="1"/>
                <c:pt idx="0">
                  <c:v>Omnivores</c:v>
                </c:pt>
              </c:strCache>
            </c:strRef>
          </c:tx>
          <c:invertIfNegative val="0"/>
          <c:errBars>
            <c:errBarType val="both"/>
            <c:errValType val="cust"/>
            <c:noEndCap val="0"/>
            <c:plus>
              <c:numRef>
                <c:f>[2]Sheet9!$M$11:$M$17</c:f>
                <c:numCache>
                  <c:formatCode>General</c:formatCode>
                  <c:ptCount val="7"/>
                  <c:pt idx="0">
                    <c:v>0.77459666924148296</c:v>
                  </c:pt>
                  <c:pt idx="1">
                    <c:v>0</c:v>
                  </c:pt>
                  <c:pt idx="2">
                    <c:v>0.73484692283495301</c:v>
                  </c:pt>
                  <c:pt idx="3">
                    <c:v>0.374165738677394</c:v>
                  </c:pt>
                  <c:pt idx="4">
                    <c:v>0.4</c:v>
                  </c:pt>
                  <c:pt idx="5">
                    <c:v>0.81240384046359604</c:v>
                  </c:pt>
                  <c:pt idx="6">
                    <c:v>0.70710678118654802</c:v>
                  </c:pt>
                </c:numCache>
              </c:numRef>
            </c:plus>
            <c:minus>
              <c:numRef>
                <c:f>[2]Sheet9!$M$11:$M$17</c:f>
                <c:numCache>
                  <c:formatCode>General</c:formatCode>
                  <c:ptCount val="7"/>
                  <c:pt idx="0">
                    <c:v>0.77459666924148296</c:v>
                  </c:pt>
                  <c:pt idx="1">
                    <c:v>0</c:v>
                  </c:pt>
                  <c:pt idx="2">
                    <c:v>0.73484692283495301</c:v>
                  </c:pt>
                  <c:pt idx="3">
                    <c:v>0.374165738677394</c:v>
                  </c:pt>
                  <c:pt idx="4">
                    <c:v>0.4</c:v>
                  </c:pt>
                  <c:pt idx="5">
                    <c:v>0.81240384046359604</c:v>
                  </c:pt>
                  <c:pt idx="6">
                    <c:v>0.70710678118654802</c:v>
                  </c:pt>
                </c:numCache>
              </c:numRef>
            </c:minus>
          </c:errBars>
          <c:cat>
            <c:strRef>
              <c:f>[2]Sheet9!$E$11:$E$17</c:f>
              <c:strCache>
                <c:ptCount val="7"/>
                <c:pt idx="0">
                  <c:v>Young FRA</c:v>
                </c:pt>
                <c:pt idx="1">
                  <c:v>Young SMCRA</c:v>
                </c:pt>
                <c:pt idx="2">
                  <c:v>Midage FRA</c:v>
                </c:pt>
                <c:pt idx="3">
                  <c:v>Midage SMCRA</c:v>
                </c:pt>
                <c:pt idx="4">
                  <c:v>Old FRA</c:v>
                </c:pt>
                <c:pt idx="5">
                  <c:v>Old SMCRA</c:v>
                </c:pt>
                <c:pt idx="6">
                  <c:v>Forest</c:v>
                </c:pt>
              </c:strCache>
            </c:strRef>
          </c:cat>
          <c:val>
            <c:numRef>
              <c:f>[2]Sheet9!$F$11:$F$17</c:f>
              <c:numCache>
                <c:formatCode>General</c:formatCode>
                <c:ptCount val="7"/>
                <c:pt idx="0">
                  <c:v>1</c:v>
                </c:pt>
                <c:pt idx="1">
                  <c:v>0</c:v>
                </c:pt>
                <c:pt idx="2">
                  <c:v>1.8</c:v>
                </c:pt>
                <c:pt idx="3">
                  <c:v>3.2</c:v>
                </c:pt>
                <c:pt idx="4">
                  <c:v>0.6</c:v>
                </c:pt>
                <c:pt idx="5">
                  <c:v>1.6</c:v>
                </c:pt>
                <c:pt idx="6">
                  <c:v>3</c:v>
                </c:pt>
              </c:numCache>
            </c:numRef>
          </c:val>
        </c:ser>
        <c:ser>
          <c:idx val="1"/>
          <c:order val="1"/>
          <c:tx>
            <c:strRef>
              <c:f>[2]Sheet9!$G$10</c:f>
              <c:strCache>
                <c:ptCount val="1"/>
                <c:pt idx="0">
                  <c:v>Predators</c:v>
                </c:pt>
              </c:strCache>
            </c:strRef>
          </c:tx>
          <c:invertIfNegative val="0"/>
          <c:errBars>
            <c:errBarType val="both"/>
            <c:errValType val="cust"/>
            <c:noEndCap val="0"/>
            <c:plus>
              <c:numRef>
                <c:f>[2]Sheet9!$N$11:$N$17</c:f>
                <c:numCache>
                  <c:formatCode>General</c:formatCode>
                  <c:ptCount val="7"/>
                  <c:pt idx="0">
                    <c:v>0.77459666924148296</c:v>
                  </c:pt>
                  <c:pt idx="1">
                    <c:v>0</c:v>
                  </c:pt>
                  <c:pt idx="2">
                    <c:v>0.54772255750516596</c:v>
                  </c:pt>
                  <c:pt idx="3">
                    <c:v>0.24494897427831799</c:v>
                  </c:pt>
                  <c:pt idx="4">
                    <c:v>0.73484692283495301</c:v>
                  </c:pt>
                  <c:pt idx="5">
                    <c:v>0.6</c:v>
                  </c:pt>
                  <c:pt idx="6">
                    <c:v>0.83666002653407601</c:v>
                  </c:pt>
                </c:numCache>
              </c:numRef>
            </c:plus>
            <c:minus>
              <c:numRef>
                <c:f>[2]Sheet9!$N$11:$N$17</c:f>
                <c:numCache>
                  <c:formatCode>General</c:formatCode>
                  <c:ptCount val="7"/>
                  <c:pt idx="0">
                    <c:v>0.77459666924148296</c:v>
                  </c:pt>
                  <c:pt idx="1">
                    <c:v>0</c:v>
                  </c:pt>
                  <c:pt idx="2">
                    <c:v>0.54772255750516596</c:v>
                  </c:pt>
                  <c:pt idx="3">
                    <c:v>0.24494897427831799</c:v>
                  </c:pt>
                  <c:pt idx="4">
                    <c:v>0.73484692283495301</c:v>
                  </c:pt>
                  <c:pt idx="5">
                    <c:v>0.6</c:v>
                  </c:pt>
                  <c:pt idx="6">
                    <c:v>0.83666002653407601</c:v>
                  </c:pt>
                </c:numCache>
              </c:numRef>
            </c:minus>
          </c:errBars>
          <c:cat>
            <c:strRef>
              <c:f>[2]Sheet9!$E$11:$E$17</c:f>
              <c:strCache>
                <c:ptCount val="7"/>
                <c:pt idx="0">
                  <c:v>Young FRA</c:v>
                </c:pt>
                <c:pt idx="1">
                  <c:v>Young SMCRA</c:v>
                </c:pt>
                <c:pt idx="2">
                  <c:v>Midage FRA</c:v>
                </c:pt>
                <c:pt idx="3">
                  <c:v>Midage SMCRA</c:v>
                </c:pt>
                <c:pt idx="4">
                  <c:v>Old FRA</c:v>
                </c:pt>
                <c:pt idx="5">
                  <c:v>Old SMCRA</c:v>
                </c:pt>
                <c:pt idx="6">
                  <c:v>Forest</c:v>
                </c:pt>
              </c:strCache>
            </c:strRef>
          </c:cat>
          <c:val>
            <c:numRef>
              <c:f>[2]Sheet9!$G$11:$G$17</c:f>
              <c:numCache>
                <c:formatCode>General</c:formatCode>
                <c:ptCount val="7"/>
                <c:pt idx="0">
                  <c:v>1</c:v>
                </c:pt>
                <c:pt idx="1">
                  <c:v>0</c:v>
                </c:pt>
                <c:pt idx="2">
                  <c:v>1</c:v>
                </c:pt>
                <c:pt idx="3">
                  <c:v>1.6</c:v>
                </c:pt>
                <c:pt idx="4">
                  <c:v>1.2</c:v>
                </c:pt>
                <c:pt idx="5">
                  <c:v>1.6</c:v>
                </c:pt>
                <c:pt idx="6">
                  <c:v>3</c:v>
                </c:pt>
              </c:numCache>
            </c:numRef>
          </c:val>
        </c:ser>
        <c:ser>
          <c:idx val="2"/>
          <c:order val="2"/>
          <c:tx>
            <c:strRef>
              <c:f>[2]Sheet9!$H$10</c:f>
              <c:strCache>
                <c:ptCount val="1"/>
                <c:pt idx="0">
                  <c:v>Bacteriovores</c:v>
                </c:pt>
              </c:strCache>
            </c:strRef>
          </c:tx>
          <c:invertIfNegative val="0"/>
          <c:errBars>
            <c:errBarType val="both"/>
            <c:errValType val="cust"/>
            <c:noEndCap val="0"/>
            <c:plus>
              <c:numRef>
                <c:f>[2]Sheet9!$O$11:$O$17</c:f>
                <c:numCache>
                  <c:formatCode>General</c:formatCode>
                  <c:ptCount val="7"/>
                  <c:pt idx="0">
                    <c:v>1.5620499351813311</c:v>
                  </c:pt>
                  <c:pt idx="1">
                    <c:v>0</c:v>
                  </c:pt>
                  <c:pt idx="2">
                    <c:v>1.28062484748657</c:v>
                  </c:pt>
                  <c:pt idx="3">
                    <c:v>1.42828568570857</c:v>
                  </c:pt>
                  <c:pt idx="4">
                    <c:v>2.4576411454889011</c:v>
                  </c:pt>
                  <c:pt idx="5">
                    <c:v>1.3266499161421601</c:v>
                  </c:pt>
                  <c:pt idx="6">
                    <c:v>2.2494443758404001</c:v>
                  </c:pt>
                </c:numCache>
              </c:numRef>
            </c:plus>
            <c:minus>
              <c:numRef>
                <c:f>[2]Sheet9!$O$11:$O$17</c:f>
                <c:numCache>
                  <c:formatCode>General</c:formatCode>
                  <c:ptCount val="7"/>
                  <c:pt idx="0">
                    <c:v>1.5620499351813311</c:v>
                  </c:pt>
                  <c:pt idx="1">
                    <c:v>0</c:v>
                  </c:pt>
                  <c:pt idx="2">
                    <c:v>1.28062484748657</c:v>
                  </c:pt>
                  <c:pt idx="3">
                    <c:v>1.42828568570857</c:v>
                  </c:pt>
                  <c:pt idx="4">
                    <c:v>2.4576411454889011</c:v>
                  </c:pt>
                  <c:pt idx="5">
                    <c:v>1.3266499161421601</c:v>
                  </c:pt>
                  <c:pt idx="6">
                    <c:v>2.2494443758404001</c:v>
                  </c:pt>
                </c:numCache>
              </c:numRef>
            </c:minus>
          </c:errBars>
          <c:cat>
            <c:strRef>
              <c:f>[2]Sheet9!$E$11:$E$17</c:f>
              <c:strCache>
                <c:ptCount val="7"/>
                <c:pt idx="0">
                  <c:v>Young FRA</c:v>
                </c:pt>
                <c:pt idx="1">
                  <c:v>Young SMCRA</c:v>
                </c:pt>
                <c:pt idx="2">
                  <c:v>Midage FRA</c:v>
                </c:pt>
                <c:pt idx="3">
                  <c:v>Midage SMCRA</c:v>
                </c:pt>
                <c:pt idx="4">
                  <c:v>Old FRA</c:v>
                </c:pt>
                <c:pt idx="5">
                  <c:v>Old SMCRA</c:v>
                </c:pt>
                <c:pt idx="6">
                  <c:v>Forest</c:v>
                </c:pt>
              </c:strCache>
            </c:strRef>
          </c:cat>
          <c:val>
            <c:numRef>
              <c:f>[2]Sheet9!$H$11:$H$17</c:f>
              <c:numCache>
                <c:formatCode>General</c:formatCode>
                <c:ptCount val="7"/>
                <c:pt idx="0">
                  <c:v>4.8</c:v>
                </c:pt>
                <c:pt idx="1">
                  <c:v>1.75</c:v>
                </c:pt>
                <c:pt idx="2">
                  <c:v>5.8</c:v>
                </c:pt>
                <c:pt idx="3">
                  <c:v>5.2</c:v>
                </c:pt>
                <c:pt idx="4">
                  <c:v>5.8</c:v>
                </c:pt>
                <c:pt idx="5">
                  <c:v>7.4</c:v>
                </c:pt>
                <c:pt idx="6">
                  <c:v>13.4</c:v>
                </c:pt>
              </c:numCache>
            </c:numRef>
          </c:val>
        </c:ser>
        <c:ser>
          <c:idx val="3"/>
          <c:order val="3"/>
          <c:tx>
            <c:strRef>
              <c:f>[2]Sheet9!$I$10</c:f>
              <c:strCache>
                <c:ptCount val="1"/>
                <c:pt idx="0">
                  <c:v>Plant Parasites</c:v>
                </c:pt>
              </c:strCache>
            </c:strRef>
          </c:tx>
          <c:invertIfNegative val="0"/>
          <c:errBars>
            <c:errBarType val="both"/>
            <c:errValType val="cust"/>
            <c:noEndCap val="0"/>
            <c:plus>
              <c:numRef>
                <c:f>[2]Sheet9!$P$11:$P$17</c:f>
                <c:numCache>
                  <c:formatCode>General</c:formatCode>
                  <c:ptCount val="7"/>
                  <c:pt idx="0">
                    <c:v>0.2</c:v>
                  </c:pt>
                  <c:pt idx="1">
                    <c:v>0</c:v>
                  </c:pt>
                  <c:pt idx="2">
                    <c:v>0.374165738677394</c:v>
                  </c:pt>
                  <c:pt idx="3">
                    <c:v>0.4</c:v>
                  </c:pt>
                  <c:pt idx="4">
                    <c:v>1.122497216032182</c:v>
                  </c:pt>
                  <c:pt idx="5">
                    <c:v>0.67823299831252704</c:v>
                  </c:pt>
                  <c:pt idx="6">
                    <c:v>1.0954451150103319</c:v>
                  </c:pt>
                </c:numCache>
              </c:numRef>
            </c:plus>
            <c:minus>
              <c:numRef>
                <c:f>[2]Sheet9!$P$11:$P$17</c:f>
                <c:numCache>
                  <c:formatCode>General</c:formatCode>
                  <c:ptCount val="7"/>
                  <c:pt idx="0">
                    <c:v>0.2</c:v>
                  </c:pt>
                  <c:pt idx="1">
                    <c:v>0</c:v>
                  </c:pt>
                  <c:pt idx="2">
                    <c:v>0.374165738677394</c:v>
                  </c:pt>
                  <c:pt idx="3">
                    <c:v>0.4</c:v>
                  </c:pt>
                  <c:pt idx="4">
                    <c:v>1.122497216032182</c:v>
                  </c:pt>
                  <c:pt idx="5">
                    <c:v>0.67823299831252704</c:v>
                  </c:pt>
                  <c:pt idx="6">
                    <c:v>1.0954451150103319</c:v>
                  </c:pt>
                </c:numCache>
              </c:numRef>
            </c:minus>
          </c:errBars>
          <c:cat>
            <c:strRef>
              <c:f>[2]Sheet9!$E$11:$E$17</c:f>
              <c:strCache>
                <c:ptCount val="7"/>
                <c:pt idx="0">
                  <c:v>Young FRA</c:v>
                </c:pt>
                <c:pt idx="1">
                  <c:v>Young SMCRA</c:v>
                </c:pt>
                <c:pt idx="2">
                  <c:v>Midage FRA</c:v>
                </c:pt>
                <c:pt idx="3">
                  <c:v>Midage SMCRA</c:v>
                </c:pt>
                <c:pt idx="4">
                  <c:v>Old FRA</c:v>
                </c:pt>
                <c:pt idx="5">
                  <c:v>Old SMCRA</c:v>
                </c:pt>
                <c:pt idx="6">
                  <c:v>Forest</c:v>
                </c:pt>
              </c:strCache>
            </c:strRef>
          </c:cat>
          <c:val>
            <c:numRef>
              <c:f>[2]Sheet9!$I$11:$I$17</c:f>
              <c:numCache>
                <c:formatCode>General</c:formatCode>
                <c:ptCount val="7"/>
                <c:pt idx="0">
                  <c:v>0.2</c:v>
                </c:pt>
                <c:pt idx="1">
                  <c:v>0.5</c:v>
                </c:pt>
                <c:pt idx="2">
                  <c:v>0.8</c:v>
                </c:pt>
                <c:pt idx="3">
                  <c:v>0.6</c:v>
                </c:pt>
                <c:pt idx="4">
                  <c:v>2.4</c:v>
                </c:pt>
                <c:pt idx="5">
                  <c:v>2.6</c:v>
                </c:pt>
                <c:pt idx="6">
                  <c:v>5</c:v>
                </c:pt>
              </c:numCache>
            </c:numRef>
          </c:val>
        </c:ser>
        <c:ser>
          <c:idx val="4"/>
          <c:order val="4"/>
          <c:tx>
            <c:v>Fungivores</c:v>
          </c:tx>
          <c:invertIfNegative val="0"/>
          <c:errBars>
            <c:errBarType val="both"/>
            <c:errValType val="cust"/>
            <c:noEndCap val="0"/>
            <c:plus>
              <c:numRef>
                <c:f>[2]Sheet9!$Q$11:$Q$17</c:f>
                <c:numCache>
                  <c:formatCode>General</c:formatCode>
                  <c:ptCount val="7"/>
                  <c:pt idx="0">
                    <c:v>0</c:v>
                  </c:pt>
                  <c:pt idx="1">
                    <c:v>0</c:v>
                  </c:pt>
                  <c:pt idx="2">
                    <c:v>0.2</c:v>
                  </c:pt>
                  <c:pt idx="3">
                    <c:v>0.54772255750516596</c:v>
                  </c:pt>
                  <c:pt idx="4">
                    <c:v>0.50990195135927896</c:v>
                  </c:pt>
                  <c:pt idx="5">
                    <c:v>0.24494897427831799</c:v>
                  </c:pt>
                  <c:pt idx="6">
                    <c:v>0.50990195135927896</c:v>
                  </c:pt>
                </c:numCache>
              </c:numRef>
            </c:plus>
            <c:minus>
              <c:numRef>
                <c:f>[2]Sheet9!$Q$11:$Q$17</c:f>
                <c:numCache>
                  <c:formatCode>General</c:formatCode>
                  <c:ptCount val="7"/>
                  <c:pt idx="0">
                    <c:v>0</c:v>
                  </c:pt>
                  <c:pt idx="1">
                    <c:v>0</c:v>
                  </c:pt>
                  <c:pt idx="2">
                    <c:v>0.2</c:v>
                  </c:pt>
                  <c:pt idx="3">
                    <c:v>0.54772255750516596</c:v>
                  </c:pt>
                  <c:pt idx="4">
                    <c:v>0.50990195135927896</c:v>
                  </c:pt>
                  <c:pt idx="5">
                    <c:v>0.24494897427831799</c:v>
                  </c:pt>
                  <c:pt idx="6">
                    <c:v>0.50990195135927896</c:v>
                  </c:pt>
                </c:numCache>
              </c:numRef>
            </c:minus>
          </c:errBars>
          <c:cat>
            <c:strRef>
              <c:f>[2]Sheet9!$E$11:$E$17</c:f>
              <c:strCache>
                <c:ptCount val="7"/>
                <c:pt idx="0">
                  <c:v>Young FRA</c:v>
                </c:pt>
                <c:pt idx="1">
                  <c:v>Young SMCRA</c:v>
                </c:pt>
                <c:pt idx="2">
                  <c:v>Midage FRA</c:v>
                </c:pt>
                <c:pt idx="3">
                  <c:v>Midage SMCRA</c:v>
                </c:pt>
                <c:pt idx="4">
                  <c:v>Old FRA</c:v>
                </c:pt>
                <c:pt idx="5">
                  <c:v>Old SMCRA</c:v>
                </c:pt>
                <c:pt idx="6">
                  <c:v>Forest</c:v>
                </c:pt>
              </c:strCache>
            </c:strRef>
          </c:cat>
          <c:val>
            <c:numRef>
              <c:f>[2]Sheet9!$J$11:$J$17</c:f>
              <c:numCache>
                <c:formatCode>General</c:formatCode>
                <c:ptCount val="7"/>
                <c:pt idx="0">
                  <c:v>0</c:v>
                </c:pt>
                <c:pt idx="1">
                  <c:v>0</c:v>
                </c:pt>
                <c:pt idx="2">
                  <c:v>1.8</c:v>
                </c:pt>
                <c:pt idx="3">
                  <c:v>1</c:v>
                </c:pt>
                <c:pt idx="4">
                  <c:v>1.4</c:v>
                </c:pt>
                <c:pt idx="5">
                  <c:v>1.4</c:v>
                </c:pt>
                <c:pt idx="6">
                  <c:v>1.4</c:v>
                </c:pt>
              </c:numCache>
            </c:numRef>
          </c:val>
        </c:ser>
        <c:dLbls>
          <c:showLegendKey val="0"/>
          <c:showVal val="0"/>
          <c:showCatName val="0"/>
          <c:showSerName val="0"/>
          <c:showPercent val="0"/>
          <c:showBubbleSize val="0"/>
        </c:dLbls>
        <c:gapWidth val="150"/>
        <c:axId val="91468160"/>
        <c:axId val="91470080"/>
      </c:barChart>
      <c:catAx>
        <c:axId val="91468160"/>
        <c:scaling>
          <c:orientation val="minMax"/>
        </c:scaling>
        <c:delete val="0"/>
        <c:axPos val="b"/>
        <c:title>
          <c:tx>
            <c:rich>
              <a:bodyPr/>
              <a:lstStyle/>
              <a:p>
                <a:pPr>
                  <a:defRPr/>
                </a:pPr>
                <a:r>
                  <a:rPr lang="en-US">
                    <a:latin typeface="Times New Roman" pitchFamily="18" charset="0"/>
                    <a:cs typeface="Times New Roman" pitchFamily="18" charset="0"/>
                  </a:rPr>
                  <a:t>Virginia soil treatments</a:t>
                </a:r>
              </a:p>
            </c:rich>
          </c:tx>
          <c:layout/>
          <c:overlay val="0"/>
        </c:title>
        <c:majorTickMark val="out"/>
        <c:minorTickMark val="none"/>
        <c:tickLblPos val="nextTo"/>
        <c:crossAx val="91470080"/>
        <c:crosses val="autoZero"/>
        <c:auto val="1"/>
        <c:lblAlgn val="ctr"/>
        <c:lblOffset val="100"/>
        <c:noMultiLvlLbl val="0"/>
      </c:catAx>
      <c:valAx>
        <c:axId val="91470080"/>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Species Richniess</a:t>
                </a:r>
              </a:p>
            </c:rich>
          </c:tx>
          <c:layout/>
          <c:overlay val="0"/>
        </c:title>
        <c:numFmt formatCode="General" sourceLinked="1"/>
        <c:majorTickMark val="out"/>
        <c:minorTickMark val="none"/>
        <c:tickLblPos val="nextTo"/>
        <c:crossAx val="91468160"/>
        <c:crosses val="autoZero"/>
        <c:crossBetween val="between"/>
      </c:valAx>
    </c:plotArea>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694431633412217E-2"/>
          <c:y val="2.3974749991694078E-2"/>
          <c:w val="0.77102863367281504"/>
          <c:h val="0.83676215156649703"/>
        </c:manualLayout>
      </c:layout>
      <c:barChart>
        <c:barDir val="col"/>
        <c:grouping val="clustered"/>
        <c:varyColors val="0"/>
        <c:ser>
          <c:idx val="0"/>
          <c:order val="0"/>
          <c:tx>
            <c:v>Tennessee</c:v>
          </c:tx>
          <c:invertIfNegative val="0"/>
          <c:errBars>
            <c:errBarType val="both"/>
            <c:errValType val="cust"/>
            <c:noEndCap val="0"/>
            <c:plus>
              <c:numRef>
                <c:f>[1]Sheet3!$S$20:$S$26</c:f>
                <c:numCache>
                  <c:formatCode>General</c:formatCode>
                  <c:ptCount val="7"/>
                  <c:pt idx="0">
                    <c:v>7.2028753663573503E-2</c:v>
                  </c:pt>
                  <c:pt idx="1">
                    <c:v>0.16439892546349699</c:v>
                  </c:pt>
                  <c:pt idx="2">
                    <c:v>0.38840710257564398</c:v>
                  </c:pt>
                  <c:pt idx="3">
                    <c:v>0.30082886989902302</c:v>
                  </c:pt>
                  <c:pt idx="4">
                    <c:v>0.12570018344127101</c:v>
                  </c:pt>
                  <c:pt idx="5">
                    <c:v>0.151623738178401</c:v>
                  </c:pt>
                  <c:pt idx="6">
                    <c:v>0.15708818236326</c:v>
                  </c:pt>
                </c:numCache>
              </c:numRef>
            </c:plus>
            <c:minus>
              <c:numRef>
                <c:f>[1]Sheet3!$S$20:$S$26</c:f>
                <c:numCache>
                  <c:formatCode>General</c:formatCode>
                  <c:ptCount val="7"/>
                  <c:pt idx="0">
                    <c:v>7.2028753663573503E-2</c:v>
                  </c:pt>
                  <c:pt idx="1">
                    <c:v>0.16439892546349699</c:v>
                  </c:pt>
                  <c:pt idx="2">
                    <c:v>0.38840710257564398</c:v>
                  </c:pt>
                  <c:pt idx="3">
                    <c:v>0.30082886989902302</c:v>
                  </c:pt>
                  <c:pt idx="4">
                    <c:v>0.12570018344127101</c:v>
                  </c:pt>
                  <c:pt idx="5">
                    <c:v>0.151623738178401</c:v>
                  </c:pt>
                  <c:pt idx="6">
                    <c:v>0.15708818236326</c:v>
                  </c:pt>
                </c:numCache>
              </c:numRef>
            </c:minus>
          </c:errBars>
          <c:cat>
            <c:strRef>
              <c:f>[1]Sheet3!$R$60:$R$66</c:f>
              <c:strCache>
                <c:ptCount val="7"/>
                <c:pt idx="0">
                  <c:v>Young FRA</c:v>
                </c:pt>
                <c:pt idx="1">
                  <c:v>Midage FRA</c:v>
                </c:pt>
                <c:pt idx="2">
                  <c:v>Old FRA</c:v>
                </c:pt>
                <c:pt idx="3">
                  <c:v>Young SMCRA</c:v>
                </c:pt>
                <c:pt idx="4">
                  <c:v>Midage SMCRA</c:v>
                </c:pt>
                <c:pt idx="5">
                  <c:v>Old SMCRA</c:v>
                </c:pt>
                <c:pt idx="6">
                  <c:v>Forest</c:v>
                </c:pt>
              </c:strCache>
            </c:strRef>
          </c:cat>
          <c:val>
            <c:numRef>
              <c:f>[1]Sheet3!$O$2:$O$8</c:f>
              <c:numCache>
                <c:formatCode>General</c:formatCode>
                <c:ptCount val="7"/>
                <c:pt idx="0">
                  <c:v>1.910359031926165</c:v>
                </c:pt>
                <c:pt idx="1">
                  <c:v>2.3661149577027949</c:v>
                </c:pt>
                <c:pt idx="2">
                  <c:v>2.2040827214641179</c:v>
                </c:pt>
                <c:pt idx="3">
                  <c:v>1.4943439584392271</c:v>
                </c:pt>
                <c:pt idx="4">
                  <c:v>2.0670625629249528</c:v>
                </c:pt>
                <c:pt idx="5">
                  <c:v>2.0863988422479101</c:v>
                </c:pt>
                <c:pt idx="6">
                  <c:v>3.1315438982078989</c:v>
                </c:pt>
              </c:numCache>
            </c:numRef>
          </c:val>
        </c:ser>
        <c:ser>
          <c:idx val="1"/>
          <c:order val="1"/>
          <c:tx>
            <c:v>Virginia</c:v>
          </c:tx>
          <c:invertIfNegative val="0"/>
          <c:errBars>
            <c:errBarType val="both"/>
            <c:errValType val="cust"/>
            <c:noEndCap val="0"/>
            <c:pl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plus>
            <c:min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minus>
          </c:errBars>
          <c:cat>
            <c:strRef>
              <c:f>[1]Sheet3!$R$60:$R$66</c:f>
              <c:strCache>
                <c:ptCount val="7"/>
                <c:pt idx="0">
                  <c:v>Young FRA</c:v>
                </c:pt>
                <c:pt idx="1">
                  <c:v>Midage FRA</c:v>
                </c:pt>
                <c:pt idx="2">
                  <c:v>Old FRA</c:v>
                </c:pt>
                <c:pt idx="3">
                  <c:v>Young SMCRA</c:v>
                </c:pt>
                <c:pt idx="4">
                  <c:v>Midage SMCRA</c:v>
                </c:pt>
                <c:pt idx="5">
                  <c:v>Old SMCRA</c:v>
                </c:pt>
                <c:pt idx="6">
                  <c:v>Forest</c:v>
                </c:pt>
              </c:strCache>
            </c:strRef>
          </c:cat>
          <c:val>
            <c:numRef>
              <c:f>[1]Sheet3!$T$45:$T$51</c:f>
              <c:numCache>
                <c:formatCode>General</c:formatCode>
                <c:ptCount val="7"/>
                <c:pt idx="0">
                  <c:v>1.348479629946131</c:v>
                </c:pt>
                <c:pt idx="1">
                  <c:v>1.9598901722337581</c:v>
                </c:pt>
                <c:pt idx="2">
                  <c:v>2.348915108622335</c:v>
                </c:pt>
                <c:pt idx="3">
                  <c:v>0.73821336015789696</c:v>
                </c:pt>
                <c:pt idx="4">
                  <c:v>2.0412426366498182</c:v>
                </c:pt>
                <c:pt idx="5">
                  <c:v>1.5721286461884589</c:v>
                </c:pt>
                <c:pt idx="6">
                  <c:v>2.6233879999999998</c:v>
                </c:pt>
              </c:numCache>
            </c:numRef>
          </c:val>
        </c:ser>
        <c:ser>
          <c:idx val="2"/>
          <c:order val="2"/>
          <c:tx>
            <c:v>Kentucky</c:v>
          </c:tx>
          <c:invertIfNegative val="0"/>
          <c:errBars>
            <c:errBarType val="both"/>
            <c:errValType val="cust"/>
            <c:noEndCap val="0"/>
            <c:pl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plus>
            <c:min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minus>
          </c:errBars>
          <c:cat>
            <c:strRef>
              <c:f>[1]Sheet3!$R$60:$R$66</c:f>
              <c:strCache>
                <c:ptCount val="7"/>
                <c:pt idx="0">
                  <c:v>Young FRA</c:v>
                </c:pt>
                <c:pt idx="1">
                  <c:v>Midage FRA</c:v>
                </c:pt>
                <c:pt idx="2">
                  <c:v>Old FRA</c:v>
                </c:pt>
                <c:pt idx="3">
                  <c:v>Young SMCRA</c:v>
                </c:pt>
                <c:pt idx="4">
                  <c:v>Midage SMCRA</c:v>
                </c:pt>
                <c:pt idx="5">
                  <c:v>Old SMCRA</c:v>
                </c:pt>
                <c:pt idx="6">
                  <c:v>Forest</c:v>
                </c:pt>
              </c:strCache>
            </c:strRef>
          </c:cat>
          <c:val>
            <c:numRef>
              <c:f>[1]Sheet3!$T$84:$T$90</c:f>
              <c:numCache>
                <c:formatCode>General</c:formatCode>
                <c:ptCount val="7"/>
                <c:pt idx="0">
                  <c:v>0.62122666244699998</c:v>
                </c:pt>
                <c:pt idx="1">
                  <c:v>1.04017247195253</c:v>
                </c:pt>
                <c:pt idx="2">
                  <c:v>2.44266615170875</c:v>
                </c:pt>
                <c:pt idx="3">
                  <c:v>0.76752836433134797</c:v>
                </c:pt>
                <c:pt idx="4">
                  <c:v>2.1583949170195869</c:v>
                </c:pt>
                <c:pt idx="5">
                  <c:v>1.6167967942452799</c:v>
                </c:pt>
                <c:pt idx="6">
                  <c:v>2.6553391746328741</c:v>
                </c:pt>
              </c:numCache>
            </c:numRef>
          </c:val>
        </c:ser>
        <c:dLbls>
          <c:showLegendKey val="0"/>
          <c:showVal val="0"/>
          <c:showCatName val="0"/>
          <c:showSerName val="0"/>
          <c:showPercent val="0"/>
          <c:showBubbleSize val="0"/>
        </c:dLbls>
        <c:gapWidth val="30"/>
        <c:axId val="93475968"/>
        <c:axId val="93477504"/>
      </c:barChart>
      <c:catAx>
        <c:axId val="93475968"/>
        <c:scaling>
          <c:orientation val="minMax"/>
        </c:scaling>
        <c:delete val="0"/>
        <c:axPos val="b"/>
        <c:majorTickMark val="out"/>
        <c:minorTickMark val="none"/>
        <c:tickLblPos val="nextTo"/>
        <c:crossAx val="93477504"/>
        <c:crosses val="autoZero"/>
        <c:auto val="1"/>
        <c:lblAlgn val="ctr"/>
        <c:lblOffset val="100"/>
        <c:noMultiLvlLbl val="0"/>
      </c:catAx>
      <c:valAx>
        <c:axId val="93477504"/>
        <c:scaling>
          <c:orientation val="minMax"/>
        </c:scaling>
        <c:delete val="0"/>
        <c:axPos val="l"/>
        <c:title>
          <c:tx>
            <c:rich>
              <a:bodyPr rot="-5400000" vert="horz"/>
              <a:lstStyle/>
              <a:p>
                <a:pPr>
                  <a:defRPr b="0">
                    <a:latin typeface="Times New Roman" pitchFamily="18" charset="0"/>
                    <a:cs typeface="Times New Roman" pitchFamily="18" charset="0"/>
                  </a:defRPr>
                </a:pPr>
                <a:r>
                  <a:rPr lang="en-US" sz="1200" b="0">
                    <a:latin typeface="Times New Roman" pitchFamily="18" charset="0"/>
                    <a:cs typeface="Times New Roman" pitchFamily="18" charset="0"/>
                  </a:rPr>
                  <a:t>Shannon</a:t>
                </a:r>
                <a:r>
                  <a:rPr lang="en-US" b="0">
                    <a:latin typeface="Times New Roman" pitchFamily="18" charset="0"/>
                    <a:cs typeface="Times New Roman" pitchFamily="18" charset="0"/>
                  </a:rPr>
                  <a:t> </a:t>
                </a:r>
                <a:r>
                  <a:rPr lang="en-US" sz="1200" b="0">
                    <a:latin typeface="Times New Roman" pitchFamily="18" charset="0"/>
                    <a:cs typeface="Times New Roman" pitchFamily="18" charset="0"/>
                  </a:rPr>
                  <a:t>diversity</a:t>
                </a:r>
              </a:p>
            </c:rich>
          </c:tx>
          <c:layout>
            <c:manualLayout>
              <c:xMode val="edge"/>
              <c:yMode val="edge"/>
              <c:x val="5.8464566929133854E-3"/>
              <c:y val="0.30836080932921361"/>
            </c:manualLayout>
          </c:layout>
          <c:overlay val="0"/>
        </c:title>
        <c:numFmt formatCode="General" sourceLinked="1"/>
        <c:majorTickMark val="out"/>
        <c:minorTickMark val="none"/>
        <c:tickLblPos val="nextTo"/>
        <c:crossAx val="93475968"/>
        <c:crosses val="autoZero"/>
        <c:crossBetween val="between"/>
      </c:valAx>
    </c:plotArea>
    <c:legend>
      <c:legendPos val="r"/>
      <c:layout/>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Virginia</a:t>
            </a:r>
          </a:p>
        </c:rich>
      </c:tx>
      <c:layout/>
      <c:overlay val="0"/>
    </c:title>
    <c:autoTitleDeleted val="0"/>
    <c:plotArea>
      <c:layout>
        <c:manualLayout>
          <c:layoutTarget val="inner"/>
          <c:xMode val="edge"/>
          <c:yMode val="edge"/>
          <c:x val="8.9694486809851898E-2"/>
          <c:y val="3.0725804844014801E-2"/>
          <c:w val="0.8671825156470826"/>
          <c:h val="0.83676215156649703"/>
        </c:manualLayout>
      </c:layout>
      <c:barChart>
        <c:barDir val="col"/>
        <c:grouping val="clustered"/>
        <c:varyColors val="0"/>
        <c:ser>
          <c:idx val="1"/>
          <c:order val="0"/>
          <c:tx>
            <c:v>Virginia</c:v>
          </c:tx>
          <c:spPr>
            <a:solidFill>
              <a:schemeClr val="bg1">
                <a:lumMod val="75000"/>
              </a:schemeClr>
            </a:solidFill>
            <a:ln w="19050">
              <a:solidFill>
                <a:schemeClr val="tx1"/>
              </a:solidFill>
            </a:ln>
          </c:spPr>
          <c:invertIfNegative val="0"/>
          <c:errBars>
            <c:errBarType val="both"/>
            <c:errValType val="cust"/>
            <c:noEndCap val="0"/>
            <c:pl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plus>
            <c:min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minus>
          </c:errBars>
          <c:cat>
            <c:strRef>
              <c:f>[1]Sheet3!$R$60:$R$66</c:f>
              <c:strCache>
                <c:ptCount val="7"/>
                <c:pt idx="0">
                  <c:v>Young FRA</c:v>
                </c:pt>
                <c:pt idx="1">
                  <c:v>Midage FRA</c:v>
                </c:pt>
                <c:pt idx="2">
                  <c:v>Old FRA</c:v>
                </c:pt>
                <c:pt idx="3">
                  <c:v>Young SMCRA</c:v>
                </c:pt>
                <c:pt idx="4">
                  <c:v>Midage SMCRA</c:v>
                </c:pt>
                <c:pt idx="5">
                  <c:v>Old SMCRA</c:v>
                </c:pt>
                <c:pt idx="6">
                  <c:v>Forest</c:v>
                </c:pt>
              </c:strCache>
            </c:strRef>
          </c:cat>
          <c:val>
            <c:numRef>
              <c:f>[1]Sheet3!$T$45:$T$51</c:f>
              <c:numCache>
                <c:formatCode>General</c:formatCode>
                <c:ptCount val="7"/>
                <c:pt idx="0">
                  <c:v>1.348479629946131</c:v>
                </c:pt>
                <c:pt idx="1">
                  <c:v>1.9598901722337581</c:v>
                </c:pt>
                <c:pt idx="2">
                  <c:v>2.348915108622335</c:v>
                </c:pt>
                <c:pt idx="3">
                  <c:v>0.73821336015789696</c:v>
                </c:pt>
                <c:pt idx="4">
                  <c:v>2.0412426366498182</c:v>
                </c:pt>
                <c:pt idx="5">
                  <c:v>1.5721286461884589</c:v>
                </c:pt>
                <c:pt idx="6">
                  <c:v>2.6233879999999998</c:v>
                </c:pt>
              </c:numCache>
            </c:numRef>
          </c:val>
        </c:ser>
        <c:dLbls>
          <c:showLegendKey val="0"/>
          <c:showVal val="0"/>
          <c:showCatName val="0"/>
          <c:showSerName val="0"/>
          <c:showPercent val="0"/>
          <c:showBubbleSize val="0"/>
        </c:dLbls>
        <c:gapWidth val="30"/>
        <c:axId val="93570944"/>
        <c:axId val="93572480"/>
      </c:barChart>
      <c:catAx>
        <c:axId val="93570944"/>
        <c:scaling>
          <c:orientation val="minMax"/>
        </c:scaling>
        <c:delete val="0"/>
        <c:axPos val="b"/>
        <c:majorTickMark val="out"/>
        <c:minorTickMark val="none"/>
        <c:tickLblPos val="nextTo"/>
        <c:crossAx val="93572480"/>
        <c:crosses val="autoZero"/>
        <c:auto val="1"/>
        <c:lblAlgn val="ctr"/>
        <c:lblOffset val="100"/>
        <c:noMultiLvlLbl val="0"/>
      </c:catAx>
      <c:valAx>
        <c:axId val="93572480"/>
        <c:scaling>
          <c:orientation val="minMax"/>
        </c:scaling>
        <c:delete val="0"/>
        <c:axPos val="l"/>
        <c:title>
          <c:tx>
            <c:rich>
              <a:bodyPr rot="-5400000" vert="horz"/>
              <a:lstStyle/>
              <a:p>
                <a:pPr>
                  <a:defRPr/>
                </a:pPr>
                <a:r>
                  <a:rPr lang="en-US" sz="1200" b="0">
                    <a:latin typeface="Times New Roman" pitchFamily="18" charset="0"/>
                    <a:cs typeface="Times New Roman" pitchFamily="18" charset="0"/>
                  </a:rPr>
                  <a:t>Shannon diversity</a:t>
                </a:r>
              </a:p>
            </c:rich>
          </c:tx>
          <c:layout/>
          <c:overlay val="0"/>
        </c:title>
        <c:numFmt formatCode="General" sourceLinked="1"/>
        <c:majorTickMark val="out"/>
        <c:minorTickMark val="none"/>
        <c:tickLblPos val="nextTo"/>
        <c:crossAx val="93570944"/>
        <c:crosses val="autoZero"/>
        <c:crossBetween val="between"/>
      </c:valAx>
    </c:plotArea>
    <c:plotVisOnly val="1"/>
    <c:dispBlanksAs val="gap"/>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Tennessee</a:t>
            </a:r>
          </a:p>
        </c:rich>
      </c:tx>
      <c:layout/>
      <c:overlay val="0"/>
    </c:title>
    <c:autoTitleDeleted val="0"/>
    <c:plotArea>
      <c:layout>
        <c:manualLayout>
          <c:layoutTarget val="inner"/>
          <c:xMode val="edge"/>
          <c:yMode val="edge"/>
          <c:x val="8.9694486809851898E-2"/>
          <c:y val="3.0725804844014801E-2"/>
          <c:w val="0.88641328487785176"/>
          <c:h val="0.83676215156649703"/>
        </c:manualLayout>
      </c:layout>
      <c:barChart>
        <c:barDir val="col"/>
        <c:grouping val="clustered"/>
        <c:varyColors val="0"/>
        <c:ser>
          <c:idx val="0"/>
          <c:order val="0"/>
          <c:tx>
            <c:v>Tennessee</c:v>
          </c:tx>
          <c:spPr>
            <a:solidFill>
              <a:schemeClr val="bg1">
                <a:lumMod val="75000"/>
              </a:schemeClr>
            </a:solidFill>
            <a:ln w="19050">
              <a:solidFill>
                <a:schemeClr val="tx1"/>
              </a:solidFill>
            </a:ln>
          </c:spPr>
          <c:invertIfNegative val="0"/>
          <c:errBars>
            <c:errBarType val="both"/>
            <c:errValType val="cust"/>
            <c:noEndCap val="0"/>
            <c:plus>
              <c:numRef>
                <c:f>[1]Sheet3!$S$20:$S$26</c:f>
                <c:numCache>
                  <c:formatCode>General</c:formatCode>
                  <c:ptCount val="7"/>
                  <c:pt idx="0">
                    <c:v>7.2028753663573503E-2</c:v>
                  </c:pt>
                  <c:pt idx="1">
                    <c:v>0.16439892546349699</c:v>
                  </c:pt>
                  <c:pt idx="2">
                    <c:v>0.38840710257564398</c:v>
                  </c:pt>
                  <c:pt idx="3">
                    <c:v>0.30082886989902302</c:v>
                  </c:pt>
                  <c:pt idx="4">
                    <c:v>0.12570018344127101</c:v>
                  </c:pt>
                  <c:pt idx="5">
                    <c:v>0.151623738178401</c:v>
                  </c:pt>
                  <c:pt idx="6">
                    <c:v>0.15708818236326</c:v>
                  </c:pt>
                </c:numCache>
              </c:numRef>
            </c:plus>
            <c:minus>
              <c:numRef>
                <c:f>[1]Sheet3!$S$20:$S$26</c:f>
                <c:numCache>
                  <c:formatCode>General</c:formatCode>
                  <c:ptCount val="7"/>
                  <c:pt idx="0">
                    <c:v>7.2028753663573503E-2</c:v>
                  </c:pt>
                  <c:pt idx="1">
                    <c:v>0.16439892546349699</c:v>
                  </c:pt>
                  <c:pt idx="2">
                    <c:v>0.38840710257564398</c:v>
                  </c:pt>
                  <c:pt idx="3">
                    <c:v>0.30082886989902302</c:v>
                  </c:pt>
                  <c:pt idx="4">
                    <c:v>0.12570018344127101</c:v>
                  </c:pt>
                  <c:pt idx="5">
                    <c:v>0.151623738178401</c:v>
                  </c:pt>
                  <c:pt idx="6">
                    <c:v>0.15708818236326</c:v>
                  </c:pt>
                </c:numCache>
              </c:numRef>
            </c:minus>
          </c:errBars>
          <c:cat>
            <c:strRef>
              <c:f>[1]Sheet3!$R$60:$R$66</c:f>
              <c:strCache>
                <c:ptCount val="7"/>
                <c:pt idx="0">
                  <c:v>Young FRA</c:v>
                </c:pt>
                <c:pt idx="1">
                  <c:v>Midage FRA</c:v>
                </c:pt>
                <c:pt idx="2">
                  <c:v>Old FRA</c:v>
                </c:pt>
                <c:pt idx="3">
                  <c:v>Young SMCRA</c:v>
                </c:pt>
                <c:pt idx="4">
                  <c:v>Midage SMCRA</c:v>
                </c:pt>
                <c:pt idx="5">
                  <c:v>Old SMCRA</c:v>
                </c:pt>
                <c:pt idx="6">
                  <c:v>Forest</c:v>
                </c:pt>
              </c:strCache>
            </c:strRef>
          </c:cat>
          <c:val>
            <c:numRef>
              <c:f>[1]Sheet3!$O$2:$O$8</c:f>
              <c:numCache>
                <c:formatCode>General</c:formatCode>
                <c:ptCount val="7"/>
                <c:pt idx="0">
                  <c:v>1.910359031926165</c:v>
                </c:pt>
                <c:pt idx="1">
                  <c:v>2.3661149577027949</c:v>
                </c:pt>
                <c:pt idx="2">
                  <c:v>2.2040827214641179</c:v>
                </c:pt>
                <c:pt idx="3">
                  <c:v>1.4943439584392271</c:v>
                </c:pt>
                <c:pt idx="4">
                  <c:v>2.0670625629249528</c:v>
                </c:pt>
                <c:pt idx="5">
                  <c:v>2.0863988422479101</c:v>
                </c:pt>
                <c:pt idx="6">
                  <c:v>3.1315438982078989</c:v>
                </c:pt>
              </c:numCache>
            </c:numRef>
          </c:val>
        </c:ser>
        <c:dLbls>
          <c:showLegendKey val="0"/>
          <c:showVal val="0"/>
          <c:showCatName val="0"/>
          <c:showSerName val="0"/>
          <c:showPercent val="0"/>
          <c:showBubbleSize val="0"/>
        </c:dLbls>
        <c:gapWidth val="30"/>
        <c:axId val="99315712"/>
        <c:axId val="99317248"/>
      </c:barChart>
      <c:catAx>
        <c:axId val="99315712"/>
        <c:scaling>
          <c:orientation val="minMax"/>
        </c:scaling>
        <c:delete val="0"/>
        <c:axPos val="b"/>
        <c:majorTickMark val="out"/>
        <c:minorTickMark val="none"/>
        <c:tickLblPos val="nextTo"/>
        <c:crossAx val="99317248"/>
        <c:crosses val="autoZero"/>
        <c:auto val="1"/>
        <c:lblAlgn val="ctr"/>
        <c:lblOffset val="100"/>
        <c:noMultiLvlLbl val="0"/>
      </c:catAx>
      <c:valAx>
        <c:axId val="99317248"/>
        <c:scaling>
          <c:orientation val="minMax"/>
        </c:scaling>
        <c:delete val="0"/>
        <c:axPos val="l"/>
        <c:title>
          <c:tx>
            <c:rich>
              <a:bodyPr rot="-5400000" vert="horz"/>
              <a:lstStyle/>
              <a:p>
                <a:pPr>
                  <a:defRPr b="0"/>
                </a:pPr>
                <a:r>
                  <a:rPr lang="en-US" sz="1200" b="0">
                    <a:latin typeface="Times New Roman" pitchFamily="18" charset="0"/>
                    <a:cs typeface="Times New Roman" pitchFamily="18" charset="0"/>
                  </a:rPr>
                  <a:t>Shannon diversity</a:t>
                </a:r>
              </a:p>
            </c:rich>
          </c:tx>
          <c:layout/>
          <c:overlay val="0"/>
        </c:title>
        <c:numFmt formatCode="General" sourceLinked="1"/>
        <c:majorTickMark val="out"/>
        <c:minorTickMark val="none"/>
        <c:tickLblPos val="nextTo"/>
        <c:crossAx val="99315712"/>
        <c:crosses val="autoZero"/>
        <c:crossBetween val="between"/>
      </c:valAx>
    </c:plotArea>
    <c:plotVisOnly val="1"/>
    <c:dispBlanksAs val="gap"/>
    <c:showDLblsOverMax val="0"/>
  </c:chart>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Kentucky</a:t>
            </a:r>
          </a:p>
        </c:rich>
      </c:tx>
      <c:layout/>
      <c:overlay val="0"/>
    </c:title>
    <c:autoTitleDeleted val="0"/>
    <c:plotArea>
      <c:layout>
        <c:manualLayout>
          <c:layoutTarget val="inner"/>
          <c:xMode val="edge"/>
          <c:yMode val="edge"/>
          <c:x val="8.9694486809851898E-2"/>
          <c:y val="3.0725804844014801E-2"/>
          <c:w val="0.77102863367281504"/>
          <c:h val="0.83676215156649703"/>
        </c:manualLayout>
      </c:layout>
      <c:barChart>
        <c:barDir val="col"/>
        <c:grouping val="clustered"/>
        <c:varyColors val="0"/>
        <c:ser>
          <c:idx val="2"/>
          <c:order val="0"/>
          <c:tx>
            <c:v>Kentucky</c:v>
          </c:tx>
          <c:spPr>
            <a:solidFill>
              <a:schemeClr val="bg1">
                <a:lumMod val="75000"/>
              </a:schemeClr>
            </a:solidFill>
            <a:ln w="19050">
              <a:solidFill>
                <a:schemeClr val="tx1"/>
              </a:solidFill>
            </a:ln>
          </c:spPr>
          <c:invertIfNegative val="0"/>
          <c:errBars>
            <c:errBarType val="both"/>
            <c:errValType val="cust"/>
            <c:noEndCap val="0"/>
            <c:pl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plus>
            <c:minus>
              <c:numRef>
                <c:f>[1]Sheet3!$T$60:$T$66</c:f>
                <c:numCache>
                  <c:formatCode>General</c:formatCode>
                  <c:ptCount val="7"/>
                  <c:pt idx="0">
                    <c:v>0.380895445552344</c:v>
                  </c:pt>
                  <c:pt idx="1">
                    <c:v>0.13330423670206301</c:v>
                  </c:pt>
                  <c:pt idx="2">
                    <c:v>0.20985007212609799</c:v>
                  </c:pt>
                  <c:pt idx="3">
                    <c:v>0.11083234978361101</c:v>
                  </c:pt>
                  <c:pt idx="4">
                    <c:v>0.145057934843733</c:v>
                  </c:pt>
                  <c:pt idx="5">
                    <c:v>0.53684871806800305</c:v>
                  </c:pt>
                  <c:pt idx="6">
                    <c:v>0.22507484216367499</c:v>
                  </c:pt>
                </c:numCache>
              </c:numRef>
            </c:minus>
          </c:errBars>
          <c:cat>
            <c:strRef>
              <c:f>[1]Sheet3!$R$60:$R$66</c:f>
              <c:strCache>
                <c:ptCount val="7"/>
                <c:pt idx="0">
                  <c:v>Young FRA</c:v>
                </c:pt>
                <c:pt idx="1">
                  <c:v>Midage FRA</c:v>
                </c:pt>
                <c:pt idx="2">
                  <c:v>Old FRA</c:v>
                </c:pt>
                <c:pt idx="3">
                  <c:v>Young SMCRA</c:v>
                </c:pt>
                <c:pt idx="4">
                  <c:v>Midage SMCRA</c:v>
                </c:pt>
                <c:pt idx="5">
                  <c:v>Old SMCRA</c:v>
                </c:pt>
                <c:pt idx="6">
                  <c:v>Forest</c:v>
                </c:pt>
              </c:strCache>
            </c:strRef>
          </c:cat>
          <c:val>
            <c:numRef>
              <c:f>[1]Sheet3!$T$84:$T$90</c:f>
              <c:numCache>
                <c:formatCode>General</c:formatCode>
                <c:ptCount val="7"/>
                <c:pt idx="0">
                  <c:v>0.62122666244699998</c:v>
                </c:pt>
                <c:pt idx="1">
                  <c:v>1.04017247195253</c:v>
                </c:pt>
                <c:pt idx="2">
                  <c:v>2.44266615170875</c:v>
                </c:pt>
                <c:pt idx="3">
                  <c:v>0.76752836433134797</c:v>
                </c:pt>
                <c:pt idx="4">
                  <c:v>2.1583949170195869</c:v>
                </c:pt>
                <c:pt idx="5">
                  <c:v>1.6167967942452799</c:v>
                </c:pt>
                <c:pt idx="6">
                  <c:v>2.6553391746328741</c:v>
                </c:pt>
              </c:numCache>
            </c:numRef>
          </c:val>
        </c:ser>
        <c:dLbls>
          <c:showLegendKey val="0"/>
          <c:showVal val="0"/>
          <c:showCatName val="0"/>
          <c:showSerName val="0"/>
          <c:showPercent val="0"/>
          <c:showBubbleSize val="0"/>
        </c:dLbls>
        <c:gapWidth val="30"/>
        <c:axId val="99387648"/>
        <c:axId val="99393536"/>
      </c:barChart>
      <c:catAx>
        <c:axId val="99387648"/>
        <c:scaling>
          <c:orientation val="minMax"/>
        </c:scaling>
        <c:delete val="0"/>
        <c:axPos val="b"/>
        <c:majorTickMark val="out"/>
        <c:minorTickMark val="none"/>
        <c:tickLblPos val="nextTo"/>
        <c:crossAx val="99393536"/>
        <c:crosses val="autoZero"/>
        <c:auto val="1"/>
        <c:lblAlgn val="ctr"/>
        <c:lblOffset val="100"/>
        <c:noMultiLvlLbl val="0"/>
      </c:catAx>
      <c:valAx>
        <c:axId val="99393536"/>
        <c:scaling>
          <c:orientation val="minMax"/>
        </c:scaling>
        <c:delete val="0"/>
        <c:axPos val="l"/>
        <c:title>
          <c:tx>
            <c:rich>
              <a:bodyPr rot="-5400000" vert="horz"/>
              <a:lstStyle/>
              <a:p>
                <a:pPr>
                  <a:defRPr/>
                </a:pPr>
                <a:r>
                  <a:rPr lang="en-US"/>
                  <a:t>Shannon diversity</a:t>
                </a:r>
              </a:p>
            </c:rich>
          </c:tx>
          <c:layout/>
          <c:overlay val="0"/>
        </c:title>
        <c:numFmt formatCode="General" sourceLinked="1"/>
        <c:majorTickMark val="out"/>
        <c:minorTickMark val="none"/>
        <c:tickLblPos val="nextTo"/>
        <c:crossAx val="99387648"/>
        <c:crosses val="autoZero"/>
        <c:crossBetween val="between"/>
      </c:valAx>
    </c:plotArea>
    <c:plotVisOnly val="1"/>
    <c:dispBlanksAs val="gap"/>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TN FRA indicator species</a:t>
            </a:r>
          </a:p>
        </c:rich>
      </c:tx>
      <c:layout>
        <c:manualLayout>
          <c:xMode val="edge"/>
          <c:yMode val="edge"/>
          <c:x val="0.32021522309711287"/>
          <c:y val="6.0185185185185182E-2"/>
        </c:manualLayout>
      </c:layout>
      <c:overlay val="1"/>
    </c:title>
    <c:autoTitleDeleted val="0"/>
    <c:plotArea>
      <c:layout>
        <c:manualLayout>
          <c:layoutTarget val="inner"/>
          <c:xMode val="edge"/>
          <c:yMode val="edge"/>
          <c:x val="0.13922462817147857"/>
          <c:y val="4.8756888552514491E-2"/>
          <c:w val="0.83817847769028875"/>
          <c:h val="0.83824433188454994"/>
        </c:manualLayout>
      </c:layout>
      <c:barChart>
        <c:barDir val="col"/>
        <c:grouping val="clustered"/>
        <c:varyColors val="0"/>
        <c:ser>
          <c:idx val="0"/>
          <c:order val="0"/>
          <c:tx>
            <c:strRef>
              <c:f>SPSS!$GL$108</c:f>
              <c:strCache>
                <c:ptCount val="1"/>
                <c:pt idx="0">
                  <c:v>Acroboles</c:v>
                </c:pt>
              </c:strCache>
            </c:strRef>
          </c:tx>
          <c:invertIfNegative val="0"/>
          <c:cat>
            <c:strRef>
              <c:f>SPSS!$GK$109:$GK$112</c:f>
              <c:strCache>
                <c:ptCount val="4"/>
                <c:pt idx="0">
                  <c:v>Young</c:v>
                </c:pt>
                <c:pt idx="1">
                  <c:v>Medium</c:v>
                </c:pt>
                <c:pt idx="2">
                  <c:v>Old</c:v>
                </c:pt>
                <c:pt idx="3">
                  <c:v>Forest</c:v>
                </c:pt>
              </c:strCache>
            </c:strRef>
          </c:cat>
          <c:val>
            <c:numRef>
              <c:f>SPSS!$GL$109:$GL$112</c:f>
              <c:numCache>
                <c:formatCode>General</c:formatCode>
                <c:ptCount val="4"/>
                <c:pt idx="0">
                  <c:v>0</c:v>
                </c:pt>
                <c:pt idx="1">
                  <c:v>0.8</c:v>
                </c:pt>
                <c:pt idx="2">
                  <c:v>0</c:v>
                </c:pt>
                <c:pt idx="3">
                  <c:v>6</c:v>
                </c:pt>
              </c:numCache>
            </c:numRef>
          </c:val>
        </c:ser>
        <c:ser>
          <c:idx val="1"/>
          <c:order val="1"/>
          <c:tx>
            <c:strRef>
              <c:f>SPSS!$GM$108</c:f>
              <c:strCache>
                <c:ptCount val="1"/>
                <c:pt idx="0">
                  <c:v>Diptheropthera</c:v>
                </c:pt>
              </c:strCache>
            </c:strRef>
          </c:tx>
          <c:invertIfNegative val="0"/>
          <c:cat>
            <c:strRef>
              <c:f>SPSS!$GK$109:$GK$112</c:f>
              <c:strCache>
                <c:ptCount val="4"/>
                <c:pt idx="0">
                  <c:v>Young</c:v>
                </c:pt>
                <c:pt idx="1">
                  <c:v>Medium</c:v>
                </c:pt>
                <c:pt idx="2">
                  <c:v>Old</c:v>
                </c:pt>
                <c:pt idx="3">
                  <c:v>Forest</c:v>
                </c:pt>
              </c:strCache>
            </c:strRef>
          </c:cat>
          <c:val>
            <c:numRef>
              <c:f>SPSS!$GM$109:$GM$112</c:f>
              <c:numCache>
                <c:formatCode>General</c:formatCode>
                <c:ptCount val="4"/>
                <c:pt idx="0">
                  <c:v>0.2</c:v>
                </c:pt>
                <c:pt idx="1">
                  <c:v>0.2</c:v>
                </c:pt>
                <c:pt idx="2">
                  <c:v>0</c:v>
                </c:pt>
                <c:pt idx="3">
                  <c:v>2.4</c:v>
                </c:pt>
              </c:numCache>
            </c:numRef>
          </c:val>
        </c:ser>
        <c:ser>
          <c:idx val="2"/>
          <c:order val="2"/>
          <c:tx>
            <c:strRef>
              <c:f>SPSS!$GN$108</c:f>
              <c:strCache>
                <c:ptCount val="1"/>
                <c:pt idx="0">
                  <c:v>Mylonchulus</c:v>
                </c:pt>
              </c:strCache>
            </c:strRef>
          </c:tx>
          <c:invertIfNegative val="0"/>
          <c:cat>
            <c:strRef>
              <c:f>SPSS!$GK$109:$GK$112</c:f>
              <c:strCache>
                <c:ptCount val="4"/>
                <c:pt idx="0">
                  <c:v>Young</c:v>
                </c:pt>
                <c:pt idx="1">
                  <c:v>Medium</c:v>
                </c:pt>
                <c:pt idx="2">
                  <c:v>Old</c:v>
                </c:pt>
                <c:pt idx="3">
                  <c:v>Forest</c:v>
                </c:pt>
              </c:strCache>
            </c:strRef>
          </c:cat>
          <c:val>
            <c:numRef>
              <c:f>SPSS!$GN$109:$GN$112</c:f>
              <c:numCache>
                <c:formatCode>General</c:formatCode>
                <c:ptCount val="4"/>
                <c:pt idx="0">
                  <c:v>0</c:v>
                </c:pt>
                <c:pt idx="1">
                  <c:v>0.6</c:v>
                </c:pt>
                <c:pt idx="2">
                  <c:v>0</c:v>
                </c:pt>
                <c:pt idx="3">
                  <c:v>1.2</c:v>
                </c:pt>
              </c:numCache>
            </c:numRef>
          </c:val>
        </c:ser>
        <c:ser>
          <c:idx val="3"/>
          <c:order val="3"/>
          <c:tx>
            <c:strRef>
              <c:f>SPSS!$GO$108</c:f>
              <c:strCache>
                <c:ptCount val="1"/>
                <c:pt idx="0">
                  <c:v>Ogma</c:v>
                </c:pt>
              </c:strCache>
            </c:strRef>
          </c:tx>
          <c:invertIfNegative val="0"/>
          <c:cat>
            <c:strRef>
              <c:f>SPSS!$GK$109:$GK$112</c:f>
              <c:strCache>
                <c:ptCount val="4"/>
                <c:pt idx="0">
                  <c:v>Young</c:v>
                </c:pt>
                <c:pt idx="1">
                  <c:v>Medium</c:v>
                </c:pt>
                <c:pt idx="2">
                  <c:v>Old</c:v>
                </c:pt>
                <c:pt idx="3">
                  <c:v>Forest</c:v>
                </c:pt>
              </c:strCache>
            </c:strRef>
          </c:cat>
          <c:val>
            <c:numRef>
              <c:f>SPSS!$GO$109:$GO$112</c:f>
              <c:numCache>
                <c:formatCode>General</c:formatCode>
                <c:ptCount val="4"/>
                <c:pt idx="0">
                  <c:v>0</c:v>
                </c:pt>
                <c:pt idx="1">
                  <c:v>0</c:v>
                </c:pt>
                <c:pt idx="2">
                  <c:v>0</c:v>
                </c:pt>
                <c:pt idx="3">
                  <c:v>0.4</c:v>
                </c:pt>
              </c:numCache>
            </c:numRef>
          </c:val>
        </c:ser>
        <c:ser>
          <c:idx val="4"/>
          <c:order val="4"/>
          <c:tx>
            <c:strRef>
              <c:f>SPSS!$GP$108</c:f>
              <c:strCache>
                <c:ptCount val="1"/>
                <c:pt idx="0">
                  <c:v>Prismatolaimus</c:v>
                </c:pt>
              </c:strCache>
            </c:strRef>
          </c:tx>
          <c:invertIfNegative val="0"/>
          <c:cat>
            <c:strRef>
              <c:f>SPSS!$GK$109:$GK$112</c:f>
              <c:strCache>
                <c:ptCount val="4"/>
                <c:pt idx="0">
                  <c:v>Young</c:v>
                </c:pt>
                <c:pt idx="1">
                  <c:v>Medium</c:v>
                </c:pt>
                <c:pt idx="2">
                  <c:v>Old</c:v>
                </c:pt>
                <c:pt idx="3">
                  <c:v>Forest</c:v>
                </c:pt>
              </c:strCache>
            </c:strRef>
          </c:cat>
          <c:val>
            <c:numRef>
              <c:f>SPSS!$GP$109:$GP$112</c:f>
              <c:numCache>
                <c:formatCode>General</c:formatCode>
                <c:ptCount val="4"/>
                <c:pt idx="0">
                  <c:v>0.6</c:v>
                </c:pt>
                <c:pt idx="1">
                  <c:v>0</c:v>
                </c:pt>
                <c:pt idx="2">
                  <c:v>0.8</c:v>
                </c:pt>
                <c:pt idx="3">
                  <c:v>8.8000000000000007</c:v>
                </c:pt>
              </c:numCache>
            </c:numRef>
          </c:val>
        </c:ser>
        <c:ser>
          <c:idx val="5"/>
          <c:order val="5"/>
          <c:tx>
            <c:strRef>
              <c:f>SPSS!$GQ$108</c:f>
              <c:strCache>
                <c:ptCount val="1"/>
                <c:pt idx="0">
                  <c:v>Teratocephalus</c:v>
                </c:pt>
              </c:strCache>
            </c:strRef>
          </c:tx>
          <c:invertIfNegative val="0"/>
          <c:cat>
            <c:strRef>
              <c:f>SPSS!$GK$109:$GK$112</c:f>
              <c:strCache>
                <c:ptCount val="4"/>
                <c:pt idx="0">
                  <c:v>Young</c:v>
                </c:pt>
                <c:pt idx="1">
                  <c:v>Medium</c:v>
                </c:pt>
                <c:pt idx="2">
                  <c:v>Old</c:v>
                </c:pt>
                <c:pt idx="3">
                  <c:v>Forest</c:v>
                </c:pt>
              </c:strCache>
            </c:strRef>
          </c:cat>
          <c:val>
            <c:numRef>
              <c:f>SPSS!$GQ$109:$GQ$112</c:f>
              <c:numCache>
                <c:formatCode>General</c:formatCode>
                <c:ptCount val="4"/>
                <c:pt idx="0">
                  <c:v>0</c:v>
                </c:pt>
                <c:pt idx="1">
                  <c:v>0.6</c:v>
                </c:pt>
                <c:pt idx="2">
                  <c:v>0.2</c:v>
                </c:pt>
                <c:pt idx="3">
                  <c:v>3.2</c:v>
                </c:pt>
              </c:numCache>
            </c:numRef>
          </c:val>
        </c:ser>
        <c:ser>
          <c:idx val="6"/>
          <c:order val="6"/>
          <c:tx>
            <c:strRef>
              <c:f>SPSS!$GR$108</c:f>
              <c:strCache>
                <c:ptCount val="1"/>
                <c:pt idx="0">
                  <c:v>Xiphnema</c:v>
                </c:pt>
              </c:strCache>
            </c:strRef>
          </c:tx>
          <c:invertIfNegative val="0"/>
          <c:cat>
            <c:strRef>
              <c:f>SPSS!$GK$109:$GK$112</c:f>
              <c:strCache>
                <c:ptCount val="4"/>
                <c:pt idx="0">
                  <c:v>Young</c:v>
                </c:pt>
                <c:pt idx="1">
                  <c:v>Medium</c:v>
                </c:pt>
                <c:pt idx="2">
                  <c:v>Old</c:v>
                </c:pt>
                <c:pt idx="3">
                  <c:v>Forest</c:v>
                </c:pt>
              </c:strCache>
            </c:strRef>
          </c:cat>
          <c:val>
            <c:numRef>
              <c:f>SPSS!$GR$109:$GR$112</c:f>
              <c:numCache>
                <c:formatCode>General</c:formatCode>
                <c:ptCount val="4"/>
                <c:pt idx="0">
                  <c:v>0</c:v>
                </c:pt>
                <c:pt idx="1">
                  <c:v>0</c:v>
                </c:pt>
                <c:pt idx="2">
                  <c:v>0</c:v>
                </c:pt>
                <c:pt idx="3">
                  <c:v>0</c:v>
                </c:pt>
              </c:numCache>
            </c:numRef>
          </c:val>
        </c:ser>
        <c:dLbls>
          <c:showLegendKey val="0"/>
          <c:showVal val="0"/>
          <c:showCatName val="0"/>
          <c:showSerName val="0"/>
          <c:showPercent val="0"/>
          <c:showBubbleSize val="0"/>
        </c:dLbls>
        <c:gapWidth val="150"/>
        <c:axId val="99712000"/>
        <c:axId val="99726080"/>
      </c:barChart>
      <c:catAx>
        <c:axId val="99712000"/>
        <c:scaling>
          <c:orientation val="minMax"/>
        </c:scaling>
        <c:delete val="0"/>
        <c:axPos val="b"/>
        <c:majorTickMark val="out"/>
        <c:minorTickMark val="none"/>
        <c:tickLblPos val="nextTo"/>
        <c:crossAx val="99726080"/>
        <c:crosses val="autoZero"/>
        <c:auto val="1"/>
        <c:lblAlgn val="ctr"/>
        <c:lblOffset val="100"/>
        <c:noMultiLvlLbl val="0"/>
      </c:catAx>
      <c:valAx>
        <c:axId val="99726080"/>
        <c:scaling>
          <c:orientation val="minMax"/>
          <c:max val="12"/>
        </c:scaling>
        <c:delete val="0"/>
        <c:axPos val="l"/>
        <c:majorGridlines/>
        <c:title>
          <c:tx>
            <c:rich>
              <a:bodyPr rot="-5400000" vert="horz"/>
              <a:lstStyle/>
              <a:p>
                <a:pPr>
                  <a:defRPr b="0"/>
                </a:pPr>
                <a:r>
                  <a:rPr lang="en-US" b="0"/>
                  <a:t>Average abundance per sample</a:t>
                </a:r>
              </a:p>
            </c:rich>
          </c:tx>
          <c:layout/>
          <c:overlay val="0"/>
        </c:title>
        <c:numFmt formatCode="General" sourceLinked="1"/>
        <c:majorTickMark val="out"/>
        <c:minorTickMark val="none"/>
        <c:tickLblPos val="nextTo"/>
        <c:crossAx val="99712000"/>
        <c:crosses val="autoZero"/>
        <c:crossBetween val="between"/>
      </c:valAx>
    </c:plotArea>
    <c:legend>
      <c:legendPos val="r"/>
      <c:layout>
        <c:manualLayout>
          <c:xMode val="edge"/>
          <c:yMode val="edge"/>
          <c:x val="0.17266364570561143"/>
          <c:y val="0.18651977388581015"/>
          <c:w val="0.47103428314120904"/>
          <c:h val="0.58602034120734903"/>
        </c:manualLayout>
      </c:layout>
      <c:overlay val="0"/>
      <c:txPr>
        <a:bodyPr/>
        <a:lstStyle/>
        <a:p>
          <a:pPr>
            <a:defRPr sz="1050"/>
          </a:pPr>
          <a:endParaRPr lang="en-US"/>
        </a:p>
      </c:txPr>
    </c:legend>
    <c:plotVisOnly val="1"/>
    <c:dispBlanksAs val="gap"/>
    <c:showDLblsOverMax val="0"/>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TN SMCRA indicator species</a:t>
            </a:r>
          </a:p>
        </c:rich>
      </c:tx>
      <c:layout>
        <c:manualLayout>
          <c:xMode val="edge"/>
          <c:yMode val="edge"/>
          <c:x val="0.23778537762743443"/>
          <c:y val="9.2752062468458532E-2"/>
        </c:manualLayout>
      </c:layout>
      <c:overlay val="1"/>
    </c:title>
    <c:autoTitleDeleted val="0"/>
    <c:plotArea>
      <c:layout>
        <c:manualLayout>
          <c:layoutTarget val="inner"/>
          <c:xMode val="edge"/>
          <c:yMode val="edge"/>
          <c:x val="0.1133883099429529"/>
          <c:y val="9.5030015857832731E-2"/>
          <c:w val="0.83848390234020942"/>
          <c:h val="0.76882193828748069"/>
        </c:manualLayout>
      </c:layout>
      <c:barChart>
        <c:barDir val="col"/>
        <c:grouping val="clustered"/>
        <c:varyColors val="0"/>
        <c:ser>
          <c:idx val="0"/>
          <c:order val="0"/>
          <c:tx>
            <c:strRef>
              <c:f>SPSS!$GL$114</c:f>
              <c:strCache>
                <c:ptCount val="1"/>
                <c:pt idx="0">
                  <c:v>Acroboles</c:v>
                </c:pt>
              </c:strCache>
            </c:strRef>
          </c:tx>
          <c:invertIfNegative val="0"/>
          <c:cat>
            <c:strRef>
              <c:f>SPSS!$GK$115:$GK$118</c:f>
              <c:strCache>
                <c:ptCount val="4"/>
                <c:pt idx="0">
                  <c:v>Young</c:v>
                </c:pt>
                <c:pt idx="1">
                  <c:v>Medium</c:v>
                </c:pt>
                <c:pt idx="2">
                  <c:v>Old</c:v>
                </c:pt>
                <c:pt idx="3">
                  <c:v>Forest</c:v>
                </c:pt>
              </c:strCache>
            </c:strRef>
          </c:cat>
          <c:val>
            <c:numRef>
              <c:f>SPSS!$GL$115:$GL$118</c:f>
              <c:numCache>
                <c:formatCode>General</c:formatCode>
                <c:ptCount val="4"/>
                <c:pt idx="0">
                  <c:v>0</c:v>
                </c:pt>
                <c:pt idx="1">
                  <c:v>0.2</c:v>
                </c:pt>
                <c:pt idx="2">
                  <c:v>0</c:v>
                </c:pt>
                <c:pt idx="3">
                  <c:v>6</c:v>
                </c:pt>
              </c:numCache>
            </c:numRef>
          </c:val>
        </c:ser>
        <c:ser>
          <c:idx val="1"/>
          <c:order val="1"/>
          <c:tx>
            <c:strRef>
              <c:f>SPSS!$GM$114</c:f>
              <c:strCache>
                <c:ptCount val="1"/>
                <c:pt idx="0">
                  <c:v>Diptheropthera</c:v>
                </c:pt>
              </c:strCache>
            </c:strRef>
          </c:tx>
          <c:invertIfNegative val="0"/>
          <c:cat>
            <c:strRef>
              <c:f>SPSS!$GK$115:$GK$118</c:f>
              <c:strCache>
                <c:ptCount val="4"/>
                <c:pt idx="0">
                  <c:v>Young</c:v>
                </c:pt>
                <c:pt idx="1">
                  <c:v>Medium</c:v>
                </c:pt>
                <c:pt idx="2">
                  <c:v>Old</c:v>
                </c:pt>
                <c:pt idx="3">
                  <c:v>Forest</c:v>
                </c:pt>
              </c:strCache>
            </c:strRef>
          </c:cat>
          <c:val>
            <c:numRef>
              <c:f>SPSS!$GM$115:$GM$118</c:f>
              <c:numCache>
                <c:formatCode>General</c:formatCode>
                <c:ptCount val="4"/>
                <c:pt idx="0">
                  <c:v>0</c:v>
                </c:pt>
                <c:pt idx="1">
                  <c:v>0.2</c:v>
                </c:pt>
                <c:pt idx="2">
                  <c:v>0</c:v>
                </c:pt>
                <c:pt idx="3">
                  <c:v>2.4</c:v>
                </c:pt>
              </c:numCache>
            </c:numRef>
          </c:val>
        </c:ser>
        <c:ser>
          <c:idx val="2"/>
          <c:order val="2"/>
          <c:tx>
            <c:strRef>
              <c:f>SPSS!$GN$114</c:f>
              <c:strCache>
                <c:ptCount val="1"/>
                <c:pt idx="0">
                  <c:v>Mylonchulus</c:v>
                </c:pt>
              </c:strCache>
            </c:strRef>
          </c:tx>
          <c:invertIfNegative val="0"/>
          <c:cat>
            <c:strRef>
              <c:f>SPSS!$GK$115:$GK$118</c:f>
              <c:strCache>
                <c:ptCount val="4"/>
                <c:pt idx="0">
                  <c:v>Young</c:v>
                </c:pt>
                <c:pt idx="1">
                  <c:v>Medium</c:v>
                </c:pt>
                <c:pt idx="2">
                  <c:v>Old</c:v>
                </c:pt>
                <c:pt idx="3">
                  <c:v>Forest</c:v>
                </c:pt>
              </c:strCache>
            </c:strRef>
          </c:cat>
          <c:val>
            <c:numRef>
              <c:f>SPSS!$GN$115:$GN$118</c:f>
              <c:numCache>
                <c:formatCode>General</c:formatCode>
                <c:ptCount val="4"/>
                <c:pt idx="0">
                  <c:v>0</c:v>
                </c:pt>
                <c:pt idx="1">
                  <c:v>0</c:v>
                </c:pt>
                <c:pt idx="2">
                  <c:v>0</c:v>
                </c:pt>
                <c:pt idx="3">
                  <c:v>1.2</c:v>
                </c:pt>
              </c:numCache>
            </c:numRef>
          </c:val>
        </c:ser>
        <c:ser>
          <c:idx val="3"/>
          <c:order val="3"/>
          <c:tx>
            <c:strRef>
              <c:f>SPSS!$GO$114</c:f>
              <c:strCache>
                <c:ptCount val="1"/>
                <c:pt idx="0">
                  <c:v>Ogma</c:v>
                </c:pt>
              </c:strCache>
            </c:strRef>
          </c:tx>
          <c:invertIfNegative val="0"/>
          <c:cat>
            <c:strRef>
              <c:f>SPSS!$GK$115:$GK$118</c:f>
              <c:strCache>
                <c:ptCount val="4"/>
                <c:pt idx="0">
                  <c:v>Young</c:v>
                </c:pt>
                <c:pt idx="1">
                  <c:v>Medium</c:v>
                </c:pt>
                <c:pt idx="2">
                  <c:v>Old</c:v>
                </c:pt>
                <c:pt idx="3">
                  <c:v>Forest</c:v>
                </c:pt>
              </c:strCache>
            </c:strRef>
          </c:cat>
          <c:val>
            <c:numRef>
              <c:f>SPSS!$GO$115:$GO$118</c:f>
              <c:numCache>
                <c:formatCode>General</c:formatCode>
                <c:ptCount val="4"/>
                <c:pt idx="0">
                  <c:v>0</c:v>
                </c:pt>
                <c:pt idx="1">
                  <c:v>0</c:v>
                </c:pt>
                <c:pt idx="2">
                  <c:v>0</c:v>
                </c:pt>
                <c:pt idx="3">
                  <c:v>0.4</c:v>
                </c:pt>
              </c:numCache>
            </c:numRef>
          </c:val>
        </c:ser>
        <c:ser>
          <c:idx val="4"/>
          <c:order val="4"/>
          <c:tx>
            <c:strRef>
              <c:f>SPSS!$GP$114</c:f>
              <c:strCache>
                <c:ptCount val="1"/>
                <c:pt idx="0">
                  <c:v>Prismatolaimus</c:v>
                </c:pt>
              </c:strCache>
            </c:strRef>
          </c:tx>
          <c:invertIfNegative val="0"/>
          <c:cat>
            <c:strRef>
              <c:f>SPSS!$GK$115:$GK$118</c:f>
              <c:strCache>
                <c:ptCount val="4"/>
                <c:pt idx="0">
                  <c:v>Young</c:v>
                </c:pt>
                <c:pt idx="1">
                  <c:v>Medium</c:v>
                </c:pt>
                <c:pt idx="2">
                  <c:v>Old</c:v>
                </c:pt>
                <c:pt idx="3">
                  <c:v>Forest</c:v>
                </c:pt>
              </c:strCache>
            </c:strRef>
          </c:cat>
          <c:val>
            <c:numRef>
              <c:f>SPSS!$GP$115:$GP$118</c:f>
              <c:numCache>
                <c:formatCode>General</c:formatCode>
                <c:ptCount val="4"/>
                <c:pt idx="0">
                  <c:v>0</c:v>
                </c:pt>
                <c:pt idx="1">
                  <c:v>0.4</c:v>
                </c:pt>
                <c:pt idx="2">
                  <c:v>0.2</c:v>
                </c:pt>
                <c:pt idx="3">
                  <c:v>8.8000000000000007</c:v>
                </c:pt>
              </c:numCache>
            </c:numRef>
          </c:val>
        </c:ser>
        <c:ser>
          <c:idx val="5"/>
          <c:order val="5"/>
          <c:tx>
            <c:strRef>
              <c:f>SPSS!$GQ$114</c:f>
              <c:strCache>
                <c:ptCount val="1"/>
                <c:pt idx="0">
                  <c:v>Teratocephalus</c:v>
                </c:pt>
              </c:strCache>
            </c:strRef>
          </c:tx>
          <c:invertIfNegative val="0"/>
          <c:cat>
            <c:strRef>
              <c:f>SPSS!$GK$115:$GK$118</c:f>
              <c:strCache>
                <c:ptCount val="4"/>
                <c:pt idx="0">
                  <c:v>Young</c:v>
                </c:pt>
                <c:pt idx="1">
                  <c:v>Medium</c:v>
                </c:pt>
                <c:pt idx="2">
                  <c:v>Old</c:v>
                </c:pt>
                <c:pt idx="3">
                  <c:v>Forest</c:v>
                </c:pt>
              </c:strCache>
            </c:strRef>
          </c:cat>
          <c:val>
            <c:numRef>
              <c:f>SPSS!$GQ$115:$GQ$118</c:f>
              <c:numCache>
                <c:formatCode>General</c:formatCode>
                <c:ptCount val="4"/>
                <c:pt idx="0">
                  <c:v>0.2</c:v>
                </c:pt>
                <c:pt idx="1">
                  <c:v>0</c:v>
                </c:pt>
                <c:pt idx="2">
                  <c:v>0</c:v>
                </c:pt>
                <c:pt idx="3">
                  <c:v>3.2</c:v>
                </c:pt>
              </c:numCache>
            </c:numRef>
          </c:val>
        </c:ser>
        <c:ser>
          <c:idx val="6"/>
          <c:order val="6"/>
          <c:tx>
            <c:strRef>
              <c:f>SPSS!$GR$114</c:f>
              <c:strCache>
                <c:ptCount val="1"/>
                <c:pt idx="0">
                  <c:v>Xiphnema</c:v>
                </c:pt>
              </c:strCache>
            </c:strRef>
          </c:tx>
          <c:invertIfNegative val="0"/>
          <c:cat>
            <c:strRef>
              <c:f>SPSS!$GK$115:$GK$118</c:f>
              <c:strCache>
                <c:ptCount val="4"/>
                <c:pt idx="0">
                  <c:v>Young</c:v>
                </c:pt>
                <c:pt idx="1">
                  <c:v>Medium</c:v>
                </c:pt>
                <c:pt idx="2">
                  <c:v>Old</c:v>
                </c:pt>
                <c:pt idx="3">
                  <c:v>Forest</c:v>
                </c:pt>
              </c:strCache>
            </c:strRef>
          </c:cat>
          <c:val>
            <c:numRef>
              <c:f>SPSS!$GR$115:$GR$118</c:f>
              <c:numCache>
                <c:formatCode>General</c:formatCode>
                <c:ptCount val="4"/>
                <c:pt idx="0">
                  <c:v>0</c:v>
                </c:pt>
                <c:pt idx="1">
                  <c:v>0.4</c:v>
                </c:pt>
                <c:pt idx="2">
                  <c:v>0</c:v>
                </c:pt>
                <c:pt idx="3">
                  <c:v>0</c:v>
                </c:pt>
              </c:numCache>
            </c:numRef>
          </c:val>
        </c:ser>
        <c:dLbls>
          <c:showLegendKey val="0"/>
          <c:showVal val="0"/>
          <c:showCatName val="0"/>
          <c:showSerName val="0"/>
          <c:showPercent val="0"/>
          <c:showBubbleSize val="0"/>
        </c:dLbls>
        <c:gapWidth val="150"/>
        <c:axId val="99767808"/>
        <c:axId val="99769344"/>
      </c:barChart>
      <c:catAx>
        <c:axId val="99767808"/>
        <c:scaling>
          <c:orientation val="minMax"/>
        </c:scaling>
        <c:delete val="0"/>
        <c:axPos val="b"/>
        <c:majorTickMark val="out"/>
        <c:minorTickMark val="none"/>
        <c:tickLblPos val="nextTo"/>
        <c:crossAx val="99769344"/>
        <c:crosses val="autoZero"/>
        <c:auto val="1"/>
        <c:lblAlgn val="ctr"/>
        <c:lblOffset val="100"/>
        <c:noMultiLvlLbl val="0"/>
      </c:catAx>
      <c:valAx>
        <c:axId val="99769344"/>
        <c:scaling>
          <c:orientation val="minMax"/>
          <c:max val="12"/>
        </c:scaling>
        <c:delete val="0"/>
        <c:axPos val="l"/>
        <c:majorGridlines/>
        <c:numFmt formatCode="General" sourceLinked="1"/>
        <c:majorTickMark val="out"/>
        <c:minorTickMark val="none"/>
        <c:tickLblPos val="nextTo"/>
        <c:crossAx val="99767808"/>
        <c:crosses val="autoZero"/>
        <c:crossBetween val="between"/>
      </c:valAx>
    </c:plotArea>
    <c:plotVisOnly val="1"/>
    <c:dispBlanksAs val="gap"/>
    <c:showDLblsOverMax val="0"/>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KY FRA indicator species</a:t>
            </a:r>
          </a:p>
        </c:rich>
      </c:tx>
      <c:layout>
        <c:manualLayout>
          <c:xMode val="edge"/>
          <c:yMode val="edge"/>
          <c:x val="0.30698442454040042"/>
          <c:y val="6.1209584697930461E-2"/>
        </c:manualLayout>
      </c:layout>
      <c:overlay val="1"/>
    </c:title>
    <c:autoTitleDeleted val="0"/>
    <c:plotArea>
      <c:layout>
        <c:manualLayout>
          <c:layoutTarget val="inner"/>
          <c:xMode val="edge"/>
          <c:yMode val="edge"/>
          <c:x val="0.153527403402035"/>
          <c:y val="6.1395121203571143E-2"/>
          <c:w val="0.81243777172800657"/>
          <c:h val="0.82769972475785658"/>
        </c:manualLayout>
      </c:layout>
      <c:barChart>
        <c:barDir val="col"/>
        <c:grouping val="clustered"/>
        <c:varyColors val="0"/>
        <c:ser>
          <c:idx val="0"/>
          <c:order val="0"/>
          <c:tx>
            <c:strRef>
              <c:f>SPSS!$GL$186</c:f>
              <c:strCache>
                <c:ptCount val="1"/>
                <c:pt idx="0">
                  <c:v>Acroboles</c:v>
                </c:pt>
              </c:strCache>
            </c:strRef>
          </c:tx>
          <c:invertIfNegative val="0"/>
          <c:cat>
            <c:strRef>
              <c:f>SPSS!$GK$187:$GK$190</c:f>
              <c:strCache>
                <c:ptCount val="4"/>
                <c:pt idx="0">
                  <c:v>Young</c:v>
                </c:pt>
                <c:pt idx="1">
                  <c:v>Medium</c:v>
                </c:pt>
                <c:pt idx="2">
                  <c:v>Old</c:v>
                </c:pt>
                <c:pt idx="3">
                  <c:v>Forest</c:v>
                </c:pt>
              </c:strCache>
            </c:strRef>
          </c:cat>
          <c:val>
            <c:numRef>
              <c:f>SPSS!$GL$187:$GL$190</c:f>
              <c:numCache>
                <c:formatCode>General</c:formatCode>
                <c:ptCount val="4"/>
                <c:pt idx="0">
                  <c:v>0</c:v>
                </c:pt>
                <c:pt idx="1">
                  <c:v>0</c:v>
                </c:pt>
                <c:pt idx="2">
                  <c:v>0</c:v>
                </c:pt>
                <c:pt idx="3">
                  <c:v>2.4</c:v>
                </c:pt>
              </c:numCache>
            </c:numRef>
          </c:val>
        </c:ser>
        <c:ser>
          <c:idx val="1"/>
          <c:order val="1"/>
          <c:tx>
            <c:strRef>
              <c:f>SPSS!$GM$186</c:f>
              <c:strCache>
                <c:ptCount val="1"/>
                <c:pt idx="0">
                  <c:v>Diptheropthera</c:v>
                </c:pt>
              </c:strCache>
            </c:strRef>
          </c:tx>
          <c:invertIfNegative val="0"/>
          <c:cat>
            <c:strRef>
              <c:f>SPSS!$GK$187:$GK$190</c:f>
              <c:strCache>
                <c:ptCount val="4"/>
                <c:pt idx="0">
                  <c:v>Young</c:v>
                </c:pt>
                <c:pt idx="1">
                  <c:v>Medium</c:v>
                </c:pt>
                <c:pt idx="2">
                  <c:v>Old</c:v>
                </c:pt>
                <c:pt idx="3">
                  <c:v>Forest</c:v>
                </c:pt>
              </c:strCache>
            </c:strRef>
          </c:cat>
          <c:val>
            <c:numRef>
              <c:f>SPSS!$GM$187:$GM$190</c:f>
              <c:numCache>
                <c:formatCode>General</c:formatCode>
                <c:ptCount val="4"/>
                <c:pt idx="0">
                  <c:v>0</c:v>
                </c:pt>
                <c:pt idx="1">
                  <c:v>0</c:v>
                </c:pt>
                <c:pt idx="2">
                  <c:v>0</c:v>
                </c:pt>
                <c:pt idx="3">
                  <c:v>1.4</c:v>
                </c:pt>
              </c:numCache>
            </c:numRef>
          </c:val>
        </c:ser>
        <c:ser>
          <c:idx val="2"/>
          <c:order val="2"/>
          <c:tx>
            <c:strRef>
              <c:f>SPSS!$GN$186</c:f>
              <c:strCache>
                <c:ptCount val="1"/>
                <c:pt idx="0">
                  <c:v>Mylonchulus</c:v>
                </c:pt>
              </c:strCache>
            </c:strRef>
          </c:tx>
          <c:invertIfNegative val="0"/>
          <c:cat>
            <c:strRef>
              <c:f>SPSS!$GK$187:$GK$190</c:f>
              <c:strCache>
                <c:ptCount val="4"/>
                <c:pt idx="0">
                  <c:v>Young</c:v>
                </c:pt>
                <c:pt idx="1">
                  <c:v>Medium</c:v>
                </c:pt>
                <c:pt idx="2">
                  <c:v>Old</c:v>
                </c:pt>
                <c:pt idx="3">
                  <c:v>Forest</c:v>
                </c:pt>
              </c:strCache>
            </c:strRef>
          </c:cat>
          <c:val>
            <c:numRef>
              <c:f>SPSS!$GN$187:$GN$190</c:f>
              <c:numCache>
                <c:formatCode>General</c:formatCode>
                <c:ptCount val="4"/>
                <c:pt idx="0">
                  <c:v>0</c:v>
                </c:pt>
                <c:pt idx="1">
                  <c:v>0</c:v>
                </c:pt>
                <c:pt idx="2">
                  <c:v>2</c:v>
                </c:pt>
                <c:pt idx="3">
                  <c:v>0.2</c:v>
                </c:pt>
              </c:numCache>
            </c:numRef>
          </c:val>
        </c:ser>
        <c:ser>
          <c:idx val="3"/>
          <c:order val="3"/>
          <c:tx>
            <c:strRef>
              <c:f>SPSS!$GO$186</c:f>
              <c:strCache>
                <c:ptCount val="1"/>
                <c:pt idx="0">
                  <c:v>Ogma</c:v>
                </c:pt>
              </c:strCache>
            </c:strRef>
          </c:tx>
          <c:invertIfNegative val="0"/>
          <c:cat>
            <c:strRef>
              <c:f>SPSS!$GK$187:$GK$190</c:f>
              <c:strCache>
                <c:ptCount val="4"/>
                <c:pt idx="0">
                  <c:v>Young</c:v>
                </c:pt>
                <c:pt idx="1">
                  <c:v>Medium</c:v>
                </c:pt>
                <c:pt idx="2">
                  <c:v>Old</c:v>
                </c:pt>
                <c:pt idx="3">
                  <c:v>Forest</c:v>
                </c:pt>
              </c:strCache>
            </c:strRef>
          </c:cat>
          <c:val>
            <c:numRef>
              <c:f>SPSS!$GO$187:$GO$190</c:f>
              <c:numCache>
                <c:formatCode>General</c:formatCode>
                <c:ptCount val="4"/>
                <c:pt idx="0">
                  <c:v>0</c:v>
                </c:pt>
                <c:pt idx="1">
                  <c:v>0</c:v>
                </c:pt>
                <c:pt idx="2">
                  <c:v>0</c:v>
                </c:pt>
                <c:pt idx="3">
                  <c:v>2.4</c:v>
                </c:pt>
              </c:numCache>
            </c:numRef>
          </c:val>
        </c:ser>
        <c:ser>
          <c:idx val="4"/>
          <c:order val="4"/>
          <c:tx>
            <c:strRef>
              <c:f>SPSS!$GP$186</c:f>
              <c:strCache>
                <c:ptCount val="1"/>
                <c:pt idx="0">
                  <c:v>Prismatolaimus</c:v>
                </c:pt>
              </c:strCache>
            </c:strRef>
          </c:tx>
          <c:invertIfNegative val="0"/>
          <c:cat>
            <c:strRef>
              <c:f>SPSS!$GK$187:$GK$190</c:f>
              <c:strCache>
                <c:ptCount val="4"/>
                <c:pt idx="0">
                  <c:v>Young</c:v>
                </c:pt>
                <c:pt idx="1">
                  <c:v>Medium</c:v>
                </c:pt>
                <c:pt idx="2">
                  <c:v>Old</c:v>
                </c:pt>
                <c:pt idx="3">
                  <c:v>Forest</c:v>
                </c:pt>
              </c:strCache>
            </c:strRef>
          </c:cat>
          <c:val>
            <c:numRef>
              <c:f>SPSS!$GP$187:$GP$190</c:f>
              <c:numCache>
                <c:formatCode>General</c:formatCode>
                <c:ptCount val="4"/>
                <c:pt idx="0">
                  <c:v>0</c:v>
                </c:pt>
                <c:pt idx="1">
                  <c:v>0</c:v>
                </c:pt>
                <c:pt idx="2">
                  <c:v>9.8000000000000007</c:v>
                </c:pt>
                <c:pt idx="3">
                  <c:v>7</c:v>
                </c:pt>
              </c:numCache>
            </c:numRef>
          </c:val>
        </c:ser>
        <c:ser>
          <c:idx val="5"/>
          <c:order val="5"/>
          <c:tx>
            <c:strRef>
              <c:f>SPSS!$GQ$186</c:f>
              <c:strCache>
                <c:ptCount val="1"/>
                <c:pt idx="0">
                  <c:v>Teratocephalus</c:v>
                </c:pt>
              </c:strCache>
            </c:strRef>
          </c:tx>
          <c:invertIfNegative val="0"/>
          <c:cat>
            <c:strRef>
              <c:f>SPSS!$GK$187:$GK$190</c:f>
              <c:strCache>
                <c:ptCount val="4"/>
                <c:pt idx="0">
                  <c:v>Young</c:v>
                </c:pt>
                <c:pt idx="1">
                  <c:v>Medium</c:v>
                </c:pt>
                <c:pt idx="2">
                  <c:v>Old</c:v>
                </c:pt>
                <c:pt idx="3">
                  <c:v>Forest</c:v>
                </c:pt>
              </c:strCache>
            </c:strRef>
          </c:cat>
          <c:val>
            <c:numRef>
              <c:f>SPSS!$GQ$187:$GQ$190</c:f>
              <c:numCache>
                <c:formatCode>General</c:formatCode>
                <c:ptCount val="4"/>
                <c:pt idx="0">
                  <c:v>0</c:v>
                </c:pt>
                <c:pt idx="1">
                  <c:v>0</c:v>
                </c:pt>
                <c:pt idx="2">
                  <c:v>9.6</c:v>
                </c:pt>
                <c:pt idx="3">
                  <c:v>0.4</c:v>
                </c:pt>
              </c:numCache>
            </c:numRef>
          </c:val>
        </c:ser>
        <c:ser>
          <c:idx val="6"/>
          <c:order val="6"/>
          <c:tx>
            <c:strRef>
              <c:f>SPSS!$GR$186</c:f>
              <c:strCache>
                <c:ptCount val="1"/>
                <c:pt idx="0">
                  <c:v>Xiphnema</c:v>
                </c:pt>
              </c:strCache>
            </c:strRef>
          </c:tx>
          <c:invertIfNegative val="0"/>
          <c:cat>
            <c:strRef>
              <c:f>SPSS!$GK$187:$GK$190</c:f>
              <c:strCache>
                <c:ptCount val="4"/>
                <c:pt idx="0">
                  <c:v>Young</c:v>
                </c:pt>
                <c:pt idx="1">
                  <c:v>Medium</c:v>
                </c:pt>
                <c:pt idx="2">
                  <c:v>Old</c:v>
                </c:pt>
                <c:pt idx="3">
                  <c:v>Forest</c:v>
                </c:pt>
              </c:strCache>
            </c:strRef>
          </c:cat>
          <c:val>
            <c:numRef>
              <c:f>SPSS!$GR$187:$GR$190</c:f>
              <c:numCache>
                <c:formatCode>General</c:formatCode>
                <c:ptCount val="4"/>
                <c:pt idx="0">
                  <c:v>0</c:v>
                </c:pt>
                <c:pt idx="1">
                  <c:v>0</c:v>
                </c:pt>
                <c:pt idx="2">
                  <c:v>0</c:v>
                </c:pt>
                <c:pt idx="3">
                  <c:v>1.8</c:v>
                </c:pt>
              </c:numCache>
            </c:numRef>
          </c:val>
        </c:ser>
        <c:dLbls>
          <c:showLegendKey val="0"/>
          <c:showVal val="0"/>
          <c:showCatName val="0"/>
          <c:showSerName val="0"/>
          <c:showPercent val="0"/>
          <c:showBubbleSize val="0"/>
        </c:dLbls>
        <c:gapWidth val="150"/>
        <c:axId val="99806592"/>
        <c:axId val="99812480"/>
      </c:barChart>
      <c:catAx>
        <c:axId val="99806592"/>
        <c:scaling>
          <c:orientation val="minMax"/>
        </c:scaling>
        <c:delete val="0"/>
        <c:axPos val="b"/>
        <c:majorTickMark val="out"/>
        <c:minorTickMark val="none"/>
        <c:tickLblPos val="nextTo"/>
        <c:crossAx val="99812480"/>
        <c:crosses val="autoZero"/>
        <c:auto val="1"/>
        <c:lblAlgn val="ctr"/>
        <c:lblOffset val="100"/>
        <c:noMultiLvlLbl val="0"/>
      </c:catAx>
      <c:valAx>
        <c:axId val="99812480"/>
        <c:scaling>
          <c:orientation val="minMax"/>
        </c:scaling>
        <c:delete val="0"/>
        <c:axPos val="l"/>
        <c:majorGridlines/>
        <c:title>
          <c:tx>
            <c:rich>
              <a:bodyPr rot="-5400000" vert="horz"/>
              <a:lstStyle/>
              <a:p>
                <a:pPr>
                  <a:defRPr b="0"/>
                </a:pPr>
                <a:r>
                  <a:rPr lang="en-US" b="0"/>
                  <a:t>Average</a:t>
                </a:r>
                <a:r>
                  <a:rPr lang="en-US" b="0" baseline="0"/>
                  <a:t> abundance per sample</a:t>
                </a:r>
              </a:p>
              <a:p>
                <a:pPr>
                  <a:defRPr b="0"/>
                </a:pPr>
                <a:endParaRPr lang="en-US" b="0"/>
              </a:p>
            </c:rich>
          </c:tx>
          <c:layout/>
          <c:overlay val="0"/>
        </c:title>
        <c:numFmt formatCode="General" sourceLinked="1"/>
        <c:majorTickMark val="out"/>
        <c:minorTickMark val="none"/>
        <c:tickLblPos val="nextTo"/>
        <c:crossAx val="99806592"/>
        <c:crosses val="autoZero"/>
        <c:crossBetween val="between"/>
      </c:valAx>
    </c:plotArea>
    <c:plotVisOnly val="1"/>
    <c:dispBlanksAs val="gap"/>
    <c:showDLblsOverMax val="0"/>
  </c:chart>
  <c:spPr>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KY SMCRA indicator species</a:t>
            </a:r>
          </a:p>
        </c:rich>
      </c:tx>
      <c:layout>
        <c:manualLayout>
          <c:xMode val="edge"/>
          <c:yMode val="edge"/>
          <c:x val="0.19389390745673241"/>
          <c:y val="7.407392934443989E-2"/>
        </c:manualLayout>
      </c:layout>
      <c:overlay val="1"/>
    </c:title>
    <c:autoTitleDeleted val="0"/>
    <c:plotArea>
      <c:layout>
        <c:manualLayout>
          <c:layoutTarget val="inner"/>
          <c:xMode val="edge"/>
          <c:yMode val="edge"/>
          <c:x val="0.1146717998745732"/>
          <c:y val="6.1407741620792974E-2"/>
          <c:w val="0.83665563375374541"/>
          <c:h val="0.82768709497595983"/>
        </c:manualLayout>
      </c:layout>
      <c:barChart>
        <c:barDir val="col"/>
        <c:grouping val="clustered"/>
        <c:varyColors val="0"/>
        <c:ser>
          <c:idx val="0"/>
          <c:order val="0"/>
          <c:tx>
            <c:strRef>
              <c:f>SPSS!$GL$194</c:f>
              <c:strCache>
                <c:ptCount val="1"/>
                <c:pt idx="0">
                  <c:v>Acroboles</c:v>
                </c:pt>
              </c:strCache>
            </c:strRef>
          </c:tx>
          <c:invertIfNegative val="0"/>
          <c:cat>
            <c:strRef>
              <c:f>SPSS!$GK$195:$GK$198</c:f>
              <c:strCache>
                <c:ptCount val="4"/>
                <c:pt idx="0">
                  <c:v>Young</c:v>
                </c:pt>
                <c:pt idx="1">
                  <c:v>Medium</c:v>
                </c:pt>
                <c:pt idx="2">
                  <c:v>Old</c:v>
                </c:pt>
                <c:pt idx="3">
                  <c:v>Forest</c:v>
                </c:pt>
              </c:strCache>
            </c:strRef>
          </c:cat>
          <c:val>
            <c:numRef>
              <c:f>SPSS!$GL$195:$GL$198</c:f>
              <c:numCache>
                <c:formatCode>General</c:formatCode>
                <c:ptCount val="4"/>
                <c:pt idx="0">
                  <c:v>0</c:v>
                </c:pt>
                <c:pt idx="1">
                  <c:v>0.4</c:v>
                </c:pt>
                <c:pt idx="2">
                  <c:v>0</c:v>
                </c:pt>
                <c:pt idx="3">
                  <c:v>2.4</c:v>
                </c:pt>
              </c:numCache>
            </c:numRef>
          </c:val>
        </c:ser>
        <c:ser>
          <c:idx val="1"/>
          <c:order val="1"/>
          <c:tx>
            <c:strRef>
              <c:f>SPSS!$GM$194</c:f>
              <c:strCache>
                <c:ptCount val="1"/>
                <c:pt idx="0">
                  <c:v>Diptheropthera</c:v>
                </c:pt>
              </c:strCache>
            </c:strRef>
          </c:tx>
          <c:invertIfNegative val="0"/>
          <c:cat>
            <c:strRef>
              <c:f>SPSS!$GK$195:$GK$198</c:f>
              <c:strCache>
                <c:ptCount val="4"/>
                <c:pt idx="0">
                  <c:v>Young</c:v>
                </c:pt>
                <c:pt idx="1">
                  <c:v>Medium</c:v>
                </c:pt>
                <c:pt idx="2">
                  <c:v>Old</c:v>
                </c:pt>
                <c:pt idx="3">
                  <c:v>Forest</c:v>
                </c:pt>
              </c:strCache>
            </c:strRef>
          </c:cat>
          <c:val>
            <c:numRef>
              <c:f>SPSS!$GM$195:$GM$198</c:f>
              <c:numCache>
                <c:formatCode>General</c:formatCode>
                <c:ptCount val="4"/>
                <c:pt idx="0">
                  <c:v>0</c:v>
                </c:pt>
                <c:pt idx="1">
                  <c:v>0</c:v>
                </c:pt>
                <c:pt idx="2">
                  <c:v>0</c:v>
                </c:pt>
                <c:pt idx="3">
                  <c:v>1.4</c:v>
                </c:pt>
              </c:numCache>
            </c:numRef>
          </c:val>
        </c:ser>
        <c:ser>
          <c:idx val="2"/>
          <c:order val="2"/>
          <c:tx>
            <c:strRef>
              <c:f>SPSS!$GN$194</c:f>
              <c:strCache>
                <c:ptCount val="1"/>
                <c:pt idx="0">
                  <c:v>Mylonchulus</c:v>
                </c:pt>
              </c:strCache>
            </c:strRef>
          </c:tx>
          <c:invertIfNegative val="0"/>
          <c:cat>
            <c:strRef>
              <c:f>SPSS!$GK$195:$GK$198</c:f>
              <c:strCache>
                <c:ptCount val="4"/>
                <c:pt idx="0">
                  <c:v>Young</c:v>
                </c:pt>
                <c:pt idx="1">
                  <c:v>Medium</c:v>
                </c:pt>
                <c:pt idx="2">
                  <c:v>Old</c:v>
                </c:pt>
                <c:pt idx="3">
                  <c:v>Forest</c:v>
                </c:pt>
              </c:strCache>
            </c:strRef>
          </c:cat>
          <c:val>
            <c:numRef>
              <c:f>SPSS!$GN$195:$GN$198</c:f>
              <c:numCache>
                <c:formatCode>General</c:formatCode>
                <c:ptCount val="4"/>
                <c:pt idx="0">
                  <c:v>0</c:v>
                </c:pt>
                <c:pt idx="1">
                  <c:v>0</c:v>
                </c:pt>
                <c:pt idx="2">
                  <c:v>0</c:v>
                </c:pt>
                <c:pt idx="3">
                  <c:v>0.2</c:v>
                </c:pt>
              </c:numCache>
            </c:numRef>
          </c:val>
        </c:ser>
        <c:ser>
          <c:idx val="3"/>
          <c:order val="3"/>
          <c:tx>
            <c:strRef>
              <c:f>SPSS!$GO$194</c:f>
              <c:strCache>
                <c:ptCount val="1"/>
                <c:pt idx="0">
                  <c:v>Ogma</c:v>
                </c:pt>
              </c:strCache>
            </c:strRef>
          </c:tx>
          <c:invertIfNegative val="0"/>
          <c:cat>
            <c:strRef>
              <c:f>SPSS!$GK$195:$GK$198</c:f>
              <c:strCache>
                <c:ptCount val="4"/>
                <c:pt idx="0">
                  <c:v>Young</c:v>
                </c:pt>
                <c:pt idx="1">
                  <c:v>Medium</c:v>
                </c:pt>
                <c:pt idx="2">
                  <c:v>Old</c:v>
                </c:pt>
                <c:pt idx="3">
                  <c:v>Forest</c:v>
                </c:pt>
              </c:strCache>
            </c:strRef>
          </c:cat>
          <c:val>
            <c:numRef>
              <c:f>SPSS!$GO$195:$GO$198</c:f>
              <c:numCache>
                <c:formatCode>General</c:formatCode>
                <c:ptCount val="4"/>
                <c:pt idx="0">
                  <c:v>0</c:v>
                </c:pt>
                <c:pt idx="1">
                  <c:v>0</c:v>
                </c:pt>
                <c:pt idx="2">
                  <c:v>0</c:v>
                </c:pt>
                <c:pt idx="3">
                  <c:v>2.4</c:v>
                </c:pt>
              </c:numCache>
            </c:numRef>
          </c:val>
        </c:ser>
        <c:ser>
          <c:idx val="4"/>
          <c:order val="4"/>
          <c:tx>
            <c:strRef>
              <c:f>SPSS!$GP$194</c:f>
              <c:strCache>
                <c:ptCount val="1"/>
                <c:pt idx="0">
                  <c:v>Prismatolaimus</c:v>
                </c:pt>
              </c:strCache>
            </c:strRef>
          </c:tx>
          <c:invertIfNegative val="0"/>
          <c:cat>
            <c:strRef>
              <c:f>SPSS!$GK$195:$GK$198</c:f>
              <c:strCache>
                <c:ptCount val="4"/>
                <c:pt idx="0">
                  <c:v>Young</c:v>
                </c:pt>
                <c:pt idx="1">
                  <c:v>Medium</c:v>
                </c:pt>
                <c:pt idx="2">
                  <c:v>Old</c:v>
                </c:pt>
                <c:pt idx="3">
                  <c:v>Forest</c:v>
                </c:pt>
              </c:strCache>
            </c:strRef>
          </c:cat>
          <c:val>
            <c:numRef>
              <c:f>SPSS!$GP$195:$GP$198</c:f>
              <c:numCache>
                <c:formatCode>General</c:formatCode>
                <c:ptCount val="4"/>
                <c:pt idx="0">
                  <c:v>0</c:v>
                </c:pt>
                <c:pt idx="1">
                  <c:v>0.4</c:v>
                </c:pt>
                <c:pt idx="2">
                  <c:v>0</c:v>
                </c:pt>
                <c:pt idx="3">
                  <c:v>7</c:v>
                </c:pt>
              </c:numCache>
            </c:numRef>
          </c:val>
        </c:ser>
        <c:ser>
          <c:idx val="5"/>
          <c:order val="5"/>
          <c:tx>
            <c:strRef>
              <c:f>SPSS!$GQ$194</c:f>
              <c:strCache>
                <c:ptCount val="1"/>
                <c:pt idx="0">
                  <c:v>Teratocephalus</c:v>
                </c:pt>
              </c:strCache>
            </c:strRef>
          </c:tx>
          <c:invertIfNegative val="0"/>
          <c:cat>
            <c:strRef>
              <c:f>SPSS!$GK$195:$GK$198</c:f>
              <c:strCache>
                <c:ptCount val="4"/>
                <c:pt idx="0">
                  <c:v>Young</c:v>
                </c:pt>
                <c:pt idx="1">
                  <c:v>Medium</c:v>
                </c:pt>
                <c:pt idx="2">
                  <c:v>Old</c:v>
                </c:pt>
                <c:pt idx="3">
                  <c:v>Forest</c:v>
                </c:pt>
              </c:strCache>
            </c:strRef>
          </c:cat>
          <c:val>
            <c:numRef>
              <c:f>SPSS!$GQ$195:$GQ$198</c:f>
              <c:numCache>
                <c:formatCode>General</c:formatCode>
                <c:ptCount val="4"/>
                <c:pt idx="0">
                  <c:v>0</c:v>
                </c:pt>
                <c:pt idx="1">
                  <c:v>0.8</c:v>
                </c:pt>
                <c:pt idx="2">
                  <c:v>0.2</c:v>
                </c:pt>
                <c:pt idx="3">
                  <c:v>0.4</c:v>
                </c:pt>
              </c:numCache>
            </c:numRef>
          </c:val>
        </c:ser>
        <c:ser>
          <c:idx val="6"/>
          <c:order val="6"/>
          <c:tx>
            <c:strRef>
              <c:f>SPSS!$GR$194</c:f>
              <c:strCache>
                <c:ptCount val="1"/>
                <c:pt idx="0">
                  <c:v>Xiphnema</c:v>
                </c:pt>
              </c:strCache>
            </c:strRef>
          </c:tx>
          <c:invertIfNegative val="0"/>
          <c:cat>
            <c:strRef>
              <c:f>SPSS!$GK$195:$GK$198</c:f>
              <c:strCache>
                <c:ptCount val="4"/>
                <c:pt idx="0">
                  <c:v>Young</c:v>
                </c:pt>
                <c:pt idx="1">
                  <c:v>Medium</c:v>
                </c:pt>
                <c:pt idx="2">
                  <c:v>Old</c:v>
                </c:pt>
                <c:pt idx="3">
                  <c:v>Forest</c:v>
                </c:pt>
              </c:strCache>
            </c:strRef>
          </c:cat>
          <c:val>
            <c:numRef>
              <c:f>SPSS!$GR$195:$GR$198</c:f>
              <c:numCache>
                <c:formatCode>General</c:formatCode>
                <c:ptCount val="4"/>
                <c:pt idx="0">
                  <c:v>0</c:v>
                </c:pt>
                <c:pt idx="1">
                  <c:v>0</c:v>
                </c:pt>
                <c:pt idx="2">
                  <c:v>0</c:v>
                </c:pt>
                <c:pt idx="3">
                  <c:v>1.8</c:v>
                </c:pt>
              </c:numCache>
            </c:numRef>
          </c:val>
        </c:ser>
        <c:dLbls>
          <c:showLegendKey val="0"/>
          <c:showVal val="0"/>
          <c:showCatName val="0"/>
          <c:showSerName val="0"/>
          <c:showPercent val="0"/>
          <c:showBubbleSize val="0"/>
        </c:dLbls>
        <c:gapWidth val="150"/>
        <c:axId val="99854208"/>
        <c:axId val="99855744"/>
      </c:barChart>
      <c:catAx>
        <c:axId val="99854208"/>
        <c:scaling>
          <c:orientation val="minMax"/>
        </c:scaling>
        <c:delete val="0"/>
        <c:axPos val="b"/>
        <c:majorTickMark val="out"/>
        <c:minorTickMark val="none"/>
        <c:tickLblPos val="nextTo"/>
        <c:crossAx val="99855744"/>
        <c:crosses val="autoZero"/>
        <c:auto val="1"/>
        <c:lblAlgn val="ctr"/>
        <c:lblOffset val="100"/>
        <c:noMultiLvlLbl val="0"/>
      </c:catAx>
      <c:valAx>
        <c:axId val="99855744"/>
        <c:scaling>
          <c:orientation val="minMax"/>
          <c:max val="12"/>
        </c:scaling>
        <c:delete val="0"/>
        <c:axPos val="l"/>
        <c:majorGridlines/>
        <c:numFmt formatCode="General" sourceLinked="1"/>
        <c:majorTickMark val="out"/>
        <c:minorTickMark val="none"/>
        <c:tickLblPos val="nextTo"/>
        <c:crossAx val="99854208"/>
        <c:crosses val="autoZero"/>
        <c:crossBetween val="between"/>
      </c:valAx>
    </c:plotArea>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VA FRA indicator species</a:t>
            </a:r>
          </a:p>
        </c:rich>
      </c:tx>
      <c:layout>
        <c:manualLayout>
          <c:xMode val="edge"/>
          <c:yMode val="edge"/>
          <c:x val="0.27159673993220285"/>
          <c:y val="5.9161535443907662E-2"/>
        </c:manualLayout>
      </c:layout>
      <c:overlay val="1"/>
    </c:title>
    <c:autoTitleDeleted val="0"/>
    <c:plotArea>
      <c:layout>
        <c:manualLayout>
          <c:layoutTarget val="inner"/>
          <c:xMode val="edge"/>
          <c:yMode val="edge"/>
          <c:x val="0.15772652924313316"/>
          <c:y val="5.8678512067210496E-2"/>
          <c:w val="0.79405343464995148"/>
          <c:h val="0.83095013752207159"/>
        </c:manualLayout>
      </c:layout>
      <c:barChart>
        <c:barDir val="col"/>
        <c:grouping val="clustered"/>
        <c:varyColors val="0"/>
        <c:ser>
          <c:idx val="0"/>
          <c:order val="0"/>
          <c:tx>
            <c:strRef>
              <c:f>SPSS!$GL$141</c:f>
              <c:strCache>
                <c:ptCount val="1"/>
                <c:pt idx="0">
                  <c:v>Acroboles</c:v>
                </c:pt>
              </c:strCache>
            </c:strRef>
          </c:tx>
          <c:invertIfNegative val="0"/>
          <c:cat>
            <c:strRef>
              <c:f>SPSS!$GK$142:$GK$145</c:f>
              <c:strCache>
                <c:ptCount val="4"/>
                <c:pt idx="0">
                  <c:v>Young</c:v>
                </c:pt>
                <c:pt idx="1">
                  <c:v>Medium</c:v>
                </c:pt>
                <c:pt idx="2">
                  <c:v>Old</c:v>
                </c:pt>
                <c:pt idx="3">
                  <c:v>Forest</c:v>
                </c:pt>
              </c:strCache>
            </c:strRef>
          </c:cat>
          <c:val>
            <c:numRef>
              <c:f>SPSS!$GL$142:$GL$145</c:f>
              <c:numCache>
                <c:formatCode>General</c:formatCode>
                <c:ptCount val="4"/>
                <c:pt idx="0">
                  <c:v>0</c:v>
                </c:pt>
                <c:pt idx="1">
                  <c:v>0</c:v>
                </c:pt>
                <c:pt idx="2">
                  <c:v>0</c:v>
                </c:pt>
                <c:pt idx="3">
                  <c:v>2.8</c:v>
                </c:pt>
              </c:numCache>
            </c:numRef>
          </c:val>
        </c:ser>
        <c:ser>
          <c:idx val="1"/>
          <c:order val="1"/>
          <c:tx>
            <c:strRef>
              <c:f>SPSS!$GM$141</c:f>
              <c:strCache>
                <c:ptCount val="1"/>
                <c:pt idx="0">
                  <c:v>Diptheropthera</c:v>
                </c:pt>
              </c:strCache>
            </c:strRef>
          </c:tx>
          <c:invertIfNegative val="0"/>
          <c:cat>
            <c:strRef>
              <c:f>SPSS!$GK$142:$GK$145</c:f>
              <c:strCache>
                <c:ptCount val="4"/>
                <c:pt idx="0">
                  <c:v>Young</c:v>
                </c:pt>
                <c:pt idx="1">
                  <c:v>Medium</c:v>
                </c:pt>
                <c:pt idx="2">
                  <c:v>Old</c:v>
                </c:pt>
                <c:pt idx="3">
                  <c:v>Forest</c:v>
                </c:pt>
              </c:strCache>
            </c:strRef>
          </c:cat>
          <c:val>
            <c:numRef>
              <c:f>SPSS!$GM$142:$GM$145</c:f>
              <c:numCache>
                <c:formatCode>General</c:formatCode>
                <c:ptCount val="4"/>
                <c:pt idx="0">
                  <c:v>0</c:v>
                </c:pt>
                <c:pt idx="1">
                  <c:v>0</c:v>
                </c:pt>
                <c:pt idx="2">
                  <c:v>0</c:v>
                </c:pt>
                <c:pt idx="3">
                  <c:v>0.4</c:v>
                </c:pt>
              </c:numCache>
            </c:numRef>
          </c:val>
        </c:ser>
        <c:ser>
          <c:idx val="2"/>
          <c:order val="2"/>
          <c:tx>
            <c:strRef>
              <c:f>SPSS!$GN$141</c:f>
              <c:strCache>
                <c:ptCount val="1"/>
                <c:pt idx="0">
                  <c:v>Mylonchulus</c:v>
                </c:pt>
              </c:strCache>
            </c:strRef>
          </c:tx>
          <c:invertIfNegative val="0"/>
          <c:cat>
            <c:strRef>
              <c:f>SPSS!$GK$142:$GK$145</c:f>
              <c:strCache>
                <c:ptCount val="4"/>
                <c:pt idx="0">
                  <c:v>Young</c:v>
                </c:pt>
                <c:pt idx="1">
                  <c:v>Medium</c:v>
                </c:pt>
                <c:pt idx="2">
                  <c:v>Old</c:v>
                </c:pt>
                <c:pt idx="3">
                  <c:v>Forest</c:v>
                </c:pt>
              </c:strCache>
            </c:strRef>
          </c:cat>
          <c:val>
            <c:numRef>
              <c:f>SPSS!$GN$142:$GN$145</c:f>
              <c:numCache>
                <c:formatCode>General</c:formatCode>
                <c:ptCount val="4"/>
                <c:pt idx="0">
                  <c:v>0</c:v>
                </c:pt>
                <c:pt idx="1">
                  <c:v>0</c:v>
                </c:pt>
                <c:pt idx="2">
                  <c:v>0.4</c:v>
                </c:pt>
                <c:pt idx="3">
                  <c:v>1.4</c:v>
                </c:pt>
              </c:numCache>
            </c:numRef>
          </c:val>
        </c:ser>
        <c:ser>
          <c:idx val="3"/>
          <c:order val="3"/>
          <c:tx>
            <c:strRef>
              <c:f>SPSS!$GO$141</c:f>
              <c:strCache>
                <c:ptCount val="1"/>
                <c:pt idx="0">
                  <c:v>Ogma</c:v>
                </c:pt>
              </c:strCache>
            </c:strRef>
          </c:tx>
          <c:invertIfNegative val="0"/>
          <c:cat>
            <c:strRef>
              <c:f>SPSS!$GK$142:$GK$145</c:f>
              <c:strCache>
                <c:ptCount val="4"/>
                <c:pt idx="0">
                  <c:v>Young</c:v>
                </c:pt>
                <c:pt idx="1">
                  <c:v>Medium</c:v>
                </c:pt>
                <c:pt idx="2">
                  <c:v>Old</c:v>
                </c:pt>
                <c:pt idx="3">
                  <c:v>Forest</c:v>
                </c:pt>
              </c:strCache>
            </c:strRef>
          </c:cat>
          <c:val>
            <c:numRef>
              <c:f>SPSS!$GO$142:$GO$145</c:f>
              <c:numCache>
                <c:formatCode>General</c:formatCode>
                <c:ptCount val="4"/>
                <c:pt idx="0">
                  <c:v>0</c:v>
                </c:pt>
                <c:pt idx="1">
                  <c:v>0</c:v>
                </c:pt>
                <c:pt idx="2">
                  <c:v>1.2</c:v>
                </c:pt>
                <c:pt idx="3">
                  <c:v>4</c:v>
                </c:pt>
              </c:numCache>
            </c:numRef>
          </c:val>
        </c:ser>
        <c:ser>
          <c:idx val="4"/>
          <c:order val="4"/>
          <c:tx>
            <c:strRef>
              <c:f>SPSS!$GP$141</c:f>
              <c:strCache>
                <c:ptCount val="1"/>
                <c:pt idx="0">
                  <c:v>Prismatolaimus</c:v>
                </c:pt>
              </c:strCache>
            </c:strRef>
          </c:tx>
          <c:invertIfNegative val="0"/>
          <c:cat>
            <c:strRef>
              <c:f>SPSS!$GK$142:$GK$145</c:f>
              <c:strCache>
                <c:ptCount val="4"/>
                <c:pt idx="0">
                  <c:v>Young</c:v>
                </c:pt>
                <c:pt idx="1">
                  <c:v>Medium</c:v>
                </c:pt>
                <c:pt idx="2">
                  <c:v>Old</c:v>
                </c:pt>
                <c:pt idx="3">
                  <c:v>Forest</c:v>
                </c:pt>
              </c:strCache>
            </c:strRef>
          </c:cat>
          <c:val>
            <c:numRef>
              <c:f>SPSS!$GP$142:$GP$145</c:f>
              <c:numCache>
                <c:formatCode>General</c:formatCode>
                <c:ptCount val="4"/>
                <c:pt idx="0">
                  <c:v>0</c:v>
                </c:pt>
                <c:pt idx="1">
                  <c:v>0</c:v>
                </c:pt>
                <c:pt idx="2">
                  <c:v>2.4</c:v>
                </c:pt>
                <c:pt idx="3">
                  <c:v>6</c:v>
                </c:pt>
              </c:numCache>
            </c:numRef>
          </c:val>
        </c:ser>
        <c:ser>
          <c:idx val="5"/>
          <c:order val="5"/>
          <c:tx>
            <c:strRef>
              <c:f>SPSS!$GQ$141</c:f>
              <c:strCache>
                <c:ptCount val="1"/>
                <c:pt idx="0">
                  <c:v>Teratocephalus</c:v>
                </c:pt>
              </c:strCache>
            </c:strRef>
          </c:tx>
          <c:invertIfNegative val="0"/>
          <c:cat>
            <c:strRef>
              <c:f>SPSS!$GK$142:$GK$145</c:f>
              <c:strCache>
                <c:ptCount val="4"/>
                <c:pt idx="0">
                  <c:v>Young</c:v>
                </c:pt>
                <c:pt idx="1">
                  <c:v>Medium</c:v>
                </c:pt>
                <c:pt idx="2">
                  <c:v>Old</c:v>
                </c:pt>
                <c:pt idx="3">
                  <c:v>Forest</c:v>
                </c:pt>
              </c:strCache>
            </c:strRef>
          </c:cat>
          <c:val>
            <c:numRef>
              <c:f>SPSS!$GQ$142:$GQ$145</c:f>
              <c:numCache>
                <c:formatCode>General</c:formatCode>
                <c:ptCount val="4"/>
                <c:pt idx="0">
                  <c:v>0</c:v>
                </c:pt>
                <c:pt idx="1">
                  <c:v>0</c:v>
                </c:pt>
                <c:pt idx="2">
                  <c:v>0</c:v>
                </c:pt>
                <c:pt idx="3">
                  <c:v>2</c:v>
                </c:pt>
              </c:numCache>
            </c:numRef>
          </c:val>
        </c:ser>
        <c:ser>
          <c:idx val="6"/>
          <c:order val="6"/>
          <c:tx>
            <c:strRef>
              <c:f>SPSS!$GR$141</c:f>
              <c:strCache>
                <c:ptCount val="1"/>
                <c:pt idx="0">
                  <c:v>Xiphnema</c:v>
                </c:pt>
              </c:strCache>
            </c:strRef>
          </c:tx>
          <c:invertIfNegative val="0"/>
          <c:cat>
            <c:strRef>
              <c:f>SPSS!$GK$142:$GK$145</c:f>
              <c:strCache>
                <c:ptCount val="4"/>
                <c:pt idx="0">
                  <c:v>Young</c:v>
                </c:pt>
                <c:pt idx="1">
                  <c:v>Medium</c:v>
                </c:pt>
                <c:pt idx="2">
                  <c:v>Old</c:v>
                </c:pt>
                <c:pt idx="3">
                  <c:v>Forest</c:v>
                </c:pt>
              </c:strCache>
            </c:strRef>
          </c:cat>
          <c:val>
            <c:numRef>
              <c:f>SPSS!$GR$142:$GR$145</c:f>
              <c:numCache>
                <c:formatCode>General</c:formatCode>
                <c:ptCount val="4"/>
                <c:pt idx="0">
                  <c:v>0</c:v>
                </c:pt>
                <c:pt idx="1">
                  <c:v>0</c:v>
                </c:pt>
                <c:pt idx="2">
                  <c:v>0</c:v>
                </c:pt>
                <c:pt idx="3">
                  <c:v>8.4</c:v>
                </c:pt>
              </c:numCache>
            </c:numRef>
          </c:val>
        </c:ser>
        <c:dLbls>
          <c:showLegendKey val="0"/>
          <c:showVal val="0"/>
          <c:showCatName val="0"/>
          <c:showSerName val="0"/>
          <c:showPercent val="0"/>
          <c:showBubbleSize val="0"/>
        </c:dLbls>
        <c:gapWidth val="150"/>
        <c:axId val="104681856"/>
        <c:axId val="104683392"/>
      </c:barChart>
      <c:catAx>
        <c:axId val="104681856"/>
        <c:scaling>
          <c:orientation val="minMax"/>
        </c:scaling>
        <c:delete val="0"/>
        <c:axPos val="b"/>
        <c:majorTickMark val="out"/>
        <c:minorTickMark val="none"/>
        <c:tickLblPos val="nextTo"/>
        <c:crossAx val="104683392"/>
        <c:crosses val="autoZero"/>
        <c:auto val="1"/>
        <c:lblAlgn val="ctr"/>
        <c:lblOffset val="100"/>
        <c:noMultiLvlLbl val="0"/>
      </c:catAx>
      <c:valAx>
        <c:axId val="104683392"/>
        <c:scaling>
          <c:orientation val="minMax"/>
          <c:max val="12"/>
        </c:scaling>
        <c:delete val="0"/>
        <c:axPos val="l"/>
        <c:majorGridlines/>
        <c:title>
          <c:tx>
            <c:rich>
              <a:bodyPr rot="-5400000" vert="horz"/>
              <a:lstStyle/>
              <a:p>
                <a:pPr>
                  <a:defRPr b="0"/>
                </a:pPr>
                <a:r>
                  <a:rPr lang="en-US" b="0"/>
                  <a:t>Average abundance per sample</a:t>
                </a:r>
              </a:p>
            </c:rich>
          </c:tx>
          <c:layout/>
          <c:overlay val="0"/>
        </c:title>
        <c:numFmt formatCode="General" sourceLinked="1"/>
        <c:majorTickMark val="out"/>
        <c:minorTickMark val="none"/>
        <c:tickLblPos val="nextTo"/>
        <c:crossAx val="104681856"/>
        <c:crosses val="autoZero"/>
        <c:crossBetween val="between"/>
      </c:valAx>
    </c:plotArea>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VA SMCRA indicator species</a:t>
            </a:r>
          </a:p>
        </c:rich>
      </c:tx>
      <c:layout>
        <c:manualLayout>
          <c:xMode val="edge"/>
          <c:yMode val="edge"/>
          <c:x val="0.1968878536222603"/>
          <c:y val="6.6881871929089273E-2"/>
        </c:manualLayout>
      </c:layout>
      <c:overlay val="1"/>
    </c:title>
    <c:autoTitleDeleted val="0"/>
    <c:plotArea>
      <c:layout>
        <c:manualLayout>
          <c:layoutTarget val="inner"/>
          <c:xMode val="edge"/>
          <c:yMode val="edge"/>
          <c:x val="0.11422515888850752"/>
          <c:y val="6.1112182605812512E-2"/>
          <c:w val="0.83729185197730427"/>
          <c:h val="0.82850163960718781"/>
        </c:manualLayout>
      </c:layout>
      <c:barChart>
        <c:barDir val="col"/>
        <c:grouping val="clustered"/>
        <c:varyColors val="0"/>
        <c:ser>
          <c:idx val="0"/>
          <c:order val="0"/>
          <c:tx>
            <c:strRef>
              <c:f>SPSS!$GL$148</c:f>
              <c:strCache>
                <c:ptCount val="1"/>
                <c:pt idx="0">
                  <c:v>Acroboles</c:v>
                </c:pt>
              </c:strCache>
            </c:strRef>
          </c:tx>
          <c:invertIfNegative val="0"/>
          <c:cat>
            <c:strRef>
              <c:f>SPSS!$GK$149:$GK$152</c:f>
              <c:strCache>
                <c:ptCount val="4"/>
                <c:pt idx="0">
                  <c:v>Young</c:v>
                </c:pt>
                <c:pt idx="1">
                  <c:v>Medium</c:v>
                </c:pt>
                <c:pt idx="2">
                  <c:v>Old</c:v>
                </c:pt>
                <c:pt idx="3">
                  <c:v>Forest</c:v>
                </c:pt>
              </c:strCache>
            </c:strRef>
          </c:cat>
          <c:val>
            <c:numRef>
              <c:f>SPSS!$GL$149:$GL$152</c:f>
              <c:numCache>
                <c:formatCode>General</c:formatCode>
                <c:ptCount val="4"/>
                <c:pt idx="0">
                  <c:v>0</c:v>
                </c:pt>
                <c:pt idx="1">
                  <c:v>0</c:v>
                </c:pt>
                <c:pt idx="2">
                  <c:v>0</c:v>
                </c:pt>
                <c:pt idx="3">
                  <c:v>2.8</c:v>
                </c:pt>
              </c:numCache>
            </c:numRef>
          </c:val>
        </c:ser>
        <c:ser>
          <c:idx val="1"/>
          <c:order val="1"/>
          <c:tx>
            <c:strRef>
              <c:f>SPSS!$GM$148</c:f>
              <c:strCache>
                <c:ptCount val="1"/>
                <c:pt idx="0">
                  <c:v>Diptheropthera</c:v>
                </c:pt>
              </c:strCache>
            </c:strRef>
          </c:tx>
          <c:invertIfNegative val="0"/>
          <c:cat>
            <c:strRef>
              <c:f>SPSS!$GK$149:$GK$152</c:f>
              <c:strCache>
                <c:ptCount val="4"/>
                <c:pt idx="0">
                  <c:v>Young</c:v>
                </c:pt>
                <c:pt idx="1">
                  <c:v>Medium</c:v>
                </c:pt>
                <c:pt idx="2">
                  <c:v>Old</c:v>
                </c:pt>
                <c:pt idx="3">
                  <c:v>Forest</c:v>
                </c:pt>
              </c:strCache>
            </c:strRef>
          </c:cat>
          <c:val>
            <c:numRef>
              <c:f>SPSS!$GM$149:$GM$152</c:f>
              <c:numCache>
                <c:formatCode>General</c:formatCode>
                <c:ptCount val="4"/>
                <c:pt idx="0">
                  <c:v>0</c:v>
                </c:pt>
                <c:pt idx="1">
                  <c:v>0</c:v>
                </c:pt>
                <c:pt idx="2">
                  <c:v>0.2</c:v>
                </c:pt>
                <c:pt idx="3">
                  <c:v>0.4</c:v>
                </c:pt>
              </c:numCache>
            </c:numRef>
          </c:val>
        </c:ser>
        <c:ser>
          <c:idx val="2"/>
          <c:order val="2"/>
          <c:tx>
            <c:strRef>
              <c:f>SPSS!$GN$148</c:f>
              <c:strCache>
                <c:ptCount val="1"/>
                <c:pt idx="0">
                  <c:v>Mylonchulus</c:v>
                </c:pt>
              </c:strCache>
            </c:strRef>
          </c:tx>
          <c:invertIfNegative val="0"/>
          <c:cat>
            <c:strRef>
              <c:f>SPSS!$GK$149:$GK$152</c:f>
              <c:strCache>
                <c:ptCount val="4"/>
                <c:pt idx="0">
                  <c:v>Young</c:v>
                </c:pt>
                <c:pt idx="1">
                  <c:v>Medium</c:v>
                </c:pt>
                <c:pt idx="2">
                  <c:v>Old</c:v>
                </c:pt>
                <c:pt idx="3">
                  <c:v>Forest</c:v>
                </c:pt>
              </c:strCache>
            </c:strRef>
          </c:cat>
          <c:val>
            <c:numRef>
              <c:f>SPSS!$GN$149:$GN$152</c:f>
              <c:numCache>
                <c:formatCode>General</c:formatCode>
                <c:ptCount val="4"/>
                <c:pt idx="0">
                  <c:v>0</c:v>
                </c:pt>
                <c:pt idx="1">
                  <c:v>0</c:v>
                </c:pt>
                <c:pt idx="2">
                  <c:v>0</c:v>
                </c:pt>
                <c:pt idx="3">
                  <c:v>1.4</c:v>
                </c:pt>
              </c:numCache>
            </c:numRef>
          </c:val>
        </c:ser>
        <c:ser>
          <c:idx val="3"/>
          <c:order val="3"/>
          <c:tx>
            <c:strRef>
              <c:f>SPSS!$GO$148</c:f>
              <c:strCache>
                <c:ptCount val="1"/>
                <c:pt idx="0">
                  <c:v>Ogma</c:v>
                </c:pt>
              </c:strCache>
            </c:strRef>
          </c:tx>
          <c:invertIfNegative val="0"/>
          <c:cat>
            <c:strRef>
              <c:f>SPSS!$GK$149:$GK$152</c:f>
              <c:strCache>
                <c:ptCount val="4"/>
                <c:pt idx="0">
                  <c:v>Young</c:v>
                </c:pt>
                <c:pt idx="1">
                  <c:v>Medium</c:v>
                </c:pt>
                <c:pt idx="2">
                  <c:v>Old</c:v>
                </c:pt>
                <c:pt idx="3">
                  <c:v>Forest</c:v>
                </c:pt>
              </c:strCache>
            </c:strRef>
          </c:cat>
          <c:val>
            <c:numRef>
              <c:f>SPSS!$GO$149:$GO$152</c:f>
              <c:numCache>
                <c:formatCode>General</c:formatCode>
                <c:ptCount val="4"/>
                <c:pt idx="0">
                  <c:v>0</c:v>
                </c:pt>
                <c:pt idx="1">
                  <c:v>0</c:v>
                </c:pt>
                <c:pt idx="2">
                  <c:v>0.6</c:v>
                </c:pt>
                <c:pt idx="3">
                  <c:v>4</c:v>
                </c:pt>
              </c:numCache>
            </c:numRef>
          </c:val>
        </c:ser>
        <c:ser>
          <c:idx val="4"/>
          <c:order val="4"/>
          <c:tx>
            <c:strRef>
              <c:f>SPSS!$GP$148</c:f>
              <c:strCache>
                <c:ptCount val="1"/>
                <c:pt idx="0">
                  <c:v>Prismatolaimus</c:v>
                </c:pt>
              </c:strCache>
            </c:strRef>
          </c:tx>
          <c:invertIfNegative val="0"/>
          <c:cat>
            <c:strRef>
              <c:f>SPSS!$GK$149:$GK$152</c:f>
              <c:strCache>
                <c:ptCount val="4"/>
                <c:pt idx="0">
                  <c:v>Young</c:v>
                </c:pt>
                <c:pt idx="1">
                  <c:v>Medium</c:v>
                </c:pt>
                <c:pt idx="2">
                  <c:v>Old</c:v>
                </c:pt>
                <c:pt idx="3">
                  <c:v>Forest</c:v>
                </c:pt>
              </c:strCache>
            </c:strRef>
          </c:cat>
          <c:val>
            <c:numRef>
              <c:f>SPSS!$GP$149:$GP$152</c:f>
              <c:numCache>
                <c:formatCode>General</c:formatCode>
                <c:ptCount val="4"/>
                <c:pt idx="0">
                  <c:v>0.75</c:v>
                </c:pt>
                <c:pt idx="1">
                  <c:v>0.2</c:v>
                </c:pt>
                <c:pt idx="2">
                  <c:v>4.8</c:v>
                </c:pt>
                <c:pt idx="3">
                  <c:v>6</c:v>
                </c:pt>
              </c:numCache>
            </c:numRef>
          </c:val>
        </c:ser>
        <c:ser>
          <c:idx val="5"/>
          <c:order val="5"/>
          <c:tx>
            <c:strRef>
              <c:f>SPSS!$GQ$148</c:f>
              <c:strCache>
                <c:ptCount val="1"/>
                <c:pt idx="0">
                  <c:v>Teratocephalus</c:v>
                </c:pt>
              </c:strCache>
            </c:strRef>
          </c:tx>
          <c:invertIfNegative val="0"/>
          <c:cat>
            <c:strRef>
              <c:f>SPSS!$GK$149:$GK$152</c:f>
              <c:strCache>
                <c:ptCount val="4"/>
                <c:pt idx="0">
                  <c:v>Young</c:v>
                </c:pt>
                <c:pt idx="1">
                  <c:v>Medium</c:v>
                </c:pt>
                <c:pt idx="2">
                  <c:v>Old</c:v>
                </c:pt>
                <c:pt idx="3">
                  <c:v>Forest</c:v>
                </c:pt>
              </c:strCache>
            </c:strRef>
          </c:cat>
          <c:val>
            <c:numRef>
              <c:f>SPSS!$GQ$149:$GQ$152</c:f>
              <c:numCache>
                <c:formatCode>General</c:formatCode>
                <c:ptCount val="4"/>
                <c:pt idx="0">
                  <c:v>0</c:v>
                </c:pt>
                <c:pt idx="1">
                  <c:v>0</c:v>
                </c:pt>
                <c:pt idx="2">
                  <c:v>0</c:v>
                </c:pt>
                <c:pt idx="3">
                  <c:v>2</c:v>
                </c:pt>
              </c:numCache>
            </c:numRef>
          </c:val>
        </c:ser>
        <c:ser>
          <c:idx val="6"/>
          <c:order val="6"/>
          <c:tx>
            <c:strRef>
              <c:f>SPSS!$GR$148</c:f>
              <c:strCache>
                <c:ptCount val="1"/>
                <c:pt idx="0">
                  <c:v>Xiphnema</c:v>
                </c:pt>
              </c:strCache>
            </c:strRef>
          </c:tx>
          <c:invertIfNegative val="0"/>
          <c:cat>
            <c:strRef>
              <c:f>SPSS!$GK$149:$GK$152</c:f>
              <c:strCache>
                <c:ptCount val="4"/>
                <c:pt idx="0">
                  <c:v>Young</c:v>
                </c:pt>
                <c:pt idx="1">
                  <c:v>Medium</c:v>
                </c:pt>
                <c:pt idx="2">
                  <c:v>Old</c:v>
                </c:pt>
                <c:pt idx="3">
                  <c:v>Forest</c:v>
                </c:pt>
              </c:strCache>
            </c:strRef>
          </c:cat>
          <c:val>
            <c:numRef>
              <c:f>SPSS!$GR$149:$GR$152</c:f>
              <c:numCache>
                <c:formatCode>General</c:formatCode>
                <c:ptCount val="4"/>
                <c:pt idx="0">
                  <c:v>0</c:v>
                </c:pt>
                <c:pt idx="1">
                  <c:v>0</c:v>
                </c:pt>
                <c:pt idx="2">
                  <c:v>0</c:v>
                </c:pt>
                <c:pt idx="3">
                  <c:v>8.4</c:v>
                </c:pt>
              </c:numCache>
            </c:numRef>
          </c:val>
        </c:ser>
        <c:dLbls>
          <c:showLegendKey val="0"/>
          <c:showVal val="0"/>
          <c:showCatName val="0"/>
          <c:showSerName val="0"/>
          <c:showPercent val="0"/>
          <c:showBubbleSize val="0"/>
        </c:dLbls>
        <c:gapWidth val="150"/>
        <c:axId val="104708736"/>
        <c:axId val="100929920"/>
      </c:barChart>
      <c:catAx>
        <c:axId val="104708736"/>
        <c:scaling>
          <c:orientation val="minMax"/>
        </c:scaling>
        <c:delete val="0"/>
        <c:axPos val="b"/>
        <c:majorTickMark val="out"/>
        <c:minorTickMark val="none"/>
        <c:tickLblPos val="nextTo"/>
        <c:crossAx val="100929920"/>
        <c:crosses val="autoZero"/>
        <c:auto val="1"/>
        <c:lblAlgn val="ctr"/>
        <c:lblOffset val="100"/>
        <c:noMultiLvlLbl val="0"/>
      </c:catAx>
      <c:valAx>
        <c:axId val="100929920"/>
        <c:scaling>
          <c:orientation val="minMax"/>
          <c:max val="12"/>
        </c:scaling>
        <c:delete val="0"/>
        <c:axPos val="l"/>
        <c:majorGridlines/>
        <c:numFmt formatCode="General" sourceLinked="1"/>
        <c:majorTickMark val="out"/>
        <c:minorTickMark val="none"/>
        <c:tickLblPos val="nextTo"/>
        <c:crossAx val="104708736"/>
        <c:crosses val="autoZero"/>
        <c:crossBetween val="between"/>
      </c:valAx>
    </c:plotArea>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0">
                <a:latin typeface="Times New Roman" pitchFamily="18" charset="0"/>
                <a:cs typeface="Times New Roman" pitchFamily="18" charset="0"/>
              </a:rPr>
              <a:t>Tennessee</a:t>
            </a:r>
          </a:p>
        </c:rich>
      </c:tx>
      <c:overlay val="0"/>
    </c:title>
    <c:autoTitleDeleted val="0"/>
    <c:plotArea>
      <c:layout>
        <c:manualLayout>
          <c:layoutTarget val="inner"/>
          <c:xMode val="edge"/>
          <c:yMode val="edge"/>
          <c:x val="0.14192197682304722"/>
          <c:y val="0.21142494282978708"/>
          <c:w val="0.82110236220472443"/>
          <c:h val="0.66269930446204606"/>
        </c:manualLayout>
      </c:layout>
      <c:lineChart>
        <c:grouping val="standard"/>
        <c:varyColors val="0"/>
        <c:ser>
          <c:idx val="0"/>
          <c:order val="0"/>
          <c:tx>
            <c:strRef>
              <c:f>Sheet1!$FM$105</c:f>
              <c:strCache>
                <c:ptCount val="1"/>
                <c:pt idx="0">
                  <c:v>FRA</c:v>
                </c:pt>
              </c:strCache>
            </c:strRef>
          </c:tx>
          <c:spPr>
            <a:ln w="34925">
              <a:solidFill>
                <a:schemeClr val="bg1">
                  <a:lumMod val="65000"/>
                </a:schemeClr>
              </a:solidFill>
            </a:ln>
          </c:spPr>
          <c:marker>
            <c:symbol val="none"/>
          </c:marker>
          <c:errBars>
            <c:errDir val="y"/>
            <c:errBarType val="both"/>
            <c:errValType val="cust"/>
            <c:noEndCap val="0"/>
            <c:plus>
              <c:numRef>
                <c:f>Sheet1!$FO$106:$FO$108</c:f>
                <c:numCache>
                  <c:formatCode>General</c:formatCode>
                  <c:ptCount val="3"/>
                  <c:pt idx="0">
                    <c:v>0.22033473715086499</c:v>
                  </c:pt>
                  <c:pt idx="1">
                    <c:v>6.3557078263628095E-2</c:v>
                  </c:pt>
                  <c:pt idx="2">
                    <c:v>0.38357608737391302</c:v>
                  </c:pt>
                </c:numCache>
              </c:numRef>
            </c:plus>
            <c:minus>
              <c:numRef>
                <c:f>Sheet1!$FO$106:$FO$108</c:f>
                <c:numCache>
                  <c:formatCode>General</c:formatCode>
                  <c:ptCount val="3"/>
                  <c:pt idx="0">
                    <c:v>0.22033473715086499</c:v>
                  </c:pt>
                  <c:pt idx="1">
                    <c:v>6.3557078263628095E-2</c:v>
                  </c:pt>
                  <c:pt idx="2">
                    <c:v>0.38357608737391302</c:v>
                  </c:pt>
                </c:numCache>
              </c:numRef>
            </c:minus>
          </c:errBars>
          <c:cat>
            <c:strRef>
              <c:f>Sheet1!$FR$106:$FR$108</c:f>
              <c:strCache>
                <c:ptCount val="3"/>
                <c:pt idx="0">
                  <c:v>Young</c:v>
                </c:pt>
                <c:pt idx="1">
                  <c:v>Mid age</c:v>
                </c:pt>
                <c:pt idx="2">
                  <c:v>Old</c:v>
                </c:pt>
              </c:strCache>
            </c:strRef>
          </c:cat>
          <c:val>
            <c:numRef>
              <c:f>Sheet1!$FM$106:$FM$108</c:f>
              <c:numCache>
                <c:formatCode>General</c:formatCode>
                <c:ptCount val="3"/>
                <c:pt idx="0">
                  <c:v>1.67968480850284</c:v>
                </c:pt>
                <c:pt idx="1">
                  <c:v>2.0318810043943918</c:v>
                </c:pt>
                <c:pt idx="2">
                  <c:v>2.4779726318586421</c:v>
                </c:pt>
              </c:numCache>
            </c:numRef>
          </c:val>
          <c:smooth val="0"/>
        </c:ser>
        <c:ser>
          <c:idx val="1"/>
          <c:order val="1"/>
          <c:tx>
            <c:strRef>
              <c:f>Sheet1!$FU$105</c:f>
              <c:strCache>
                <c:ptCount val="1"/>
                <c:pt idx="0">
                  <c:v>SMCRA</c:v>
                </c:pt>
              </c:strCache>
            </c:strRef>
          </c:tx>
          <c:spPr>
            <a:ln>
              <a:solidFill>
                <a:schemeClr val="tx1"/>
              </a:solidFill>
            </a:ln>
          </c:spPr>
          <c:marker>
            <c:symbol val="none"/>
          </c:marker>
          <c:errBars>
            <c:errDir val="y"/>
            <c:errBarType val="both"/>
            <c:errValType val="cust"/>
            <c:noEndCap val="0"/>
            <c:plus>
              <c:numRef>
                <c:f>Sheet1!$FW$106:$FW$108</c:f>
                <c:numCache>
                  <c:formatCode>General</c:formatCode>
                  <c:ptCount val="3"/>
                  <c:pt idx="0">
                    <c:v>0.20548106732097399</c:v>
                  </c:pt>
                  <c:pt idx="1">
                    <c:v>8.0467038907190605E-2</c:v>
                  </c:pt>
                  <c:pt idx="2">
                    <c:v>3.94262355956067E-2</c:v>
                  </c:pt>
                </c:numCache>
              </c:numRef>
            </c:plus>
            <c:minus>
              <c:numRef>
                <c:f>Sheet1!$FW$106:$FW$108</c:f>
                <c:numCache>
                  <c:formatCode>General</c:formatCode>
                  <c:ptCount val="3"/>
                  <c:pt idx="0">
                    <c:v>0.20548106732097399</c:v>
                  </c:pt>
                  <c:pt idx="1">
                    <c:v>8.0467038907190605E-2</c:v>
                  </c:pt>
                  <c:pt idx="2">
                    <c:v>3.94262355956067E-2</c:v>
                  </c:pt>
                </c:numCache>
              </c:numRef>
            </c:minus>
          </c:errBars>
          <c:cat>
            <c:strRef>
              <c:f>Sheet1!$FR$106:$FR$108</c:f>
              <c:strCache>
                <c:ptCount val="3"/>
                <c:pt idx="0">
                  <c:v>Young</c:v>
                </c:pt>
                <c:pt idx="1">
                  <c:v>Mid age</c:v>
                </c:pt>
                <c:pt idx="2">
                  <c:v>Old</c:v>
                </c:pt>
              </c:strCache>
            </c:strRef>
          </c:cat>
          <c:val>
            <c:numRef>
              <c:f>Sheet1!$FU$106:$FU$108</c:f>
              <c:numCache>
                <c:formatCode>General</c:formatCode>
                <c:ptCount val="3"/>
                <c:pt idx="0">
                  <c:v>1.974663461538462</c:v>
                </c:pt>
                <c:pt idx="1">
                  <c:v>2.2619090519090519</c:v>
                </c:pt>
                <c:pt idx="2">
                  <c:v>2.1807972077720001</c:v>
                </c:pt>
              </c:numCache>
            </c:numRef>
          </c:val>
          <c:smooth val="0"/>
        </c:ser>
        <c:ser>
          <c:idx val="2"/>
          <c:order val="2"/>
          <c:tx>
            <c:v>Forest</c:v>
          </c:tx>
          <c:spPr>
            <a:ln>
              <a:solidFill>
                <a:schemeClr val="tx1"/>
              </a:solidFill>
              <a:prstDash val="sysDash"/>
            </a:ln>
          </c:spPr>
          <c:marker>
            <c:symbol val="none"/>
          </c:marker>
          <c:cat>
            <c:strRef>
              <c:f>Sheet1!$FR$106:$FR$108</c:f>
              <c:strCache>
                <c:ptCount val="3"/>
                <c:pt idx="0">
                  <c:v>Young</c:v>
                </c:pt>
                <c:pt idx="1">
                  <c:v>Mid age</c:v>
                </c:pt>
                <c:pt idx="2">
                  <c:v>Old</c:v>
                </c:pt>
              </c:strCache>
            </c:strRef>
          </c:cat>
          <c:val>
            <c:numRef>
              <c:f>Sheet1!$FR$109:$FR$111</c:f>
              <c:numCache>
                <c:formatCode>General</c:formatCode>
                <c:ptCount val="3"/>
                <c:pt idx="0">
                  <c:v>2.3680929919720159</c:v>
                </c:pt>
                <c:pt idx="1">
                  <c:v>2.3680929919720159</c:v>
                </c:pt>
                <c:pt idx="2">
                  <c:v>2.3680929919720159</c:v>
                </c:pt>
              </c:numCache>
            </c:numRef>
          </c:val>
          <c:smooth val="0"/>
        </c:ser>
        <c:dLbls>
          <c:showLegendKey val="0"/>
          <c:showVal val="0"/>
          <c:showCatName val="0"/>
          <c:showSerName val="0"/>
          <c:showPercent val="0"/>
          <c:showBubbleSize val="0"/>
        </c:dLbls>
        <c:marker val="1"/>
        <c:smooth val="0"/>
        <c:axId val="100948608"/>
        <c:axId val="100958592"/>
      </c:lineChart>
      <c:catAx>
        <c:axId val="100948608"/>
        <c:scaling>
          <c:orientation val="minMax"/>
        </c:scaling>
        <c:delete val="0"/>
        <c:axPos val="b"/>
        <c:numFmt formatCode="General" sourceLinked="1"/>
        <c:majorTickMark val="out"/>
        <c:minorTickMark val="none"/>
        <c:tickLblPos val="nextTo"/>
        <c:crossAx val="100958592"/>
        <c:crosses val="autoZero"/>
        <c:auto val="1"/>
        <c:lblAlgn val="ctr"/>
        <c:lblOffset val="100"/>
        <c:noMultiLvlLbl val="0"/>
      </c:catAx>
      <c:valAx>
        <c:axId val="100958592"/>
        <c:scaling>
          <c:orientation val="minMax"/>
          <c:min val="1"/>
        </c:scaling>
        <c:delete val="0"/>
        <c:axPos val="l"/>
        <c:majorGridlines/>
        <c:title>
          <c:tx>
            <c:rich>
              <a:bodyPr rot="-5400000" vert="horz"/>
              <a:lstStyle/>
              <a:p>
                <a:pPr>
                  <a:defRPr/>
                </a:pPr>
                <a:r>
                  <a:rPr lang="en-US"/>
                  <a:t>Maturity Index</a:t>
                </a:r>
              </a:p>
            </c:rich>
          </c:tx>
          <c:overlay val="0"/>
        </c:title>
        <c:numFmt formatCode="General" sourceLinked="1"/>
        <c:majorTickMark val="out"/>
        <c:minorTickMark val="none"/>
        <c:tickLblPos val="nextTo"/>
        <c:crossAx val="100948608"/>
        <c:crosses val="autoZero"/>
        <c:crossBetween val="between"/>
        <c:majorUnit val="0.5"/>
      </c:valAx>
    </c:plotArea>
    <c:legend>
      <c:legendPos val="r"/>
      <c:layout>
        <c:manualLayout>
          <c:xMode val="edge"/>
          <c:yMode val="edge"/>
          <c:x val="0.51062158828956794"/>
          <c:y val="0.58803823107017283"/>
          <c:w val="0.19207523157032036"/>
          <c:h val="0.27258084936341265"/>
        </c:manualLayout>
      </c:layout>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0" i="0">
                <a:latin typeface="Times New Roman" pitchFamily="18" charset="0"/>
                <a:cs typeface="Times New Roman" pitchFamily="18" charset="0"/>
              </a:rPr>
              <a:t>Virginia</a:t>
            </a:r>
          </a:p>
        </c:rich>
      </c:tx>
      <c:overlay val="0"/>
    </c:title>
    <c:autoTitleDeleted val="0"/>
    <c:plotArea>
      <c:layout/>
      <c:lineChart>
        <c:grouping val="standard"/>
        <c:varyColors val="0"/>
        <c:ser>
          <c:idx val="0"/>
          <c:order val="0"/>
          <c:tx>
            <c:strRef>
              <c:f>Sheet1!$FM$112</c:f>
              <c:strCache>
                <c:ptCount val="1"/>
                <c:pt idx="0">
                  <c:v>FRA</c:v>
                </c:pt>
              </c:strCache>
            </c:strRef>
          </c:tx>
          <c:spPr>
            <a:ln w="34925">
              <a:solidFill>
                <a:schemeClr val="bg1">
                  <a:lumMod val="65000"/>
                </a:schemeClr>
              </a:solidFill>
            </a:ln>
          </c:spPr>
          <c:marker>
            <c:symbol val="none"/>
          </c:marker>
          <c:errBars>
            <c:errDir val="y"/>
            <c:errBarType val="both"/>
            <c:errValType val="cust"/>
            <c:noEndCap val="0"/>
            <c:plus>
              <c:numRef>
                <c:f>Sheet1!$FO$113:$FO$115</c:f>
                <c:numCache>
                  <c:formatCode>General</c:formatCode>
                  <c:ptCount val="3"/>
                  <c:pt idx="0">
                    <c:v>7.5305071658546593E-2</c:v>
                  </c:pt>
                  <c:pt idx="1">
                    <c:v>0.228872313602515</c:v>
                  </c:pt>
                  <c:pt idx="2">
                    <c:v>0.139267388932309</c:v>
                  </c:pt>
                </c:numCache>
              </c:numRef>
            </c:plus>
            <c:minus>
              <c:numRef>
                <c:f>Sheet1!$FO$113:$FO$115</c:f>
                <c:numCache>
                  <c:formatCode>General</c:formatCode>
                  <c:ptCount val="3"/>
                  <c:pt idx="0">
                    <c:v>7.5305071658546593E-2</c:v>
                  </c:pt>
                  <c:pt idx="1">
                    <c:v>0.228872313602515</c:v>
                  </c:pt>
                  <c:pt idx="2">
                    <c:v>0.139267388932309</c:v>
                  </c:pt>
                </c:numCache>
              </c:numRef>
            </c:minus>
          </c:errBars>
          <c:cat>
            <c:strRef>
              <c:f>Sheet1!$FL$113:$FL$115</c:f>
              <c:strCache>
                <c:ptCount val="3"/>
                <c:pt idx="0">
                  <c:v>Young</c:v>
                </c:pt>
                <c:pt idx="1">
                  <c:v>Mid age</c:v>
                </c:pt>
                <c:pt idx="2">
                  <c:v>Old</c:v>
                </c:pt>
              </c:strCache>
            </c:strRef>
          </c:cat>
          <c:val>
            <c:numRef>
              <c:f>Sheet1!$FM$113:$FM$115</c:f>
              <c:numCache>
                <c:formatCode>General</c:formatCode>
                <c:ptCount val="3"/>
                <c:pt idx="0">
                  <c:v>2.1129148629148631</c:v>
                </c:pt>
                <c:pt idx="1">
                  <c:v>2.6236787349146891</c:v>
                </c:pt>
                <c:pt idx="2">
                  <c:v>2.5731115857714331</c:v>
                </c:pt>
              </c:numCache>
            </c:numRef>
          </c:val>
          <c:smooth val="0"/>
        </c:ser>
        <c:ser>
          <c:idx val="1"/>
          <c:order val="1"/>
          <c:tx>
            <c:strRef>
              <c:f>Sheet1!$FU$112</c:f>
              <c:strCache>
                <c:ptCount val="1"/>
                <c:pt idx="0">
                  <c:v>SMCRA</c:v>
                </c:pt>
              </c:strCache>
            </c:strRef>
          </c:tx>
          <c:spPr>
            <a:ln w="38100">
              <a:solidFill>
                <a:schemeClr val="tx1"/>
              </a:solidFill>
            </a:ln>
          </c:spPr>
          <c:marker>
            <c:symbol val="none"/>
          </c:marker>
          <c:errBars>
            <c:errDir val="y"/>
            <c:errBarType val="both"/>
            <c:errValType val="cust"/>
            <c:noEndCap val="0"/>
            <c:plus>
              <c:numRef>
                <c:f>Sheet1!$FW$113:$FW$115</c:f>
                <c:numCache>
                  <c:formatCode>General</c:formatCode>
                  <c:ptCount val="3"/>
                  <c:pt idx="0">
                    <c:v>0.140682858467784</c:v>
                  </c:pt>
                  <c:pt idx="1">
                    <c:v>0.139267388932309</c:v>
                  </c:pt>
                  <c:pt idx="2">
                    <c:v>6.8877600688923402E-2</c:v>
                  </c:pt>
                </c:numCache>
              </c:numRef>
            </c:plus>
            <c:minus>
              <c:numRef>
                <c:f>Sheet1!$FW$113:$FW$115</c:f>
                <c:numCache>
                  <c:formatCode>General</c:formatCode>
                  <c:ptCount val="3"/>
                  <c:pt idx="0">
                    <c:v>0.140682858467784</c:v>
                  </c:pt>
                  <c:pt idx="1">
                    <c:v>0.139267388932309</c:v>
                  </c:pt>
                  <c:pt idx="2">
                    <c:v>6.8877600688923402E-2</c:v>
                  </c:pt>
                </c:numCache>
              </c:numRef>
            </c:minus>
          </c:errBars>
          <c:cat>
            <c:strRef>
              <c:f>Sheet1!$FL$113:$FL$115</c:f>
              <c:strCache>
                <c:ptCount val="3"/>
                <c:pt idx="0">
                  <c:v>Young</c:v>
                </c:pt>
                <c:pt idx="1">
                  <c:v>Mid age</c:v>
                </c:pt>
                <c:pt idx="2">
                  <c:v>Old</c:v>
                </c:pt>
              </c:strCache>
            </c:strRef>
          </c:cat>
          <c:val>
            <c:numRef>
              <c:f>Sheet1!$FU$113:$FU$115</c:f>
              <c:numCache>
                <c:formatCode>General</c:formatCode>
                <c:ptCount val="3"/>
                <c:pt idx="0">
                  <c:v>2.0625</c:v>
                </c:pt>
                <c:pt idx="1">
                  <c:v>2.5731115857714331</c:v>
                </c:pt>
                <c:pt idx="2">
                  <c:v>2.292575368477769</c:v>
                </c:pt>
              </c:numCache>
            </c:numRef>
          </c:val>
          <c:smooth val="0"/>
        </c:ser>
        <c:ser>
          <c:idx val="2"/>
          <c:order val="2"/>
          <c:tx>
            <c:v>Forest</c:v>
          </c:tx>
          <c:spPr>
            <a:ln>
              <a:solidFill>
                <a:schemeClr val="tx1"/>
              </a:solidFill>
              <a:prstDash val="sysDash"/>
            </a:ln>
          </c:spPr>
          <c:marker>
            <c:symbol val="none"/>
          </c:marker>
          <c:val>
            <c:numRef>
              <c:f>Sheet1!$FR$113:$FR$115</c:f>
              <c:numCache>
                <c:formatCode>General</c:formatCode>
                <c:ptCount val="3"/>
                <c:pt idx="0">
                  <c:v>2.4066797432878668</c:v>
                </c:pt>
                <c:pt idx="1">
                  <c:v>2.4066797432878668</c:v>
                </c:pt>
                <c:pt idx="2">
                  <c:v>2.4066797432878668</c:v>
                </c:pt>
              </c:numCache>
            </c:numRef>
          </c:val>
          <c:smooth val="0"/>
        </c:ser>
        <c:dLbls>
          <c:showLegendKey val="0"/>
          <c:showVal val="0"/>
          <c:showCatName val="0"/>
          <c:showSerName val="0"/>
          <c:showPercent val="0"/>
          <c:showBubbleSize val="0"/>
        </c:dLbls>
        <c:marker val="1"/>
        <c:smooth val="0"/>
        <c:axId val="100994048"/>
        <c:axId val="100999936"/>
      </c:lineChart>
      <c:catAx>
        <c:axId val="100994048"/>
        <c:scaling>
          <c:orientation val="minMax"/>
        </c:scaling>
        <c:delete val="0"/>
        <c:axPos val="b"/>
        <c:majorTickMark val="out"/>
        <c:minorTickMark val="none"/>
        <c:tickLblPos val="nextTo"/>
        <c:crossAx val="100999936"/>
        <c:crosses val="autoZero"/>
        <c:auto val="1"/>
        <c:lblAlgn val="ctr"/>
        <c:lblOffset val="100"/>
        <c:noMultiLvlLbl val="0"/>
      </c:catAx>
      <c:valAx>
        <c:axId val="100999936"/>
        <c:scaling>
          <c:orientation val="minMax"/>
          <c:max val="3"/>
          <c:min val="1"/>
        </c:scaling>
        <c:delete val="0"/>
        <c:axPos val="l"/>
        <c:majorGridlines/>
        <c:title>
          <c:tx>
            <c:rich>
              <a:bodyPr rot="-5400000" vert="horz"/>
              <a:lstStyle/>
              <a:p>
                <a:pPr>
                  <a:defRPr/>
                </a:pPr>
                <a:r>
                  <a:rPr lang="en-US"/>
                  <a:t>Maturity Index</a:t>
                </a:r>
              </a:p>
            </c:rich>
          </c:tx>
          <c:overlay val="0"/>
        </c:title>
        <c:numFmt formatCode="General" sourceLinked="1"/>
        <c:majorTickMark val="out"/>
        <c:minorTickMark val="none"/>
        <c:tickLblPos val="nextTo"/>
        <c:crossAx val="100994048"/>
        <c:crosses val="autoZero"/>
        <c:crossBetween val="between"/>
      </c:valAx>
      <c:spPr>
        <a:noFill/>
        <a:ln w="25400">
          <a:noFill/>
        </a:ln>
      </c:spPr>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0">
                <a:latin typeface="Times New Roman" pitchFamily="18" charset="0"/>
                <a:cs typeface="Times New Roman" pitchFamily="18" charset="0"/>
              </a:rPr>
              <a:t>Kentucky</a:t>
            </a:r>
          </a:p>
        </c:rich>
      </c:tx>
      <c:overlay val="0"/>
    </c:title>
    <c:autoTitleDeleted val="0"/>
    <c:plotArea>
      <c:layout>
        <c:manualLayout>
          <c:layoutTarget val="inner"/>
          <c:xMode val="edge"/>
          <c:yMode val="edge"/>
          <c:x val="0.13178018372703401"/>
          <c:y val="0.19106938180412891"/>
          <c:w val="0.80429610260856521"/>
          <c:h val="0.69709748908062052"/>
        </c:manualLayout>
      </c:layout>
      <c:lineChart>
        <c:grouping val="standard"/>
        <c:varyColors val="0"/>
        <c:ser>
          <c:idx val="1"/>
          <c:order val="0"/>
          <c:tx>
            <c:strRef>
              <c:f>Sheet1!$FM$118</c:f>
              <c:strCache>
                <c:ptCount val="1"/>
                <c:pt idx="0">
                  <c:v>FRA</c:v>
                </c:pt>
              </c:strCache>
            </c:strRef>
          </c:tx>
          <c:spPr>
            <a:ln w="38100">
              <a:solidFill>
                <a:schemeClr val="bg1">
                  <a:lumMod val="65000"/>
                </a:schemeClr>
              </a:solidFill>
            </a:ln>
          </c:spPr>
          <c:marker>
            <c:symbol val="none"/>
          </c:marker>
          <c:errBars>
            <c:errDir val="y"/>
            <c:errBarType val="both"/>
            <c:errValType val="cust"/>
            <c:noEndCap val="0"/>
            <c:plus>
              <c:numRef>
                <c:f>Sheet1!$FO$119:$FO$121</c:f>
                <c:numCache>
                  <c:formatCode>General</c:formatCode>
                  <c:ptCount val="3"/>
                  <c:pt idx="0">
                    <c:v>0.75938571665963495</c:v>
                  </c:pt>
                  <c:pt idx="1">
                    <c:v>0.47551142058957002</c:v>
                  </c:pt>
                  <c:pt idx="2">
                    <c:v>0.11743056101470301</c:v>
                  </c:pt>
                </c:numCache>
              </c:numRef>
            </c:plus>
            <c:minus>
              <c:numRef>
                <c:f>Sheet1!$FO$119:$FO$121</c:f>
                <c:numCache>
                  <c:formatCode>General</c:formatCode>
                  <c:ptCount val="3"/>
                  <c:pt idx="0">
                    <c:v>0.75938571665963495</c:v>
                  </c:pt>
                  <c:pt idx="1">
                    <c:v>0.47551142058957002</c:v>
                  </c:pt>
                  <c:pt idx="2">
                    <c:v>0.11743056101470301</c:v>
                  </c:pt>
                </c:numCache>
              </c:numRef>
            </c:minus>
          </c:errBars>
          <c:cat>
            <c:strRef>
              <c:f>Sheet1!$FT$113:$FT$115</c:f>
              <c:strCache>
                <c:ptCount val="3"/>
                <c:pt idx="0">
                  <c:v>Young</c:v>
                </c:pt>
                <c:pt idx="1">
                  <c:v>Mid age</c:v>
                </c:pt>
                <c:pt idx="2">
                  <c:v>Old</c:v>
                </c:pt>
              </c:strCache>
            </c:strRef>
          </c:cat>
          <c:val>
            <c:numRef>
              <c:f>Sheet1!$FM$119:$FM$121</c:f>
              <c:numCache>
                <c:formatCode>General</c:formatCode>
                <c:ptCount val="3"/>
                <c:pt idx="0">
                  <c:v>2.1</c:v>
                </c:pt>
                <c:pt idx="1">
                  <c:v>1.783333333333333</c:v>
                </c:pt>
                <c:pt idx="2">
                  <c:v>2.7410554343579818</c:v>
                </c:pt>
              </c:numCache>
            </c:numRef>
          </c:val>
          <c:smooth val="0"/>
        </c:ser>
        <c:ser>
          <c:idx val="2"/>
          <c:order val="1"/>
          <c:tx>
            <c:strRef>
              <c:f>Sheet1!$FU$117</c:f>
              <c:strCache>
                <c:ptCount val="1"/>
                <c:pt idx="0">
                  <c:v>SMCRA</c:v>
                </c:pt>
              </c:strCache>
            </c:strRef>
          </c:tx>
          <c:spPr>
            <a:ln w="34925">
              <a:solidFill>
                <a:schemeClr val="tx1"/>
              </a:solidFill>
              <a:prstDash val="solid"/>
            </a:ln>
          </c:spPr>
          <c:marker>
            <c:symbol val="none"/>
          </c:marker>
          <c:errBars>
            <c:errDir val="y"/>
            <c:errBarType val="both"/>
            <c:errValType val="cust"/>
            <c:noEndCap val="0"/>
            <c:plus>
              <c:numRef>
                <c:f>Sheet1!$FW$118:$FW$120</c:f>
                <c:numCache>
                  <c:formatCode>General</c:formatCode>
                  <c:ptCount val="3"/>
                  <c:pt idx="0">
                    <c:v>0.18406191316724901</c:v>
                  </c:pt>
                  <c:pt idx="1">
                    <c:v>7.7069377465751002E-2</c:v>
                  </c:pt>
                  <c:pt idx="2">
                    <c:v>8.7961921994551898E-2</c:v>
                  </c:pt>
                </c:numCache>
              </c:numRef>
            </c:plus>
            <c:minus>
              <c:numRef>
                <c:f>Sheet1!$FW$118:$FW$120</c:f>
                <c:numCache>
                  <c:formatCode>General</c:formatCode>
                  <c:ptCount val="3"/>
                  <c:pt idx="0">
                    <c:v>0.18406191316724901</c:v>
                  </c:pt>
                  <c:pt idx="1">
                    <c:v>7.7069377465751002E-2</c:v>
                  </c:pt>
                  <c:pt idx="2">
                    <c:v>8.7961921994551898E-2</c:v>
                  </c:pt>
                </c:numCache>
              </c:numRef>
            </c:minus>
          </c:errBars>
          <c:cat>
            <c:strRef>
              <c:f>Sheet1!$FT$113:$FT$115</c:f>
              <c:strCache>
                <c:ptCount val="3"/>
                <c:pt idx="0">
                  <c:v>Young</c:v>
                </c:pt>
                <c:pt idx="1">
                  <c:v>Mid age</c:v>
                </c:pt>
                <c:pt idx="2">
                  <c:v>Old</c:v>
                </c:pt>
              </c:strCache>
            </c:strRef>
          </c:cat>
          <c:val>
            <c:numRef>
              <c:f>Sheet1!$FU$118:$FU$120</c:f>
              <c:numCache>
                <c:formatCode>General</c:formatCode>
                <c:ptCount val="3"/>
                <c:pt idx="0">
                  <c:v>1.5666666666666671</c:v>
                </c:pt>
                <c:pt idx="1">
                  <c:v>2.3123515213110588</c:v>
                </c:pt>
                <c:pt idx="2">
                  <c:v>2.2245523250216608</c:v>
                </c:pt>
              </c:numCache>
            </c:numRef>
          </c:val>
          <c:smooth val="0"/>
        </c:ser>
        <c:ser>
          <c:idx val="0"/>
          <c:order val="2"/>
          <c:tx>
            <c:v>Forest</c:v>
          </c:tx>
          <c:spPr>
            <a:ln>
              <a:solidFill>
                <a:schemeClr val="tx1"/>
              </a:solidFill>
              <a:prstDash val="sysDash"/>
            </a:ln>
          </c:spPr>
          <c:marker>
            <c:symbol val="none"/>
          </c:marker>
          <c:cat>
            <c:strRef>
              <c:f>Sheet1!$FT$113:$FT$115</c:f>
              <c:strCache>
                <c:ptCount val="3"/>
                <c:pt idx="0">
                  <c:v>Young</c:v>
                </c:pt>
                <c:pt idx="1">
                  <c:v>Mid age</c:v>
                </c:pt>
                <c:pt idx="2">
                  <c:v>Old</c:v>
                </c:pt>
              </c:strCache>
            </c:strRef>
          </c:cat>
          <c:val>
            <c:numRef>
              <c:f>Sheet1!$FR$119:$FR$121</c:f>
              <c:numCache>
                <c:formatCode>General</c:formatCode>
                <c:ptCount val="3"/>
                <c:pt idx="0">
                  <c:v>2.2093557337968139</c:v>
                </c:pt>
                <c:pt idx="1">
                  <c:v>2.2093557337968139</c:v>
                </c:pt>
                <c:pt idx="2">
                  <c:v>2.2093557337968139</c:v>
                </c:pt>
              </c:numCache>
            </c:numRef>
          </c:val>
          <c:smooth val="0"/>
        </c:ser>
        <c:dLbls>
          <c:showLegendKey val="0"/>
          <c:showVal val="0"/>
          <c:showCatName val="0"/>
          <c:showSerName val="0"/>
          <c:showPercent val="0"/>
          <c:showBubbleSize val="0"/>
        </c:dLbls>
        <c:marker val="1"/>
        <c:smooth val="0"/>
        <c:axId val="101030912"/>
        <c:axId val="101036800"/>
      </c:lineChart>
      <c:catAx>
        <c:axId val="101030912"/>
        <c:scaling>
          <c:orientation val="minMax"/>
        </c:scaling>
        <c:delete val="0"/>
        <c:axPos val="b"/>
        <c:majorTickMark val="out"/>
        <c:minorTickMark val="none"/>
        <c:tickLblPos val="nextTo"/>
        <c:crossAx val="101036800"/>
        <c:crosses val="autoZero"/>
        <c:auto val="1"/>
        <c:lblAlgn val="ctr"/>
        <c:lblOffset val="100"/>
        <c:noMultiLvlLbl val="0"/>
      </c:catAx>
      <c:valAx>
        <c:axId val="101036800"/>
        <c:scaling>
          <c:orientation val="minMax"/>
          <c:min val="1"/>
        </c:scaling>
        <c:delete val="0"/>
        <c:axPos val="l"/>
        <c:majorGridlines/>
        <c:numFmt formatCode="General" sourceLinked="1"/>
        <c:majorTickMark val="out"/>
        <c:minorTickMark val="none"/>
        <c:tickLblPos val="nextTo"/>
        <c:crossAx val="101030912"/>
        <c:crosses val="autoZero"/>
        <c:crossBetween val="between"/>
      </c:valAx>
      <c:spPr>
        <a:noFill/>
        <a:ln w="25400">
          <a:noFill/>
        </a:ln>
      </c:spPr>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FRA</c:v>
          </c:tx>
          <c:spPr>
            <a:ln>
              <a:solidFill>
                <a:schemeClr val="tx1"/>
              </a:solidFill>
            </a:ln>
          </c:spPr>
          <c:marker>
            <c:symbol val="none"/>
          </c:marker>
          <c:cat>
            <c:strLit>
              <c:ptCount val="3"/>
              <c:pt idx="0">
                <c:v>Young</c:v>
              </c:pt>
              <c:pt idx="1">
                <c:v> Mid age</c:v>
              </c:pt>
              <c:pt idx="2">
                <c:v> Old</c:v>
              </c:pt>
            </c:strLit>
          </c:cat>
          <c:val>
            <c:numRef>
              <c:f>Sheet10!$FL$4:$FL$6</c:f>
              <c:numCache>
                <c:formatCode>General</c:formatCode>
                <c:ptCount val="3"/>
                <c:pt idx="0">
                  <c:v>9.0909090909090898E-2</c:v>
                </c:pt>
                <c:pt idx="1">
                  <c:v>1.7094017094017099E-2</c:v>
                </c:pt>
                <c:pt idx="2">
                  <c:v>0.91428571428571404</c:v>
                </c:pt>
              </c:numCache>
            </c:numRef>
          </c:val>
          <c:smooth val="0"/>
        </c:ser>
        <c:ser>
          <c:idx val="1"/>
          <c:order val="1"/>
          <c:tx>
            <c:v>SMCRA </c:v>
          </c:tx>
          <c:spPr>
            <a:ln w="34925">
              <a:solidFill>
                <a:schemeClr val="bg1">
                  <a:lumMod val="75000"/>
                </a:schemeClr>
              </a:solidFill>
            </a:ln>
          </c:spPr>
          <c:marker>
            <c:symbol val="none"/>
          </c:marker>
          <c:val>
            <c:numRef>
              <c:f>Sheet10!$FL$8:$FL$10</c:f>
              <c:numCache>
                <c:formatCode>General</c:formatCode>
                <c:ptCount val="3"/>
                <c:pt idx="0">
                  <c:v>0.38461538461538503</c:v>
                </c:pt>
                <c:pt idx="1">
                  <c:v>0.39130434782608697</c:v>
                </c:pt>
                <c:pt idx="2">
                  <c:v>0.28571428571428598</c:v>
                </c:pt>
              </c:numCache>
            </c:numRef>
          </c:val>
          <c:smooth val="0"/>
        </c:ser>
        <c:ser>
          <c:idx val="2"/>
          <c:order val="2"/>
          <c:tx>
            <c:v>Forest</c:v>
          </c:tx>
          <c:spPr>
            <a:ln w="34925">
              <a:solidFill>
                <a:schemeClr val="tx1"/>
              </a:solidFill>
              <a:prstDash val="sysDash"/>
            </a:ln>
          </c:spPr>
          <c:marker>
            <c:symbol val="none"/>
          </c:marker>
          <c:val>
            <c:numLit>
              <c:formatCode>General</c:formatCode>
              <c:ptCount val="3"/>
              <c:pt idx="0">
                <c:v>0.92979999999999996</c:v>
              </c:pt>
              <c:pt idx="1">
                <c:v>0.92979999999999996</c:v>
              </c:pt>
              <c:pt idx="2">
                <c:v>0.92979999999999996</c:v>
              </c:pt>
            </c:numLit>
          </c:val>
          <c:smooth val="0"/>
        </c:ser>
        <c:dLbls>
          <c:showLegendKey val="0"/>
          <c:showVal val="0"/>
          <c:showCatName val="0"/>
          <c:showSerName val="0"/>
          <c:showPercent val="0"/>
          <c:showBubbleSize val="0"/>
        </c:dLbls>
        <c:marker val="1"/>
        <c:smooth val="0"/>
        <c:axId val="101070720"/>
        <c:axId val="101072256"/>
      </c:lineChart>
      <c:catAx>
        <c:axId val="101070720"/>
        <c:scaling>
          <c:orientation val="minMax"/>
        </c:scaling>
        <c:delete val="0"/>
        <c:axPos val="b"/>
        <c:majorTickMark val="out"/>
        <c:minorTickMark val="none"/>
        <c:tickLblPos val="nextTo"/>
        <c:crossAx val="101072256"/>
        <c:crosses val="autoZero"/>
        <c:auto val="1"/>
        <c:lblAlgn val="ctr"/>
        <c:lblOffset val="100"/>
        <c:noMultiLvlLbl val="0"/>
      </c:catAx>
      <c:valAx>
        <c:axId val="101072256"/>
        <c:scaling>
          <c:orientation val="minMax"/>
        </c:scaling>
        <c:delete val="0"/>
        <c:axPos val="l"/>
        <c:majorGridlines/>
        <c:title>
          <c:tx>
            <c:rich>
              <a:bodyPr rot="-5400000" vert="horz"/>
              <a:lstStyle/>
              <a:p>
                <a:pPr>
                  <a:defRPr/>
                </a:pPr>
                <a:r>
                  <a:rPr lang="en-US"/>
                  <a:t>Ratio of c-p 5: c-p 1 </a:t>
                </a:r>
              </a:p>
            </c:rich>
          </c:tx>
          <c:layout/>
          <c:overlay val="0"/>
        </c:title>
        <c:numFmt formatCode="General" sourceLinked="1"/>
        <c:majorTickMark val="out"/>
        <c:minorTickMark val="none"/>
        <c:tickLblPos val="nextTo"/>
        <c:crossAx val="10107072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510370119066"/>
          <c:y val="7.5938526552105506E-2"/>
          <c:w val="0.85071276804685125"/>
          <c:h val="0.75941445325775103"/>
        </c:manualLayout>
      </c:layout>
      <c:barChart>
        <c:barDir val="col"/>
        <c:grouping val="stacked"/>
        <c:varyColors val="0"/>
        <c:ser>
          <c:idx val="0"/>
          <c:order val="0"/>
          <c:tx>
            <c:strRef>
              <c:f>[1]Sheet1!$K$178</c:f>
              <c:strCache>
                <c:ptCount val="1"/>
                <c:pt idx="0">
                  <c:v>Belowground</c:v>
                </c:pt>
              </c:strCache>
            </c:strRef>
          </c:tx>
          <c:spPr>
            <a:solidFill>
              <a:srgbClr val="64432E"/>
            </a:solidFill>
          </c:spPr>
          <c:invertIfNegative val="0"/>
          <c:errBars>
            <c:errBarType val="both"/>
            <c:errValType val="cust"/>
            <c:noEndCap val="0"/>
            <c:plus>
              <c:numRef>
                <c:f>[1]Sheet1!$S$179:$S$183</c:f>
                <c:numCache>
                  <c:formatCode>General</c:formatCode>
                  <c:ptCount val="5"/>
                  <c:pt idx="0">
                    <c:v>3.0822070014844799E-2</c:v>
                  </c:pt>
                  <c:pt idx="1">
                    <c:v>7.6865683717334696E-2</c:v>
                  </c:pt>
                  <c:pt idx="2">
                    <c:v>5.1807335387954401E-2</c:v>
                  </c:pt>
                  <c:pt idx="3">
                    <c:v>3.7603191353926299E-2</c:v>
                  </c:pt>
                  <c:pt idx="4">
                    <c:v>5.9665735560705202E-2</c:v>
                  </c:pt>
                </c:numCache>
              </c:numRef>
            </c:plus>
            <c:minus>
              <c:numRef>
                <c:f>[1]Sheet1!$T$179:$T$183</c:f>
                <c:numCache>
                  <c:formatCode>General</c:formatCode>
                  <c:ptCount val="5"/>
                  <c:pt idx="0">
                    <c:v>3.0822070014844799E-2</c:v>
                  </c:pt>
                  <c:pt idx="1">
                    <c:v>7.6865683717334696E-2</c:v>
                  </c:pt>
                  <c:pt idx="2">
                    <c:v>5.1807335387954401E-2</c:v>
                  </c:pt>
                  <c:pt idx="3">
                    <c:v>3.7603191353926299E-2</c:v>
                  </c:pt>
                  <c:pt idx="4">
                    <c:v>5.9665735560705202E-2</c:v>
                  </c:pt>
                </c:numCache>
              </c:numRef>
            </c:minus>
          </c:errBars>
          <c:cat>
            <c:strRef>
              <c:f>[1]Sheet1!$J$179:$J$183</c:f>
              <c:strCache>
                <c:ptCount val="5"/>
                <c:pt idx="0">
                  <c:v>Forest</c:v>
                </c:pt>
                <c:pt idx="1">
                  <c:v>FRA 1</c:v>
                </c:pt>
                <c:pt idx="2">
                  <c:v>FRA 15</c:v>
                </c:pt>
                <c:pt idx="3">
                  <c:v>SMCRA 1</c:v>
                </c:pt>
                <c:pt idx="4">
                  <c:v>SMCRA 15</c:v>
                </c:pt>
              </c:strCache>
            </c:strRef>
          </c:cat>
          <c:val>
            <c:numRef>
              <c:f>[1]Sheet1!$K$179:$K$183</c:f>
              <c:numCache>
                <c:formatCode>General</c:formatCode>
                <c:ptCount val="5"/>
                <c:pt idx="0">
                  <c:v>0.27</c:v>
                </c:pt>
                <c:pt idx="1">
                  <c:v>0.215</c:v>
                </c:pt>
                <c:pt idx="2">
                  <c:v>0.32800000000000001</c:v>
                </c:pt>
                <c:pt idx="3">
                  <c:v>0.19800000000000001</c:v>
                </c:pt>
                <c:pt idx="4">
                  <c:v>0.28999999999999998</c:v>
                </c:pt>
              </c:numCache>
            </c:numRef>
          </c:val>
        </c:ser>
        <c:ser>
          <c:idx val="1"/>
          <c:order val="1"/>
          <c:tx>
            <c:strRef>
              <c:f>[1]Sheet1!$L$178</c:f>
              <c:strCache>
                <c:ptCount val="1"/>
                <c:pt idx="0">
                  <c:v>Aboveground</c:v>
                </c:pt>
              </c:strCache>
            </c:strRef>
          </c:tx>
          <c:spPr>
            <a:solidFill>
              <a:schemeClr val="accent3"/>
            </a:solidFill>
          </c:spPr>
          <c:invertIfNegative val="0"/>
          <c:errBars>
            <c:errBarType val="both"/>
            <c:errValType val="cust"/>
            <c:noEndCap val="0"/>
            <c:plus>
              <c:numRef>
                <c:f>[1]Sheet1!$T$179:$T$183</c:f>
                <c:numCache>
                  <c:formatCode>General</c:formatCode>
                  <c:ptCount val="5"/>
                  <c:pt idx="0">
                    <c:v>3.0822070014844799E-2</c:v>
                  </c:pt>
                  <c:pt idx="1">
                    <c:v>7.6865683717334696E-2</c:v>
                  </c:pt>
                  <c:pt idx="2">
                    <c:v>5.1807335387954401E-2</c:v>
                  </c:pt>
                  <c:pt idx="3">
                    <c:v>3.7603191353926299E-2</c:v>
                  </c:pt>
                  <c:pt idx="4">
                    <c:v>5.9665735560705202E-2</c:v>
                  </c:pt>
                </c:numCache>
              </c:numRef>
            </c:plus>
            <c:minus>
              <c:numRef>
                <c:f>[1]Sheet1!$T$179:$T$183</c:f>
                <c:numCache>
                  <c:formatCode>General</c:formatCode>
                  <c:ptCount val="5"/>
                  <c:pt idx="0">
                    <c:v>3.0822070014844799E-2</c:v>
                  </c:pt>
                  <c:pt idx="1">
                    <c:v>7.6865683717334696E-2</c:v>
                  </c:pt>
                  <c:pt idx="2">
                    <c:v>5.1807335387954401E-2</c:v>
                  </c:pt>
                  <c:pt idx="3">
                    <c:v>3.7603191353926299E-2</c:v>
                  </c:pt>
                  <c:pt idx="4">
                    <c:v>5.9665735560705202E-2</c:v>
                  </c:pt>
                </c:numCache>
              </c:numRef>
            </c:minus>
          </c:errBars>
          <c:cat>
            <c:strRef>
              <c:f>[1]Sheet1!$J$179:$J$183</c:f>
              <c:strCache>
                <c:ptCount val="5"/>
                <c:pt idx="0">
                  <c:v>Forest</c:v>
                </c:pt>
                <c:pt idx="1">
                  <c:v>FRA 1</c:v>
                </c:pt>
                <c:pt idx="2">
                  <c:v>FRA 15</c:v>
                </c:pt>
                <c:pt idx="3">
                  <c:v>SMCRA 1</c:v>
                </c:pt>
                <c:pt idx="4">
                  <c:v>SMCRA 15</c:v>
                </c:pt>
              </c:strCache>
            </c:strRef>
          </c:cat>
          <c:val>
            <c:numRef>
              <c:f>[1]Sheet1!$L$179:$L$183</c:f>
              <c:numCache>
                <c:formatCode>General</c:formatCode>
                <c:ptCount val="5"/>
                <c:pt idx="0">
                  <c:v>0.33600000000000002</c:v>
                </c:pt>
                <c:pt idx="1">
                  <c:v>0.34499999999999997</c:v>
                </c:pt>
                <c:pt idx="2">
                  <c:v>0.27600000000000002</c:v>
                </c:pt>
                <c:pt idx="3">
                  <c:v>0.17199999999999999</c:v>
                </c:pt>
                <c:pt idx="4">
                  <c:v>0.32200000000000001</c:v>
                </c:pt>
              </c:numCache>
            </c:numRef>
          </c:val>
        </c:ser>
        <c:dLbls>
          <c:showLegendKey val="0"/>
          <c:showVal val="0"/>
          <c:showCatName val="0"/>
          <c:showSerName val="0"/>
          <c:showPercent val="0"/>
          <c:showBubbleSize val="0"/>
        </c:dLbls>
        <c:gapWidth val="100"/>
        <c:overlap val="100"/>
        <c:axId val="101110912"/>
        <c:axId val="101112832"/>
      </c:barChart>
      <c:catAx>
        <c:axId val="101110912"/>
        <c:scaling>
          <c:orientation val="minMax"/>
        </c:scaling>
        <c:delete val="0"/>
        <c:axPos val="b"/>
        <c:title>
          <c:tx>
            <c:rich>
              <a:bodyPr/>
              <a:lstStyle/>
              <a:p>
                <a:pPr>
                  <a:defRPr/>
                </a:pPr>
                <a:r>
                  <a:rPr lang="en-US"/>
                  <a:t>Intact soil</a:t>
                </a:r>
                <a:r>
                  <a:rPr lang="en-US" baseline="0"/>
                  <a:t> type </a:t>
                </a:r>
                <a:endParaRPr lang="en-US"/>
              </a:p>
            </c:rich>
          </c:tx>
          <c:layout/>
          <c:overlay val="0"/>
        </c:title>
        <c:majorTickMark val="none"/>
        <c:minorTickMark val="none"/>
        <c:tickLblPos val="nextTo"/>
        <c:crossAx val="101112832"/>
        <c:crosses val="autoZero"/>
        <c:auto val="1"/>
        <c:lblAlgn val="ctr"/>
        <c:lblOffset val="100"/>
        <c:noMultiLvlLbl val="0"/>
      </c:catAx>
      <c:valAx>
        <c:axId val="101112832"/>
        <c:scaling>
          <c:orientation val="minMax"/>
          <c:max val="1.2"/>
        </c:scaling>
        <c:delete val="0"/>
        <c:axPos val="l"/>
        <c:majorGridlines>
          <c:spPr>
            <a:ln>
              <a:noFill/>
            </a:ln>
          </c:spPr>
        </c:majorGridlines>
        <c:title>
          <c:tx>
            <c:rich>
              <a:bodyPr/>
              <a:lstStyle/>
              <a:p>
                <a:pPr>
                  <a:defRPr/>
                </a:pPr>
                <a:r>
                  <a:rPr lang="en-US"/>
                  <a:t>Plant</a:t>
                </a:r>
                <a:r>
                  <a:rPr lang="en-US" baseline="0"/>
                  <a:t> biomass (in grams)</a:t>
                </a:r>
                <a:endParaRPr lang="en-US"/>
              </a:p>
            </c:rich>
          </c:tx>
          <c:layout/>
          <c:overlay val="0"/>
        </c:title>
        <c:numFmt formatCode="General" sourceLinked="1"/>
        <c:majorTickMark val="out"/>
        <c:minorTickMark val="none"/>
        <c:tickLblPos val="nextTo"/>
        <c:crossAx val="101110912"/>
        <c:crosses val="autoZero"/>
        <c:crossBetween val="between"/>
      </c:valAx>
    </c:plotArea>
    <c:legend>
      <c:legendPos val="r"/>
      <c:layout>
        <c:manualLayout>
          <c:xMode val="edge"/>
          <c:yMode val="edge"/>
          <c:x val="0.1697030816767863"/>
          <c:y val="6.760824708232227E-2"/>
          <c:w val="0.16337339911473395"/>
          <c:h val="0.15169272402952438"/>
        </c:manualLayout>
      </c:layout>
      <c:overlay val="0"/>
      <c:spPr>
        <a:ln w="19050">
          <a:noFill/>
        </a:ln>
      </c:spPr>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81024331418"/>
          <c:y val="7.1303081334486401E-2"/>
          <c:w val="0.83855314960629901"/>
          <c:h val="0.73444808982210497"/>
        </c:manualLayout>
      </c:layout>
      <c:barChart>
        <c:barDir val="col"/>
        <c:grouping val="clustered"/>
        <c:varyColors val="0"/>
        <c:ser>
          <c:idx val="1"/>
          <c:order val="0"/>
          <c:tx>
            <c:strRef>
              <c:f>[1]Sheet1!$L$184</c:f>
              <c:strCache>
                <c:ptCount val="1"/>
                <c:pt idx="0">
                  <c:v>CN</c:v>
                </c:pt>
              </c:strCache>
            </c:strRef>
          </c:tx>
          <c:spPr>
            <a:solidFill>
              <a:schemeClr val="tx1">
                <a:lumMod val="75000"/>
                <a:lumOff val="25000"/>
              </a:schemeClr>
            </a:solidFill>
          </c:spPr>
          <c:invertIfNegative val="0"/>
          <c:dPt>
            <c:idx val="0"/>
            <c:invertIfNegative val="0"/>
            <c:bubble3D val="0"/>
            <c:spPr>
              <a:solidFill>
                <a:schemeClr val="tx1"/>
              </a:solidFill>
            </c:spPr>
          </c:dPt>
          <c:dPt>
            <c:idx val="3"/>
            <c:invertIfNegative val="0"/>
            <c:bubble3D val="0"/>
            <c:spPr>
              <a:solidFill>
                <a:schemeClr val="bg1"/>
              </a:solidFill>
              <a:ln w="19050">
                <a:solidFill>
                  <a:schemeClr val="tx1"/>
                </a:solidFill>
              </a:ln>
            </c:spPr>
          </c:dPt>
          <c:dPt>
            <c:idx val="4"/>
            <c:invertIfNegative val="0"/>
            <c:bubble3D val="0"/>
            <c:spPr>
              <a:solidFill>
                <a:schemeClr val="bg1"/>
              </a:solidFill>
              <a:ln w="19050">
                <a:solidFill>
                  <a:schemeClr val="tx1"/>
                </a:solidFill>
              </a:ln>
            </c:spPr>
          </c:dPt>
          <c:errBars>
            <c:errBarType val="both"/>
            <c:errValType val="cust"/>
            <c:noEndCap val="0"/>
            <c:plus>
              <c:numRef>
                <c:f>[1]Sheet1!$R$185:$R$189</c:f>
                <c:numCache>
                  <c:formatCode>General</c:formatCode>
                  <c:ptCount val="5"/>
                  <c:pt idx="0">
                    <c:v>2.1806542062453542</c:v>
                  </c:pt>
                  <c:pt idx="1">
                    <c:v>11.13414271086152</c:v>
                  </c:pt>
                  <c:pt idx="2">
                    <c:v>7.4568913852670384</c:v>
                  </c:pt>
                  <c:pt idx="3">
                    <c:v>4.1635186882208366</c:v>
                  </c:pt>
                  <c:pt idx="4">
                    <c:v>2.0676601656011462</c:v>
                  </c:pt>
                </c:numCache>
              </c:numRef>
            </c:plus>
            <c:minus>
              <c:numRef>
                <c:f>[1]Sheet1!$R$185:$R$189</c:f>
                <c:numCache>
                  <c:formatCode>General</c:formatCode>
                  <c:ptCount val="5"/>
                  <c:pt idx="0">
                    <c:v>2.1806542062453542</c:v>
                  </c:pt>
                  <c:pt idx="1">
                    <c:v>11.13414271086152</c:v>
                  </c:pt>
                  <c:pt idx="2">
                    <c:v>7.4568913852670384</c:v>
                  </c:pt>
                  <c:pt idx="3">
                    <c:v>4.1635186882208366</c:v>
                  </c:pt>
                  <c:pt idx="4">
                    <c:v>2.0676601656011462</c:v>
                  </c:pt>
                </c:numCache>
              </c:numRef>
            </c:minus>
          </c:errBars>
          <c:cat>
            <c:strRef>
              <c:f>[1]Sheet1!$J$185:$J$189</c:f>
              <c:strCache>
                <c:ptCount val="5"/>
                <c:pt idx="0">
                  <c:v>Forest</c:v>
                </c:pt>
                <c:pt idx="1">
                  <c:v>FRA 1</c:v>
                </c:pt>
                <c:pt idx="2">
                  <c:v>FRA 15</c:v>
                </c:pt>
                <c:pt idx="3">
                  <c:v>SMCRA 1</c:v>
                </c:pt>
                <c:pt idx="4">
                  <c:v>SMCRA 15</c:v>
                </c:pt>
              </c:strCache>
            </c:strRef>
          </c:cat>
          <c:val>
            <c:numRef>
              <c:f>[1]Sheet1!$L$185:$L$189</c:f>
              <c:numCache>
                <c:formatCode>General</c:formatCode>
                <c:ptCount val="5"/>
                <c:pt idx="0">
                  <c:v>23.323352994059611</c:v>
                </c:pt>
                <c:pt idx="1">
                  <c:v>51.542010050427358</c:v>
                </c:pt>
                <c:pt idx="2">
                  <c:v>44.780512888531703</c:v>
                </c:pt>
                <c:pt idx="3">
                  <c:v>45.675041102704363</c:v>
                </c:pt>
                <c:pt idx="4">
                  <c:v>21.633103398706591</c:v>
                </c:pt>
              </c:numCache>
            </c:numRef>
          </c:val>
        </c:ser>
        <c:dLbls>
          <c:showLegendKey val="0"/>
          <c:showVal val="0"/>
          <c:showCatName val="0"/>
          <c:showSerName val="0"/>
          <c:showPercent val="0"/>
          <c:showBubbleSize val="0"/>
        </c:dLbls>
        <c:gapWidth val="99"/>
        <c:axId val="91247360"/>
        <c:axId val="91249280"/>
      </c:barChart>
      <c:catAx>
        <c:axId val="91247360"/>
        <c:scaling>
          <c:orientation val="minMax"/>
        </c:scaling>
        <c:delete val="0"/>
        <c:axPos val="b"/>
        <c:title>
          <c:tx>
            <c:rich>
              <a:bodyPr/>
              <a:lstStyle/>
              <a:p>
                <a:pPr>
                  <a:defRPr/>
                </a:pPr>
                <a:r>
                  <a:rPr lang="en-US"/>
                  <a:t>Intact soil type</a:t>
                </a:r>
              </a:p>
            </c:rich>
          </c:tx>
          <c:layout/>
          <c:overlay val="0"/>
        </c:title>
        <c:majorTickMark val="none"/>
        <c:minorTickMark val="none"/>
        <c:tickLblPos val="nextTo"/>
        <c:crossAx val="91249280"/>
        <c:crosses val="autoZero"/>
        <c:auto val="1"/>
        <c:lblAlgn val="ctr"/>
        <c:lblOffset val="100"/>
        <c:noMultiLvlLbl val="0"/>
      </c:catAx>
      <c:valAx>
        <c:axId val="91249280"/>
        <c:scaling>
          <c:orientation val="minMax"/>
          <c:max val="80"/>
        </c:scaling>
        <c:delete val="0"/>
        <c:axPos val="l"/>
        <c:title>
          <c:tx>
            <c:rich>
              <a:bodyPr/>
              <a:lstStyle/>
              <a:p>
                <a:pPr>
                  <a:defRPr/>
                </a:pPr>
                <a:r>
                  <a:rPr lang="en-US"/>
                  <a:t> Leaf C:N ratios</a:t>
                </a:r>
              </a:p>
            </c:rich>
          </c:tx>
          <c:layout/>
          <c:overlay val="0"/>
        </c:title>
        <c:numFmt formatCode="General" sourceLinked="1"/>
        <c:majorTickMark val="out"/>
        <c:minorTickMark val="none"/>
        <c:tickLblPos val="nextTo"/>
        <c:crossAx val="91247360"/>
        <c:crosses val="autoZero"/>
        <c:crossBetween val="between"/>
      </c:valAx>
    </c:plotArea>
    <c:plotVisOnly val="1"/>
    <c:dispBlanksAs val="gap"/>
    <c:showDLblsOverMax val="0"/>
  </c:chart>
  <c:externalData r:id="rId1">
    <c:autoUpdate val="0"/>
  </c:externalData>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[1]Sheet1!$K$184</c:f>
              <c:strCache>
                <c:ptCount val="1"/>
                <c:pt idx="0">
                  <c:v>N</c:v>
                </c:pt>
              </c:strCache>
            </c:strRef>
          </c:tx>
          <c:spPr>
            <a:solidFill>
              <a:schemeClr val="tx1">
                <a:lumMod val="75000"/>
                <a:lumOff val="25000"/>
              </a:schemeClr>
            </a:solidFill>
          </c:spPr>
          <c:invertIfNegative val="0"/>
          <c:dPt>
            <c:idx val="0"/>
            <c:invertIfNegative val="0"/>
            <c:bubble3D val="0"/>
            <c:spPr>
              <a:solidFill>
                <a:schemeClr val="tx1"/>
              </a:solidFill>
            </c:spPr>
          </c:dPt>
          <c:dPt>
            <c:idx val="3"/>
            <c:invertIfNegative val="0"/>
            <c:bubble3D val="0"/>
            <c:spPr>
              <a:solidFill>
                <a:schemeClr val="bg1"/>
              </a:solidFill>
              <a:ln w="22225">
                <a:solidFill>
                  <a:schemeClr val="tx1"/>
                </a:solidFill>
              </a:ln>
            </c:spPr>
          </c:dPt>
          <c:dPt>
            <c:idx val="4"/>
            <c:invertIfNegative val="0"/>
            <c:bubble3D val="0"/>
            <c:spPr>
              <a:solidFill>
                <a:schemeClr val="bg1"/>
              </a:solidFill>
              <a:ln w="19050">
                <a:solidFill>
                  <a:schemeClr val="tx1"/>
                </a:solidFill>
              </a:ln>
            </c:spPr>
          </c:dPt>
          <c:errBars>
            <c:errBarType val="both"/>
            <c:errValType val="cust"/>
            <c:noEndCap val="0"/>
            <c:plus>
              <c:numRef>
                <c:f>[1]Sheet1!$Q$185:$Q$189</c:f>
                <c:numCache>
                  <c:formatCode>General</c:formatCode>
                  <c:ptCount val="5"/>
                  <c:pt idx="0">
                    <c:v>0.19812150376493901</c:v>
                  </c:pt>
                  <c:pt idx="1">
                    <c:v>0.15311903987904199</c:v>
                  </c:pt>
                  <c:pt idx="2">
                    <c:v>0.14337113482306801</c:v>
                  </c:pt>
                  <c:pt idx="3">
                    <c:v>9.6902271923654804E-2</c:v>
                  </c:pt>
                  <c:pt idx="4">
                    <c:v>0.37184411792785799</c:v>
                  </c:pt>
                </c:numCache>
              </c:numRef>
            </c:plus>
            <c:minus>
              <c:numRef>
                <c:f>[1]Sheet1!$Q$185:$Q$189</c:f>
                <c:numCache>
                  <c:formatCode>General</c:formatCode>
                  <c:ptCount val="5"/>
                  <c:pt idx="0">
                    <c:v>0.19812150376493901</c:v>
                  </c:pt>
                  <c:pt idx="1">
                    <c:v>0.15311903987904199</c:v>
                  </c:pt>
                  <c:pt idx="2">
                    <c:v>0.14337113482306801</c:v>
                  </c:pt>
                  <c:pt idx="3">
                    <c:v>9.6902271923654804E-2</c:v>
                  </c:pt>
                  <c:pt idx="4">
                    <c:v>0.37184411792785799</c:v>
                  </c:pt>
                </c:numCache>
              </c:numRef>
            </c:minus>
          </c:errBars>
          <c:cat>
            <c:strRef>
              <c:f>[1]Sheet1!$J$185:$J$189</c:f>
              <c:strCache>
                <c:ptCount val="5"/>
                <c:pt idx="0">
                  <c:v>Forest</c:v>
                </c:pt>
                <c:pt idx="1">
                  <c:v>FRA 1</c:v>
                </c:pt>
                <c:pt idx="2">
                  <c:v>FRA 15</c:v>
                </c:pt>
                <c:pt idx="3">
                  <c:v>SMCRA 1</c:v>
                </c:pt>
                <c:pt idx="4">
                  <c:v>SMCRA 15</c:v>
                </c:pt>
              </c:strCache>
            </c:strRef>
          </c:cat>
          <c:val>
            <c:numRef>
              <c:f>[1]Sheet1!$K$185:$K$189</c:f>
              <c:numCache>
                <c:formatCode>General</c:formatCode>
                <c:ptCount val="5"/>
                <c:pt idx="0">
                  <c:v>1.970932626724242</c:v>
                </c:pt>
                <c:pt idx="1">
                  <c:v>0.94214086234569605</c:v>
                </c:pt>
                <c:pt idx="2">
                  <c:v>1.1162608265876801</c:v>
                </c:pt>
                <c:pt idx="3">
                  <c:v>0.99080382585525595</c:v>
                </c:pt>
                <c:pt idx="4">
                  <c:v>2.2927897930145278</c:v>
                </c:pt>
              </c:numCache>
            </c:numRef>
          </c:val>
        </c:ser>
        <c:dLbls>
          <c:showLegendKey val="0"/>
          <c:showVal val="0"/>
          <c:showCatName val="0"/>
          <c:showSerName val="0"/>
          <c:showPercent val="0"/>
          <c:showBubbleSize val="0"/>
        </c:dLbls>
        <c:gapWidth val="101"/>
        <c:overlap val="3"/>
        <c:axId val="105056128"/>
        <c:axId val="105062400"/>
      </c:barChart>
      <c:catAx>
        <c:axId val="105056128"/>
        <c:scaling>
          <c:orientation val="minMax"/>
        </c:scaling>
        <c:delete val="0"/>
        <c:axPos val="b"/>
        <c:title>
          <c:tx>
            <c:rich>
              <a:bodyPr/>
              <a:lstStyle/>
              <a:p>
                <a:pPr>
                  <a:defRPr/>
                </a:pPr>
                <a:r>
                  <a:rPr lang="en-US"/>
                  <a:t>Intact soil type</a:t>
                </a:r>
              </a:p>
            </c:rich>
          </c:tx>
          <c:layout/>
          <c:overlay val="0"/>
        </c:title>
        <c:majorTickMark val="none"/>
        <c:minorTickMark val="none"/>
        <c:tickLblPos val="nextTo"/>
        <c:crossAx val="105062400"/>
        <c:crosses val="autoZero"/>
        <c:auto val="1"/>
        <c:lblAlgn val="ctr"/>
        <c:lblOffset val="100"/>
        <c:noMultiLvlLbl val="0"/>
      </c:catAx>
      <c:valAx>
        <c:axId val="105062400"/>
        <c:scaling>
          <c:orientation val="minMax"/>
        </c:scaling>
        <c:delete val="0"/>
        <c:axPos val="l"/>
        <c:title>
          <c:tx>
            <c:rich>
              <a:bodyPr/>
              <a:lstStyle/>
              <a:p>
                <a:pPr>
                  <a:defRPr/>
                </a:pPr>
                <a:r>
                  <a:rPr lang="en-US"/>
                  <a:t>Leaf</a:t>
                </a:r>
                <a:r>
                  <a:rPr lang="en-US" baseline="0"/>
                  <a:t> Nitrogen Content (% by weight)</a:t>
                </a:r>
                <a:endParaRPr lang="en-US"/>
              </a:p>
            </c:rich>
          </c:tx>
          <c:layout/>
          <c:overlay val="0"/>
        </c:title>
        <c:numFmt formatCode="General" sourceLinked="1"/>
        <c:majorTickMark val="out"/>
        <c:minorTickMark val="none"/>
        <c:tickLblPos val="nextTo"/>
        <c:crossAx val="105056128"/>
        <c:crosses val="autoZero"/>
        <c:crossBetween val="between"/>
      </c:valAx>
    </c:plotArea>
    <c:plotVisOnly val="1"/>
    <c:dispBlanksAs val="gap"/>
    <c:showDLblsOverMax val="0"/>
  </c:chart>
  <c:externalData r:id="rId1">
    <c:autoUpdate val="0"/>
  </c:externalData>
  <c:userShapes r:id="rId2"/>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94369795172371"/>
          <c:y val="3.9386451588033618E-2"/>
          <c:w val="0.865864283735158"/>
          <c:h val="0.7532191682481546"/>
        </c:manualLayout>
      </c:layout>
      <c:barChart>
        <c:barDir val="col"/>
        <c:grouping val="stacked"/>
        <c:varyColors val="0"/>
        <c:ser>
          <c:idx val="0"/>
          <c:order val="0"/>
          <c:tx>
            <c:strRef>
              <c:f>'[1]FRA 1'!$L$5</c:f>
              <c:strCache>
                <c:ptCount val="1"/>
                <c:pt idx="0">
                  <c:v>Belowground</c:v>
                </c:pt>
              </c:strCache>
            </c:strRef>
          </c:tx>
          <c:spPr>
            <a:solidFill>
              <a:srgbClr val="64432E"/>
            </a:solidFill>
          </c:spPr>
          <c:invertIfNegative val="0"/>
          <c:errBars>
            <c:errBarType val="both"/>
            <c:errValType val="cust"/>
            <c:noEndCap val="0"/>
            <c:plus>
              <c:numRef>
                <c:f>'[1]FRA 1'!$V$6:$V$12</c:f>
                <c:numCache>
                  <c:formatCode>General</c:formatCode>
                  <c:ptCount val="7"/>
                  <c:pt idx="0">
                    <c:v>2.1540659228538098E-2</c:v>
                  </c:pt>
                  <c:pt idx="1">
                    <c:v>7.4202425836356597E-2</c:v>
                  </c:pt>
                  <c:pt idx="2">
                    <c:v>5.3478967828483701E-2</c:v>
                  </c:pt>
                  <c:pt idx="3">
                    <c:v>3.3704599092705401E-2</c:v>
                  </c:pt>
                  <c:pt idx="4">
                    <c:v>3.9319206502675001E-2</c:v>
                  </c:pt>
                  <c:pt idx="5">
                    <c:v>3.2465366161495798E-2</c:v>
                  </c:pt>
                  <c:pt idx="6">
                    <c:v>2.2934689882359399E-2</c:v>
                  </c:pt>
                </c:numCache>
              </c:numRef>
            </c:plus>
            <c:minus>
              <c:numRef>
                <c:f>'[1]FRA 1'!$V$6:$V$12</c:f>
                <c:numCache>
                  <c:formatCode>General</c:formatCode>
                  <c:ptCount val="7"/>
                  <c:pt idx="0">
                    <c:v>2.1540659228538098E-2</c:v>
                  </c:pt>
                  <c:pt idx="1">
                    <c:v>7.4202425836356597E-2</c:v>
                  </c:pt>
                  <c:pt idx="2">
                    <c:v>5.3478967828483701E-2</c:v>
                  </c:pt>
                  <c:pt idx="3">
                    <c:v>3.3704599092705401E-2</c:v>
                  </c:pt>
                  <c:pt idx="4">
                    <c:v>3.9319206502675001E-2</c:v>
                  </c:pt>
                  <c:pt idx="5">
                    <c:v>3.2465366161495798E-2</c:v>
                  </c:pt>
                  <c:pt idx="6">
                    <c:v>2.2934689882359399E-2</c:v>
                  </c:pt>
                </c:numCache>
              </c:numRef>
            </c:minus>
          </c:errBars>
          <c:cat>
            <c:strRef>
              <c:f>'[1]FRA 1'!$K$6:$K$12</c:f>
              <c:strCache>
                <c:ptCount val="7"/>
                <c:pt idx="0">
                  <c:v>INTACT </c:v>
                </c:pt>
                <c:pt idx="1">
                  <c:v>NO NEMAS </c:v>
                </c:pt>
                <c:pt idx="2">
                  <c:v>FOREST</c:v>
                </c:pt>
                <c:pt idx="3">
                  <c:v>FRA1</c:v>
                </c:pt>
                <c:pt idx="4">
                  <c:v>FRA15</c:v>
                </c:pt>
                <c:pt idx="5">
                  <c:v>SMCRA1</c:v>
                </c:pt>
                <c:pt idx="6">
                  <c:v>SMCRA15</c:v>
                </c:pt>
              </c:strCache>
            </c:strRef>
          </c:cat>
          <c:val>
            <c:numRef>
              <c:f>'[1]FRA 1'!$L$6:$L$12</c:f>
              <c:numCache>
                <c:formatCode>General</c:formatCode>
                <c:ptCount val="7"/>
                <c:pt idx="0">
                  <c:v>0.28799999999999998</c:v>
                </c:pt>
                <c:pt idx="1">
                  <c:v>0.34399999999999997</c:v>
                </c:pt>
                <c:pt idx="2">
                  <c:v>0.35</c:v>
                </c:pt>
                <c:pt idx="3">
                  <c:v>0.30599999999999999</c:v>
                </c:pt>
                <c:pt idx="4">
                  <c:v>0.38600000000000001</c:v>
                </c:pt>
                <c:pt idx="5">
                  <c:v>0.36199999999999999</c:v>
                </c:pt>
                <c:pt idx="6">
                  <c:v>0.316</c:v>
                </c:pt>
              </c:numCache>
            </c:numRef>
          </c:val>
        </c:ser>
        <c:ser>
          <c:idx val="1"/>
          <c:order val="1"/>
          <c:tx>
            <c:strRef>
              <c:f>'[1]FRA 1'!$M$5</c:f>
              <c:strCache>
                <c:ptCount val="1"/>
                <c:pt idx="0">
                  <c:v>Aboveground</c:v>
                </c:pt>
              </c:strCache>
            </c:strRef>
          </c:tx>
          <c:spPr>
            <a:solidFill>
              <a:schemeClr val="accent3"/>
            </a:solidFill>
          </c:spPr>
          <c:invertIfNegative val="0"/>
          <c:errBars>
            <c:errBarType val="both"/>
            <c:errValType val="cust"/>
            <c:noEndCap val="0"/>
            <c:plus>
              <c:numRef>
                <c:f>'[1]FRA 1'!$U$6:$U$12</c:f>
                <c:numCache>
                  <c:formatCode>General</c:formatCode>
                  <c:ptCount val="7"/>
                  <c:pt idx="0">
                    <c:v>3.6469165057620899E-2</c:v>
                  </c:pt>
                  <c:pt idx="1">
                    <c:v>4.9939963956735299E-2</c:v>
                  </c:pt>
                  <c:pt idx="2">
                    <c:v>3.2031234756093797E-2</c:v>
                  </c:pt>
                  <c:pt idx="3">
                    <c:v>2.17715410570774E-2</c:v>
                  </c:pt>
                  <c:pt idx="4">
                    <c:v>5.5371472799628597E-2</c:v>
                  </c:pt>
                  <c:pt idx="5">
                    <c:v>3.6959437225152603E-2</c:v>
                  </c:pt>
                  <c:pt idx="6">
                    <c:v>6.5620118866091606E-2</c:v>
                  </c:pt>
                </c:numCache>
              </c:numRef>
            </c:plus>
            <c:minus>
              <c:numRef>
                <c:f>'[1]FRA 1'!$U$6:$U$12</c:f>
                <c:numCache>
                  <c:formatCode>General</c:formatCode>
                  <c:ptCount val="7"/>
                  <c:pt idx="0">
                    <c:v>3.6469165057620899E-2</c:v>
                  </c:pt>
                  <c:pt idx="1">
                    <c:v>4.9939963956735299E-2</c:v>
                  </c:pt>
                  <c:pt idx="2">
                    <c:v>3.2031234756093797E-2</c:v>
                  </c:pt>
                  <c:pt idx="3">
                    <c:v>2.17715410570774E-2</c:v>
                  </c:pt>
                  <c:pt idx="4">
                    <c:v>5.5371472799628597E-2</c:v>
                  </c:pt>
                  <c:pt idx="5">
                    <c:v>3.6959437225152603E-2</c:v>
                  </c:pt>
                  <c:pt idx="6">
                    <c:v>6.5620118866091606E-2</c:v>
                  </c:pt>
                </c:numCache>
              </c:numRef>
            </c:minus>
          </c:errBars>
          <c:cat>
            <c:strRef>
              <c:f>'[1]FRA 1'!$K$6:$K$12</c:f>
              <c:strCache>
                <c:ptCount val="7"/>
                <c:pt idx="0">
                  <c:v>INTACT </c:v>
                </c:pt>
                <c:pt idx="1">
                  <c:v>NO NEMAS </c:v>
                </c:pt>
                <c:pt idx="2">
                  <c:v>FOREST</c:v>
                </c:pt>
                <c:pt idx="3">
                  <c:v>FRA1</c:v>
                </c:pt>
                <c:pt idx="4">
                  <c:v>FRA15</c:v>
                </c:pt>
                <c:pt idx="5">
                  <c:v>SMCRA1</c:v>
                </c:pt>
                <c:pt idx="6">
                  <c:v>SMCRA15</c:v>
                </c:pt>
              </c:strCache>
            </c:strRef>
          </c:cat>
          <c:val>
            <c:numRef>
              <c:f>'[1]FRA 1'!$M$6:$M$12</c:f>
              <c:numCache>
                <c:formatCode>General</c:formatCode>
                <c:ptCount val="7"/>
                <c:pt idx="0">
                  <c:v>0.45</c:v>
                </c:pt>
                <c:pt idx="1">
                  <c:v>0.42799999999999999</c:v>
                </c:pt>
                <c:pt idx="2">
                  <c:v>0.33600000000000002</c:v>
                </c:pt>
                <c:pt idx="3">
                  <c:v>0.318</c:v>
                </c:pt>
                <c:pt idx="4">
                  <c:v>0.42599999999999999</c:v>
                </c:pt>
                <c:pt idx="5">
                  <c:v>0.41599999999999998</c:v>
                </c:pt>
                <c:pt idx="6">
                  <c:v>0.316</c:v>
                </c:pt>
              </c:numCache>
            </c:numRef>
          </c:val>
        </c:ser>
        <c:dLbls>
          <c:showLegendKey val="0"/>
          <c:showVal val="0"/>
          <c:showCatName val="0"/>
          <c:showSerName val="0"/>
          <c:showPercent val="0"/>
          <c:showBubbleSize val="0"/>
        </c:dLbls>
        <c:gapWidth val="75"/>
        <c:overlap val="100"/>
        <c:axId val="105101952"/>
        <c:axId val="105112320"/>
      </c:barChart>
      <c:catAx>
        <c:axId val="105101952"/>
        <c:scaling>
          <c:orientation val="minMax"/>
        </c:scaling>
        <c:delete val="0"/>
        <c:axPos val="b"/>
        <c:title>
          <c:tx>
            <c:rich>
              <a:bodyPr/>
              <a:lstStyle/>
              <a:p>
                <a:pPr>
                  <a:defRPr/>
                </a:pPr>
                <a:r>
                  <a:rPr lang="en-US"/>
                  <a:t>Nematode Community added to FRA1 soil</a:t>
                </a:r>
              </a:p>
            </c:rich>
          </c:tx>
          <c:layout/>
          <c:overlay val="0"/>
        </c:title>
        <c:majorTickMark val="none"/>
        <c:minorTickMark val="none"/>
        <c:tickLblPos val="nextTo"/>
        <c:crossAx val="105112320"/>
        <c:crosses val="autoZero"/>
        <c:auto val="1"/>
        <c:lblAlgn val="ctr"/>
        <c:lblOffset val="100"/>
        <c:noMultiLvlLbl val="0"/>
      </c:catAx>
      <c:valAx>
        <c:axId val="105112320"/>
        <c:scaling>
          <c:orientation val="minMax"/>
          <c:max val="1.2"/>
        </c:scaling>
        <c:delete val="0"/>
        <c:axPos val="l"/>
        <c:title>
          <c:tx>
            <c:rich>
              <a:bodyPr/>
              <a:lstStyle/>
              <a:p>
                <a:pPr>
                  <a:defRPr/>
                </a:pPr>
                <a:r>
                  <a:rPr lang="en-US"/>
                  <a:t>Plant</a:t>
                </a:r>
                <a:r>
                  <a:rPr lang="en-US" baseline="0"/>
                  <a:t> Biomass (in grams)</a:t>
                </a:r>
                <a:endParaRPr lang="en-US"/>
              </a:p>
            </c:rich>
          </c:tx>
          <c:layout/>
          <c:overlay val="0"/>
        </c:title>
        <c:numFmt formatCode="General" sourceLinked="1"/>
        <c:majorTickMark val="out"/>
        <c:minorTickMark val="none"/>
        <c:tickLblPos val="nextTo"/>
        <c:crossAx val="105101952"/>
        <c:crosses val="autoZero"/>
        <c:crossBetween val="between"/>
      </c:valAx>
    </c:plotArea>
    <c:legend>
      <c:legendPos val="r"/>
      <c:layout>
        <c:manualLayout>
          <c:xMode val="edge"/>
          <c:yMode val="edge"/>
          <c:x val="0.13310856014522091"/>
          <c:y val="6.3335008655832886E-2"/>
          <c:w val="0.16964693928916746"/>
          <c:h val="0.12829912719743952"/>
        </c:manualLayout>
      </c:layout>
      <c:overlay val="0"/>
      <c:spPr>
        <a:ln w="19050">
          <a:noFill/>
        </a:ln>
      </c:spPr>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72929467273337"/>
          <c:y val="8.5464407858108646E-2"/>
          <c:w val="0.85668660802786323"/>
          <c:h val="0.7686424079467935"/>
        </c:manualLayout>
      </c:layout>
      <c:barChart>
        <c:barDir val="col"/>
        <c:grouping val="clustered"/>
        <c:varyColors val="0"/>
        <c:ser>
          <c:idx val="0"/>
          <c:order val="0"/>
          <c:tx>
            <c:strRef>
              <c:f>'[1]FRA 1'!$W$16</c:f>
              <c:strCache>
                <c:ptCount val="1"/>
                <c:pt idx="0">
                  <c:v>N</c:v>
                </c:pt>
              </c:strCache>
            </c:strRef>
          </c:tx>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75000"/>
                  <a:lumOff val="25000"/>
                </a:schemeClr>
              </a:solidFill>
              <a:ln w="19050">
                <a:solidFill>
                  <a:schemeClr val="tx1"/>
                </a:solidFill>
              </a:ln>
            </c:spPr>
          </c:dPt>
          <c:dPt>
            <c:idx val="4"/>
            <c:invertIfNegative val="0"/>
            <c:bubble3D val="0"/>
            <c:spPr>
              <a:solidFill>
                <a:schemeClr val="tx1">
                  <a:lumMod val="75000"/>
                  <a:lumOff val="25000"/>
                </a:schemeClr>
              </a:solidFill>
              <a:ln w="19050">
                <a:solidFill>
                  <a:schemeClr val="tx1"/>
                </a:solidFill>
              </a:ln>
            </c:spPr>
          </c:dPt>
          <c:dPt>
            <c:idx val="5"/>
            <c:invertIfNegative val="0"/>
            <c:bubble3D val="0"/>
            <c:spPr>
              <a:solidFill>
                <a:schemeClr val="bg1"/>
              </a:solidFill>
              <a:ln w="19050">
                <a:solidFill>
                  <a:schemeClr val="tx1"/>
                </a:solidFill>
              </a:ln>
            </c:spPr>
          </c:dPt>
          <c:dPt>
            <c:idx val="6"/>
            <c:invertIfNegative val="0"/>
            <c:bubble3D val="0"/>
            <c:spPr>
              <a:solidFill>
                <a:schemeClr val="bg1"/>
              </a:solidFill>
              <a:ln w="19050">
                <a:solidFill>
                  <a:schemeClr val="tx1"/>
                </a:solidFill>
              </a:ln>
            </c:spPr>
          </c:dPt>
          <c:errBars>
            <c:errBarType val="both"/>
            <c:errValType val="cust"/>
            <c:noEndCap val="0"/>
            <c:plus>
              <c:numRef>
                <c:f>'[1]FRA 1'!$W$26:$W$32</c:f>
                <c:numCache>
                  <c:formatCode>General</c:formatCode>
                  <c:ptCount val="7"/>
                  <c:pt idx="0">
                    <c:v>0.15311903987904199</c:v>
                  </c:pt>
                  <c:pt idx="1">
                    <c:v>7.5543285889213996E-2</c:v>
                  </c:pt>
                  <c:pt idx="2">
                    <c:v>0.140312655663556</c:v>
                  </c:pt>
                  <c:pt idx="3">
                    <c:v>9.3068464140697305E-2</c:v>
                  </c:pt>
                  <c:pt idx="4">
                    <c:v>0.10554885352986799</c:v>
                  </c:pt>
                  <c:pt idx="5">
                    <c:v>6.9736343908827297E-2</c:v>
                  </c:pt>
                  <c:pt idx="6">
                    <c:v>0.12033278348559499</c:v>
                  </c:pt>
                </c:numCache>
              </c:numRef>
            </c:plus>
            <c:minus>
              <c:numRef>
                <c:f>'[1]FRA 1'!$W$26:$W$32</c:f>
                <c:numCache>
                  <c:formatCode>General</c:formatCode>
                  <c:ptCount val="7"/>
                  <c:pt idx="0">
                    <c:v>0.15311903987904199</c:v>
                  </c:pt>
                  <c:pt idx="1">
                    <c:v>7.5543285889213996E-2</c:v>
                  </c:pt>
                  <c:pt idx="2">
                    <c:v>0.140312655663556</c:v>
                  </c:pt>
                  <c:pt idx="3">
                    <c:v>9.3068464140697305E-2</c:v>
                  </c:pt>
                  <c:pt idx="4">
                    <c:v>0.10554885352986799</c:v>
                  </c:pt>
                  <c:pt idx="5">
                    <c:v>6.9736343908827297E-2</c:v>
                  </c:pt>
                  <c:pt idx="6">
                    <c:v>0.12033278348559499</c:v>
                  </c:pt>
                </c:numCache>
              </c:numRef>
            </c:minus>
          </c:errBars>
          <c:cat>
            <c:strRef>
              <c:f>'[1]FRA 1'!$V$17:$V$23</c:f>
              <c:strCache>
                <c:ptCount val="7"/>
                <c:pt idx="0">
                  <c:v>INTACT </c:v>
                </c:pt>
                <c:pt idx="1">
                  <c:v>NO NEMAS </c:v>
                </c:pt>
                <c:pt idx="2">
                  <c:v>FOREST</c:v>
                </c:pt>
                <c:pt idx="3">
                  <c:v>FRA1</c:v>
                </c:pt>
                <c:pt idx="4">
                  <c:v>FRA15</c:v>
                </c:pt>
                <c:pt idx="5">
                  <c:v>SMCRA1</c:v>
                </c:pt>
                <c:pt idx="6">
                  <c:v>SMCRA15</c:v>
                </c:pt>
              </c:strCache>
            </c:strRef>
          </c:cat>
          <c:val>
            <c:numRef>
              <c:f>'[1]FRA 1'!$W$17:$W$23</c:f>
              <c:numCache>
                <c:formatCode>General</c:formatCode>
                <c:ptCount val="7"/>
                <c:pt idx="0">
                  <c:v>0.94214086234569605</c:v>
                </c:pt>
                <c:pt idx="1">
                  <c:v>1.325564455986026</c:v>
                </c:pt>
                <c:pt idx="2">
                  <c:v>1.001250743865967</c:v>
                </c:pt>
                <c:pt idx="3">
                  <c:v>1.047132402658461</c:v>
                </c:pt>
                <c:pt idx="4">
                  <c:v>1.0584159016609209</c:v>
                </c:pt>
                <c:pt idx="5">
                  <c:v>1.0499620914459209</c:v>
                </c:pt>
                <c:pt idx="6">
                  <c:v>0.93628391623496898</c:v>
                </c:pt>
              </c:numCache>
            </c:numRef>
          </c:val>
        </c:ser>
        <c:dLbls>
          <c:showLegendKey val="0"/>
          <c:showVal val="0"/>
          <c:showCatName val="0"/>
          <c:showSerName val="0"/>
          <c:showPercent val="0"/>
          <c:showBubbleSize val="0"/>
        </c:dLbls>
        <c:gapWidth val="103"/>
        <c:axId val="107045248"/>
        <c:axId val="107047168"/>
      </c:barChart>
      <c:catAx>
        <c:axId val="107045248"/>
        <c:scaling>
          <c:orientation val="minMax"/>
        </c:scaling>
        <c:delete val="0"/>
        <c:axPos val="b"/>
        <c:title>
          <c:tx>
            <c:rich>
              <a:bodyPr/>
              <a:lstStyle/>
              <a:p>
                <a:pPr>
                  <a:defRPr/>
                </a:pPr>
                <a:r>
                  <a:rPr lang="en-US"/>
                  <a:t>Nematode Community added to FRA 1</a:t>
                </a:r>
                <a:r>
                  <a:rPr lang="en-US" baseline="0"/>
                  <a:t> Soils</a:t>
                </a:r>
                <a:endParaRPr lang="en-US"/>
              </a:p>
            </c:rich>
          </c:tx>
          <c:layout/>
          <c:overlay val="0"/>
        </c:title>
        <c:majorTickMark val="none"/>
        <c:minorTickMark val="none"/>
        <c:tickLblPos val="nextTo"/>
        <c:crossAx val="107047168"/>
        <c:crosses val="autoZero"/>
        <c:auto val="1"/>
        <c:lblAlgn val="ctr"/>
        <c:lblOffset val="100"/>
        <c:noMultiLvlLbl val="0"/>
      </c:catAx>
      <c:valAx>
        <c:axId val="107047168"/>
        <c:scaling>
          <c:orientation val="minMax"/>
          <c:max val="2"/>
        </c:scaling>
        <c:delete val="0"/>
        <c:axPos val="l"/>
        <c:title>
          <c:tx>
            <c:rich>
              <a:bodyPr/>
              <a:lstStyle/>
              <a:p>
                <a:pPr>
                  <a:defRPr/>
                </a:pPr>
                <a:r>
                  <a:rPr lang="en-US"/>
                  <a:t>Leaf</a:t>
                </a:r>
                <a:r>
                  <a:rPr lang="en-US" baseline="0"/>
                  <a:t> Nitrogen Content (% by weight)</a:t>
                </a:r>
                <a:endParaRPr lang="en-US"/>
              </a:p>
            </c:rich>
          </c:tx>
          <c:layout/>
          <c:overlay val="0"/>
        </c:title>
        <c:numFmt formatCode="General" sourceLinked="1"/>
        <c:majorTickMark val="out"/>
        <c:minorTickMark val="none"/>
        <c:tickLblPos val="nextTo"/>
        <c:crossAx val="107045248"/>
        <c:crosses val="autoZero"/>
        <c:crossBetween val="between"/>
      </c:valAx>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a:solidFill>
                  <a:schemeClr val="tx1"/>
                </a:solidFill>
              </a:ln>
            </c:spPr>
          </c:dPt>
          <c:dPt>
            <c:idx val="3"/>
            <c:invertIfNegative val="0"/>
            <c:bubble3D val="0"/>
            <c:spPr>
              <a:solidFill>
                <a:schemeClr val="tx1">
                  <a:lumMod val="75000"/>
                  <a:lumOff val="25000"/>
                </a:schemeClr>
              </a:solidFill>
              <a:ln w="19050">
                <a:solidFill>
                  <a:schemeClr val="tx1"/>
                </a:solidFill>
              </a:ln>
            </c:spPr>
          </c:dPt>
          <c:dPt>
            <c:idx val="4"/>
            <c:invertIfNegative val="0"/>
            <c:bubble3D val="0"/>
            <c:spPr>
              <a:solidFill>
                <a:schemeClr val="tx1">
                  <a:lumMod val="75000"/>
                  <a:lumOff val="25000"/>
                </a:schemeClr>
              </a:solidFill>
              <a:ln w="19050">
                <a:solidFill>
                  <a:schemeClr val="tx1"/>
                </a:solidFill>
              </a:ln>
            </c:spPr>
          </c:dPt>
          <c:dPt>
            <c:idx val="5"/>
            <c:invertIfNegative val="0"/>
            <c:bubble3D val="0"/>
            <c:spPr>
              <a:solidFill>
                <a:schemeClr val="bg1"/>
              </a:solidFill>
              <a:ln w="19050">
                <a:solidFill>
                  <a:schemeClr val="tx1"/>
                </a:solidFill>
              </a:ln>
            </c:spPr>
          </c:dPt>
          <c:dPt>
            <c:idx val="6"/>
            <c:invertIfNegative val="0"/>
            <c:bubble3D val="0"/>
            <c:spPr>
              <a:noFill/>
              <a:ln w="19050">
                <a:solidFill>
                  <a:schemeClr val="tx1"/>
                </a:solidFill>
              </a:ln>
            </c:spPr>
          </c:dPt>
          <c:errBars>
            <c:errBarType val="both"/>
            <c:errValType val="cust"/>
            <c:noEndCap val="0"/>
            <c:plus>
              <c:numRef>
                <c:f>'[1]FRA 1'!$Y$26:$Y$32</c:f>
                <c:numCache>
                  <c:formatCode>General</c:formatCode>
                  <c:ptCount val="7"/>
                  <c:pt idx="0">
                    <c:v>11.13414271086152</c:v>
                  </c:pt>
                  <c:pt idx="1">
                    <c:v>1.7790034609657821</c:v>
                  </c:pt>
                  <c:pt idx="2">
                    <c:v>6.7938682323518229</c:v>
                  </c:pt>
                  <c:pt idx="3">
                    <c:v>3.4946505575324611</c:v>
                  </c:pt>
                  <c:pt idx="4">
                    <c:v>3.2780087061532779</c:v>
                  </c:pt>
                  <c:pt idx="5">
                    <c:v>3.39908211093553</c:v>
                  </c:pt>
                  <c:pt idx="6">
                    <c:v>4.0363161605276376</c:v>
                  </c:pt>
                </c:numCache>
              </c:numRef>
            </c:plus>
            <c:minus>
              <c:numRef>
                <c:f>'[1]FRA 1'!$Y$26:$Y$32</c:f>
                <c:numCache>
                  <c:formatCode>General</c:formatCode>
                  <c:ptCount val="7"/>
                  <c:pt idx="0">
                    <c:v>11.13414271086152</c:v>
                  </c:pt>
                  <c:pt idx="1">
                    <c:v>1.7790034609657821</c:v>
                  </c:pt>
                  <c:pt idx="2">
                    <c:v>6.7938682323518229</c:v>
                  </c:pt>
                  <c:pt idx="3">
                    <c:v>3.4946505575324611</c:v>
                  </c:pt>
                  <c:pt idx="4">
                    <c:v>3.2780087061532779</c:v>
                  </c:pt>
                  <c:pt idx="5">
                    <c:v>3.39908211093553</c:v>
                  </c:pt>
                  <c:pt idx="6">
                    <c:v>4.0363161605276376</c:v>
                  </c:pt>
                </c:numCache>
              </c:numRef>
            </c:minus>
          </c:errBars>
          <c:cat>
            <c:strRef>
              <c:f>'[1]FRA 1'!$V$17:$V$23</c:f>
              <c:strCache>
                <c:ptCount val="7"/>
                <c:pt idx="0">
                  <c:v>INTACT </c:v>
                </c:pt>
                <c:pt idx="1">
                  <c:v>NO NEMAS </c:v>
                </c:pt>
                <c:pt idx="2">
                  <c:v>FOREST</c:v>
                </c:pt>
                <c:pt idx="3">
                  <c:v>FRA1</c:v>
                </c:pt>
                <c:pt idx="4">
                  <c:v>FRA15</c:v>
                </c:pt>
                <c:pt idx="5">
                  <c:v>SMCRA1</c:v>
                </c:pt>
                <c:pt idx="6">
                  <c:v>SMCRA15</c:v>
                </c:pt>
              </c:strCache>
            </c:strRef>
          </c:cat>
          <c:val>
            <c:numRef>
              <c:f>'[1]FRA 1'!$Y$17:$Y$23</c:f>
              <c:numCache>
                <c:formatCode>General</c:formatCode>
                <c:ptCount val="7"/>
                <c:pt idx="0">
                  <c:v>51.542010050427358</c:v>
                </c:pt>
                <c:pt idx="1">
                  <c:v>32.65640318789535</c:v>
                </c:pt>
                <c:pt idx="2">
                  <c:v>45.011405502692973</c:v>
                </c:pt>
                <c:pt idx="3">
                  <c:v>42.521541702691998</c:v>
                </c:pt>
                <c:pt idx="4">
                  <c:v>42.973722871853781</c:v>
                </c:pt>
                <c:pt idx="5">
                  <c:v>43.583652272392392</c:v>
                </c:pt>
                <c:pt idx="6">
                  <c:v>43.543338602230342</c:v>
                </c:pt>
              </c:numCache>
            </c:numRef>
          </c:val>
        </c:ser>
        <c:dLbls>
          <c:showLegendKey val="0"/>
          <c:showVal val="0"/>
          <c:showCatName val="0"/>
          <c:showSerName val="0"/>
          <c:showPercent val="0"/>
          <c:showBubbleSize val="0"/>
        </c:dLbls>
        <c:gapWidth val="102"/>
        <c:axId val="107086976"/>
        <c:axId val="107088896"/>
      </c:barChart>
      <c:catAx>
        <c:axId val="107086976"/>
        <c:scaling>
          <c:orientation val="minMax"/>
        </c:scaling>
        <c:delete val="0"/>
        <c:axPos val="b"/>
        <c:title>
          <c:tx>
            <c:rich>
              <a:bodyPr/>
              <a:lstStyle/>
              <a:p>
                <a:pPr>
                  <a:defRPr/>
                </a:pPr>
                <a:r>
                  <a:rPr lang="en-US"/>
                  <a:t>Nematode Community added to FRA 1 soil</a:t>
                </a:r>
              </a:p>
            </c:rich>
          </c:tx>
          <c:layout/>
          <c:overlay val="0"/>
        </c:title>
        <c:majorTickMark val="none"/>
        <c:minorTickMark val="none"/>
        <c:tickLblPos val="nextTo"/>
        <c:crossAx val="107088896"/>
        <c:crosses val="autoZero"/>
        <c:auto val="1"/>
        <c:lblAlgn val="ctr"/>
        <c:lblOffset val="100"/>
        <c:noMultiLvlLbl val="0"/>
      </c:catAx>
      <c:valAx>
        <c:axId val="107088896"/>
        <c:scaling>
          <c:orientation val="minMax"/>
          <c:max val="80"/>
        </c:scaling>
        <c:delete val="0"/>
        <c:axPos val="l"/>
        <c:title>
          <c:tx>
            <c:rich>
              <a:bodyPr/>
              <a:lstStyle/>
              <a:p>
                <a:pPr>
                  <a:defRPr/>
                </a:pPr>
                <a:r>
                  <a:rPr lang="en-US"/>
                  <a:t>Leaf</a:t>
                </a:r>
                <a:r>
                  <a:rPr lang="en-US" baseline="0"/>
                  <a:t> C:N Ratios</a:t>
                </a:r>
                <a:endParaRPr lang="en-US"/>
              </a:p>
            </c:rich>
          </c:tx>
          <c:layout/>
          <c:overlay val="0"/>
        </c:title>
        <c:numFmt formatCode="General" sourceLinked="1"/>
        <c:majorTickMark val="out"/>
        <c:minorTickMark val="none"/>
        <c:tickLblPos val="nextTo"/>
        <c:crossAx val="107086976"/>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80093080625"/>
          <c:y val="4.8219412312874597E-2"/>
          <c:w val="0.82103634152404281"/>
          <c:h val="0.75088289859532997"/>
        </c:manualLayout>
      </c:layout>
      <c:barChart>
        <c:barDir val="col"/>
        <c:grouping val="stacked"/>
        <c:varyColors val="0"/>
        <c:ser>
          <c:idx val="0"/>
          <c:order val="0"/>
          <c:tx>
            <c:strRef>
              <c:f>'[1]SMCRA 1'!$K$5</c:f>
              <c:strCache>
                <c:ptCount val="1"/>
                <c:pt idx="0">
                  <c:v>Belowground</c:v>
                </c:pt>
              </c:strCache>
            </c:strRef>
          </c:tx>
          <c:spPr>
            <a:solidFill>
              <a:srgbClr val="64432E"/>
            </a:solidFill>
          </c:spPr>
          <c:invertIfNegative val="0"/>
          <c:errBars>
            <c:errBarType val="both"/>
            <c:errValType val="cust"/>
            <c:noEndCap val="0"/>
            <c:plus>
              <c:numRef>
                <c:f>'[1]SMCRA 1'!$K$23:$K$29</c:f>
                <c:numCache>
                  <c:formatCode>General</c:formatCode>
                  <c:ptCount val="7"/>
                  <c:pt idx="0">
                    <c:v>3.7603191353926299E-2</c:v>
                  </c:pt>
                  <c:pt idx="1">
                    <c:v>3.98748040747538E-2</c:v>
                  </c:pt>
                  <c:pt idx="2">
                    <c:v>4.1331989225457499E-2</c:v>
                  </c:pt>
                  <c:pt idx="3">
                    <c:v>3.3166247903553998E-2</c:v>
                  </c:pt>
                  <c:pt idx="4">
                    <c:v>3.2093613071762402E-2</c:v>
                  </c:pt>
                  <c:pt idx="5">
                    <c:v>1.4282856857085699E-2</c:v>
                  </c:pt>
                  <c:pt idx="6">
                    <c:v>8.4076155953992093E-2</c:v>
                  </c:pt>
                </c:numCache>
              </c:numRef>
            </c:plus>
            <c:minus>
              <c:numRef>
                <c:f>'[1]SMCRA 1'!$K$23:$K$29</c:f>
                <c:numCache>
                  <c:formatCode>General</c:formatCode>
                  <c:ptCount val="7"/>
                  <c:pt idx="0">
                    <c:v>3.7603191353926299E-2</c:v>
                  </c:pt>
                  <c:pt idx="1">
                    <c:v>3.98748040747538E-2</c:v>
                  </c:pt>
                  <c:pt idx="2">
                    <c:v>4.1331989225457499E-2</c:v>
                  </c:pt>
                  <c:pt idx="3">
                    <c:v>3.3166247903553998E-2</c:v>
                  </c:pt>
                  <c:pt idx="4">
                    <c:v>3.2093613071762402E-2</c:v>
                  </c:pt>
                  <c:pt idx="5">
                    <c:v>1.4282856857085699E-2</c:v>
                  </c:pt>
                  <c:pt idx="6">
                    <c:v>8.4076155953992093E-2</c:v>
                  </c:pt>
                </c:numCache>
              </c:numRef>
            </c:minus>
          </c:errBars>
          <c:cat>
            <c:strRef>
              <c:f>'[1]SMCRA 1'!$J$6:$J$12</c:f>
              <c:strCache>
                <c:ptCount val="7"/>
                <c:pt idx="0">
                  <c:v>Intact</c:v>
                </c:pt>
                <c:pt idx="1">
                  <c:v>No nemas</c:v>
                </c:pt>
                <c:pt idx="2">
                  <c:v>Forest</c:v>
                </c:pt>
                <c:pt idx="3">
                  <c:v>FRA 1</c:v>
                </c:pt>
                <c:pt idx="4">
                  <c:v>FRA 15</c:v>
                </c:pt>
                <c:pt idx="5">
                  <c:v>SMCRA 1</c:v>
                </c:pt>
                <c:pt idx="6">
                  <c:v>SMCRA 15</c:v>
                </c:pt>
              </c:strCache>
            </c:strRef>
          </c:cat>
          <c:val>
            <c:numRef>
              <c:f>'[1]SMCRA 1'!$K$6:$K$12</c:f>
              <c:numCache>
                <c:formatCode>General</c:formatCode>
                <c:ptCount val="7"/>
                <c:pt idx="0">
                  <c:v>0.19800000000000001</c:v>
                </c:pt>
                <c:pt idx="1">
                  <c:v>0.2</c:v>
                </c:pt>
                <c:pt idx="2">
                  <c:v>0.215</c:v>
                </c:pt>
                <c:pt idx="3">
                  <c:v>0.2</c:v>
                </c:pt>
                <c:pt idx="4">
                  <c:v>0.26</c:v>
                </c:pt>
                <c:pt idx="5">
                  <c:v>0.192</c:v>
                </c:pt>
                <c:pt idx="6">
                  <c:v>0.188</c:v>
                </c:pt>
              </c:numCache>
            </c:numRef>
          </c:val>
        </c:ser>
        <c:ser>
          <c:idx val="1"/>
          <c:order val="1"/>
          <c:tx>
            <c:strRef>
              <c:f>'[1]SMCRA 1'!$L$5</c:f>
              <c:strCache>
                <c:ptCount val="1"/>
                <c:pt idx="0">
                  <c:v>Aboveground</c:v>
                </c:pt>
              </c:strCache>
            </c:strRef>
          </c:tx>
          <c:spPr>
            <a:solidFill>
              <a:schemeClr val="accent3"/>
            </a:solidFill>
          </c:spPr>
          <c:invertIfNegative val="0"/>
          <c:errBars>
            <c:errBarType val="both"/>
            <c:errValType val="cust"/>
            <c:noEndCap val="0"/>
            <c:plus>
              <c:numRef>
                <c:f>'[1]SMCRA 1'!$L$29</c:f>
                <c:numCache>
                  <c:formatCode>General</c:formatCode>
                  <c:ptCount val="1"/>
                  <c:pt idx="0">
                    <c:v>5.99266217969944E-2</c:v>
                  </c:pt>
                </c:numCache>
              </c:numRef>
            </c:plus>
            <c:minus>
              <c:numRef>
                <c:f>'[1]SMCRA 1'!$L$29</c:f>
                <c:numCache>
                  <c:formatCode>General</c:formatCode>
                  <c:ptCount val="1"/>
                  <c:pt idx="0">
                    <c:v>5.99266217969944E-2</c:v>
                  </c:pt>
                </c:numCache>
              </c:numRef>
            </c:minus>
          </c:errBars>
          <c:cat>
            <c:strRef>
              <c:f>'[1]SMCRA 1'!$J$6:$J$12</c:f>
              <c:strCache>
                <c:ptCount val="7"/>
                <c:pt idx="0">
                  <c:v>Intact</c:v>
                </c:pt>
                <c:pt idx="1">
                  <c:v>No nemas</c:v>
                </c:pt>
                <c:pt idx="2">
                  <c:v>Forest</c:v>
                </c:pt>
                <c:pt idx="3">
                  <c:v>FRA 1</c:v>
                </c:pt>
                <c:pt idx="4">
                  <c:v>FRA 15</c:v>
                </c:pt>
                <c:pt idx="5">
                  <c:v>SMCRA 1</c:v>
                </c:pt>
                <c:pt idx="6">
                  <c:v>SMCRA 15</c:v>
                </c:pt>
              </c:strCache>
            </c:strRef>
          </c:cat>
          <c:val>
            <c:numRef>
              <c:f>'[1]SMCRA 1'!$L$6:$L$12</c:f>
              <c:numCache>
                <c:formatCode>General</c:formatCode>
                <c:ptCount val="7"/>
                <c:pt idx="0">
                  <c:v>0.17199999999999999</c:v>
                </c:pt>
                <c:pt idx="1">
                  <c:v>0.25600000000000001</c:v>
                </c:pt>
                <c:pt idx="2">
                  <c:v>0.24199999999999999</c:v>
                </c:pt>
                <c:pt idx="3">
                  <c:v>0.154</c:v>
                </c:pt>
                <c:pt idx="4">
                  <c:v>0.19800000000000001</c:v>
                </c:pt>
                <c:pt idx="5">
                  <c:v>0.216</c:v>
                </c:pt>
                <c:pt idx="6">
                  <c:v>0.13400000000000001</c:v>
                </c:pt>
              </c:numCache>
            </c:numRef>
          </c:val>
        </c:ser>
        <c:dLbls>
          <c:showLegendKey val="0"/>
          <c:showVal val="0"/>
          <c:showCatName val="0"/>
          <c:showSerName val="0"/>
          <c:showPercent val="0"/>
          <c:showBubbleSize val="0"/>
        </c:dLbls>
        <c:gapWidth val="75"/>
        <c:overlap val="100"/>
        <c:axId val="107131264"/>
        <c:axId val="107133184"/>
      </c:barChart>
      <c:catAx>
        <c:axId val="107131264"/>
        <c:scaling>
          <c:orientation val="minMax"/>
        </c:scaling>
        <c:delete val="0"/>
        <c:axPos val="b"/>
        <c:title>
          <c:tx>
            <c:rich>
              <a:bodyPr/>
              <a:lstStyle/>
              <a:p>
                <a:pPr>
                  <a:defRPr/>
                </a:pPr>
                <a:r>
                  <a:rPr lang="en-US"/>
                  <a:t>Nematode</a:t>
                </a:r>
                <a:r>
                  <a:rPr lang="en-US" baseline="0"/>
                  <a:t> Community added to SMCRA 1 Soil</a:t>
                </a:r>
                <a:endParaRPr lang="en-US"/>
              </a:p>
            </c:rich>
          </c:tx>
          <c:layout/>
          <c:overlay val="0"/>
        </c:title>
        <c:majorTickMark val="none"/>
        <c:minorTickMark val="none"/>
        <c:tickLblPos val="nextTo"/>
        <c:crossAx val="107133184"/>
        <c:crosses val="autoZero"/>
        <c:auto val="1"/>
        <c:lblAlgn val="ctr"/>
        <c:lblOffset val="100"/>
        <c:noMultiLvlLbl val="0"/>
      </c:catAx>
      <c:valAx>
        <c:axId val="107133184"/>
        <c:scaling>
          <c:orientation val="minMax"/>
          <c:max val="0.8"/>
        </c:scaling>
        <c:delete val="0"/>
        <c:axPos val="l"/>
        <c:title>
          <c:tx>
            <c:rich>
              <a:bodyPr/>
              <a:lstStyle/>
              <a:p>
                <a:pPr>
                  <a:defRPr/>
                </a:pPr>
                <a:r>
                  <a:rPr lang="en-US"/>
                  <a:t>Plant</a:t>
                </a:r>
                <a:r>
                  <a:rPr lang="en-US" baseline="0"/>
                  <a:t> Biomass (in grams)</a:t>
                </a:r>
                <a:endParaRPr lang="en-US"/>
              </a:p>
            </c:rich>
          </c:tx>
          <c:layout/>
          <c:overlay val="0"/>
        </c:title>
        <c:numFmt formatCode="General" sourceLinked="1"/>
        <c:majorTickMark val="out"/>
        <c:minorTickMark val="none"/>
        <c:tickLblPos val="nextTo"/>
        <c:crossAx val="107131264"/>
        <c:crosses val="autoZero"/>
        <c:crossBetween val="between"/>
      </c:valAx>
    </c:plotArea>
    <c:legend>
      <c:legendPos val="r"/>
      <c:layout>
        <c:manualLayout>
          <c:xMode val="edge"/>
          <c:yMode val="edge"/>
          <c:x val="0.12864209042636518"/>
          <c:y val="5.0009862087318592E-2"/>
          <c:w val="0.15456169697760336"/>
          <c:h val="0.14390304576702487"/>
        </c:manualLayout>
      </c:layout>
      <c:overlay val="0"/>
      <c:spPr>
        <a:noFill/>
        <a:ln w="19050">
          <a:noFill/>
        </a:ln>
      </c:spPr>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solidFill>
                <a:schemeClr val="bg1"/>
              </a:solidFill>
              <a:ln w="19050">
                <a:solidFill>
                  <a:schemeClr val="tx1"/>
                </a:solidFill>
              </a:ln>
            </c:spPr>
          </c:dPt>
          <c:dPt>
            <c:idx val="6"/>
            <c:invertIfNegative val="0"/>
            <c:bubble3D val="0"/>
            <c:spPr>
              <a:solidFill>
                <a:schemeClr val="bg1"/>
              </a:solidFill>
              <a:ln w="19050">
                <a:solidFill>
                  <a:schemeClr val="tx1"/>
                </a:solidFill>
              </a:ln>
            </c:spPr>
          </c:dPt>
          <c:errBars>
            <c:errBarType val="both"/>
            <c:errValType val="cust"/>
            <c:noEndCap val="0"/>
            <c:plus>
              <c:numRef>
                <c:f>'[1]SMCRA 1'!$O$23:$O$29</c:f>
                <c:numCache>
                  <c:formatCode>General</c:formatCode>
                  <c:ptCount val="7"/>
                  <c:pt idx="0">
                    <c:v>9.6902271923654804E-2</c:v>
                  </c:pt>
                  <c:pt idx="1">
                    <c:v>0.16796782052363399</c:v>
                  </c:pt>
                  <c:pt idx="2">
                    <c:v>9.8255247481607494E-2</c:v>
                  </c:pt>
                  <c:pt idx="3">
                    <c:v>0.11216195906861</c:v>
                  </c:pt>
                  <c:pt idx="4">
                    <c:v>7.9757342990315103E-2</c:v>
                  </c:pt>
                  <c:pt idx="5">
                    <c:v>0.25378120457087799</c:v>
                  </c:pt>
                  <c:pt idx="6">
                    <c:v>0.117869776417679</c:v>
                  </c:pt>
                </c:numCache>
              </c:numRef>
            </c:plus>
            <c:minus>
              <c:numRef>
                <c:f>'[1]SMCRA 1'!$O$23:$O$29</c:f>
                <c:numCache>
                  <c:formatCode>General</c:formatCode>
                  <c:ptCount val="7"/>
                  <c:pt idx="0">
                    <c:v>9.6902271923654804E-2</c:v>
                  </c:pt>
                  <c:pt idx="1">
                    <c:v>0.16796782052363399</c:v>
                  </c:pt>
                  <c:pt idx="2">
                    <c:v>9.8255247481607494E-2</c:v>
                  </c:pt>
                  <c:pt idx="3">
                    <c:v>0.11216195906861</c:v>
                  </c:pt>
                  <c:pt idx="4">
                    <c:v>7.9757342990315103E-2</c:v>
                  </c:pt>
                  <c:pt idx="5">
                    <c:v>0.25378120457087799</c:v>
                  </c:pt>
                  <c:pt idx="6">
                    <c:v>0.117869776417679</c:v>
                  </c:pt>
                </c:numCache>
              </c:numRef>
            </c:minus>
          </c:errBars>
          <c:cat>
            <c:strRef>
              <c:f>'[1]SMCRA 1'!$J$6:$J$12</c:f>
              <c:strCache>
                <c:ptCount val="7"/>
                <c:pt idx="0">
                  <c:v>Intact</c:v>
                </c:pt>
                <c:pt idx="1">
                  <c:v>No nemas</c:v>
                </c:pt>
                <c:pt idx="2">
                  <c:v>Forest</c:v>
                </c:pt>
                <c:pt idx="3">
                  <c:v>FRA 1</c:v>
                </c:pt>
                <c:pt idx="4">
                  <c:v>FRA 15</c:v>
                </c:pt>
                <c:pt idx="5">
                  <c:v>SMCRA 1</c:v>
                </c:pt>
                <c:pt idx="6">
                  <c:v>SMCRA 15</c:v>
                </c:pt>
              </c:strCache>
            </c:strRef>
          </c:cat>
          <c:val>
            <c:numRef>
              <c:f>'[1]SMCRA 1'!$O$6:$O$12</c:f>
              <c:numCache>
                <c:formatCode>General</c:formatCode>
                <c:ptCount val="7"/>
                <c:pt idx="0">
                  <c:v>0.99080382585525595</c:v>
                </c:pt>
                <c:pt idx="1">
                  <c:v>1.051304495334626</c:v>
                </c:pt>
                <c:pt idx="2">
                  <c:v>0.71896092891693097</c:v>
                </c:pt>
                <c:pt idx="3">
                  <c:v>0.82106987237930296</c:v>
                </c:pt>
                <c:pt idx="4">
                  <c:v>0.98385549783706805</c:v>
                </c:pt>
                <c:pt idx="5">
                  <c:v>0.82106987237930296</c:v>
                </c:pt>
                <c:pt idx="6">
                  <c:v>1.1555486470460881</c:v>
                </c:pt>
              </c:numCache>
            </c:numRef>
          </c:val>
        </c:ser>
        <c:dLbls>
          <c:showLegendKey val="0"/>
          <c:showVal val="0"/>
          <c:showCatName val="0"/>
          <c:showSerName val="0"/>
          <c:showPercent val="0"/>
          <c:showBubbleSize val="0"/>
        </c:dLbls>
        <c:gapWidth val="100"/>
        <c:axId val="107173376"/>
        <c:axId val="107175296"/>
      </c:barChart>
      <c:catAx>
        <c:axId val="107173376"/>
        <c:scaling>
          <c:orientation val="minMax"/>
        </c:scaling>
        <c:delete val="0"/>
        <c:axPos val="b"/>
        <c:title>
          <c:tx>
            <c:rich>
              <a:bodyPr/>
              <a:lstStyle/>
              <a:p>
                <a:pPr>
                  <a:defRPr/>
                </a:pPr>
                <a:r>
                  <a:rPr lang="en-US"/>
                  <a:t>Nematode Communities added to SMCRA soil</a:t>
                </a:r>
              </a:p>
            </c:rich>
          </c:tx>
          <c:overlay val="0"/>
        </c:title>
        <c:majorTickMark val="none"/>
        <c:minorTickMark val="none"/>
        <c:tickLblPos val="nextTo"/>
        <c:crossAx val="107175296"/>
        <c:crosses val="autoZero"/>
        <c:auto val="1"/>
        <c:lblAlgn val="ctr"/>
        <c:lblOffset val="100"/>
        <c:noMultiLvlLbl val="0"/>
      </c:catAx>
      <c:valAx>
        <c:axId val="107175296"/>
        <c:scaling>
          <c:orientation val="minMax"/>
          <c:max val="2"/>
        </c:scaling>
        <c:delete val="0"/>
        <c:axPos val="l"/>
        <c:title>
          <c:tx>
            <c:rich>
              <a:bodyPr/>
              <a:lstStyle/>
              <a:p>
                <a:pPr>
                  <a:defRPr/>
                </a:pPr>
                <a:r>
                  <a:rPr lang="en-US"/>
                  <a:t>Leaf  Nitrogen Content (% by weight)</a:t>
                </a:r>
              </a:p>
            </c:rich>
          </c:tx>
          <c:overlay val="0"/>
        </c:title>
        <c:numFmt formatCode="General" sourceLinked="1"/>
        <c:majorTickMark val="out"/>
        <c:minorTickMark val="none"/>
        <c:tickLblPos val="nextTo"/>
        <c:crossAx val="107173376"/>
        <c:crosses val="autoZero"/>
        <c:crossBetween val="between"/>
      </c:valAx>
    </c:plotArea>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33573928259001"/>
          <c:y val="6.5289442986293397E-2"/>
          <c:w val="0.83855314960629901"/>
          <c:h val="0.73444808982210497"/>
        </c:manualLayout>
      </c:layout>
      <c:barChart>
        <c:barDir val="col"/>
        <c:grouping val="clustered"/>
        <c:varyColors val="0"/>
        <c:ser>
          <c:idx val="0"/>
          <c:order val="0"/>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solidFill>
                <a:schemeClr val="bg1"/>
              </a:solidFill>
              <a:ln w="19050">
                <a:solidFill>
                  <a:schemeClr val="tx1"/>
                </a:solidFill>
              </a:ln>
            </c:spPr>
          </c:dPt>
          <c:dPt>
            <c:idx val="6"/>
            <c:invertIfNegative val="0"/>
            <c:bubble3D val="0"/>
            <c:spPr>
              <a:solidFill>
                <a:schemeClr val="bg1"/>
              </a:solidFill>
              <a:ln w="19050">
                <a:solidFill>
                  <a:schemeClr val="tx1"/>
                </a:solidFill>
              </a:ln>
            </c:spPr>
          </c:dPt>
          <c:errBars>
            <c:errBarType val="both"/>
            <c:errValType val="cust"/>
            <c:noEndCap val="0"/>
            <c:plus>
              <c:numRef>
                <c:f>'[1]SMCRA 1'!$Q$23:$Q$29</c:f>
                <c:numCache>
                  <c:formatCode>General</c:formatCode>
                  <c:ptCount val="7"/>
                  <c:pt idx="0">
                    <c:v>4.1635186882208366</c:v>
                  </c:pt>
                  <c:pt idx="1">
                    <c:v>4.6808403109709564</c:v>
                  </c:pt>
                  <c:pt idx="2">
                    <c:v>4.8407318110656359</c:v>
                  </c:pt>
                  <c:pt idx="3">
                    <c:v>4.9526324952217902</c:v>
                  </c:pt>
                  <c:pt idx="4">
                    <c:v>3.3935679780582761</c:v>
                  </c:pt>
                  <c:pt idx="5">
                    <c:v>6.5866170306536436</c:v>
                  </c:pt>
                  <c:pt idx="6">
                    <c:v>4.3806200947540122</c:v>
                  </c:pt>
                </c:numCache>
              </c:numRef>
            </c:plus>
            <c:minus>
              <c:numRef>
                <c:f>'[1]SMCRA 1'!$Q$23:$Q$29</c:f>
                <c:numCache>
                  <c:formatCode>General</c:formatCode>
                  <c:ptCount val="7"/>
                  <c:pt idx="0">
                    <c:v>4.1635186882208366</c:v>
                  </c:pt>
                  <c:pt idx="1">
                    <c:v>4.6808403109709564</c:v>
                  </c:pt>
                  <c:pt idx="2">
                    <c:v>4.8407318110656359</c:v>
                  </c:pt>
                  <c:pt idx="3">
                    <c:v>4.9526324952217902</c:v>
                  </c:pt>
                  <c:pt idx="4">
                    <c:v>3.3935679780582761</c:v>
                  </c:pt>
                  <c:pt idx="5">
                    <c:v>6.5866170306536436</c:v>
                  </c:pt>
                  <c:pt idx="6">
                    <c:v>4.3806200947540122</c:v>
                  </c:pt>
                </c:numCache>
              </c:numRef>
            </c:minus>
          </c:errBars>
          <c:cat>
            <c:strRef>
              <c:f>'[1]SMCRA 1'!$J$6:$J$12</c:f>
              <c:strCache>
                <c:ptCount val="7"/>
                <c:pt idx="0">
                  <c:v>Intact</c:v>
                </c:pt>
                <c:pt idx="1">
                  <c:v>No nemas</c:v>
                </c:pt>
                <c:pt idx="2">
                  <c:v>Forest</c:v>
                </c:pt>
                <c:pt idx="3">
                  <c:v>FRA 1</c:v>
                </c:pt>
                <c:pt idx="4">
                  <c:v>FRA 15</c:v>
                </c:pt>
                <c:pt idx="5">
                  <c:v>SMCRA 1</c:v>
                </c:pt>
                <c:pt idx="6">
                  <c:v>SMCRA 15</c:v>
                </c:pt>
              </c:strCache>
            </c:strRef>
          </c:cat>
          <c:val>
            <c:numRef>
              <c:f>'[1]SMCRA 1'!$Q$6:$Q$12</c:f>
              <c:numCache>
                <c:formatCode>General</c:formatCode>
                <c:ptCount val="7"/>
                <c:pt idx="0">
                  <c:v>45.675041102704363</c:v>
                </c:pt>
                <c:pt idx="1">
                  <c:v>44.311720994871251</c:v>
                </c:pt>
                <c:pt idx="2">
                  <c:v>66.320671321629163</c:v>
                </c:pt>
                <c:pt idx="3">
                  <c:v>55.243503316832609</c:v>
                </c:pt>
                <c:pt idx="4">
                  <c:v>45.681294526662413</c:v>
                </c:pt>
                <c:pt idx="5">
                  <c:v>40.027879505222351</c:v>
                </c:pt>
                <c:pt idx="6">
                  <c:v>38.833517090788852</c:v>
                </c:pt>
              </c:numCache>
            </c:numRef>
          </c:val>
        </c:ser>
        <c:dLbls>
          <c:showLegendKey val="0"/>
          <c:showVal val="0"/>
          <c:showCatName val="0"/>
          <c:showSerName val="0"/>
          <c:showPercent val="0"/>
          <c:showBubbleSize val="0"/>
        </c:dLbls>
        <c:gapWidth val="99"/>
        <c:axId val="107206912"/>
        <c:axId val="107286912"/>
      </c:barChart>
      <c:catAx>
        <c:axId val="107206912"/>
        <c:scaling>
          <c:orientation val="minMax"/>
        </c:scaling>
        <c:delete val="0"/>
        <c:axPos val="b"/>
        <c:title>
          <c:tx>
            <c:rich>
              <a:bodyPr/>
              <a:lstStyle/>
              <a:p>
                <a:pPr>
                  <a:defRPr/>
                </a:pPr>
                <a:r>
                  <a:rPr lang="en-US"/>
                  <a:t>Nematode Community added to SMCRA 1 Soil</a:t>
                </a:r>
              </a:p>
            </c:rich>
          </c:tx>
          <c:layout/>
          <c:overlay val="0"/>
        </c:title>
        <c:majorTickMark val="none"/>
        <c:minorTickMark val="none"/>
        <c:tickLblPos val="nextTo"/>
        <c:crossAx val="107286912"/>
        <c:crosses val="autoZero"/>
        <c:auto val="1"/>
        <c:lblAlgn val="ctr"/>
        <c:lblOffset val="100"/>
        <c:noMultiLvlLbl val="0"/>
      </c:catAx>
      <c:valAx>
        <c:axId val="107286912"/>
        <c:scaling>
          <c:orientation val="minMax"/>
        </c:scaling>
        <c:delete val="0"/>
        <c:axPos val="l"/>
        <c:title>
          <c:tx>
            <c:rich>
              <a:bodyPr/>
              <a:lstStyle/>
              <a:p>
                <a:pPr>
                  <a:defRPr/>
                </a:pPr>
                <a:r>
                  <a:rPr lang="en-US"/>
                  <a:t>Leaf C:N Ratio</a:t>
                </a:r>
              </a:p>
            </c:rich>
          </c:tx>
          <c:layout/>
          <c:overlay val="0"/>
        </c:title>
        <c:numFmt formatCode="General" sourceLinked="1"/>
        <c:majorTickMark val="out"/>
        <c:minorTickMark val="none"/>
        <c:tickLblPos val="nextTo"/>
        <c:crossAx val="107206912"/>
        <c:crosses val="autoZero"/>
        <c:crossBetween val="between"/>
      </c:valAx>
    </c:plotArea>
    <c:plotVisOnly val="1"/>
    <c:dispBlanksAs val="gap"/>
    <c:showDLblsOverMax val="0"/>
  </c:chart>
  <c:externalData r:id="rId1">
    <c:autoUpdate val="0"/>
  </c:externalData>
  <c:userShapes r:id="rId2"/>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'[1]FRA 15'!$L$4</c:f>
              <c:strCache>
                <c:ptCount val="1"/>
                <c:pt idx="0">
                  <c:v>Below</c:v>
                </c:pt>
              </c:strCache>
            </c:strRef>
          </c:tx>
          <c:spPr>
            <a:solidFill>
              <a:srgbClr val="64432E"/>
            </a:solidFill>
            <a:ln>
              <a:solidFill>
                <a:srgbClr val="64432E"/>
              </a:solidFill>
            </a:ln>
          </c:spPr>
          <c:invertIfNegative val="0"/>
          <c:errBars>
            <c:errBarType val="both"/>
            <c:errValType val="cust"/>
            <c:noEndCap val="0"/>
            <c:plus>
              <c:numRef>
                <c:f>'[1]FRA 15'!$L$24:$L$30</c:f>
                <c:numCache>
                  <c:formatCode>General</c:formatCode>
                  <c:ptCount val="7"/>
                  <c:pt idx="0">
                    <c:v>2.71293199325011E-2</c:v>
                  </c:pt>
                  <c:pt idx="1">
                    <c:v>3.8678159211627303E-2</c:v>
                  </c:pt>
                  <c:pt idx="2">
                    <c:v>5.7497826045860199E-2</c:v>
                  </c:pt>
                  <c:pt idx="3">
                    <c:v>9.3733665243603895E-2</c:v>
                  </c:pt>
                  <c:pt idx="4">
                    <c:v>7.2636079189339495E-2</c:v>
                  </c:pt>
                  <c:pt idx="5">
                    <c:v>7.3484692283495301E-2</c:v>
                  </c:pt>
                  <c:pt idx="6">
                    <c:v>7.2567210226106904E-2</c:v>
                  </c:pt>
                </c:numCache>
              </c:numRef>
            </c:plus>
            <c:minus>
              <c:numRef>
                <c:f>'[1]FRA 15'!$L$24:$L$30</c:f>
                <c:numCache>
                  <c:formatCode>General</c:formatCode>
                  <c:ptCount val="7"/>
                  <c:pt idx="0">
                    <c:v>2.71293199325011E-2</c:v>
                  </c:pt>
                  <c:pt idx="1">
                    <c:v>3.8678159211627303E-2</c:v>
                  </c:pt>
                  <c:pt idx="2">
                    <c:v>5.7497826045860199E-2</c:v>
                  </c:pt>
                  <c:pt idx="3">
                    <c:v>9.3733665243603895E-2</c:v>
                  </c:pt>
                  <c:pt idx="4">
                    <c:v>7.2636079189339495E-2</c:v>
                  </c:pt>
                  <c:pt idx="5">
                    <c:v>7.3484692283495301E-2</c:v>
                  </c:pt>
                  <c:pt idx="6">
                    <c:v>7.2567210226106904E-2</c:v>
                  </c:pt>
                </c:numCache>
              </c:numRef>
            </c:minus>
          </c:errBars>
          <c:cat>
            <c:strRef>
              <c:f>'[1]FRA 15'!$K$5:$K$11</c:f>
              <c:strCache>
                <c:ptCount val="7"/>
                <c:pt idx="0">
                  <c:v>Intact</c:v>
                </c:pt>
                <c:pt idx="1">
                  <c:v>No nematodes</c:v>
                </c:pt>
                <c:pt idx="2">
                  <c:v>Forest</c:v>
                </c:pt>
                <c:pt idx="3">
                  <c:v>FRA1</c:v>
                </c:pt>
                <c:pt idx="4">
                  <c:v>FRA15</c:v>
                </c:pt>
                <c:pt idx="5">
                  <c:v>SMCRA1</c:v>
                </c:pt>
                <c:pt idx="6">
                  <c:v>SMCRA15</c:v>
                </c:pt>
              </c:strCache>
            </c:strRef>
          </c:cat>
          <c:val>
            <c:numRef>
              <c:f>'[1]FRA 15'!$L$5:$L$11</c:f>
              <c:numCache>
                <c:formatCode>General</c:formatCode>
                <c:ptCount val="7"/>
                <c:pt idx="0">
                  <c:v>0.32800000000000001</c:v>
                </c:pt>
                <c:pt idx="1">
                  <c:v>0.27600000000000002</c:v>
                </c:pt>
                <c:pt idx="2">
                  <c:v>0.3</c:v>
                </c:pt>
                <c:pt idx="3">
                  <c:v>0.52500000000000002</c:v>
                </c:pt>
                <c:pt idx="4">
                  <c:v>0.32</c:v>
                </c:pt>
                <c:pt idx="5">
                  <c:v>0.378</c:v>
                </c:pt>
                <c:pt idx="6">
                  <c:v>0.30499999999999999</c:v>
                </c:pt>
              </c:numCache>
            </c:numRef>
          </c:val>
        </c:ser>
        <c:ser>
          <c:idx val="1"/>
          <c:order val="1"/>
          <c:tx>
            <c:strRef>
              <c:f>'[1]FRA 15'!$M$4</c:f>
              <c:strCache>
                <c:ptCount val="1"/>
                <c:pt idx="0">
                  <c:v>Above</c:v>
                </c:pt>
              </c:strCache>
            </c:strRef>
          </c:tx>
          <c:spPr>
            <a:solidFill>
              <a:schemeClr val="accent3"/>
            </a:solidFill>
          </c:spPr>
          <c:invertIfNegative val="0"/>
          <c:errBars>
            <c:errBarType val="both"/>
            <c:errValType val="cust"/>
            <c:noEndCap val="0"/>
            <c:plus>
              <c:numRef>
                <c:f>'[1]FRA 15'!$M$24:$M$30</c:f>
                <c:numCache>
                  <c:formatCode>General</c:formatCode>
                  <c:ptCount val="7"/>
                  <c:pt idx="0">
                    <c:v>5.1807335387954401E-2</c:v>
                  </c:pt>
                  <c:pt idx="1">
                    <c:v>3.5580893749314398E-2</c:v>
                  </c:pt>
                  <c:pt idx="2">
                    <c:v>5.9329587896765297E-2</c:v>
                  </c:pt>
                  <c:pt idx="3">
                    <c:v>5.5602757725374499E-2</c:v>
                  </c:pt>
                  <c:pt idx="4">
                    <c:v>5.9413803110051698E-2</c:v>
                  </c:pt>
                  <c:pt idx="5">
                    <c:v>8.0149859638055501E-2</c:v>
                  </c:pt>
                  <c:pt idx="6">
                    <c:v>5.8051701094799901E-2</c:v>
                  </c:pt>
                </c:numCache>
              </c:numRef>
            </c:plus>
            <c:minus>
              <c:numRef>
                <c:f>'[1]FRA 15'!$M$24:$M$30</c:f>
                <c:numCache>
                  <c:formatCode>General</c:formatCode>
                  <c:ptCount val="7"/>
                  <c:pt idx="0">
                    <c:v>5.1807335387954401E-2</c:v>
                  </c:pt>
                  <c:pt idx="1">
                    <c:v>3.5580893749314398E-2</c:v>
                  </c:pt>
                  <c:pt idx="2">
                    <c:v>5.9329587896765297E-2</c:v>
                  </c:pt>
                  <c:pt idx="3">
                    <c:v>5.5602757725374499E-2</c:v>
                  </c:pt>
                  <c:pt idx="4">
                    <c:v>5.9413803110051698E-2</c:v>
                  </c:pt>
                  <c:pt idx="5">
                    <c:v>8.0149859638055501E-2</c:v>
                  </c:pt>
                  <c:pt idx="6">
                    <c:v>5.8051701094799901E-2</c:v>
                  </c:pt>
                </c:numCache>
              </c:numRef>
            </c:minus>
          </c:errBars>
          <c:cat>
            <c:strRef>
              <c:f>'[1]FRA 15'!$K$5:$K$11</c:f>
              <c:strCache>
                <c:ptCount val="7"/>
                <c:pt idx="0">
                  <c:v>Intact</c:v>
                </c:pt>
                <c:pt idx="1">
                  <c:v>No nematodes</c:v>
                </c:pt>
                <c:pt idx="2">
                  <c:v>Forest</c:v>
                </c:pt>
                <c:pt idx="3">
                  <c:v>FRA1</c:v>
                </c:pt>
                <c:pt idx="4">
                  <c:v>FRA15</c:v>
                </c:pt>
                <c:pt idx="5">
                  <c:v>SMCRA1</c:v>
                </c:pt>
                <c:pt idx="6">
                  <c:v>SMCRA15</c:v>
                </c:pt>
              </c:strCache>
            </c:strRef>
          </c:cat>
          <c:val>
            <c:numRef>
              <c:f>'[1]FRA 15'!$M$5:$M$11</c:f>
              <c:numCache>
                <c:formatCode>General</c:formatCode>
                <c:ptCount val="7"/>
                <c:pt idx="0">
                  <c:v>0.27600000000000002</c:v>
                </c:pt>
                <c:pt idx="1">
                  <c:v>0.28599999999999998</c:v>
                </c:pt>
                <c:pt idx="2">
                  <c:v>0.28599999999999998</c:v>
                </c:pt>
                <c:pt idx="3">
                  <c:v>0.374</c:v>
                </c:pt>
                <c:pt idx="4">
                  <c:v>0.27600000000000002</c:v>
                </c:pt>
                <c:pt idx="5">
                  <c:v>0.39</c:v>
                </c:pt>
                <c:pt idx="6">
                  <c:v>0.33250000000000002</c:v>
                </c:pt>
              </c:numCache>
            </c:numRef>
          </c:val>
        </c:ser>
        <c:dLbls>
          <c:showLegendKey val="0"/>
          <c:showVal val="0"/>
          <c:showCatName val="0"/>
          <c:showSerName val="0"/>
          <c:showPercent val="0"/>
          <c:showBubbleSize val="0"/>
        </c:dLbls>
        <c:gapWidth val="75"/>
        <c:overlap val="100"/>
        <c:axId val="107325696"/>
        <c:axId val="107340160"/>
      </c:barChart>
      <c:catAx>
        <c:axId val="107325696"/>
        <c:scaling>
          <c:orientation val="minMax"/>
        </c:scaling>
        <c:delete val="0"/>
        <c:axPos val="b"/>
        <c:title>
          <c:tx>
            <c:rich>
              <a:bodyPr/>
              <a:lstStyle/>
              <a:p>
                <a:pPr>
                  <a:defRPr/>
                </a:pPr>
                <a:r>
                  <a:rPr lang="en-US"/>
                  <a:t>Nematode communities added to FRA 15 Soils</a:t>
                </a:r>
              </a:p>
            </c:rich>
          </c:tx>
          <c:layout/>
          <c:overlay val="0"/>
        </c:title>
        <c:majorTickMark val="none"/>
        <c:minorTickMark val="none"/>
        <c:tickLblPos val="nextTo"/>
        <c:crossAx val="107340160"/>
        <c:crosses val="autoZero"/>
        <c:auto val="1"/>
        <c:lblAlgn val="ctr"/>
        <c:lblOffset val="100"/>
        <c:noMultiLvlLbl val="0"/>
      </c:catAx>
      <c:valAx>
        <c:axId val="107340160"/>
        <c:scaling>
          <c:orientation val="minMax"/>
        </c:scaling>
        <c:delete val="0"/>
        <c:axPos val="l"/>
        <c:title>
          <c:tx>
            <c:rich>
              <a:bodyPr/>
              <a:lstStyle/>
              <a:p>
                <a:pPr>
                  <a:defRPr/>
                </a:pPr>
                <a:r>
                  <a:rPr lang="en-US"/>
                  <a:t>Plant</a:t>
                </a:r>
                <a:r>
                  <a:rPr lang="en-US" baseline="0"/>
                  <a:t> Biomass (in grams)</a:t>
                </a:r>
                <a:endParaRPr lang="en-US"/>
              </a:p>
            </c:rich>
          </c:tx>
          <c:layout/>
          <c:overlay val="0"/>
        </c:title>
        <c:numFmt formatCode="General" sourceLinked="1"/>
        <c:majorTickMark val="out"/>
        <c:minorTickMark val="none"/>
        <c:tickLblPos val="nextTo"/>
        <c:crossAx val="107325696"/>
        <c:crosses val="autoZero"/>
        <c:crossBetween val="between"/>
      </c:valAx>
      <c:spPr>
        <a:noFill/>
        <a:ln w="25400">
          <a:noFill/>
        </a:ln>
      </c:spPr>
    </c:plotArea>
    <c:legend>
      <c:legendPos val="r"/>
      <c:layout>
        <c:manualLayout>
          <c:xMode val="edge"/>
          <c:yMode val="edge"/>
          <c:x val="0.13460506241757889"/>
          <c:y val="5.4039409252947847E-2"/>
          <c:w val="9.8277575751437918E-2"/>
          <c:h val="0.14390309085263894"/>
        </c:manualLayout>
      </c:layout>
      <c:overlay val="0"/>
      <c:spPr>
        <a:ln w="19050">
          <a:noFill/>
        </a:ln>
      </c:spPr>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noFill/>
              <a:ln w="19050">
                <a:solidFill>
                  <a:schemeClr val="tx1"/>
                </a:solidFill>
              </a:ln>
            </c:spPr>
          </c:dPt>
          <c:dPt>
            <c:idx val="6"/>
            <c:invertIfNegative val="0"/>
            <c:bubble3D val="0"/>
            <c:spPr>
              <a:noFill/>
              <a:ln w="19050">
                <a:solidFill>
                  <a:schemeClr val="tx1"/>
                </a:solidFill>
              </a:ln>
            </c:spPr>
          </c:dPt>
          <c:errBars>
            <c:errBarType val="both"/>
            <c:errValType val="cust"/>
            <c:noEndCap val="0"/>
            <c:plus>
              <c:numRef>
                <c:f>'[1]FRA 15'!$O$24:$O$30</c:f>
                <c:numCache>
                  <c:formatCode>General</c:formatCode>
                  <c:ptCount val="7"/>
                  <c:pt idx="0">
                    <c:v>0.160293801737834</c:v>
                  </c:pt>
                  <c:pt idx="1">
                    <c:v>0.18610218314614399</c:v>
                  </c:pt>
                  <c:pt idx="2">
                    <c:v>0.35879052484810797</c:v>
                  </c:pt>
                  <c:pt idx="3">
                    <c:v>5.6692979376430003E-2</c:v>
                  </c:pt>
                  <c:pt idx="4">
                    <c:v>0.15432763160632099</c:v>
                  </c:pt>
                  <c:pt idx="5">
                    <c:v>0.17322922461159099</c:v>
                  </c:pt>
                  <c:pt idx="6">
                    <c:v>0.17633443004517099</c:v>
                  </c:pt>
                </c:numCache>
              </c:numRef>
            </c:plus>
            <c:minus>
              <c:numRef>
                <c:f>'[1]FRA 15'!$O$24:$O$30</c:f>
                <c:numCache>
                  <c:formatCode>General</c:formatCode>
                  <c:ptCount val="7"/>
                  <c:pt idx="0">
                    <c:v>0.160293801737834</c:v>
                  </c:pt>
                  <c:pt idx="1">
                    <c:v>0.18610218314614399</c:v>
                  </c:pt>
                  <c:pt idx="2">
                    <c:v>0.35879052484810797</c:v>
                  </c:pt>
                  <c:pt idx="3">
                    <c:v>5.6692979376430003E-2</c:v>
                  </c:pt>
                  <c:pt idx="4">
                    <c:v>0.15432763160632099</c:v>
                  </c:pt>
                  <c:pt idx="5">
                    <c:v>0.17322922461159099</c:v>
                  </c:pt>
                  <c:pt idx="6">
                    <c:v>0.17633443004517099</c:v>
                  </c:pt>
                </c:numCache>
              </c:numRef>
            </c:minus>
          </c:errBars>
          <c:cat>
            <c:strRef>
              <c:f>'[1]FRA 15'!$K$5:$K$11</c:f>
              <c:strCache>
                <c:ptCount val="7"/>
                <c:pt idx="0">
                  <c:v>Intact</c:v>
                </c:pt>
                <c:pt idx="1">
                  <c:v>No nematodes</c:v>
                </c:pt>
                <c:pt idx="2">
                  <c:v>Forest</c:v>
                </c:pt>
                <c:pt idx="3">
                  <c:v>FRA1</c:v>
                </c:pt>
                <c:pt idx="4">
                  <c:v>FRA15</c:v>
                </c:pt>
                <c:pt idx="5">
                  <c:v>SMCRA1</c:v>
                </c:pt>
                <c:pt idx="6">
                  <c:v>SMCRA15</c:v>
                </c:pt>
              </c:strCache>
            </c:strRef>
          </c:cat>
          <c:val>
            <c:numRef>
              <c:f>'[1]FRA 15'!$O$5:$O$11</c:f>
              <c:numCache>
                <c:formatCode>General</c:formatCode>
                <c:ptCount val="7"/>
                <c:pt idx="0">
                  <c:v>1.1162608265876801</c:v>
                </c:pt>
                <c:pt idx="1">
                  <c:v>1.2653853893280049</c:v>
                </c:pt>
                <c:pt idx="2">
                  <c:v>1.6207879384358741</c:v>
                </c:pt>
                <c:pt idx="3">
                  <c:v>1.3951125144958501</c:v>
                </c:pt>
                <c:pt idx="4">
                  <c:v>1.4815796613693191</c:v>
                </c:pt>
                <c:pt idx="5">
                  <c:v>1.641444659233094</c:v>
                </c:pt>
                <c:pt idx="6">
                  <c:v>1.8925137519836419</c:v>
                </c:pt>
              </c:numCache>
            </c:numRef>
          </c:val>
        </c:ser>
        <c:dLbls>
          <c:showLegendKey val="0"/>
          <c:showVal val="0"/>
          <c:showCatName val="0"/>
          <c:showSerName val="0"/>
          <c:showPercent val="0"/>
          <c:showBubbleSize val="0"/>
        </c:dLbls>
        <c:gapWidth val="101"/>
        <c:axId val="107376000"/>
        <c:axId val="107378176"/>
      </c:barChart>
      <c:catAx>
        <c:axId val="107376000"/>
        <c:scaling>
          <c:orientation val="minMax"/>
        </c:scaling>
        <c:delete val="0"/>
        <c:axPos val="b"/>
        <c:title>
          <c:tx>
            <c:rich>
              <a:bodyPr/>
              <a:lstStyle/>
              <a:p>
                <a:pPr>
                  <a:defRPr/>
                </a:pPr>
                <a:r>
                  <a:rPr lang="en-US"/>
                  <a:t>Nematode Community added to FRA</a:t>
                </a:r>
                <a:r>
                  <a:rPr lang="en-US" baseline="0"/>
                  <a:t>15 Soil</a:t>
                </a:r>
                <a:endParaRPr lang="en-US"/>
              </a:p>
            </c:rich>
          </c:tx>
          <c:layout/>
          <c:overlay val="0"/>
        </c:title>
        <c:majorTickMark val="none"/>
        <c:minorTickMark val="none"/>
        <c:tickLblPos val="nextTo"/>
        <c:crossAx val="107378176"/>
        <c:crosses val="autoZero"/>
        <c:auto val="1"/>
        <c:lblAlgn val="ctr"/>
        <c:lblOffset val="100"/>
        <c:noMultiLvlLbl val="0"/>
      </c:catAx>
      <c:valAx>
        <c:axId val="107378176"/>
        <c:scaling>
          <c:orientation val="minMax"/>
          <c:max val="2.5"/>
        </c:scaling>
        <c:delete val="0"/>
        <c:axPos val="l"/>
        <c:title>
          <c:tx>
            <c:rich>
              <a:bodyPr/>
              <a:lstStyle/>
              <a:p>
                <a:pPr>
                  <a:defRPr/>
                </a:pPr>
                <a:r>
                  <a:rPr lang="en-US"/>
                  <a:t>Leaf Nitrogen content (% by Weight)</a:t>
                </a:r>
              </a:p>
            </c:rich>
          </c:tx>
          <c:layout/>
          <c:overlay val="0"/>
        </c:title>
        <c:numFmt formatCode="General" sourceLinked="1"/>
        <c:majorTickMark val="out"/>
        <c:minorTickMark val="none"/>
        <c:tickLblPos val="nextTo"/>
        <c:crossAx val="107376000"/>
        <c:crosses val="autoZero"/>
        <c:crossBetween val="between"/>
      </c:valAx>
    </c:plotArea>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bg1">
                <a:lumMod val="85000"/>
              </a:schemeClr>
            </a:solidFill>
            <a:ln w="19050">
              <a:solidFill>
                <a:schemeClr val="tx1"/>
              </a:solidFill>
            </a:ln>
          </c:spPr>
          <c:invertIfNegative val="0"/>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solidFill>
                <a:schemeClr val="bg1"/>
              </a:solidFill>
              <a:ln w="19050">
                <a:solidFill>
                  <a:schemeClr val="tx1"/>
                </a:solidFill>
              </a:ln>
            </c:spPr>
          </c:dPt>
          <c:dPt>
            <c:idx val="6"/>
            <c:invertIfNegative val="0"/>
            <c:bubble3D val="0"/>
            <c:spPr>
              <a:solidFill>
                <a:schemeClr val="bg1"/>
              </a:solidFill>
              <a:ln w="19050">
                <a:solidFill>
                  <a:schemeClr val="tx1"/>
                </a:solidFill>
              </a:ln>
            </c:spPr>
          </c:dPt>
          <c:errBars>
            <c:errBarType val="both"/>
            <c:errValType val="cust"/>
            <c:noEndCap val="0"/>
            <c:plus>
              <c:numRef>
                <c:f>'[1]FRA 15'!$Q$24:$Q$30</c:f>
                <c:numCache>
                  <c:formatCode>General</c:formatCode>
                  <c:ptCount val="7"/>
                  <c:pt idx="0">
                    <c:v>8.3370580191448322</c:v>
                  </c:pt>
                  <c:pt idx="1">
                    <c:v>4.879858348415369</c:v>
                  </c:pt>
                  <c:pt idx="2">
                    <c:v>8.0773997046917803</c:v>
                  </c:pt>
                  <c:pt idx="3">
                    <c:v>0.95338504807173197</c:v>
                  </c:pt>
                  <c:pt idx="4">
                    <c:v>2.5335335023854899</c:v>
                  </c:pt>
                  <c:pt idx="5">
                    <c:v>3.1240654365970721</c:v>
                  </c:pt>
                  <c:pt idx="6">
                    <c:v>2.5024383307103202</c:v>
                  </c:pt>
                </c:numCache>
              </c:numRef>
            </c:plus>
            <c:minus>
              <c:numRef>
                <c:f>'[1]FRA 15'!$Q$24:$Q$30</c:f>
                <c:numCache>
                  <c:formatCode>General</c:formatCode>
                  <c:ptCount val="7"/>
                  <c:pt idx="0">
                    <c:v>8.3370580191448322</c:v>
                  </c:pt>
                  <c:pt idx="1">
                    <c:v>4.879858348415369</c:v>
                  </c:pt>
                  <c:pt idx="2">
                    <c:v>8.0773997046917803</c:v>
                  </c:pt>
                  <c:pt idx="3">
                    <c:v>0.95338504807173197</c:v>
                  </c:pt>
                  <c:pt idx="4">
                    <c:v>2.5335335023854899</c:v>
                  </c:pt>
                  <c:pt idx="5">
                    <c:v>3.1240654365970721</c:v>
                  </c:pt>
                  <c:pt idx="6">
                    <c:v>2.5024383307103202</c:v>
                  </c:pt>
                </c:numCache>
              </c:numRef>
            </c:minus>
          </c:errBars>
          <c:cat>
            <c:strRef>
              <c:f>'[1]FRA 15'!$K$5:$K$11</c:f>
              <c:strCache>
                <c:ptCount val="7"/>
                <c:pt idx="0">
                  <c:v>Intact</c:v>
                </c:pt>
                <c:pt idx="1">
                  <c:v>No nematodes</c:v>
                </c:pt>
                <c:pt idx="2">
                  <c:v>Forest</c:v>
                </c:pt>
                <c:pt idx="3">
                  <c:v>FRA1</c:v>
                </c:pt>
                <c:pt idx="4">
                  <c:v>FRA15</c:v>
                </c:pt>
                <c:pt idx="5">
                  <c:v>SMCRA1</c:v>
                </c:pt>
                <c:pt idx="6">
                  <c:v>SMCRA15</c:v>
                </c:pt>
              </c:strCache>
            </c:strRef>
          </c:cat>
          <c:val>
            <c:numRef>
              <c:f>'[1]FRA 15'!$Q$5:$Q$11</c:f>
              <c:numCache>
                <c:formatCode>General</c:formatCode>
                <c:ptCount val="7"/>
                <c:pt idx="0">
                  <c:v>44.780512888531703</c:v>
                </c:pt>
                <c:pt idx="1">
                  <c:v>37.372200958191662</c:v>
                </c:pt>
                <c:pt idx="2">
                  <c:v>36.413508496190921</c:v>
                </c:pt>
                <c:pt idx="3">
                  <c:v>31.52591182055394</c:v>
                </c:pt>
                <c:pt idx="4">
                  <c:v>29.106202818298112</c:v>
                </c:pt>
                <c:pt idx="5">
                  <c:v>28.78616206350473</c:v>
                </c:pt>
                <c:pt idx="6">
                  <c:v>23.914493819353702</c:v>
                </c:pt>
              </c:numCache>
            </c:numRef>
          </c:val>
        </c:ser>
        <c:dLbls>
          <c:showLegendKey val="0"/>
          <c:showVal val="0"/>
          <c:showCatName val="0"/>
          <c:showSerName val="0"/>
          <c:showPercent val="0"/>
          <c:showBubbleSize val="0"/>
        </c:dLbls>
        <c:gapWidth val="101"/>
        <c:axId val="107408384"/>
        <c:axId val="107410560"/>
      </c:barChart>
      <c:catAx>
        <c:axId val="107408384"/>
        <c:scaling>
          <c:orientation val="minMax"/>
        </c:scaling>
        <c:delete val="0"/>
        <c:axPos val="b"/>
        <c:title>
          <c:tx>
            <c:rich>
              <a:bodyPr/>
              <a:lstStyle/>
              <a:p>
                <a:pPr>
                  <a:defRPr/>
                </a:pPr>
                <a:r>
                  <a:rPr lang="en-US"/>
                  <a:t>Nematode Community added to FRA</a:t>
                </a:r>
                <a:r>
                  <a:rPr lang="en-US" baseline="0"/>
                  <a:t> </a:t>
                </a:r>
                <a:r>
                  <a:rPr lang="en-US"/>
                  <a:t>15 Soil</a:t>
                </a:r>
              </a:p>
            </c:rich>
          </c:tx>
          <c:layout/>
          <c:overlay val="0"/>
        </c:title>
        <c:majorTickMark val="none"/>
        <c:minorTickMark val="none"/>
        <c:tickLblPos val="nextTo"/>
        <c:crossAx val="107410560"/>
        <c:crosses val="autoZero"/>
        <c:auto val="1"/>
        <c:lblAlgn val="ctr"/>
        <c:lblOffset val="100"/>
        <c:noMultiLvlLbl val="0"/>
      </c:catAx>
      <c:valAx>
        <c:axId val="107410560"/>
        <c:scaling>
          <c:orientation val="minMax"/>
          <c:max val="80"/>
        </c:scaling>
        <c:delete val="0"/>
        <c:axPos val="l"/>
        <c:title>
          <c:tx>
            <c:rich>
              <a:bodyPr/>
              <a:lstStyle/>
              <a:p>
                <a:pPr>
                  <a:defRPr/>
                </a:pPr>
                <a:r>
                  <a:rPr lang="en-US"/>
                  <a:t>Leaf</a:t>
                </a:r>
                <a:r>
                  <a:rPr lang="en-US" baseline="0"/>
                  <a:t> C:N Ratio </a:t>
                </a:r>
                <a:endParaRPr lang="en-US"/>
              </a:p>
            </c:rich>
          </c:tx>
          <c:layout/>
          <c:overlay val="0"/>
        </c:title>
        <c:numFmt formatCode="General" sourceLinked="1"/>
        <c:majorTickMark val="out"/>
        <c:minorTickMark val="none"/>
        <c:tickLblPos val="nextTo"/>
        <c:crossAx val="107408384"/>
        <c:crosses val="autoZero"/>
        <c:crossBetween val="between"/>
      </c:valAx>
    </c:plotArea>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02653088036"/>
          <c:y val="3.6803350400872001E-2"/>
          <c:w val="0.85949757951081518"/>
          <c:h val="0.74657831705463096"/>
        </c:manualLayout>
      </c:layout>
      <c:barChart>
        <c:barDir val="col"/>
        <c:grouping val="stacked"/>
        <c:varyColors val="0"/>
        <c:ser>
          <c:idx val="0"/>
          <c:order val="0"/>
          <c:tx>
            <c:strRef>
              <c:f>'[1]SMCRA 15'!$L$9</c:f>
              <c:strCache>
                <c:ptCount val="1"/>
                <c:pt idx="0">
                  <c:v>Belowground</c:v>
                </c:pt>
              </c:strCache>
            </c:strRef>
          </c:tx>
          <c:spPr>
            <a:solidFill>
              <a:srgbClr val="64432E"/>
            </a:solidFill>
          </c:spPr>
          <c:invertIfNegative val="0"/>
          <c:errBars>
            <c:errBarType val="both"/>
            <c:errValType val="cust"/>
            <c:noEndCap val="0"/>
            <c:plus>
              <c:numRef>
                <c:f>'[1]SMCRA 15'!$L$29:$L$35</c:f>
                <c:numCache>
                  <c:formatCode>General</c:formatCode>
                  <c:ptCount val="7"/>
                  <c:pt idx="0">
                    <c:v>5.9665735560705202E-2</c:v>
                  </c:pt>
                  <c:pt idx="1">
                    <c:v>0.12745979758339501</c:v>
                  </c:pt>
                  <c:pt idx="2">
                    <c:v>3.2465366161495798E-2</c:v>
                  </c:pt>
                  <c:pt idx="3">
                    <c:v>3.5939764421413098E-2</c:v>
                  </c:pt>
                  <c:pt idx="4">
                    <c:v>5.8395205282625699E-2</c:v>
                  </c:pt>
                  <c:pt idx="5">
                    <c:v>7.4188947963965496E-2</c:v>
                  </c:pt>
                  <c:pt idx="6">
                    <c:v>5.7008771254956798E-2</c:v>
                  </c:pt>
                </c:numCache>
              </c:numRef>
            </c:plus>
            <c:minus>
              <c:numRef>
                <c:f>'[1]SMCRA 15'!$L$29:$L$35</c:f>
                <c:numCache>
                  <c:formatCode>General</c:formatCode>
                  <c:ptCount val="7"/>
                  <c:pt idx="0">
                    <c:v>5.9665735560705202E-2</c:v>
                  </c:pt>
                  <c:pt idx="1">
                    <c:v>0.12745979758339501</c:v>
                  </c:pt>
                  <c:pt idx="2">
                    <c:v>3.2465366161495798E-2</c:v>
                  </c:pt>
                  <c:pt idx="3">
                    <c:v>3.5939764421413098E-2</c:v>
                  </c:pt>
                  <c:pt idx="4">
                    <c:v>5.8395205282625699E-2</c:v>
                  </c:pt>
                  <c:pt idx="5">
                    <c:v>7.4188947963965496E-2</c:v>
                  </c:pt>
                  <c:pt idx="6">
                    <c:v>5.7008771254956798E-2</c:v>
                  </c:pt>
                </c:numCache>
              </c:numRef>
            </c:minus>
          </c:errBars>
          <c:cat>
            <c:strRef>
              <c:f>'[1]SMCRA 15'!$K$10:$K$16</c:f>
              <c:strCache>
                <c:ptCount val="7"/>
                <c:pt idx="0">
                  <c:v>Intact</c:v>
                </c:pt>
                <c:pt idx="1">
                  <c:v>No nematodes</c:v>
                </c:pt>
                <c:pt idx="2">
                  <c:v>Forest</c:v>
                </c:pt>
                <c:pt idx="3">
                  <c:v>FRA 1</c:v>
                </c:pt>
                <c:pt idx="4">
                  <c:v>FRA15</c:v>
                </c:pt>
                <c:pt idx="5">
                  <c:v>SMCRA 1</c:v>
                </c:pt>
                <c:pt idx="6">
                  <c:v>SMCRA 15</c:v>
                </c:pt>
              </c:strCache>
            </c:strRef>
          </c:cat>
          <c:val>
            <c:numRef>
              <c:f>'[1]SMCRA 15'!$L$10:$L$16</c:f>
              <c:numCache>
                <c:formatCode>General</c:formatCode>
                <c:ptCount val="7"/>
                <c:pt idx="0">
                  <c:v>0.28999999999999998</c:v>
                </c:pt>
                <c:pt idx="1">
                  <c:v>0.436</c:v>
                </c:pt>
                <c:pt idx="2">
                  <c:v>0.308</c:v>
                </c:pt>
                <c:pt idx="3">
                  <c:v>0.375</c:v>
                </c:pt>
                <c:pt idx="4">
                  <c:v>0.46</c:v>
                </c:pt>
                <c:pt idx="5">
                  <c:v>0.45800000000000002</c:v>
                </c:pt>
                <c:pt idx="6">
                  <c:v>0.51</c:v>
                </c:pt>
              </c:numCache>
            </c:numRef>
          </c:val>
        </c:ser>
        <c:ser>
          <c:idx val="1"/>
          <c:order val="1"/>
          <c:tx>
            <c:strRef>
              <c:f>'[1]SMCRA 15'!$M$9</c:f>
              <c:strCache>
                <c:ptCount val="1"/>
                <c:pt idx="0">
                  <c:v>Aboveground</c:v>
                </c:pt>
              </c:strCache>
            </c:strRef>
          </c:tx>
          <c:spPr>
            <a:solidFill>
              <a:schemeClr val="accent3"/>
            </a:solidFill>
          </c:spPr>
          <c:invertIfNegative val="0"/>
          <c:errBars>
            <c:errBarType val="both"/>
            <c:errValType val="cust"/>
            <c:noEndCap val="0"/>
            <c:plus>
              <c:numRef>
                <c:f>'[1]SMCRA 15'!$M$29:$M$35</c:f>
                <c:numCache>
                  <c:formatCode>General</c:formatCode>
                  <c:ptCount val="7"/>
                  <c:pt idx="0">
                    <c:v>4.86209831245729E-2</c:v>
                  </c:pt>
                  <c:pt idx="1">
                    <c:v>7.6655071586947204E-2</c:v>
                  </c:pt>
                  <c:pt idx="2">
                    <c:v>6.5084560381091894E-2</c:v>
                  </c:pt>
                  <c:pt idx="3">
                    <c:v>0.104482853457717</c:v>
                  </c:pt>
                  <c:pt idx="4">
                    <c:v>7.3252986287249897E-2</c:v>
                  </c:pt>
                  <c:pt idx="5">
                    <c:v>2.8982753492378801E-2</c:v>
                  </c:pt>
                  <c:pt idx="6">
                    <c:v>0.103227903204511</c:v>
                  </c:pt>
                </c:numCache>
              </c:numRef>
            </c:plus>
            <c:minus>
              <c:numRef>
                <c:f>'[1]SMCRA 15'!$M$29:$M$35</c:f>
                <c:numCache>
                  <c:formatCode>General</c:formatCode>
                  <c:ptCount val="7"/>
                  <c:pt idx="0">
                    <c:v>4.86209831245729E-2</c:v>
                  </c:pt>
                  <c:pt idx="1">
                    <c:v>7.6655071586947204E-2</c:v>
                  </c:pt>
                  <c:pt idx="2">
                    <c:v>6.5084560381091894E-2</c:v>
                  </c:pt>
                  <c:pt idx="3">
                    <c:v>0.104482853457717</c:v>
                  </c:pt>
                  <c:pt idx="4">
                    <c:v>7.3252986287249897E-2</c:v>
                  </c:pt>
                  <c:pt idx="5">
                    <c:v>2.8982753492378801E-2</c:v>
                  </c:pt>
                  <c:pt idx="6">
                    <c:v>0.103227903204511</c:v>
                  </c:pt>
                </c:numCache>
              </c:numRef>
            </c:minus>
          </c:errBars>
          <c:cat>
            <c:strRef>
              <c:f>'[1]SMCRA 15'!$K$10:$K$16</c:f>
              <c:strCache>
                <c:ptCount val="7"/>
                <c:pt idx="0">
                  <c:v>Intact</c:v>
                </c:pt>
                <c:pt idx="1">
                  <c:v>No nematodes</c:v>
                </c:pt>
                <c:pt idx="2">
                  <c:v>Forest</c:v>
                </c:pt>
                <c:pt idx="3">
                  <c:v>FRA 1</c:v>
                </c:pt>
                <c:pt idx="4">
                  <c:v>FRA15</c:v>
                </c:pt>
                <c:pt idx="5">
                  <c:v>SMCRA 1</c:v>
                </c:pt>
                <c:pt idx="6">
                  <c:v>SMCRA 15</c:v>
                </c:pt>
              </c:strCache>
            </c:strRef>
          </c:cat>
          <c:val>
            <c:numRef>
              <c:f>'[1]SMCRA 15'!$M$10:$M$16</c:f>
              <c:numCache>
                <c:formatCode>General</c:formatCode>
                <c:ptCount val="7"/>
                <c:pt idx="0">
                  <c:v>0.32200000000000001</c:v>
                </c:pt>
                <c:pt idx="1">
                  <c:v>0.504</c:v>
                </c:pt>
                <c:pt idx="2">
                  <c:v>0.434</c:v>
                </c:pt>
                <c:pt idx="3">
                  <c:v>0.39</c:v>
                </c:pt>
                <c:pt idx="4">
                  <c:v>0.47599999999999998</c:v>
                </c:pt>
                <c:pt idx="5">
                  <c:v>0.5</c:v>
                </c:pt>
                <c:pt idx="6">
                  <c:v>0.65600000000000003</c:v>
                </c:pt>
              </c:numCache>
            </c:numRef>
          </c:val>
        </c:ser>
        <c:dLbls>
          <c:showLegendKey val="0"/>
          <c:showVal val="0"/>
          <c:showCatName val="0"/>
          <c:showSerName val="0"/>
          <c:showPercent val="0"/>
          <c:showBubbleSize val="0"/>
        </c:dLbls>
        <c:gapWidth val="75"/>
        <c:overlap val="100"/>
        <c:axId val="107440384"/>
        <c:axId val="107450752"/>
      </c:barChart>
      <c:catAx>
        <c:axId val="107440384"/>
        <c:scaling>
          <c:orientation val="minMax"/>
        </c:scaling>
        <c:delete val="0"/>
        <c:axPos val="b"/>
        <c:title>
          <c:tx>
            <c:rich>
              <a:bodyPr/>
              <a:lstStyle/>
              <a:p>
                <a:pPr>
                  <a:defRPr/>
                </a:pPr>
                <a:r>
                  <a:rPr lang="en-US"/>
                  <a:t>Nematode Community Added to SMCRA 15 soil</a:t>
                </a:r>
              </a:p>
            </c:rich>
          </c:tx>
          <c:layout/>
          <c:overlay val="0"/>
        </c:title>
        <c:majorTickMark val="none"/>
        <c:minorTickMark val="none"/>
        <c:tickLblPos val="nextTo"/>
        <c:crossAx val="107450752"/>
        <c:crosses val="autoZero"/>
        <c:auto val="1"/>
        <c:lblAlgn val="ctr"/>
        <c:lblOffset val="100"/>
        <c:noMultiLvlLbl val="0"/>
      </c:catAx>
      <c:valAx>
        <c:axId val="107450752"/>
        <c:scaling>
          <c:orientation val="minMax"/>
        </c:scaling>
        <c:delete val="0"/>
        <c:axPos val="l"/>
        <c:title>
          <c:tx>
            <c:rich>
              <a:bodyPr/>
              <a:lstStyle/>
              <a:p>
                <a:pPr>
                  <a:defRPr/>
                </a:pPr>
                <a:r>
                  <a:rPr lang="en-US"/>
                  <a:t>Plant Biomass (in grams)</a:t>
                </a:r>
              </a:p>
            </c:rich>
          </c:tx>
          <c:layout/>
          <c:overlay val="0"/>
        </c:title>
        <c:numFmt formatCode="General" sourceLinked="1"/>
        <c:majorTickMark val="out"/>
        <c:minorTickMark val="none"/>
        <c:tickLblPos val="nextTo"/>
        <c:crossAx val="107440384"/>
        <c:crosses val="autoZero"/>
        <c:crossBetween val="between"/>
      </c:valAx>
    </c:plotArea>
    <c:legend>
      <c:legendPos val="r"/>
      <c:layout>
        <c:manualLayout>
          <c:xMode val="edge"/>
          <c:yMode val="edge"/>
          <c:x val="0.11443133889525038"/>
          <c:y val="5.147627038423476E-2"/>
          <c:w val="0.149457695759282"/>
          <c:h val="0.13175164579837401"/>
        </c:manualLayout>
      </c:layout>
      <c:overlay val="0"/>
      <c:spPr>
        <a:ln w="19050">
          <a:noFill/>
        </a:ln>
      </c:spPr>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noFill/>
              <a:ln w="19050">
                <a:solidFill>
                  <a:schemeClr val="tx1"/>
                </a:solidFill>
              </a:ln>
            </c:spPr>
          </c:dPt>
          <c:dPt>
            <c:idx val="6"/>
            <c:invertIfNegative val="0"/>
            <c:bubble3D val="0"/>
            <c:spPr>
              <a:noFill/>
              <a:ln w="19050">
                <a:solidFill>
                  <a:schemeClr val="tx1"/>
                </a:solidFill>
              </a:ln>
            </c:spPr>
          </c:dPt>
          <c:errBars>
            <c:errBarType val="both"/>
            <c:errValType val="cust"/>
            <c:noEndCap val="0"/>
            <c:plus>
              <c:numRef>
                <c:f>'[1]SMCRA 15'!$O$29:$O$35</c:f>
                <c:numCache>
                  <c:formatCode>General</c:formatCode>
                  <c:ptCount val="7"/>
                  <c:pt idx="0">
                    <c:v>0.37184411792785799</c:v>
                  </c:pt>
                  <c:pt idx="1">
                    <c:v>0.24804894733513</c:v>
                  </c:pt>
                  <c:pt idx="2">
                    <c:v>0.13566255526325999</c:v>
                  </c:pt>
                  <c:pt idx="3">
                    <c:v>0.25079874349537501</c:v>
                  </c:pt>
                  <c:pt idx="4">
                    <c:v>0.148252831049173</c:v>
                  </c:pt>
                  <c:pt idx="5">
                    <c:v>9.5732973806139599E-2</c:v>
                  </c:pt>
                  <c:pt idx="6">
                    <c:v>2.7829073316012198E-2</c:v>
                  </c:pt>
                </c:numCache>
              </c:numRef>
            </c:plus>
            <c:minus>
              <c:numRef>
                <c:f>'[1]SMCRA 15'!$O$29:$O$35</c:f>
                <c:numCache>
                  <c:formatCode>General</c:formatCode>
                  <c:ptCount val="7"/>
                  <c:pt idx="0">
                    <c:v>0.37184411792785799</c:v>
                  </c:pt>
                  <c:pt idx="1">
                    <c:v>0.24804894733513</c:v>
                  </c:pt>
                  <c:pt idx="2">
                    <c:v>0.13566255526325999</c:v>
                  </c:pt>
                  <c:pt idx="3">
                    <c:v>0.25079874349537501</c:v>
                  </c:pt>
                  <c:pt idx="4">
                    <c:v>0.148252831049173</c:v>
                  </c:pt>
                  <c:pt idx="5">
                    <c:v>9.5732973806139599E-2</c:v>
                  </c:pt>
                  <c:pt idx="6">
                    <c:v>2.7829073316012198E-2</c:v>
                  </c:pt>
                </c:numCache>
              </c:numRef>
            </c:minus>
          </c:errBars>
          <c:cat>
            <c:strRef>
              <c:f>'[1]SMCRA 15'!$K$10:$K$16</c:f>
              <c:strCache>
                <c:ptCount val="7"/>
                <c:pt idx="0">
                  <c:v>Intact</c:v>
                </c:pt>
                <c:pt idx="1">
                  <c:v>No nematodes</c:v>
                </c:pt>
                <c:pt idx="2">
                  <c:v>Forest</c:v>
                </c:pt>
                <c:pt idx="3">
                  <c:v>FRA 1</c:v>
                </c:pt>
                <c:pt idx="4">
                  <c:v>FRA15</c:v>
                </c:pt>
                <c:pt idx="5">
                  <c:v>SMCRA 1</c:v>
                </c:pt>
                <c:pt idx="6">
                  <c:v>SMCRA 15</c:v>
                </c:pt>
              </c:strCache>
            </c:strRef>
          </c:cat>
          <c:val>
            <c:numRef>
              <c:f>'[1]SMCRA 15'!$O$10:$O$16</c:f>
              <c:numCache>
                <c:formatCode>General</c:formatCode>
                <c:ptCount val="7"/>
                <c:pt idx="0">
                  <c:v>2.2927897930145278</c:v>
                </c:pt>
                <c:pt idx="1">
                  <c:v>1.121854543685916</c:v>
                </c:pt>
                <c:pt idx="2">
                  <c:v>1.4674771130085</c:v>
                </c:pt>
                <c:pt idx="3">
                  <c:v>1.186017632484436</c:v>
                </c:pt>
                <c:pt idx="4">
                  <c:v>1.570711076259613</c:v>
                </c:pt>
                <c:pt idx="5">
                  <c:v>1.714621990919112</c:v>
                </c:pt>
                <c:pt idx="6">
                  <c:v>1.51078336238861</c:v>
                </c:pt>
              </c:numCache>
            </c:numRef>
          </c:val>
        </c:ser>
        <c:dLbls>
          <c:showLegendKey val="0"/>
          <c:showVal val="0"/>
          <c:showCatName val="0"/>
          <c:showSerName val="0"/>
          <c:showPercent val="0"/>
          <c:showBubbleSize val="0"/>
        </c:dLbls>
        <c:gapWidth val="101"/>
        <c:axId val="107478400"/>
        <c:axId val="107496960"/>
      </c:barChart>
      <c:catAx>
        <c:axId val="107478400"/>
        <c:scaling>
          <c:orientation val="minMax"/>
        </c:scaling>
        <c:delete val="0"/>
        <c:axPos val="b"/>
        <c:title>
          <c:tx>
            <c:rich>
              <a:bodyPr/>
              <a:lstStyle/>
              <a:p>
                <a:pPr>
                  <a:defRPr/>
                </a:pPr>
                <a:r>
                  <a:rPr lang="en-US"/>
                  <a:t>Nematode Community added to SMCRA 15 soil</a:t>
                </a:r>
              </a:p>
            </c:rich>
          </c:tx>
          <c:layout/>
          <c:overlay val="0"/>
        </c:title>
        <c:majorTickMark val="none"/>
        <c:minorTickMark val="none"/>
        <c:tickLblPos val="nextTo"/>
        <c:crossAx val="107496960"/>
        <c:crosses val="autoZero"/>
        <c:auto val="1"/>
        <c:lblAlgn val="ctr"/>
        <c:lblOffset val="100"/>
        <c:noMultiLvlLbl val="0"/>
      </c:catAx>
      <c:valAx>
        <c:axId val="107496960"/>
        <c:scaling>
          <c:orientation val="minMax"/>
          <c:max val="3"/>
        </c:scaling>
        <c:delete val="0"/>
        <c:axPos val="l"/>
        <c:title>
          <c:tx>
            <c:rich>
              <a:bodyPr/>
              <a:lstStyle/>
              <a:p>
                <a:pPr>
                  <a:defRPr/>
                </a:pPr>
                <a:r>
                  <a:rPr lang="en-US"/>
                  <a:t>Leaf</a:t>
                </a:r>
                <a:r>
                  <a:rPr lang="en-US" baseline="0"/>
                  <a:t> Nitrogen content (% by weight)</a:t>
                </a:r>
                <a:endParaRPr lang="en-US"/>
              </a:p>
            </c:rich>
          </c:tx>
          <c:layout/>
          <c:overlay val="0"/>
        </c:title>
        <c:numFmt formatCode="General" sourceLinked="1"/>
        <c:majorTickMark val="out"/>
        <c:minorTickMark val="none"/>
        <c:tickLblPos val="nextTo"/>
        <c:crossAx val="107478400"/>
        <c:crosses val="autoZero"/>
        <c:crossBetween val="between"/>
      </c:valAx>
    </c:plotArea>
    <c:plotVisOnly val="1"/>
    <c:dispBlanksAs val="gap"/>
    <c:showDLblsOverMax val="0"/>
  </c:chart>
  <c:externalData r:id="rId1">
    <c:autoUpdate val="0"/>
  </c:externalData>
  <c:userShapes r:id="rId2"/>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252575045719108"/>
          <c:y val="3.2076209818381579E-2"/>
          <c:w val="0.87354032606237542"/>
          <c:h val="0.75488283309195225"/>
        </c:manualLayout>
      </c:layout>
      <c:barChart>
        <c:barDir val="col"/>
        <c:grouping val="clustered"/>
        <c:varyColors val="0"/>
        <c:ser>
          <c:idx val="0"/>
          <c:order val="0"/>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noFill/>
              <a:ln w="19050">
                <a:solidFill>
                  <a:schemeClr val="tx1"/>
                </a:solidFill>
              </a:ln>
            </c:spPr>
          </c:dPt>
          <c:dPt>
            <c:idx val="6"/>
            <c:invertIfNegative val="0"/>
            <c:bubble3D val="0"/>
            <c:spPr>
              <a:noFill/>
              <a:ln w="19050">
                <a:solidFill>
                  <a:schemeClr val="tx1"/>
                </a:solidFill>
              </a:ln>
            </c:spPr>
          </c:dPt>
          <c:errBars>
            <c:errBarType val="both"/>
            <c:errValType val="cust"/>
            <c:noEndCap val="0"/>
            <c:plus>
              <c:numRef>
                <c:f>'[1]SMCRA 15'!$Q$29:$Q$35</c:f>
                <c:numCache>
                  <c:formatCode>General</c:formatCode>
                  <c:ptCount val="7"/>
                  <c:pt idx="0">
                    <c:v>2.0676601656011462</c:v>
                  </c:pt>
                  <c:pt idx="1">
                    <c:v>12.398580019458899</c:v>
                  </c:pt>
                  <c:pt idx="2">
                    <c:v>2.4748115025512001</c:v>
                  </c:pt>
                  <c:pt idx="3">
                    <c:v>8.1522100000084432</c:v>
                  </c:pt>
                  <c:pt idx="4">
                    <c:v>3.0762273821099799</c:v>
                  </c:pt>
                  <c:pt idx="5">
                    <c:v>1.513563218551512</c:v>
                  </c:pt>
                  <c:pt idx="6">
                    <c:v>0.61099247869832696</c:v>
                  </c:pt>
                </c:numCache>
              </c:numRef>
            </c:plus>
            <c:minus>
              <c:numRef>
                <c:f>'[1]SMCRA 15'!$Q$29:$Q$35</c:f>
                <c:numCache>
                  <c:formatCode>General</c:formatCode>
                  <c:ptCount val="7"/>
                  <c:pt idx="0">
                    <c:v>2.0676601656011462</c:v>
                  </c:pt>
                  <c:pt idx="1">
                    <c:v>12.398580019458899</c:v>
                  </c:pt>
                  <c:pt idx="2">
                    <c:v>2.4748115025512001</c:v>
                  </c:pt>
                  <c:pt idx="3">
                    <c:v>8.1522100000084432</c:v>
                  </c:pt>
                  <c:pt idx="4">
                    <c:v>3.0762273821099799</c:v>
                  </c:pt>
                  <c:pt idx="5">
                    <c:v>1.513563218551512</c:v>
                  </c:pt>
                  <c:pt idx="6">
                    <c:v>0.61099247869832696</c:v>
                  </c:pt>
                </c:numCache>
              </c:numRef>
            </c:minus>
          </c:errBars>
          <c:cat>
            <c:strRef>
              <c:f>'[1]SMCRA 15'!$K$10:$K$16</c:f>
              <c:strCache>
                <c:ptCount val="7"/>
                <c:pt idx="0">
                  <c:v>Intact</c:v>
                </c:pt>
                <c:pt idx="1">
                  <c:v>No nematodes</c:v>
                </c:pt>
                <c:pt idx="2">
                  <c:v>Forest</c:v>
                </c:pt>
                <c:pt idx="3">
                  <c:v>FRA 1</c:v>
                </c:pt>
                <c:pt idx="4">
                  <c:v>FRA15</c:v>
                </c:pt>
                <c:pt idx="5">
                  <c:v>SMCRA 1</c:v>
                </c:pt>
                <c:pt idx="6">
                  <c:v>SMCRA 15</c:v>
                </c:pt>
              </c:strCache>
            </c:strRef>
          </c:cat>
          <c:val>
            <c:numRef>
              <c:f>'[1]SMCRA 15'!$Q$10:$Q$16</c:f>
              <c:numCache>
                <c:formatCode>General</c:formatCode>
                <c:ptCount val="7"/>
                <c:pt idx="0">
                  <c:v>21.633103398706591</c:v>
                </c:pt>
                <c:pt idx="1">
                  <c:v>45.865426372732422</c:v>
                </c:pt>
                <c:pt idx="2">
                  <c:v>30.963588559984441</c:v>
                </c:pt>
                <c:pt idx="3">
                  <c:v>40.851969545289037</c:v>
                </c:pt>
                <c:pt idx="4">
                  <c:v>28.507511716548631</c:v>
                </c:pt>
                <c:pt idx="5">
                  <c:v>27.063403909019861</c:v>
                </c:pt>
                <c:pt idx="6">
                  <c:v>30.190181849177261</c:v>
                </c:pt>
              </c:numCache>
            </c:numRef>
          </c:val>
        </c:ser>
        <c:dLbls>
          <c:showLegendKey val="0"/>
          <c:showVal val="0"/>
          <c:showCatName val="0"/>
          <c:showSerName val="0"/>
          <c:showPercent val="0"/>
          <c:showBubbleSize val="0"/>
        </c:dLbls>
        <c:gapWidth val="102"/>
        <c:axId val="107543552"/>
        <c:axId val="107553920"/>
      </c:barChart>
      <c:catAx>
        <c:axId val="107543552"/>
        <c:scaling>
          <c:orientation val="minMax"/>
        </c:scaling>
        <c:delete val="0"/>
        <c:axPos val="b"/>
        <c:title>
          <c:tx>
            <c:rich>
              <a:bodyPr/>
              <a:lstStyle/>
              <a:p>
                <a:pPr>
                  <a:defRPr/>
                </a:pPr>
                <a:r>
                  <a:rPr lang="en-US"/>
                  <a:t>Nematode Community added to SMCRA 15 soil</a:t>
                </a:r>
              </a:p>
            </c:rich>
          </c:tx>
          <c:layout/>
          <c:overlay val="0"/>
        </c:title>
        <c:majorTickMark val="none"/>
        <c:minorTickMark val="none"/>
        <c:tickLblPos val="nextTo"/>
        <c:crossAx val="107553920"/>
        <c:crosses val="autoZero"/>
        <c:auto val="1"/>
        <c:lblAlgn val="ctr"/>
        <c:lblOffset val="100"/>
        <c:noMultiLvlLbl val="0"/>
      </c:catAx>
      <c:valAx>
        <c:axId val="107553920"/>
        <c:scaling>
          <c:orientation val="minMax"/>
          <c:max val="80"/>
        </c:scaling>
        <c:delete val="0"/>
        <c:axPos val="l"/>
        <c:title>
          <c:tx>
            <c:rich>
              <a:bodyPr/>
              <a:lstStyle/>
              <a:p>
                <a:pPr>
                  <a:defRPr/>
                </a:pPr>
                <a:r>
                  <a:rPr lang="en-US"/>
                  <a:t>Leaf C:N Ratio</a:t>
                </a:r>
              </a:p>
            </c:rich>
          </c:tx>
          <c:layout/>
          <c:overlay val="0"/>
        </c:title>
        <c:numFmt formatCode="General" sourceLinked="1"/>
        <c:majorTickMark val="out"/>
        <c:minorTickMark val="none"/>
        <c:tickLblPos val="nextTo"/>
        <c:crossAx val="107543552"/>
        <c:crosses val="autoZero"/>
        <c:crossBetween val="between"/>
      </c:valAx>
    </c:plotArea>
    <c:plotVisOnly val="1"/>
    <c:dispBlanksAs val="gap"/>
    <c:showDLblsOverMax val="0"/>
  </c:chart>
  <c:externalData r:id="rId1">
    <c:autoUpdate val="0"/>
  </c:externalData>
  <c:userShapes r:id="rId2"/>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69696600879261"/>
          <c:y val="3.9577186910297754E-2"/>
          <c:w val="0.82377403796780557"/>
          <c:h val="0.75202409177959806"/>
        </c:manualLayout>
      </c:layout>
      <c:barChart>
        <c:barDir val="col"/>
        <c:grouping val="stacked"/>
        <c:varyColors val="0"/>
        <c:ser>
          <c:idx val="0"/>
          <c:order val="0"/>
          <c:tx>
            <c:strRef>
              <c:f>'F:\Super important shit\[sample weights10112.xlsx]Forest'!$L$4</c:f>
              <c:strCache>
                <c:ptCount val="1"/>
                <c:pt idx="0">
                  <c:v>Below weight</c:v>
                </c:pt>
              </c:strCache>
            </c:strRef>
          </c:tx>
          <c:spPr>
            <a:solidFill>
              <a:srgbClr val="64432E"/>
            </a:solidFill>
          </c:spPr>
          <c:invertIfNegative val="0"/>
          <c:errBars>
            <c:errBarType val="both"/>
            <c:errValType val="cust"/>
            <c:noEndCap val="0"/>
            <c:plus>
              <c:numRef>
                <c:f>'F:\Super important shit\[sample weights10112.xlsx]Forest'!$N$22:$N$28</c:f>
                <c:numCache>
                  <c:formatCode>General</c:formatCode>
                  <c:ptCount val="7"/>
                  <c:pt idx="0">
                    <c:v>3.0822070014844799E-2</c:v>
                  </c:pt>
                  <c:pt idx="1">
                    <c:v>0.12080562900792299</c:v>
                  </c:pt>
                  <c:pt idx="2">
                    <c:v>4.4384682042344303E-2</c:v>
                  </c:pt>
                  <c:pt idx="3">
                    <c:v>1.46287388383278E-2</c:v>
                  </c:pt>
                  <c:pt idx="4">
                    <c:v>9.1836811791350795E-2</c:v>
                  </c:pt>
                  <c:pt idx="5">
                    <c:v>6.5528619701623506E-2</c:v>
                  </c:pt>
                  <c:pt idx="6">
                    <c:v>0.17962739212046699</c:v>
                  </c:pt>
                </c:numCache>
              </c:numRef>
            </c:plus>
            <c:minus>
              <c:numRef>
                <c:f>'F:\Super important shit\[sample weights10112.xlsx]Forest'!$N$22:$N$28</c:f>
                <c:numCache>
                  <c:formatCode>General</c:formatCode>
                  <c:ptCount val="7"/>
                  <c:pt idx="0">
                    <c:v>3.0822070014844799E-2</c:v>
                  </c:pt>
                  <c:pt idx="1">
                    <c:v>0.12080562900792299</c:v>
                  </c:pt>
                  <c:pt idx="2">
                    <c:v>4.4384682042344303E-2</c:v>
                  </c:pt>
                  <c:pt idx="3">
                    <c:v>1.46287388383278E-2</c:v>
                  </c:pt>
                  <c:pt idx="4">
                    <c:v>9.1836811791350795E-2</c:v>
                  </c:pt>
                  <c:pt idx="5">
                    <c:v>6.5528619701623506E-2</c:v>
                  </c:pt>
                  <c:pt idx="6">
                    <c:v>0.17962739212046699</c:v>
                  </c:pt>
                </c:numCache>
              </c:numRef>
            </c:minus>
          </c:errBars>
          <c:cat>
            <c:strRef>
              <c:f>'F:\Super important shit\[sample weights10112.xlsx]Forest'!$K$5:$K$11</c:f>
              <c:strCache>
                <c:ptCount val="7"/>
                <c:pt idx="0">
                  <c:v>Intact</c:v>
                </c:pt>
                <c:pt idx="1">
                  <c:v>No nemas</c:v>
                </c:pt>
                <c:pt idx="2">
                  <c:v>Forest</c:v>
                </c:pt>
                <c:pt idx="3">
                  <c:v>FRA 1</c:v>
                </c:pt>
                <c:pt idx="4">
                  <c:v>FRA 15</c:v>
                </c:pt>
                <c:pt idx="5">
                  <c:v>SMCRA 1</c:v>
                </c:pt>
                <c:pt idx="6">
                  <c:v>SMCRA 15</c:v>
                </c:pt>
              </c:strCache>
            </c:strRef>
          </c:cat>
          <c:val>
            <c:numRef>
              <c:f>'F:\Super important shit\[sample weights10112.xlsx]Forest'!$L$5:$L$11</c:f>
              <c:numCache>
                <c:formatCode>General</c:formatCode>
                <c:ptCount val="7"/>
                <c:pt idx="0">
                  <c:v>0.27</c:v>
                </c:pt>
                <c:pt idx="1">
                  <c:v>0.23799999999999999</c:v>
                </c:pt>
                <c:pt idx="2">
                  <c:v>0.21</c:v>
                </c:pt>
                <c:pt idx="3">
                  <c:v>0.90200000000000002</c:v>
                </c:pt>
                <c:pt idx="4">
                  <c:v>0.63200000000000001</c:v>
                </c:pt>
                <c:pt idx="5">
                  <c:v>0.26800000000000002</c:v>
                </c:pt>
                <c:pt idx="6">
                  <c:v>0.84399999999999997</c:v>
                </c:pt>
              </c:numCache>
            </c:numRef>
          </c:val>
        </c:ser>
        <c:ser>
          <c:idx val="1"/>
          <c:order val="1"/>
          <c:tx>
            <c:strRef>
              <c:f>'F:\Super important shit\[sample weights10112.xlsx]Forest'!$M$4</c:f>
              <c:strCache>
                <c:ptCount val="1"/>
                <c:pt idx="0">
                  <c:v>Above weight</c:v>
                </c:pt>
              </c:strCache>
            </c:strRef>
          </c:tx>
          <c:spPr>
            <a:solidFill>
              <a:schemeClr val="accent3"/>
            </a:solidFill>
          </c:spPr>
          <c:invertIfNegative val="0"/>
          <c:errBars>
            <c:errBarType val="both"/>
            <c:errValType val="cust"/>
            <c:noEndCap val="0"/>
            <c:plus>
              <c:numRef>
                <c:f>'F:\Super important shit\[sample weights10112.xlsx]Forest'!$M$22:$M$28</c:f>
                <c:numCache>
                  <c:formatCode>General</c:formatCode>
                  <c:ptCount val="7"/>
                  <c:pt idx="0">
                    <c:v>3.6687872655688403E-2</c:v>
                  </c:pt>
                  <c:pt idx="1">
                    <c:v>6.9685005560737395E-2</c:v>
                  </c:pt>
                  <c:pt idx="2">
                    <c:v>0.110106009524155</c:v>
                  </c:pt>
                  <c:pt idx="3">
                    <c:v>8.4829240241793696E-2</c:v>
                  </c:pt>
                  <c:pt idx="4">
                    <c:v>0.21936271333113999</c:v>
                  </c:pt>
                  <c:pt idx="5">
                    <c:v>0.102829956724682</c:v>
                  </c:pt>
                  <c:pt idx="6">
                    <c:v>0.219736205482847</c:v>
                  </c:pt>
                </c:numCache>
              </c:numRef>
            </c:plus>
            <c:minus>
              <c:numRef>
                <c:f>'F:\Super important shit\[sample weights10112.xlsx]Forest'!$M$22:$M$28</c:f>
                <c:numCache>
                  <c:formatCode>General</c:formatCode>
                  <c:ptCount val="7"/>
                  <c:pt idx="0">
                    <c:v>3.6687872655688403E-2</c:v>
                  </c:pt>
                  <c:pt idx="1">
                    <c:v>6.9685005560737395E-2</c:v>
                  </c:pt>
                  <c:pt idx="2">
                    <c:v>0.110106009524155</c:v>
                  </c:pt>
                  <c:pt idx="3">
                    <c:v>8.4829240241793696E-2</c:v>
                  </c:pt>
                  <c:pt idx="4">
                    <c:v>0.21936271333113999</c:v>
                  </c:pt>
                  <c:pt idx="5">
                    <c:v>0.102829956724682</c:v>
                  </c:pt>
                  <c:pt idx="6">
                    <c:v>0.219736205482847</c:v>
                  </c:pt>
                </c:numCache>
              </c:numRef>
            </c:minus>
          </c:errBars>
          <c:cat>
            <c:strRef>
              <c:f>'F:\Super important shit\[sample weights10112.xlsx]Forest'!$K$5:$K$11</c:f>
              <c:strCache>
                <c:ptCount val="7"/>
                <c:pt idx="0">
                  <c:v>Intact</c:v>
                </c:pt>
                <c:pt idx="1">
                  <c:v>No nemas</c:v>
                </c:pt>
                <c:pt idx="2">
                  <c:v>Forest</c:v>
                </c:pt>
                <c:pt idx="3">
                  <c:v>FRA 1</c:v>
                </c:pt>
                <c:pt idx="4">
                  <c:v>FRA 15</c:v>
                </c:pt>
                <c:pt idx="5">
                  <c:v>SMCRA 1</c:v>
                </c:pt>
                <c:pt idx="6">
                  <c:v>SMCRA 15</c:v>
                </c:pt>
              </c:strCache>
            </c:strRef>
          </c:cat>
          <c:val>
            <c:numRef>
              <c:f>'F:\Super important shit\[sample weights10112.xlsx]Forest'!$M$5:$M$11</c:f>
              <c:numCache>
                <c:formatCode>General</c:formatCode>
                <c:ptCount val="7"/>
                <c:pt idx="0">
                  <c:v>0.33600000000000002</c:v>
                </c:pt>
                <c:pt idx="1">
                  <c:v>0.214</c:v>
                </c:pt>
                <c:pt idx="2">
                  <c:v>0.32800000000000001</c:v>
                </c:pt>
                <c:pt idx="3">
                  <c:v>0.84399999999999997</c:v>
                </c:pt>
                <c:pt idx="4">
                  <c:v>0.81</c:v>
                </c:pt>
                <c:pt idx="5">
                  <c:v>0.308</c:v>
                </c:pt>
                <c:pt idx="6">
                  <c:v>0.70199999999999996</c:v>
                </c:pt>
              </c:numCache>
            </c:numRef>
          </c:val>
        </c:ser>
        <c:dLbls>
          <c:showLegendKey val="0"/>
          <c:showVal val="0"/>
          <c:showCatName val="0"/>
          <c:showSerName val="0"/>
          <c:showPercent val="0"/>
          <c:showBubbleSize val="0"/>
        </c:dLbls>
        <c:gapWidth val="98"/>
        <c:overlap val="100"/>
        <c:axId val="107598976"/>
        <c:axId val="107600896"/>
      </c:barChart>
      <c:catAx>
        <c:axId val="107598976"/>
        <c:scaling>
          <c:orientation val="minMax"/>
        </c:scaling>
        <c:delete val="0"/>
        <c:axPos val="b"/>
        <c:title>
          <c:tx>
            <c:rich>
              <a:bodyPr/>
              <a:lstStyle/>
              <a:p>
                <a:pPr>
                  <a:defRPr/>
                </a:pPr>
                <a:r>
                  <a:rPr lang="en-US"/>
                  <a:t>Nematode community added to Forest soils</a:t>
                </a:r>
              </a:p>
            </c:rich>
          </c:tx>
          <c:layout/>
          <c:overlay val="0"/>
        </c:title>
        <c:majorTickMark val="out"/>
        <c:minorTickMark val="none"/>
        <c:tickLblPos val="nextTo"/>
        <c:crossAx val="107600896"/>
        <c:crosses val="autoZero"/>
        <c:auto val="1"/>
        <c:lblAlgn val="ctr"/>
        <c:lblOffset val="100"/>
        <c:noMultiLvlLbl val="0"/>
      </c:catAx>
      <c:valAx>
        <c:axId val="107600896"/>
        <c:scaling>
          <c:orientation val="minMax"/>
        </c:scaling>
        <c:delete val="0"/>
        <c:axPos val="l"/>
        <c:title>
          <c:tx>
            <c:rich>
              <a:bodyPr rot="-5400000" vert="horz"/>
              <a:lstStyle/>
              <a:p>
                <a:pPr>
                  <a:defRPr/>
                </a:pPr>
                <a:r>
                  <a:rPr lang="en-US"/>
                  <a:t>Plant Biomass (in grams)</a:t>
                </a:r>
              </a:p>
            </c:rich>
          </c:tx>
          <c:layout/>
          <c:overlay val="0"/>
        </c:title>
        <c:numFmt formatCode="General" sourceLinked="1"/>
        <c:majorTickMark val="out"/>
        <c:minorTickMark val="none"/>
        <c:tickLblPos val="nextTo"/>
        <c:crossAx val="107598976"/>
        <c:crosses val="autoZero"/>
        <c:crossBetween val="between"/>
      </c:valAx>
      <c:spPr>
        <a:ln>
          <a:noFill/>
        </a:ln>
      </c:spPr>
    </c:plotArea>
    <c:legend>
      <c:legendPos val="r"/>
      <c:layout>
        <c:manualLayout>
          <c:xMode val="edge"/>
          <c:yMode val="edge"/>
          <c:x val="0.13757673833671552"/>
          <c:y val="7.1951661122573576E-2"/>
          <c:w val="0.17254125114359653"/>
          <c:h val="0.12892043666771549"/>
        </c:manualLayout>
      </c:layout>
      <c:overlay val="0"/>
      <c:spPr>
        <a:ln w="19050">
          <a:noFill/>
        </a:ln>
      </c:spPr>
    </c:legend>
    <c:plotVisOnly val="1"/>
    <c:dispBlanksAs val="gap"/>
    <c:showDLblsOverMax val="0"/>
  </c:chart>
  <c:externalData r:id="rId1">
    <c:autoUpdate val="0"/>
  </c:externalData>
  <c:userShapes r:id="rId2"/>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dPt>
            <c:idx val="5"/>
            <c:invertIfNegative val="0"/>
            <c:bubble3D val="0"/>
            <c:spPr>
              <a:solidFill>
                <a:schemeClr val="bg1"/>
              </a:solidFill>
              <a:ln w="19050">
                <a:solidFill>
                  <a:schemeClr val="tx1"/>
                </a:solidFill>
              </a:ln>
            </c:spPr>
          </c:dPt>
          <c:dPt>
            <c:idx val="6"/>
            <c:invertIfNegative val="0"/>
            <c:bubble3D val="0"/>
            <c:spPr>
              <a:solidFill>
                <a:schemeClr val="bg1"/>
              </a:solidFill>
              <a:ln w="19050">
                <a:solidFill>
                  <a:schemeClr val="tx1"/>
                </a:solidFill>
              </a:ln>
            </c:spPr>
          </c:dPt>
          <c:errBars>
            <c:errBarType val="both"/>
            <c:errValType val="cust"/>
            <c:noEndCap val="0"/>
            <c:plus>
              <c:numRef>
                <c:f>[1]Forest!$P$22:$P$28</c:f>
                <c:numCache>
                  <c:formatCode>General</c:formatCode>
                  <c:ptCount val="7"/>
                  <c:pt idx="0">
                    <c:v>0.19812150376493901</c:v>
                  </c:pt>
                  <c:pt idx="1">
                    <c:v>0.19298739508549501</c:v>
                  </c:pt>
                  <c:pt idx="2">
                    <c:v>0.22984522872822699</c:v>
                  </c:pt>
                  <c:pt idx="3">
                    <c:v>0.33374077218354398</c:v>
                  </c:pt>
                  <c:pt idx="4">
                    <c:v>0.198305465364983</c:v>
                  </c:pt>
                  <c:pt idx="5">
                    <c:v>0.102369693442262</c:v>
                  </c:pt>
                  <c:pt idx="6">
                    <c:v>0.24946816424282001</c:v>
                  </c:pt>
                </c:numCache>
              </c:numRef>
            </c:plus>
            <c:minus>
              <c:numRef>
                <c:f>[1]Forest!$P$22:$P$28</c:f>
                <c:numCache>
                  <c:formatCode>General</c:formatCode>
                  <c:ptCount val="7"/>
                  <c:pt idx="0">
                    <c:v>0.19812150376493901</c:v>
                  </c:pt>
                  <c:pt idx="1">
                    <c:v>0.19298739508549501</c:v>
                  </c:pt>
                  <c:pt idx="2">
                    <c:v>0.22984522872822699</c:v>
                  </c:pt>
                  <c:pt idx="3">
                    <c:v>0.33374077218354398</c:v>
                  </c:pt>
                  <c:pt idx="4">
                    <c:v>0.198305465364983</c:v>
                  </c:pt>
                  <c:pt idx="5">
                    <c:v>0.102369693442262</c:v>
                  </c:pt>
                  <c:pt idx="6">
                    <c:v>0.24946816424282001</c:v>
                  </c:pt>
                </c:numCache>
              </c:numRef>
            </c:minus>
          </c:errBars>
          <c:cat>
            <c:strRef>
              <c:f>[1]Forest!$K$5:$K$11</c:f>
              <c:strCache>
                <c:ptCount val="7"/>
                <c:pt idx="0">
                  <c:v>Intact</c:v>
                </c:pt>
                <c:pt idx="1">
                  <c:v>No nemas</c:v>
                </c:pt>
                <c:pt idx="2">
                  <c:v>Forest</c:v>
                </c:pt>
                <c:pt idx="3">
                  <c:v>FRA 1</c:v>
                </c:pt>
                <c:pt idx="4">
                  <c:v>FRA 15</c:v>
                </c:pt>
                <c:pt idx="5">
                  <c:v>SMCRA 1</c:v>
                </c:pt>
                <c:pt idx="6">
                  <c:v>SMCRA 15</c:v>
                </c:pt>
              </c:strCache>
            </c:strRef>
          </c:cat>
          <c:val>
            <c:numRef>
              <c:f>[1]Forest!$P$5:$P$11</c:f>
              <c:numCache>
                <c:formatCode>General</c:formatCode>
                <c:ptCount val="7"/>
                <c:pt idx="0">
                  <c:v>1.970932626724242</c:v>
                </c:pt>
                <c:pt idx="1">
                  <c:v>2.0775172710418688</c:v>
                </c:pt>
                <c:pt idx="2">
                  <c:v>2.127670089403789</c:v>
                </c:pt>
                <c:pt idx="3">
                  <c:v>1.169474105040232</c:v>
                </c:pt>
                <c:pt idx="4">
                  <c:v>1.735320734977722</c:v>
                </c:pt>
                <c:pt idx="5">
                  <c:v>2.0132952928543109</c:v>
                </c:pt>
                <c:pt idx="6">
                  <c:v>2.1816573143005402</c:v>
                </c:pt>
              </c:numCache>
            </c:numRef>
          </c:val>
        </c:ser>
        <c:dLbls>
          <c:showLegendKey val="0"/>
          <c:showVal val="0"/>
          <c:showCatName val="0"/>
          <c:showSerName val="0"/>
          <c:showPercent val="0"/>
          <c:showBubbleSize val="0"/>
        </c:dLbls>
        <c:gapWidth val="100"/>
        <c:axId val="107710720"/>
        <c:axId val="107725184"/>
      </c:barChart>
      <c:catAx>
        <c:axId val="107710720"/>
        <c:scaling>
          <c:orientation val="minMax"/>
        </c:scaling>
        <c:delete val="0"/>
        <c:axPos val="b"/>
        <c:title>
          <c:tx>
            <c:rich>
              <a:bodyPr/>
              <a:lstStyle/>
              <a:p>
                <a:pPr>
                  <a:defRPr/>
                </a:pPr>
                <a:r>
                  <a:rPr lang="en-US"/>
                  <a:t>Nematode community added to forest soil</a:t>
                </a:r>
              </a:p>
            </c:rich>
          </c:tx>
          <c:layout/>
          <c:overlay val="0"/>
        </c:title>
        <c:majorTickMark val="out"/>
        <c:minorTickMark val="none"/>
        <c:tickLblPos val="nextTo"/>
        <c:crossAx val="107725184"/>
        <c:crosses val="autoZero"/>
        <c:auto val="1"/>
        <c:lblAlgn val="ctr"/>
        <c:lblOffset val="100"/>
        <c:noMultiLvlLbl val="0"/>
      </c:catAx>
      <c:valAx>
        <c:axId val="107725184"/>
        <c:scaling>
          <c:orientation val="minMax"/>
        </c:scaling>
        <c:delete val="0"/>
        <c:axPos val="l"/>
        <c:title>
          <c:tx>
            <c:rich>
              <a:bodyPr rot="-5400000" vert="horz"/>
              <a:lstStyle/>
              <a:p>
                <a:pPr>
                  <a:defRPr/>
                </a:pPr>
                <a:r>
                  <a:rPr lang="en-US"/>
                  <a:t>Leaf nitrogen content (% by weight)</a:t>
                </a:r>
              </a:p>
            </c:rich>
          </c:tx>
          <c:layout/>
          <c:overlay val="0"/>
        </c:title>
        <c:numFmt formatCode="General" sourceLinked="1"/>
        <c:majorTickMark val="out"/>
        <c:minorTickMark val="none"/>
        <c:tickLblPos val="nextTo"/>
        <c:crossAx val="107710720"/>
        <c:crosses val="autoZero"/>
        <c:crossBetween val="between"/>
      </c:valAx>
    </c:plotArea>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bg1"/>
            </a:solidFill>
            <a:ln w="19050">
              <a:solidFill>
                <a:schemeClr val="tx1"/>
              </a:solidFill>
            </a:ln>
          </c:spPr>
          <c:invertIfNegative val="0"/>
          <c:dPt>
            <c:idx val="0"/>
            <c:invertIfNegative val="0"/>
            <c:bubble3D val="0"/>
            <c:spPr>
              <a:solidFill>
                <a:schemeClr val="bg1">
                  <a:lumMod val="85000"/>
                </a:schemeClr>
              </a:solidFill>
              <a:ln w="19050">
                <a:solidFill>
                  <a:schemeClr val="tx1"/>
                </a:solidFill>
              </a:ln>
            </c:spPr>
          </c:dPt>
          <c:dPt>
            <c:idx val="1"/>
            <c:invertIfNegative val="0"/>
            <c:bubble3D val="0"/>
            <c:spPr>
              <a:solidFill>
                <a:schemeClr val="bg1">
                  <a:lumMod val="85000"/>
                </a:schemeClr>
              </a:solidFill>
              <a:ln w="19050">
                <a:solidFill>
                  <a:schemeClr val="tx1"/>
                </a:solidFill>
              </a:ln>
            </c:spPr>
          </c:dPt>
          <c:dPt>
            <c:idx val="2"/>
            <c:invertIfNegative val="0"/>
            <c:bubble3D val="0"/>
            <c:spPr>
              <a:solidFill>
                <a:schemeClr val="tx1"/>
              </a:solidFill>
              <a:ln w="19050">
                <a:solidFill>
                  <a:schemeClr val="tx1"/>
                </a:solidFill>
              </a:ln>
            </c:spPr>
          </c:dPt>
          <c:dPt>
            <c:idx val="3"/>
            <c:invertIfNegative val="0"/>
            <c:bubble3D val="0"/>
            <c:spPr>
              <a:solidFill>
                <a:schemeClr val="tx1">
                  <a:lumMod val="65000"/>
                  <a:lumOff val="35000"/>
                </a:schemeClr>
              </a:solidFill>
              <a:ln w="19050">
                <a:solidFill>
                  <a:schemeClr val="tx1"/>
                </a:solidFill>
              </a:ln>
            </c:spPr>
          </c:dPt>
          <c:dPt>
            <c:idx val="4"/>
            <c:invertIfNegative val="0"/>
            <c:bubble3D val="0"/>
            <c:spPr>
              <a:solidFill>
                <a:schemeClr val="tx1">
                  <a:lumMod val="65000"/>
                  <a:lumOff val="35000"/>
                </a:schemeClr>
              </a:solidFill>
              <a:ln w="19050">
                <a:solidFill>
                  <a:schemeClr val="tx1"/>
                </a:solidFill>
              </a:ln>
            </c:spPr>
          </c:dPt>
          <c:errBars>
            <c:errBarType val="both"/>
            <c:errValType val="cust"/>
            <c:noEndCap val="0"/>
            <c:plus>
              <c:numRef>
                <c:f>[1]Forest!$R$22:$R$28</c:f>
                <c:numCache>
                  <c:formatCode>General</c:formatCode>
                  <c:ptCount val="7"/>
                  <c:pt idx="0">
                    <c:v>2.1806542062453542</c:v>
                  </c:pt>
                  <c:pt idx="1">
                    <c:v>2.367297437465282</c:v>
                  </c:pt>
                  <c:pt idx="2">
                    <c:v>2.5811680719470478</c:v>
                  </c:pt>
                  <c:pt idx="3">
                    <c:v>10.42153564936751</c:v>
                  </c:pt>
                  <c:pt idx="4">
                    <c:v>3.508232423684964</c:v>
                  </c:pt>
                  <c:pt idx="5">
                    <c:v>0.72672929600842096</c:v>
                  </c:pt>
                  <c:pt idx="6">
                    <c:v>2.7585997491260259</c:v>
                  </c:pt>
                </c:numCache>
              </c:numRef>
            </c:plus>
            <c:minus>
              <c:numRef>
                <c:f>[1]Forest!$R$22:$R$28</c:f>
                <c:numCache>
                  <c:formatCode>General</c:formatCode>
                  <c:ptCount val="7"/>
                  <c:pt idx="0">
                    <c:v>2.1806542062453542</c:v>
                  </c:pt>
                  <c:pt idx="1">
                    <c:v>2.367297437465282</c:v>
                  </c:pt>
                  <c:pt idx="2">
                    <c:v>2.5811680719470478</c:v>
                  </c:pt>
                  <c:pt idx="3">
                    <c:v>10.42153564936751</c:v>
                  </c:pt>
                  <c:pt idx="4">
                    <c:v>3.508232423684964</c:v>
                  </c:pt>
                  <c:pt idx="5">
                    <c:v>0.72672929600842096</c:v>
                  </c:pt>
                  <c:pt idx="6">
                    <c:v>2.7585997491260259</c:v>
                  </c:pt>
                </c:numCache>
              </c:numRef>
            </c:minus>
          </c:errBars>
          <c:cat>
            <c:strRef>
              <c:f>[1]Forest!$K$5:$K$11</c:f>
              <c:strCache>
                <c:ptCount val="7"/>
                <c:pt idx="0">
                  <c:v>Intact</c:v>
                </c:pt>
                <c:pt idx="1">
                  <c:v>No nemas</c:v>
                </c:pt>
                <c:pt idx="2">
                  <c:v>Forest</c:v>
                </c:pt>
                <c:pt idx="3">
                  <c:v>FRA 1</c:v>
                </c:pt>
                <c:pt idx="4">
                  <c:v>FRA 15</c:v>
                </c:pt>
                <c:pt idx="5">
                  <c:v>SMCRA 1</c:v>
                </c:pt>
                <c:pt idx="6">
                  <c:v>SMCRA 15</c:v>
                </c:pt>
              </c:strCache>
            </c:strRef>
          </c:cat>
          <c:val>
            <c:numRef>
              <c:f>[1]Forest!$R$5:$R$11</c:f>
              <c:numCache>
                <c:formatCode>General</c:formatCode>
                <c:ptCount val="7"/>
                <c:pt idx="0">
                  <c:v>23.323352994059611</c:v>
                </c:pt>
                <c:pt idx="1">
                  <c:v>22.27064550248468</c:v>
                </c:pt>
                <c:pt idx="2">
                  <c:v>20.938974240467921</c:v>
                </c:pt>
                <c:pt idx="3">
                  <c:v>40.358390343261831</c:v>
                </c:pt>
                <c:pt idx="4">
                  <c:v>28.224847750611591</c:v>
                </c:pt>
                <c:pt idx="5">
                  <c:v>22.536651551592641</c:v>
                </c:pt>
                <c:pt idx="6">
                  <c:v>20.788283612573149</c:v>
                </c:pt>
              </c:numCache>
            </c:numRef>
          </c:val>
        </c:ser>
        <c:dLbls>
          <c:showLegendKey val="0"/>
          <c:showVal val="0"/>
          <c:showCatName val="0"/>
          <c:showSerName val="0"/>
          <c:showPercent val="0"/>
          <c:showBubbleSize val="0"/>
        </c:dLbls>
        <c:gapWidth val="98"/>
        <c:axId val="107743488"/>
        <c:axId val="107745664"/>
      </c:barChart>
      <c:catAx>
        <c:axId val="107743488"/>
        <c:scaling>
          <c:orientation val="minMax"/>
        </c:scaling>
        <c:delete val="0"/>
        <c:axPos val="b"/>
        <c:title>
          <c:tx>
            <c:rich>
              <a:bodyPr/>
              <a:lstStyle/>
              <a:p>
                <a:pPr>
                  <a:defRPr/>
                </a:pPr>
                <a:r>
                  <a:rPr lang="en-US"/>
                  <a:t>Nematode Community added to Forest soils</a:t>
                </a:r>
              </a:p>
            </c:rich>
          </c:tx>
          <c:layout/>
          <c:overlay val="0"/>
        </c:title>
        <c:majorTickMark val="out"/>
        <c:minorTickMark val="none"/>
        <c:tickLblPos val="nextTo"/>
        <c:crossAx val="107745664"/>
        <c:crosses val="autoZero"/>
        <c:auto val="1"/>
        <c:lblAlgn val="ctr"/>
        <c:lblOffset val="100"/>
        <c:noMultiLvlLbl val="0"/>
      </c:catAx>
      <c:valAx>
        <c:axId val="107745664"/>
        <c:scaling>
          <c:orientation val="minMax"/>
        </c:scaling>
        <c:delete val="0"/>
        <c:axPos val="l"/>
        <c:title>
          <c:tx>
            <c:rich>
              <a:bodyPr rot="-5400000" vert="horz"/>
              <a:lstStyle/>
              <a:p>
                <a:pPr>
                  <a:defRPr/>
                </a:pPr>
                <a:r>
                  <a:rPr lang="en-US"/>
                  <a:t>Leaf CN ratio</a:t>
                </a:r>
              </a:p>
            </c:rich>
          </c:tx>
          <c:layout/>
          <c:overlay val="0"/>
        </c:title>
        <c:numFmt formatCode="General" sourceLinked="1"/>
        <c:majorTickMark val="out"/>
        <c:minorTickMark val="none"/>
        <c:tickLblPos val="nextTo"/>
        <c:crossAx val="107743488"/>
        <c:crosses val="autoZero"/>
        <c:crossBetween val="between"/>
      </c:valAx>
    </c:plotArea>
    <c:plotVisOnly val="1"/>
    <c:dispBlanksAs val="gap"/>
    <c:showDLblsOverMax val="0"/>
  </c:chart>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rawings/_rels/drawing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0.17868</cdr:x>
      <cdr:y>0.69252</cdr:y>
    </cdr:from>
    <cdr:to>
      <cdr:x>0.20687</cdr:x>
      <cdr:y>0.74665</cdr:y>
    </cdr:to>
    <cdr:sp macro="" textlink="">
      <cdr:nvSpPr>
        <cdr:cNvPr id="2" name="TextBox 1"/>
        <cdr:cNvSpPr txBox="1"/>
      </cdr:nvSpPr>
      <cdr:spPr>
        <a:xfrm xmlns:a="http://schemas.openxmlformats.org/drawingml/2006/main">
          <a:off x="1058138" y="2546160"/>
          <a:ext cx="166942" cy="1990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0.53914</cdr:x>
      <cdr:y>0.71883</cdr:y>
    </cdr:from>
    <cdr:to>
      <cdr:x>0.58266</cdr:x>
      <cdr:y>0.80819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192808" y="2642875"/>
          <a:ext cx="257726" cy="328545"/>
        </a:xfrm>
        <a:prstGeom xmlns:a="http://schemas.openxmlformats.org/drawingml/2006/main" prst="rect">
          <a:avLst/>
        </a:prstGeom>
      </cdr:spPr>
    </cdr:pic>
  </cdr:relSizeAnchor>
  <cdr:relSizeAnchor xmlns:cdr="http://schemas.openxmlformats.org/drawingml/2006/chartDrawing">
    <cdr:from>
      <cdr:x>0.0961</cdr:x>
      <cdr:y>0.53103</cdr:y>
    </cdr:from>
    <cdr:to>
      <cdr:x>0.16741</cdr:x>
      <cdr:y>0.59371</cdr:y>
    </cdr:to>
    <cdr:sp macro="" textlink="">
      <cdr:nvSpPr>
        <cdr:cNvPr id="7" name="TextBox 1"/>
        <cdr:cNvSpPr txBox="1"/>
      </cdr:nvSpPr>
      <cdr:spPr>
        <a:xfrm xmlns:a="http://schemas.openxmlformats.org/drawingml/2006/main">
          <a:off x="569105" y="1952396"/>
          <a:ext cx="422299" cy="23045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0.41058</cdr:x>
      <cdr:y>0.39931</cdr:y>
    </cdr:from>
    <cdr:to>
      <cdr:x>0.49681</cdr:x>
      <cdr:y>0.45914</cdr:y>
    </cdr:to>
    <cdr:sp macro="" textlink="">
      <cdr:nvSpPr>
        <cdr:cNvPr id="18" name="TextBox 17"/>
        <cdr:cNvSpPr txBox="1"/>
      </cdr:nvSpPr>
      <cdr:spPr>
        <a:xfrm xmlns:a="http://schemas.openxmlformats.org/drawingml/2006/main">
          <a:off x="2431439" y="1468107"/>
          <a:ext cx="510655" cy="2199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effectLst/>
              <a:latin typeface="+mn-lt"/>
              <a:ea typeface="+mn-ea"/>
              <a:cs typeface="+mn-cs"/>
            </a:rPr>
            <a:t>ABC</a:t>
          </a:r>
          <a:endParaRPr lang="en-US">
            <a:effectLst/>
          </a:endParaRPr>
        </a:p>
      </cdr:txBody>
    </cdr:sp>
  </cdr:relSizeAnchor>
  <cdr:relSizeAnchor xmlns:cdr="http://schemas.openxmlformats.org/drawingml/2006/chartDrawing">
    <cdr:from>
      <cdr:x>0.86449</cdr:x>
      <cdr:y>0.2479</cdr:y>
    </cdr:from>
    <cdr:to>
      <cdr:x>0.93082</cdr:x>
      <cdr:y>0.30204</cdr:y>
    </cdr:to>
    <cdr:sp macro="" textlink="">
      <cdr:nvSpPr>
        <cdr:cNvPr id="21" name="TextBox 20"/>
        <cdr:cNvSpPr txBox="1"/>
      </cdr:nvSpPr>
      <cdr:spPr>
        <a:xfrm xmlns:a="http://schemas.openxmlformats.org/drawingml/2006/main">
          <a:off x="5119542" y="911448"/>
          <a:ext cx="392807" cy="1990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BC</a:t>
          </a:r>
        </a:p>
      </cdr:txBody>
    </cdr:sp>
  </cdr:relSizeAnchor>
  <cdr:relSizeAnchor xmlns:cdr="http://schemas.openxmlformats.org/drawingml/2006/chartDrawing">
    <cdr:from>
      <cdr:x>0.8315</cdr:x>
      <cdr:y>0.01962</cdr:y>
    </cdr:from>
    <cdr:to>
      <cdr:x>0.87296</cdr:x>
      <cdr:y>0.0823</cdr:y>
    </cdr:to>
    <cdr:sp macro="" textlink="">
      <cdr:nvSpPr>
        <cdr:cNvPr id="23" name="TextBox 22"/>
        <cdr:cNvSpPr txBox="1"/>
      </cdr:nvSpPr>
      <cdr:spPr>
        <a:xfrm xmlns:a="http://schemas.openxmlformats.org/drawingml/2006/main">
          <a:off x="4924141" y="72136"/>
          <a:ext cx="245527" cy="2304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dr:relSizeAnchor xmlns:cdr="http://schemas.openxmlformats.org/drawingml/2006/chartDrawing">
    <cdr:from>
      <cdr:x>0.70597</cdr:x>
      <cdr:y>0.42269</cdr:y>
    </cdr:from>
    <cdr:to>
      <cdr:x>0.7922</cdr:x>
      <cdr:y>0.48252</cdr:y>
    </cdr:to>
    <cdr:sp macro="" textlink="">
      <cdr:nvSpPr>
        <cdr:cNvPr id="22" name="TextBox 1"/>
        <cdr:cNvSpPr txBox="1"/>
      </cdr:nvSpPr>
      <cdr:spPr>
        <a:xfrm xmlns:a="http://schemas.openxmlformats.org/drawingml/2006/main">
          <a:off x="4180753" y="1554073"/>
          <a:ext cx="510655" cy="2199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effectLst/>
              <a:latin typeface="+mn-lt"/>
              <a:ea typeface="+mn-ea"/>
              <a:cs typeface="+mn-cs"/>
            </a:rPr>
            <a:t>ABC</a:t>
          </a:r>
          <a:endParaRPr lang="en-US">
            <a:effectLst/>
          </a:endParaRPr>
        </a:p>
      </cdr:txBody>
    </cdr:sp>
  </cdr:relSizeAnchor>
  <cdr:relSizeAnchor xmlns:cdr="http://schemas.openxmlformats.org/drawingml/2006/chartDrawing">
    <cdr:from>
      <cdr:x>0.9012</cdr:x>
      <cdr:y>0.35065</cdr:y>
    </cdr:from>
    <cdr:to>
      <cdr:x>0.98743</cdr:x>
      <cdr:y>0.41048</cdr:y>
    </cdr:to>
    <cdr:sp macro="" textlink="">
      <cdr:nvSpPr>
        <cdr:cNvPr id="24" name="TextBox 1"/>
        <cdr:cNvSpPr txBox="1"/>
      </cdr:nvSpPr>
      <cdr:spPr>
        <a:xfrm xmlns:a="http://schemas.openxmlformats.org/drawingml/2006/main">
          <a:off x="5336927" y="1289201"/>
          <a:ext cx="510655" cy="2199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effectLst/>
              <a:latin typeface="+mn-lt"/>
              <a:ea typeface="+mn-ea"/>
              <a:cs typeface="+mn-cs"/>
            </a:rPr>
            <a:t>ABC</a:t>
          </a:r>
          <a:endParaRPr lang="en-US">
            <a:effectLst/>
          </a:endParaRPr>
        </a:p>
      </cdr:txBody>
    </cdr:sp>
  </cdr:relSizeAnchor>
  <cdr:relSizeAnchor xmlns:cdr="http://schemas.openxmlformats.org/drawingml/2006/chartDrawing">
    <cdr:from>
      <cdr:x>0.21591</cdr:x>
      <cdr:y>0.40531</cdr:y>
    </cdr:from>
    <cdr:to>
      <cdr:x>0.28722</cdr:x>
      <cdr:y>0.46799</cdr:y>
    </cdr:to>
    <cdr:sp macro="" textlink="">
      <cdr:nvSpPr>
        <cdr:cNvPr id="25" name="TextBox 1"/>
        <cdr:cNvSpPr txBox="1"/>
      </cdr:nvSpPr>
      <cdr:spPr>
        <a:xfrm xmlns:a="http://schemas.openxmlformats.org/drawingml/2006/main">
          <a:off x="1278605" y="1490189"/>
          <a:ext cx="422298" cy="23045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0.37165</cdr:x>
      <cdr:y>0.48877</cdr:y>
    </cdr:from>
    <cdr:to>
      <cdr:x>0.43744</cdr:x>
      <cdr:y>0.55814</cdr:y>
    </cdr:to>
    <cdr:sp macro="" textlink="">
      <cdr:nvSpPr>
        <cdr:cNvPr id="26" name="TextBox 1"/>
        <cdr:cNvSpPr txBox="1"/>
      </cdr:nvSpPr>
      <cdr:spPr>
        <a:xfrm xmlns:a="http://schemas.openxmlformats.org/drawingml/2006/main">
          <a:off x="2200943" y="1797036"/>
          <a:ext cx="389609" cy="25504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0.34117</cdr:x>
      <cdr:y>0.35641</cdr:y>
    </cdr:from>
    <cdr:to>
      <cdr:x>0.41248</cdr:x>
      <cdr:y>0.41909</cdr:y>
    </cdr:to>
    <cdr:sp macro="" textlink="">
      <cdr:nvSpPr>
        <cdr:cNvPr id="27" name="TextBox 1"/>
        <cdr:cNvSpPr txBox="1"/>
      </cdr:nvSpPr>
      <cdr:spPr>
        <a:xfrm xmlns:a="http://schemas.openxmlformats.org/drawingml/2006/main">
          <a:off x="2020388" y="1310380"/>
          <a:ext cx="422299" cy="23045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0.49492</cdr:x>
      <cdr:y>0.56085</cdr:y>
    </cdr:from>
    <cdr:to>
      <cdr:x>0.56623</cdr:x>
      <cdr:y>0.62353</cdr:y>
    </cdr:to>
    <cdr:sp macro="" textlink="">
      <cdr:nvSpPr>
        <cdr:cNvPr id="28" name="TextBox 1"/>
        <cdr:cNvSpPr txBox="1"/>
      </cdr:nvSpPr>
      <cdr:spPr>
        <a:xfrm xmlns:a="http://schemas.openxmlformats.org/drawingml/2006/main">
          <a:off x="2930949" y="2062032"/>
          <a:ext cx="422298" cy="23045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0.66127</cdr:x>
      <cdr:y>0.50614</cdr:y>
    </cdr:from>
    <cdr:to>
      <cdr:x>0.73258</cdr:x>
      <cdr:y>0.56882</cdr:y>
    </cdr:to>
    <cdr:sp macro="" textlink="">
      <cdr:nvSpPr>
        <cdr:cNvPr id="29" name="TextBox 1"/>
        <cdr:cNvSpPr txBox="1"/>
      </cdr:nvSpPr>
      <cdr:spPr>
        <a:xfrm xmlns:a="http://schemas.openxmlformats.org/drawingml/2006/main">
          <a:off x="3916062" y="1860912"/>
          <a:ext cx="422298" cy="23045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0.62551</cdr:x>
      <cdr:y>0.54936</cdr:y>
    </cdr:from>
    <cdr:to>
      <cdr:x>0.69682</cdr:x>
      <cdr:y>0.61204</cdr:y>
    </cdr:to>
    <cdr:sp macro="" textlink="">
      <cdr:nvSpPr>
        <cdr:cNvPr id="30" name="TextBox 1"/>
        <cdr:cNvSpPr txBox="1"/>
      </cdr:nvSpPr>
      <cdr:spPr>
        <a:xfrm xmlns:a="http://schemas.openxmlformats.org/drawingml/2006/main">
          <a:off x="3704253" y="2019802"/>
          <a:ext cx="422299" cy="23045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0.58076</cdr:x>
      <cdr:y>0.43134</cdr:y>
    </cdr:from>
    <cdr:to>
      <cdr:x>0.65207</cdr:x>
      <cdr:y>0.49402</cdr:y>
    </cdr:to>
    <cdr:sp macro="" textlink="">
      <cdr:nvSpPr>
        <cdr:cNvPr id="31" name="TextBox 1"/>
        <cdr:cNvSpPr txBox="1"/>
      </cdr:nvSpPr>
      <cdr:spPr>
        <a:xfrm xmlns:a="http://schemas.openxmlformats.org/drawingml/2006/main">
          <a:off x="3439282" y="1585882"/>
          <a:ext cx="422299" cy="23045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0.74171</cdr:x>
      <cdr:y>0.4486</cdr:y>
    </cdr:from>
    <cdr:to>
      <cdr:x>0.81302</cdr:x>
      <cdr:y>0.51128</cdr:y>
    </cdr:to>
    <cdr:sp macro="" textlink="">
      <cdr:nvSpPr>
        <cdr:cNvPr id="32" name="TextBox 1"/>
        <cdr:cNvSpPr txBox="1"/>
      </cdr:nvSpPr>
      <cdr:spPr>
        <a:xfrm xmlns:a="http://schemas.openxmlformats.org/drawingml/2006/main">
          <a:off x="4392439" y="1649335"/>
          <a:ext cx="422299" cy="23045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0.78646</cdr:x>
      <cdr:y>0.52918</cdr:y>
    </cdr:from>
    <cdr:to>
      <cdr:x>0.85777</cdr:x>
      <cdr:y>0.59187</cdr:y>
    </cdr:to>
    <cdr:sp macro="" textlink="">
      <cdr:nvSpPr>
        <cdr:cNvPr id="33" name="TextBox 1"/>
        <cdr:cNvSpPr txBox="1"/>
      </cdr:nvSpPr>
      <cdr:spPr>
        <a:xfrm xmlns:a="http://schemas.openxmlformats.org/drawingml/2006/main">
          <a:off x="4657442" y="1945593"/>
          <a:ext cx="422299" cy="23048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0.25708</cdr:x>
      <cdr:y>0.61555</cdr:y>
    </cdr:from>
    <cdr:to>
      <cdr:x>0.32839</cdr:x>
      <cdr:y>0.67823</cdr:y>
    </cdr:to>
    <cdr:sp macro="" textlink="">
      <cdr:nvSpPr>
        <cdr:cNvPr id="34" name="TextBox 1"/>
        <cdr:cNvSpPr txBox="1"/>
      </cdr:nvSpPr>
      <cdr:spPr>
        <a:xfrm xmlns:a="http://schemas.openxmlformats.org/drawingml/2006/main">
          <a:off x="1522402" y="2263152"/>
          <a:ext cx="422299" cy="23045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chemeClr val="dk1"/>
              </a:solidFill>
              <a:effectLst/>
              <a:latin typeface="+mn-lt"/>
              <a:ea typeface="+mn-ea"/>
              <a:cs typeface="+mn-cs"/>
            </a:rPr>
            <a:t>AB</a:t>
          </a:r>
          <a:endParaRPr lang="en-US">
            <a:effectLst/>
          </a:endParaRPr>
        </a:p>
      </cdr:txBody>
    </cdr:sp>
  </cdr:relSizeAnchor>
  <cdr:relSizeAnchor xmlns:cdr="http://schemas.openxmlformats.org/drawingml/2006/chartDrawing">
    <cdr:from>
      <cdr:x>0.14058</cdr:x>
      <cdr:y>0.64561</cdr:y>
    </cdr:from>
    <cdr:to>
      <cdr:x>0.16877</cdr:x>
      <cdr:y>0.69974</cdr:y>
    </cdr:to>
    <cdr:sp macro="" textlink="">
      <cdr:nvSpPr>
        <cdr:cNvPr id="35" name="TextBox 1"/>
        <cdr:cNvSpPr txBox="1"/>
      </cdr:nvSpPr>
      <cdr:spPr>
        <a:xfrm xmlns:a="http://schemas.openxmlformats.org/drawingml/2006/main">
          <a:off x="832492" y="2373668"/>
          <a:ext cx="166942" cy="199017"/>
        </a:xfrm>
        <a:prstGeom xmlns:a="http://schemas.openxmlformats.org/drawingml/2006/main" prst="rect">
          <a:avLst/>
        </a:prstGeom>
      </cdr:spPr>
    </cdr:sp>
  </cdr:relSizeAnchor>
  <cdr:relSizeAnchor xmlns:cdr="http://schemas.openxmlformats.org/drawingml/2006/chartDrawing">
    <cdr:from>
      <cdr:x>0.16751</cdr:x>
      <cdr:y>0.56463</cdr:y>
    </cdr:from>
    <cdr:to>
      <cdr:x>0.1957</cdr:x>
      <cdr:y>0.61876</cdr:y>
    </cdr:to>
    <cdr:sp macro="" textlink="">
      <cdr:nvSpPr>
        <cdr:cNvPr id="36" name="TextBox 1"/>
        <cdr:cNvSpPr txBox="1"/>
      </cdr:nvSpPr>
      <cdr:spPr>
        <a:xfrm xmlns:a="http://schemas.openxmlformats.org/drawingml/2006/main">
          <a:off x="991980" y="2075956"/>
          <a:ext cx="166942" cy="199017"/>
        </a:xfrm>
        <a:prstGeom xmlns:a="http://schemas.openxmlformats.org/drawingml/2006/main" prst="rect">
          <a:avLst/>
        </a:prstGeom>
      </cdr:spPr>
    </cdr:sp>
  </cdr:relSizeAnchor>
  <cdr:relSizeAnchor xmlns:cdr="http://schemas.openxmlformats.org/drawingml/2006/chartDrawing">
    <cdr:from>
      <cdr:x>0.13878</cdr:x>
      <cdr:y>0.66585</cdr:y>
    </cdr:from>
    <cdr:to>
      <cdr:x>0.16697</cdr:x>
      <cdr:y>0.71998</cdr:y>
    </cdr:to>
    <cdr:sp macro="" textlink="">
      <cdr:nvSpPr>
        <cdr:cNvPr id="37" name="TextBox 1"/>
        <cdr:cNvSpPr txBox="1"/>
      </cdr:nvSpPr>
      <cdr:spPr>
        <a:xfrm xmlns:a="http://schemas.openxmlformats.org/drawingml/2006/main">
          <a:off x="821858" y="2448096"/>
          <a:ext cx="166942" cy="199017"/>
        </a:xfrm>
        <a:prstGeom xmlns:a="http://schemas.openxmlformats.org/drawingml/2006/main" prst="rect">
          <a:avLst/>
        </a:prstGeom>
      </cdr:spPr>
    </cdr:sp>
  </cdr:relSizeAnchor>
  <cdr:relSizeAnchor xmlns:cdr="http://schemas.openxmlformats.org/drawingml/2006/chartDrawing">
    <cdr:from>
      <cdr:x>0.13645</cdr:x>
      <cdr:y>0.66804</cdr:y>
    </cdr:from>
    <cdr:to>
      <cdr:x>0.16877</cdr:x>
      <cdr:y>0.72298</cdr:y>
    </cdr:to>
    <cdr:sp macro="" textlink="">
      <cdr:nvSpPr>
        <cdr:cNvPr id="8" name="Text Box 7"/>
        <cdr:cNvSpPr txBox="1"/>
      </cdr:nvSpPr>
      <cdr:spPr>
        <a:xfrm xmlns:a="http://schemas.openxmlformats.org/drawingml/2006/main">
          <a:off x="808068" y="2456133"/>
          <a:ext cx="191400" cy="2019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0.29624</cdr:x>
      <cdr:y>0.70852</cdr:y>
    </cdr:from>
    <cdr:to>
      <cdr:x>0.33845</cdr:x>
      <cdr:y>0.78977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54349" y="2604968"/>
          <a:ext cx="249969" cy="298728"/>
        </a:xfrm>
        <a:prstGeom xmlns:a="http://schemas.openxmlformats.org/drawingml/2006/main" prst="rect">
          <a:avLst/>
        </a:prstGeom>
      </cdr:spPr>
    </cdr:pic>
  </cdr:relSizeAnchor>
  <cdr:relSizeAnchor xmlns:cdr="http://schemas.openxmlformats.org/drawingml/2006/chartDrawing">
    <cdr:from>
      <cdr:x>0.46681</cdr:x>
      <cdr:y>0.61887</cdr:y>
    </cdr:from>
    <cdr:to>
      <cdr:x>0.50902</cdr:x>
      <cdr:y>0.70012</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764481" y="2275357"/>
          <a:ext cx="249968" cy="298728"/>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0.16252</cdr:x>
      <cdr:y>0.67806</cdr:y>
    </cdr:from>
    <cdr:to>
      <cdr:x>0.19071</cdr:x>
      <cdr:y>0.73219</cdr:y>
    </cdr:to>
    <cdr:sp macro="" textlink="">
      <cdr:nvSpPr>
        <cdr:cNvPr id="2" name="TextBox 1"/>
        <cdr:cNvSpPr txBox="1"/>
      </cdr:nvSpPr>
      <cdr:spPr>
        <a:xfrm xmlns:a="http://schemas.openxmlformats.org/drawingml/2006/main">
          <a:off x="933450" y="2266951"/>
          <a:ext cx="161925"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0.14639</cdr:x>
      <cdr:y>0.55441</cdr:y>
    </cdr:from>
    <cdr:to>
      <cdr:x>0.2177</cdr:x>
      <cdr:y>0.61709</cdr:y>
    </cdr:to>
    <cdr:sp macro="" textlink="">
      <cdr:nvSpPr>
        <cdr:cNvPr id="7" name="TextBox 1"/>
        <cdr:cNvSpPr txBox="1"/>
      </cdr:nvSpPr>
      <cdr:spPr>
        <a:xfrm xmlns:a="http://schemas.openxmlformats.org/drawingml/2006/main">
          <a:off x="827960" y="1349757"/>
          <a:ext cx="403325" cy="15260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a:effectLst/>
            </a:rPr>
            <a:t>A</a:t>
          </a:r>
        </a:p>
      </cdr:txBody>
    </cdr:sp>
  </cdr:relSizeAnchor>
  <cdr:relSizeAnchor xmlns:cdr="http://schemas.openxmlformats.org/drawingml/2006/chartDrawing">
    <cdr:from>
      <cdr:x>0.72471</cdr:x>
      <cdr:y>0.02564</cdr:y>
    </cdr:from>
    <cdr:to>
      <cdr:x>0.76617</cdr:x>
      <cdr:y>0.08832</cdr:y>
    </cdr:to>
    <cdr:sp macro="" textlink="">
      <cdr:nvSpPr>
        <cdr:cNvPr id="23" name="TextBox 22"/>
        <cdr:cNvSpPr txBox="1"/>
      </cdr:nvSpPr>
      <cdr:spPr>
        <a:xfrm xmlns:a="http://schemas.openxmlformats.org/drawingml/2006/main">
          <a:off x="4162425" y="85726"/>
          <a:ext cx="2381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0.26833</cdr:x>
      <cdr:y>0.48643</cdr:y>
    </cdr:from>
    <cdr:to>
      <cdr:x>0.34793</cdr:x>
      <cdr:y>0.56905</cdr:y>
    </cdr:to>
    <cdr:sp macro="" textlink="">
      <cdr:nvSpPr>
        <cdr:cNvPr id="22" name="TextBox 21"/>
        <cdr:cNvSpPr txBox="1"/>
      </cdr:nvSpPr>
      <cdr:spPr>
        <a:xfrm xmlns:a="http://schemas.openxmlformats.org/drawingml/2006/main">
          <a:off x="1517656" y="1184261"/>
          <a:ext cx="450213" cy="2011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0.63892</cdr:x>
      <cdr:y>0.50352</cdr:y>
    </cdr:from>
    <cdr:to>
      <cdr:x>0.69624</cdr:x>
      <cdr:y>0.59287</cdr:y>
    </cdr:to>
    <cdr:pic>
      <cdr:nvPicPr>
        <cdr:cNvPr id="2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13695" y="1225868"/>
          <a:ext cx="324199" cy="217531"/>
        </a:xfrm>
        <a:prstGeom xmlns:a="http://schemas.openxmlformats.org/drawingml/2006/main" prst="rect">
          <a:avLst/>
        </a:prstGeom>
      </cdr:spPr>
    </cdr:pic>
  </cdr:relSizeAnchor>
  <cdr:relSizeAnchor xmlns:cdr="http://schemas.openxmlformats.org/drawingml/2006/chartDrawing">
    <cdr:from>
      <cdr:x>0.75954</cdr:x>
      <cdr:y>0.46041</cdr:y>
    </cdr:from>
    <cdr:to>
      <cdr:x>0.81685</cdr:x>
      <cdr:y>0.54976</cdr:y>
    </cdr:to>
    <cdr:pic>
      <cdr:nvPicPr>
        <cdr:cNvPr id="2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295916" y="1120915"/>
          <a:ext cx="324143" cy="217531"/>
        </a:xfrm>
        <a:prstGeom xmlns:a="http://schemas.openxmlformats.org/drawingml/2006/main" prst="rect">
          <a:avLst/>
        </a:prstGeom>
      </cdr:spPr>
    </cdr:pic>
  </cdr:relSizeAnchor>
  <cdr:relSizeAnchor xmlns:cdr="http://schemas.openxmlformats.org/drawingml/2006/chartDrawing">
    <cdr:from>
      <cdr:x>0.88723</cdr:x>
      <cdr:y>0.04558</cdr:y>
    </cdr:from>
    <cdr:to>
      <cdr:x>0.94859</cdr:x>
      <cdr:y>0.15385</cdr:y>
    </cdr:to>
    <cdr:sp macro="" textlink="">
      <cdr:nvSpPr>
        <cdr:cNvPr id="28" name="TextBox 27"/>
        <cdr:cNvSpPr txBox="1"/>
      </cdr:nvSpPr>
      <cdr:spPr>
        <a:xfrm xmlns:a="http://schemas.openxmlformats.org/drawingml/2006/main">
          <a:off x="5095875" y="152400"/>
          <a:ext cx="352425" cy="361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0.36379</cdr:x>
      <cdr:y>0.41122</cdr:y>
    </cdr:from>
    <cdr:to>
      <cdr:x>0.44339</cdr:x>
      <cdr:y>0.49384</cdr:y>
    </cdr:to>
    <cdr:sp macro="" textlink="">
      <cdr:nvSpPr>
        <cdr:cNvPr id="13" name="TextBox 21"/>
        <cdr:cNvSpPr txBox="1"/>
      </cdr:nvSpPr>
      <cdr:spPr>
        <a:xfrm xmlns:a="http://schemas.openxmlformats.org/drawingml/2006/main">
          <a:off x="2057554" y="1001145"/>
          <a:ext cx="450213" cy="201146"/>
        </a:xfrm>
        <a:prstGeom xmlns:a="http://schemas.openxmlformats.org/drawingml/2006/main" prst="rect">
          <a:avLst/>
        </a:prstGeom>
      </cdr:spPr>
    </cdr:sp>
  </cdr:relSizeAnchor>
  <cdr:relSizeAnchor xmlns:cdr="http://schemas.openxmlformats.org/drawingml/2006/chartDrawing">
    <cdr:from>
      <cdr:x>0.26603</cdr:x>
      <cdr:y>0.54224</cdr:y>
    </cdr:from>
    <cdr:to>
      <cdr:x>0.34563</cdr:x>
      <cdr:y>0.62486</cdr:y>
    </cdr:to>
    <cdr:sp macro="" textlink="">
      <cdr:nvSpPr>
        <cdr:cNvPr id="15" name="TextBox 21"/>
        <cdr:cNvSpPr txBox="1"/>
      </cdr:nvSpPr>
      <cdr:spPr>
        <a:xfrm xmlns:a="http://schemas.openxmlformats.org/drawingml/2006/main">
          <a:off x="1504661" y="1320122"/>
          <a:ext cx="450213" cy="201146"/>
        </a:xfrm>
        <a:prstGeom xmlns:a="http://schemas.openxmlformats.org/drawingml/2006/main" prst="rect">
          <a:avLst/>
        </a:prstGeom>
      </cdr:spPr>
    </cdr:sp>
  </cdr:relSizeAnchor>
  <cdr:relSizeAnchor xmlns:cdr="http://schemas.openxmlformats.org/drawingml/2006/chartDrawing">
    <cdr:from>
      <cdr:x>0.38726</cdr:x>
      <cdr:y>0.4411</cdr:y>
    </cdr:from>
    <cdr:to>
      <cdr:x>0.45869</cdr:x>
      <cdr:y>0.54591</cdr:y>
    </cdr:to>
    <cdr:sp macro="" textlink="">
      <cdr:nvSpPr>
        <cdr:cNvPr id="3" name="Text Box 2"/>
        <cdr:cNvSpPr txBox="1"/>
      </cdr:nvSpPr>
      <cdr:spPr>
        <a:xfrm xmlns:a="http://schemas.openxmlformats.org/drawingml/2006/main">
          <a:off x="2190307" y="1073888"/>
          <a:ext cx="404037" cy="2551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0.52073</cdr:x>
      <cdr:y>0.6813</cdr:y>
    </cdr:from>
    <cdr:to>
      <cdr:x>0.57337</cdr:x>
      <cdr:y>0.78175</cdr:y>
    </cdr:to>
    <cdr:sp macro="" textlink="">
      <cdr:nvSpPr>
        <cdr:cNvPr id="4" name="Text Box 3"/>
        <cdr:cNvSpPr txBox="1"/>
      </cdr:nvSpPr>
      <cdr:spPr>
        <a:xfrm xmlns:a="http://schemas.openxmlformats.org/drawingml/2006/main">
          <a:off x="2945220" y="1658684"/>
          <a:ext cx="297729" cy="2445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0.39436</cdr:x>
      <cdr:y>0.30474</cdr:y>
    </cdr:from>
    <cdr:to>
      <cdr:x>0.46579</cdr:x>
      <cdr:y>0.40955</cdr:y>
    </cdr:to>
    <cdr:sp macro="" textlink="">
      <cdr:nvSpPr>
        <cdr:cNvPr id="14" name="Text Box 1"/>
        <cdr:cNvSpPr txBox="1"/>
      </cdr:nvSpPr>
      <cdr:spPr>
        <a:xfrm xmlns:a="http://schemas.openxmlformats.org/drawingml/2006/main">
          <a:off x="2230489" y="741926"/>
          <a:ext cx="404004" cy="255169"/>
        </a:xfrm>
        <a:prstGeom xmlns:a="http://schemas.openxmlformats.org/drawingml/2006/main" prst="rect">
          <a:avLst/>
        </a:prstGeom>
      </cdr:spPr>
    </cdr:sp>
  </cdr:relSizeAnchor>
</c:userShapes>
</file>

<file path=word/drawings/drawing3.xml><?xml version="1.0" encoding="utf-8"?>
<c:userShapes xmlns:c="http://schemas.openxmlformats.org/drawingml/2006/chart">
  <cdr:relSizeAnchor xmlns:cdr="http://schemas.openxmlformats.org/drawingml/2006/chartDrawing">
    <cdr:from>
      <cdr:x>0.16252</cdr:x>
      <cdr:y>0.67806</cdr:y>
    </cdr:from>
    <cdr:to>
      <cdr:x>0.19071</cdr:x>
      <cdr:y>0.73219</cdr:y>
    </cdr:to>
    <cdr:sp macro="" textlink="">
      <cdr:nvSpPr>
        <cdr:cNvPr id="2" name="TextBox 1"/>
        <cdr:cNvSpPr txBox="1"/>
      </cdr:nvSpPr>
      <cdr:spPr>
        <a:xfrm xmlns:a="http://schemas.openxmlformats.org/drawingml/2006/main">
          <a:off x="933450" y="2266951"/>
          <a:ext cx="161925"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0.10503</cdr:x>
      <cdr:y>0.51947</cdr:y>
    </cdr:from>
    <cdr:to>
      <cdr:x>0.17634</cdr:x>
      <cdr:y>0.58215</cdr:y>
    </cdr:to>
    <cdr:sp macro="" textlink="">
      <cdr:nvSpPr>
        <cdr:cNvPr id="7" name="TextBox 1"/>
        <cdr:cNvSpPr txBox="1"/>
      </cdr:nvSpPr>
      <cdr:spPr>
        <a:xfrm xmlns:a="http://schemas.openxmlformats.org/drawingml/2006/main">
          <a:off x="603250" y="1736725"/>
          <a:ext cx="409575" cy="20955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effectLst/>
          </a:endParaRPr>
        </a:p>
      </cdr:txBody>
    </cdr:sp>
  </cdr:relSizeAnchor>
  <cdr:relSizeAnchor xmlns:cdr="http://schemas.openxmlformats.org/drawingml/2006/chartDrawing">
    <cdr:from>
      <cdr:x>0.35987</cdr:x>
      <cdr:y>0.38746</cdr:y>
    </cdr:from>
    <cdr:to>
      <cdr:x>0.4461</cdr:x>
      <cdr:y>0.44729</cdr:y>
    </cdr:to>
    <cdr:sp macro="" textlink="">
      <cdr:nvSpPr>
        <cdr:cNvPr id="18" name="TextBox 17"/>
        <cdr:cNvSpPr txBox="1"/>
      </cdr:nvSpPr>
      <cdr:spPr>
        <a:xfrm xmlns:a="http://schemas.openxmlformats.org/drawingml/2006/main">
          <a:off x="2066925" y="1295401"/>
          <a:ext cx="49530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effectLst/>
          </a:endParaRPr>
        </a:p>
      </cdr:txBody>
    </cdr:sp>
  </cdr:relSizeAnchor>
  <cdr:relSizeAnchor xmlns:cdr="http://schemas.openxmlformats.org/drawingml/2006/chartDrawing">
    <cdr:from>
      <cdr:x>0.74959</cdr:x>
      <cdr:y>0.24501</cdr:y>
    </cdr:from>
    <cdr:to>
      <cdr:x>0.81592</cdr:x>
      <cdr:y>0.29915</cdr:y>
    </cdr:to>
    <cdr:sp macro="" textlink="">
      <cdr:nvSpPr>
        <cdr:cNvPr id="21" name="TextBox 20"/>
        <cdr:cNvSpPr txBox="1"/>
      </cdr:nvSpPr>
      <cdr:spPr>
        <a:xfrm xmlns:a="http://schemas.openxmlformats.org/drawingml/2006/main">
          <a:off x="4305300" y="819151"/>
          <a:ext cx="381000"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0.72471</cdr:x>
      <cdr:y>0.02564</cdr:y>
    </cdr:from>
    <cdr:to>
      <cdr:x>0.76617</cdr:x>
      <cdr:y>0.08832</cdr:y>
    </cdr:to>
    <cdr:sp macro="" textlink="">
      <cdr:nvSpPr>
        <cdr:cNvPr id="23" name="TextBox 22"/>
        <cdr:cNvSpPr txBox="1"/>
      </cdr:nvSpPr>
      <cdr:spPr>
        <a:xfrm xmlns:a="http://schemas.openxmlformats.org/drawingml/2006/main">
          <a:off x="4162425" y="85726"/>
          <a:ext cx="2381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0.1478</cdr:x>
      <cdr:y>0.32914</cdr:y>
    </cdr:from>
    <cdr:to>
      <cdr:x>0.95434</cdr:x>
      <cdr:y>0.78659</cdr:y>
    </cdr:to>
    <cdr:grpSp>
      <cdr:nvGrpSpPr>
        <cdr:cNvPr id="3" name="Group 2"/>
        <cdr:cNvGrpSpPr/>
      </cdr:nvGrpSpPr>
      <cdr:grpSpPr>
        <a:xfrm xmlns:a="http://schemas.openxmlformats.org/drawingml/2006/main">
          <a:off x="837525" y="822229"/>
          <a:ext cx="4570478" cy="1142746"/>
          <a:chOff x="848764" y="948536"/>
          <a:chExt cx="4631960" cy="1318257"/>
        </a:xfrm>
      </cdr:grpSpPr>
      <cdr:sp macro="" textlink="">
        <cdr:nvSpPr>
          <cdr:cNvPr id="14" name="TextBox 13"/>
          <cdr:cNvSpPr txBox="1"/>
        </cdr:nvSpPr>
        <cdr:spPr>
          <a:xfrm xmlns:a="http://schemas.openxmlformats.org/drawingml/2006/main">
            <a:off x="848764" y="1914378"/>
            <a:ext cx="381029" cy="3524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pic>
        <cdr:nvPicPr>
          <cdr:cNvPr id="2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982396" y="1892325"/>
            <a:ext cx="249960" cy="298755"/>
          </a:xfrm>
          <a:prstGeom xmlns:a="http://schemas.openxmlformats.org/drawingml/2006/main" prst="rect">
            <a:avLst/>
          </a:prstGeom>
        </cdr:spPr>
      </cdr:pic>
      <cdr:pic>
        <cdr:nvPicPr>
          <cdr:cNvPr id="2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9730" y="1913751"/>
            <a:ext cx="249960" cy="298755"/>
          </a:xfrm>
          <a:prstGeom xmlns:a="http://schemas.openxmlformats.org/drawingml/2006/main" prst="rect">
            <a:avLst/>
          </a:prstGeom>
        </cdr:spPr>
      </cdr:pic>
      <cdr:sp macro="" textlink="">
        <cdr:nvSpPr>
          <cdr:cNvPr id="25" name="TextBox 24"/>
          <cdr:cNvSpPr txBox="1"/>
        </cdr:nvSpPr>
        <cdr:spPr>
          <a:xfrm xmlns:a="http://schemas.openxmlformats.org/drawingml/2006/main">
            <a:off x="4347546" y="1401661"/>
            <a:ext cx="733397" cy="3333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pic>
        <cdr:nvPicPr>
          <cdr:cNvPr id="26"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46620" y="1319749"/>
            <a:ext cx="329164" cy="298755"/>
          </a:xfrm>
          <a:prstGeom xmlns:a="http://schemas.openxmlformats.org/drawingml/2006/main" prst="rect">
            <a:avLst/>
          </a:prstGeom>
        </cdr:spPr>
      </cdr:pic>
      <cdr:sp macro="" textlink="">
        <cdr:nvSpPr>
          <cdr:cNvPr id="27" name="TextBox 26"/>
          <cdr:cNvSpPr txBox="1"/>
        </cdr:nvSpPr>
        <cdr:spPr>
          <a:xfrm xmlns:a="http://schemas.openxmlformats.org/drawingml/2006/main">
            <a:off x="2272584" y="1084212"/>
            <a:ext cx="247605" cy="2476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sp macro="" textlink="">
        <cdr:nvSpPr>
          <cdr:cNvPr id="28" name="TextBox 27"/>
          <cdr:cNvSpPr txBox="1"/>
        </cdr:nvSpPr>
        <cdr:spPr>
          <a:xfrm xmlns:a="http://schemas.openxmlformats.org/drawingml/2006/main">
            <a:off x="5118764" y="948536"/>
            <a:ext cx="361960" cy="3143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grpSp>
  </cdr:relSizeAnchor>
</c:userShapes>
</file>

<file path=word/drawings/drawing4.xml><?xml version="1.0" encoding="utf-8"?>
<c:userShapes xmlns:c="http://schemas.openxmlformats.org/drawingml/2006/chart">
  <cdr:relSizeAnchor xmlns:cdr="http://schemas.openxmlformats.org/drawingml/2006/chartDrawing">
    <cdr:from>
      <cdr:x>0.10503</cdr:x>
      <cdr:y>0.51947</cdr:y>
    </cdr:from>
    <cdr:to>
      <cdr:x>0.17634</cdr:x>
      <cdr:y>0.58215</cdr:y>
    </cdr:to>
    <cdr:sp macro="" textlink="">
      <cdr:nvSpPr>
        <cdr:cNvPr id="7" name="TextBox 1"/>
        <cdr:cNvSpPr txBox="1"/>
      </cdr:nvSpPr>
      <cdr:spPr>
        <a:xfrm xmlns:a="http://schemas.openxmlformats.org/drawingml/2006/main">
          <a:off x="603250" y="1736725"/>
          <a:ext cx="409575" cy="20955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effectLst/>
          </a:endParaRPr>
        </a:p>
      </cdr:txBody>
    </cdr:sp>
  </cdr:relSizeAnchor>
  <cdr:relSizeAnchor xmlns:cdr="http://schemas.openxmlformats.org/drawingml/2006/chartDrawing">
    <cdr:from>
      <cdr:x>0.35987</cdr:x>
      <cdr:y>0.38746</cdr:y>
    </cdr:from>
    <cdr:to>
      <cdr:x>0.4461</cdr:x>
      <cdr:y>0.44729</cdr:y>
    </cdr:to>
    <cdr:sp macro="" textlink="">
      <cdr:nvSpPr>
        <cdr:cNvPr id="18" name="TextBox 17"/>
        <cdr:cNvSpPr txBox="1"/>
      </cdr:nvSpPr>
      <cdr:spPr>
        <a:xfrm xmlns:a="http://schemas.openxmlformats.org/drawingml/2006/main">
          <a:off x="2066925" y="1295401"/>
          <a:ext cx="49530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effectLst/>
          </a:endParaRPr>
        </a:p>
      </cdr:txBody>
    </cdr:sp>
  </cdr:relSizeAnchor>
  <cdr:relSizeAnchor xmlns:cdr="http://schemas.openxmlformats.org/drawingml/2006/chartDrawing">
    <cdr:from>
      <cdr:x>0.74959</cdr:x>
      <cdr:y>0.24501</cdr:y>
    </cdr:from>
    <cdr:to>
      <cdr:x>0.81592</cdr:x>
      <cdr:y>0.29915</cdr:y>
    </cdr:to>
    <cdr:sp macro="" textlink="">
      <cdr:nvSpPr>
        <cdr:cNvPr id="21" name="TextBox 20"/>
        <cdr:cNvSpPr txBox="1"/>
      </cdr:nvSpPr>
      <cdr:spPr>
        <a:xfrm xmlns:a="http://schemas.openxmlformats.org/drawingml/2006/main">
          <a:off x="4305300" y="819151"/>
          <a:ext cx="381000"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0.88893</cdr:x>
      <cdr:y>0</cdr:y>
    </cdr:from>
    <cdr:to>
      <cdr:x>0.9314</cdr:x>
      <cdr:y>0.08797</cdr:y>
    </cdr:to>
    <cdr:sp macro="" textlink="">
      <cdr:nvSpPr>
        <cdr:cNvPr id="23" name="TextBox 22"/>
        <cdr:cNvSpPr txBox="1"/>
      </cdr:nvSpPr>
      <cdr:spPr>
        <a:xfrm xmlns:a="http://schemas.openxmlformats.org/drawingml/2006/main">
          <a:off x="5018708" y="0"/>
          <a:ext cx="239776" cy="2066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0.1816</cdr:x>
      <cdr:y>0.33694</cdr:y>
    </cdr:from>
    <cdr:to>
      <cdr:x>0.82407</cdr:x>
      <cdr:y>0.67581</cdr:y>
    </cdr:to>
    <cdr:grpSp>
      <cdr:nvGrpSpPr>
        <cdr:cNvPr id="3" name="Group 2"/>
        <cdr:cNvGrpSpPr/>
      </cdr:nvGrpSpPr>
      <cdr:grpSpPr>
        <a:xfrm xmlns:a="http://schemas.openxmlformats.org/drawingml/2006/main">
          <a:off x="1025251" y="791629"/>
          <a:ext cx="3627279" cy="796175"/>
          <a:chOff x="1051509" y="1030120"/>
          <a:chExt cx="3916995" cy="943901"/>
        </a:xfrm>
      </cdr:grpSpPr>
      <cdr:sp macro="" textlink="">
        <cdr:nvSpPr>
          <cdr:cNvPr id="2" name="TextBox 1"/>
          <cdr:cNvSpPr txBox="1"/>
        </cdr:nvSpPr>
        <cdr:spPr>
          <a:xfrm xmlns:a="http://schemas.openxmlformats.org/drawingml/2006/main">
            <a:off x="1051509" y="1499650"/>
            <a:ext cx="171714" cy="2560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216799" y="1675266"/>
            <a:ext cx="249960" cy="298755"/>
          </a:xfrm>
          <a:prstGeom xmlns:a="http://schemas.openxmlformats.org/drawingml/2006/main" prst="rect">
            <a:avLst/>
          </a:prstGeom>
        </cdr:spPr>
      </cdr:pic>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639283" y="1156346"/>
            <a:ext cx="329221" cy="298722"/>
          </a:xfrm>
          <a:prstGeom xmlns:a="http://schemas.openxmlformats.org/drawingml/2006/main" prst="rect">
            <a:avLst/>
          </a:prstGeom>
        </cdr:spPr>
      </cdr:pic>
      <cdr:pic>
        <cdr:nvPicPr>
          <cdr:cNvPr id="1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444629" y="1030120"/>
            <a:ext cx="329221" cy="298722"/>
          </a:xfrm>
          <a:prstGeom xmlns:a="http://schemas.openxmlformats.org/drawingml/2006/main" prst="rect">
            <a:avLst/>
          </a:prstGeom>
        </cdr:spPr>
      </cdr:pic>
      <cdr:pic>
        <cdr:nvPicPr>
          <cdr:cNvPr id="1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920667" y="1165974"/>
            <a:ext cx="249903" cy="298755"/>
          </a:xfrm>
          <a:prstGeom xmlns:a="http://schemas.openxmlformats.org/drawingml/2006/main" prst="rect">
            <a:avLst/>
          </a:prstGeom>
        </cdr:spPr>
      </cdr:pic>
      <cdr:pic>
        <cdr:nvPicPr>
          <cdr:cNvPr id="1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25864" y="1188063"/>
            <a:ext cx="249960" cy="298755"/>
          </a:xfrm>
          <a:prstGeom xmlns:a="http://schemas.openxmlformats.org/drawingml/2006/main" prst="rect">
            <a:avLst/>
          </a:prstGeom>
        </cdr:spPr>
      </cdr:pic>
    </cdr:grpSp>
  </cdr:relSizeAnchor>
</c:userShapes>
</file>

<file path=word/drawings/drawing5.xml><?xml version="1.0" encoding="utf-8"?>
<c:userShapes xmlns:c="http://schemas.openxmlformats.org/drawingml/2006/chart">
  <cdr:relSizeAnchor xmlns:cdr="http://schemas.openxmlformats.org/drawingml/2006/chartDrawing">
    <cdr:from>
      <cdr:x>0.45697</cdr:x>
      <cdr:y>0.05054</cdr:y>
    </cdr:from>
    <cdr:to>
      <cdr:x>0.73844</cdr:x>
      <cdr:y>0.19134</cdr:y>
    </cdr:to>
    <cdr:sp macro="" textlink="">
      <cdr:nvSpPr>
        <cdr:cNvPr id="2" name="Text Box 1"/>
        <cdr:cNvSpPr txBox="1"/>
      </cdr:nvSpPr>
      <cdr:spPr>
        <a:xfrm xmlns:a="http://schemas.openxmlformats.org/drawingml/2006/main">
          <a:off x="2380891" y="120771"/>
          <a:ext cx="1466490" cy="3364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0">
              <a:latin typeface="Times New Roman" pitchFamily="18" charset="0"/>
              <a:cs typeface="Times New Roman" pitchFamily="18" charset="0"/>
            </a:rPr>
            <a:t>Tennessee</a:t>
          </a:r>
        </a:p>
      </cdr:txBody>
    </cdr:sp>
  </cdr:relSizeAnchor>
</c:userShapes>
</file>

<file path=word/drawings/drawing6.xml><?xml version="1.0" encoding="utf-8"?>
<c:userShapes xmlns:c="http://schemas.openxmlformats.org/drawingml/2006/chart">
  <cdr:relSizeAnchor xmlns:cdr="http://schemas.openxmlformats.org/drawingml/2006/chartDrawing">
    <cdr:from>
      <cdr:x>0.44172</cdr:x>
      <cdr:y>0.03258</cdr:y>
    </cdr:from>
    <cdr:to>
      <cdr:x>0.74715</cdr:x>
      <cdr:y>0.1466</cdr:y>
    </cdr:to>
    <cdr:sp macro="" textlink="">
      <cdr:nvSpPr>
        <cdr:cNvPr id="2" name="Text Box 1"/>
        <cdr:cNvSpPr txBox="1"/>
      </cdr:nvSpPr>
      <cdr:spPr>
        <a:xfrm xmlns:a="http://schemas.openxmlformats.org/drawingml/2006/main">
          <a:off x="2320506" y="86264"/>
          <a:ext cx="1604513" cy="30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Kentucky</a:t>
          </a:r>
        </a:p>
      </cdr:txBody>
    </cdr:sp>
  </cdr:relSizeAnchor>
</c:userShapes>
</file>

<file path=word/drawings/drawing7.xml><?xml version="1.0" encoding="utf-8"?>
<c:userShapes xmlns:c="http://schemas.openxmlformats.org/drawingml/2006/chart">
  <cdr:relSizeAnchor xmlns:cdr="http://schemas.openxmlformats.org/drawingml/2006/chartDrawing">
    <cdr:from>
      <cdr:x>0.46574</cdr:x>
      <cdr:y>0.02422</cdr:y>
    </cdr:from>
    <cdr:to>
      <cdr:x>0.65857</cdr:x>
      <cdr:y>0.18685</cdr:y>
    </cdr:to>
    <cdr:sp macro="" textlink="">
      <cdr:nvSpPr>
        <cdr:cNvPr id="2" name="Text Box 1"/>
        <cdr:cNvSpPr txBox="1"/>
      </cdr:nvSpPr>
      <cdr:spPr>
        <a:xfrm xmlns:a="http://schemas.openxmlformats.org/drawingml/2006/main">
          <a:off x="2458530" y="60384"/>
          <a:ext cx="1017916" cy="4054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Virginia</a:t>
          </a:r>
        </a:p>
      </cdr:txBody>
    </cdr:sp>
  </cdr:relSizeAnchor>
</c:userShapes>
</file>

<file path=word/drawings/drawing8.xml><?xml version="1.0" encoding="utf-8"?>
<c:userShapes xmlns:c="http://schemas.openxmlformats.org/drawingml/2006/chart">
  <cdr:relSizeAnchor xmlns:cdr="http://schemas.openxmlformats.org/drawingml/2006/chartDrawing">
    <cdr:from>
      <cdr:x>0.15719</cdr:x>
      <cdr:y>0.56602</cdr:y>
    </cdr:from>
    <cdr:to>
      <cdr:x>0.19115</cdr:x>
      <cdr:y>0.63019</cdr:y>
    </cdr:to>
    <cdr:sp macro="" textlink="">
      <cdr:nvSpPr>
        <cdr:cNvPr id="2" name="TextBox 1"/>
        <cdr:cNvSpPr txBox="1"/>
      </cdr:nvSpPr>
      <cdr:spPr>
        <a:xfrm xmlns:a="http://schemas.openxmlformats.org/drawingml/2006/main">
          <a:off x="933887" y="2129579"/>
          <a:ext cx="201758" cy="2414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0.44592</cdr:x>
      <cdr:y>0.59384</cdr:y>
    </cdr:from>
    <cdr:to>
      <cdr:x>0.51214</cdr:x>
      <cdr:y>0.7113</cdr:y>
    </cdr:to>
    <cdr:sp macro="" textlink="">
      <cdr:nvSpPr>
        <cdr:cNvPr id="3" name="TextBox 2"/>
        <cdr:cNvSpPr txBox="1"/>
      </cdr:nvSpPr>
      <cdr:spPr>
        <a:xfrm xmlns:a="http://schemas.openxmlformats.org/drawingml/2006/main">
          <a:off x="2649225" y="2234242"/>
          <a:ext cx="393417" cy="4419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 </a:t>
          </a:r>
        </a:p>
      </cdr:txBody>
    </cdr:sp>
  </cdr:relSizeAnchor>
  <cdr:relSizeAnchor xmlns:cdr="http://schemas.openxmlformats.org/drawingml/2006/chartDrawing">
    <cdr:from>
      <cdr:x>0.48044</cdr:x>
      <cdr:y>0.5593</cdr:y>
    </cdr:from>
    <cdr:to>
      <cdr:x>0.55031</cdr:x>
      <cdr:y>0.7593</cdr:y>
    </cdr:to>
    <cdr:sp macro="" textlink="">
      <cdr:nvSpPr>
        <cdr:cNvPr id="8" name="TextBox 7"/>
        <cdr:cNvSpPr txBox="1"/>
      </cdr:nvSpPr>
      <cdr:spPr>
        <a:xfrm xmlns:a="http://schemas.openxmlformats.org/drawingml/2006/main">
          <a:off x="2854300" y="2104302"/>
          <a:ext cx="415112" cy="7524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A-C</a:t>
          </a:r>
        </a:p>
      </cdr:txBody>
    </cdr:sp>
  </cdr:relSizeAnchor>
  <cdr:relSizeAnchor xmlns:cdr="http://schemas.openxmlformats.org/drawingml/2006/chartDrawing">
    <cdr:from>
      <cdr:x>0.26248</cdr:x>
      <cdr:y>0.51282</cdr:y>
    </cdr:from>
    <cdr:to>
      <cdr:x>0.33836</cdr:x>
      <cdr:y>0.77358</cdr:y>
    </cdr:to>
    <cdr:sp macro="" textlink="">
      <cdr:nvSpPr>
        <cdr:cNvPr id="9" name="TextBox 8"/>
        <cdr:cNvSpPr txBox="1"/>
      </cdr:nvSpPr>
      <cdr:spPr>
        <a:xfrm xmlns:a="http://schemas.openxmlformats.org/drawingml/2006/main">
          <a:off x="1559421" y="1929430"/>
          <a:ext cx="450808" cy="9810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A-D</a:t>
          </a:r>
        </a:p>
      </cdr:txBody>
    </cdr:sp>
  </cdr:relSizeAnchor>
  <cdr:relSizeAnchor xmlns:cdr="http://schemas.openxmlformats.org/drawingml/2006/chartDrawing">
    <cdr:from>
      <cdr:x>0.40679</cdr:x>
      <cdr:y>0.36914</cdr:y>
    </cdr:from>
    <cdr:to>
      <cdr:x>0.49513</cdr:x>
      <cdr:y>0.48416</cdr:y>
    </cdr:to>
    <cdr:sp macro="" textlink="">
      <cdr:nvSpPr>
        <cdr:cNvPr id="10" name="TextBox 9"/>
        <cdr:cNvSpPr txBox="1"/>
      </cdr:nvSpPr>
      <cdr:spPr>
        <a:xfrm xmlns:a="http://schemas.openxmlformats.org/drawingml/2006/main">
          <a:off x="2416753" y="1388853"/>
          <a:ext cx="524855" cy="4327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 -E</a:t>
          </a:r>
        </a:p>
      </cdr:txBody>
    </cdr:sp>
  </cdr:relSizeAnchor>
  <cdr:relSizeAnchor xmlns:cdr="http://schemas.openxmlformats.org/drawingml/2006/chartDrawing">
    <cdr:from>
      <cdr:x>0.69841</cdr:x>
      <cdr:y>0.29276</cdr:y>
    </cdr:from>
    <cdr:to>
      <cdr:x>0.76297</cdr:x>
      <cdr:y>0.37373</cdr:y>
    </cdr:to>
    <cdr:sp macro="" textlink="">
      <cdr:nvSpPr>
        <cdr:cNvPr id="12" name="TextBox 11"/>
        <cdr:cNvSpPr txBox="1"/>
      </cdr:nvSpPr>
      <cdr:spPr>
        <a:xfrm xmlns:a="http://schemas.openxmlformats.org/drawingml/2006/main">
          <a:off x="4149305" y="1101471"/>
          <a:ext cx="383545" cy="3046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A-E</a:t>
          </a:r>
        </a:p>
      </cdr:txBody>
    </cdr:sp>
  </cdr:relSizeAnchor>
  <cdr:relSizeAnchor xmlns:cdr="http://schemas.openxmlformats.org/drawingml/2006/chartDrawing">
    <cdr:from>
      <cdr:x>0.5873</cdr:x>
      <cdr:y>0.24285</cdr:y>
    </cdr:from>
    <cdr:to>
      <cdr:x>0.66647</cdr:x>
      <cdr:y>0.53652</cdr:y>
    </cdr:to>
    <cdr:sp macro="" textlink="">
      <cdr:nvSpPr>
        <cdr:cNvPr id="14" name="TextBox 13"/>
        <cdr:cNvSpPr txBox="1"/>
      </cdr:nvSpPr>
      <cdr:spPr>
        <a:xfrm xmlns:a="http://schemas.openxmlformats.org/drawingml/2006/main">
          <a:off x="3489209" y="913697"/>
          <a:ext cx="470316" cy="11048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B-F</a:t>
          </a:r>
        </a:p>
      </cdr:txBody>
    </cdr:sp>
  </cdr:relSizeAnchor>
  <cdr:relSizeAnchor xmlns:cdr="http://schemas.openxmlformats.org/drawingml/2006/chartDrawing">
    <cdr:from>
      <cdr:x>0.30056</cdr:x>
      <cdr:y>0.17655</cdr:y>
    </cdr:from>
    <cdr:to>
      <cdr:x>0.363</cdr:x>
      <cdr:y>0.38132</cdr:y>
    </cdr:to>
    <cdr:sp macro="" textlink="">
      <cdr:nvSpPr>
        <cdr:cNvPr id="15" name="TextBox 14"/>
        <cdr:cNvSpPr txBox="1"/>
      </cdr:nvSpPr>
      <cdr:spPr>
        <a:xfrm xmlns:a="http://schemas.openxmlformats.org/drawingml/2006/main">
          <a:off x="1785668" y="664234"/>
          <a:ext cx="370935" cy="7704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C-F</a:t>
          </a:r>
        </a:p>
      </cdr:txBody>
    </cdr:sp>
  </cdr:relSizeAnchor>
  <cdr:relSizeAnchor xmlns:cdr="http://schemas.openxmlformats.org/drawingml/2006/chartDrawing">
    <cdr:from>
      <cdr:x>0.36876</cdr:x>
      <cdr:y>0.1582</cdr:y>
    </cdr:from>
    <cdr:to>
      <cdr:x>0.46319</cdr:x>
      <cdr:y>0.28116</cdr:y>
    </cdr:to>
    <cdr:sp macro="" textlink="">
      <cdr:nvSpPr>
        <cdr:cNvPr id="17" name="TextBox 16"/>
        <cdr:cNvSpPr txBox="1"/>
      </cdr:nvSpPr>
      <cdr:spPr>
        <a:xfrm xmlns:a="http://schemas.openxmlformats.org/drawingml/2006/main">
          <a:off x="2190801" y="595223"/>
          <a:ext cx="561025" cy="462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D-F</a:t>
          </a:r>
        </a:p>
      </cdr:txBody>
    </cdr:sp>
  </cdr:relSizeAnchor>
  <cdr:relSizeAnchor xmlns:cdr="http://schemas.openxmlformats.org/drawingml/2006/chartDrawing">
    <cdr:from>
      <cdr:x>0.75208</cdr:x>
      <cdr:y>0.02025</cdr:y>
    </cdr:from>
    <cdr:to>
      <cdr:x>0.77783</cdr:x>
      <cdr:y>0.08354</cdr:y>
    </cdr:to>
    <cdr:sp macro="" textlink="">
      <cdr:nvSpPr>
        <cdr:cNvPr id="19" name="TextBox 18"/>
        <cdr:cNvSpPr txBox="1"/>
      </cdr:nvSpPr>
      <cdr:spPr>
        <a:xfrm xmlns:a="http://schemas.openxmlformats.org/drawingml/2006/main">
          <a:off x="4470083" y="74709"/>
          <a:ext cx="153048" cy="2334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a:t>
          </a:r>
        </a:p>
      </cdr:txBody>
    </cdr:sp>
  </cdr:relSizeAnchor>
  <cdr:relSizeAnchor xmlns:cdr="http://schemas.openxmlformats.org/drawingml/2006/chartDrawing">
    <cdr:from>
      <cdr:x>0.09259</cdr:x>
      <cdr:y>0.07932</cdr:y>
    </cdr:from>
    <cdr:to>
      <cdr:x>0.12511</cdr:x>
      <cdr:y>0.42363</cdr:y>
    </cdr:to>
    <cdr:sp macro="" textlink="">
      <cdr:nvSpPr>
        <cdr:cNvPr id="20" name="TextBox 7"/>
        <cdr:cNvSpPr txBox="1"/>
      </cdr:nvSpPr>
      <cdr:spPr>
        <a:xfrm xmlns:a="http://schemas.openxmlformats.org/drawingml/2006/main">
          <a:off x="650875" y="298450"/>
          <a:ext cx="228600" cy="12954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0.1193</cdr:x>
      <cdr:y>0.39436</cdr:y>
    </cdr:from>
    <cdr:to>
      <cdr:x>0.19457</cdr:x>
      <cdr:y>0.52767</cdr:y>
    </cdr:to>
    <cdr:sp macro="" textlink="">
      <cdr:nvSpPr>
        <cdr:cNvPr id="21" name="TextBox 7"/>
        <cdr:cNvSpPr txBox="1"/>
      </cdr:nvSpPr>
      <cdr:spPr>
        <a:xfrm xmlns:a="http://schemas.openxmlformats.org/drawingml/2006/main">
          <a:off x="708781" y="1483743"/>
          <a:ext cx="447159" cy="50153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t>A-E</a:t>
          </a:r>
        </a:p>
      </cdr:txBody>
    </cdr:sp>
  </cdr:relSizeAnchor>
  <cdr:relSizeAnchor xmlns:cdr="http://schemas.openxmlformats.org/drawingml/2006/chartDrawing">
    <cdr:from>
      <cdr:x>0.22664</cdr:x>
      <cdr:y>0.30029</cdr:y>
    </cdr:from>
    <cdr:to>
      <cdr:x>0.29698</cdr:x>
      <cdr:y>0.3875</cdr:y>
    </cdr:to>
    <cdr:sp macro="" textlink="">
      <cdr:nvSpPr>
        <cdr:cNvPr id="22" name="TextBox 7"/>
        <cdr:cNvSpPr txBox="1"/>
      </cdr:nvSpPr>
      <cdr:spPr>
        <a:xfrm xmlns:a="http://schemas.openxmlformats.org/drawingml/2006/main">
          <a:off x="1347071" y="1107883"/>
          <a:ext cx="418072" cy="32174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t>A-F</a:t>
          </a:r>
        </a:p>
      </cdr:txBody>
    </cdr:sp>
  </cdr:relSizeAnchor>
  <cdr:relSizeAnchor xmlns:cdr="http://schemas.openxmlformats.org/drawingml/2006/chartDrawing">
    <cdr:from>
      <cdr:x>0.55031</cdr:x>
      <cdr:y>0.23616</cdr:y>
    </cdr:from>
    <cdr:to>
      <cdr:x>0.62</cdr:x>
      <cdr:y>0.39325</cdr:y>
    </cdr:to>
    <cdr:sp macro="" textlink="">
      <cdr:nvSpPr>
        <cdr:cNvPr id="25" name="TextBox 9"/>
        <cdr:cNvSpPr txBox="1"/>
      </cdr:nvSpPr>
      <cdr:spPr>
        <a:xfrm xmlns:a="http://schemas.openxmlformats.org/drawingml/2006/main">
          <a:off x="3269412" y="888521"/>
          <a:ext cx="414068" cy="59103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t>A-F</a:t>
          </a:r>
        </a:p>
      </cdr:txBody>
    </cdr:sp>
  </cdr:relSizeAnchor>
  <cdr:relSizeAnchor xmlns:cdr="http://schemas.openxmlformats.org/drawingml/2006/chartDrawing">
    <cdr:from>
      <cdr:x>0.62872</cdr:x>
      <cdr:y>0.24393</cdr:y>
    </cdr:from>
    <cdr:to>
      <cdr:x>0.70422</cdr:x>
      <cdr:y>0.58824</cdr:y>
    </cdr:to>
    <cdr:sp macro="" textlink="">
      <cdr:nvSpPr>
        <cdr:cNvPr id="26" name="TextBox 9"/>
        <cdr:cNvSpPr txBox="1"/>
      </cdr:nvSpPr>
      <cdr:spPr>
        <a:xfrm xmlns:a="http://schemas.openxmlformats.org/drawingml/2006/main">
          <a:off x="3735238" y="917748"/>
          <a:ext cx="448574" cy="129542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t>B-F</a:t>
          </a:r>
        </a:p>
      </cdr:txBody>
    </cdr:sp>
  </cdr:relSizeAnchor>
  <cdr:relSizeAnchor xmlns:cdr="http://schemas.openxmlformats.org/drawingml/2006/chartDrawing">
    <cdr:from>
      <cdr:x>0.45463</cdr:x>
      <cdr:y>0.55296</cdr:y>
    </cdr:from>
    <cdr:to>
      <cdr:x>0.52085</cdr:x>
      <cdr:y>0.68608</cdr:y>
    </cdr:to>
    <cdr:sp macro="" textlink="">
      <cdr:nvSpPr>
        <cdr:cNvPr id="6" name="TextBox 2"/>
        <cdr:cNvSpPr txBox="1"/>
      </cdr:nvSpPr>
      <cdr:spPr>
        <a:xfrm xmlns:a="http://schemas.openxmlformats.org/drawingml/2006/main">
          <a:off x="3195825" y="2080446"/>
          <a:ext cx="465447" cy="5008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0.66356</cdr:x>
      <cdr:y>0.28249</cdr:y>
    </cdr:from>
    <cdr:to>
      <cdr:x>0.74197</cdr:x>
      <cdr:y>0.58629</cdr:y>
    </cdr:to>
    <cdr:sp macro="" textlink="">
      <cdr:nvSpPr>
        <cdr:cNvPr id="28" name="TextBox 10"/>
        <cdr:cNvSpPr txBox="1"/>
      </cdr:nvSpPr>
      <cdr:spPr>
        <a:xfrm xmlns:a="http://schemas.openxmlformats.org/drawingml/2006/main">
          <a:off x="3942273" y="1062837"/>
          <a:ext cx="465826" cy="11430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A-E</a:t>
          </a:r>
        </a:p>
      </cdr:txBody>
    </cdr:sp>
  </cdr:relSizeAnchor>
  <cdr:relSizeAnchor xmlns:cdr="http://schemas.openxmlformats.org/drawingml/2006/chartDrawing">
    <cdr:from>
      <cdr:x>0.38618</cdr:x>
      <cdr:y>0.07342</cdr:y>
    </cdr:from>
    <cdr:to>
      <cdr:x>0.41192</cdr:x>
      <cdr:y>0.25823</cdr:y>
    </cdr:to>
    <cdr:sp macro="" textlink="">
      <cdr:nvSpPr>
        <cdr:cNvPr id="34" name="TextBox 16"/>
        <cdr:cNvSpPr txBox="1"/>
      </cdr:nvSpPr>
      <cdr:spPr>
        <a:xfrm xmlns:a="http://schemas.openxmlformats.org/drawingml/2006/main">
          <a:off x="2714627" y="276226"/>
          <a:ext cx="180975" cy="695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0.82249</cdr:x>
      <cdr:y>0.06582</cdr:y>
    </cdr:from>
    <cdr:to>
      <cdr:x>0.84417</cdr:x>
      <cdr:y>0.18228</cdr:y>
    </cdr:to>
    <cdr:sp macro="" textlink="">
      <cdr:nvSpPr>
        <cdr:cNvPr id="35" name="TextBox 17"/>
        <cdr:cNvSpPr txBox="1"/>
      </cdr:nvSpPr>
      <cdr:spPr>
        <a:xfrm xmlns:a="http://schemas.openxmlformats.org/drawingml/2006/main">
          <a:off x="5781677" y="247651"/>
          <a:ext cx="152400" cy="438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0.81323</cdr:x>
      <cdr:y>0.11665</cdr:y>
    </cdr:from>
    <cdr:to>
      <cdr:x>0.88372</cdr:x>
      <cdr:y>0.19597</cdr:y>
    </cdr:to>
    <cdr:sp macro="" textlink="">
      <cdr:nvSpPr>
        <cdr:cNvPr id="37" name="TextBox 3"/>
        <cdr:cNvSpPr txBox="1"/>
      </cdr:nvSpPr>
      <cdr:spPr>
        <a:xfrm xmlns:a="http://schemas.openxmlformats.org/drawingml/2006/main">
          <a:off x="4833488" y="430361"/>
          <a:ext cx="418995" cy="2926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E-F</a:t>
          </a:r>
        </a:p>
      </cdr:txBody>
    </cdr:sp>
  </cdr:relSizeAnchor>
  <cdr:relSizeAnchor xmlns:cdr="http://schemas.openxmlformats.org/drawingml/2006/chartDrawing">
    <cdr:from>
      <cdr:x>0.08097</cdr:x>
      <cdr:y>0.33016</cdr:y>
    </cdr:from>
    <cdr:to>
      <cdr:x>0.16698</cdr:x>
      <cdr:y>0.39666</cdr:y>
    </cdr:to>
    <cdr:sp macro="" textlink="">
      <cdr:nvSpPr>
        <cdr:cNvPr id="38" name="TextBox 7"/>
        <cdr:cNvSpPr txBox="1"/>
      </cdr:nvSpPr>
      <cdr:spPr>
        <a:xfrm xmlns:a="http://schemas.openxmlformats.org/drawingml/2006/main">
          <a:off x="481071" y="1242204"/>
          <a:ext cx="510966" cy="2501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t>A-F</a:t>
          </a:r>
        </a:p>
      </cdr:txBody>
    </cdr:sp>
  </cdr:relSizeAnchor>
  <cdr:relSizeAnchor xmlns:cdr="http://schemas.openxmlformats.org/drawingml/2006/chartDrawing">
    <cdr:from>
      <cdr:x>0.45463</cdr:x>
      <cdr:y>0.55296</cdr:y>
    </cdr:from>
    <cdr:to>
      <cdr:x>0.52085</cdr:x>
      <cdr:y>0.68608</cdr:y>
    </cdr:to>
    <cdr:sp macro="" textlink="">
      <cdr:nvSpPr>
        <cdr:cNvPr id="45" name="TextBox 2"/>
        <cdr:cNvSpPr txBox="1"/>
      </cdr:nvSpPr>
      <cdr:spPr>
        <a:xfrm xmlns:a="http://schemas.openxmlformats.org/drawingml/2006/main">
          <a:off x="3195825" y="2080446"/>
          <a:ext cx="465447" cy="5008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b="1"/>
        </a:p>
      </cdr:txBody>
    </cdr:sp>
  </cdr:relSizeAnchor>
  <cdr:relSizeAnchor xmlns:cdr="http://schemas.openxmlformats.org/drawingml/2006/chartDrawing">
    <cdr:from>
      <cdr:x>0.52081</cdr:x>
      <cdr:y>0.2747</cdr:y>
    </cdr:from>
    <cdr:to>
      <cdr:x>0.59677</cdr:x>
      <cdr:y>0.38978</cdr:y>
    </cdr:to>
    <cdr:sp macro="" textlink="">
      <cdr:nvSpPr>
        <cdr:cNvPr id="51" name="TextBox 12"/>
        <cdr:cNvSpPr txBox="1"/>
      </cdr:nvSpPr>
      <cdr:spPr>
        <a:xfrm xmlns:a="http://schemas.openxmlformats.org/drawingml/2006/main">
          <a:off x="3094174" y="1033534"/>
          <a:ext cx="451281" cy="4329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A-F</a:t>
          </a:r>
        </a:p>
      </cdr:txBody>
    </cdr:sp>
  </cdr:relSizeAnchor>
  <cdr:relSizeAnchor xmlns:cdr="http://schemas.openxmlformats.org/drawingml/2006/chartDrawing">
    <cdr:from>
      <cdr:x>0.31707</cdr:x>
      <cdr:y>0.02784</cdr:y>
    </cdr:from>
    <cdr:to>
      <cdr:x>0.34688</cdr:x>
      <cdr:y>0.37215</cdr:y>
    </cdr:to>
    <cdr:sp macro="" textlink="">
      <cdr:nvSpPr>
        <cdr:cNvPr id="53" name="TextBox 14"/>
        <cdr:cNvSpPr txBox="1"/>
      </cdr:nvSpPr>
      <cdr:spPr>
        <a:xfrm xmlns:a="http://schemas.openxmlformats.org/drawingml/2006/main">
          <a:off x="2228828" y="104758"/>
          <a:ext cx="209548" cy="12954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0.18871</cdr:x>
      <cdr:y>0.19489</cdr:y>
    </cdr:from>
    <cdr:to>
      <cdr:x>0.25265</cdr:x>
      <cdr:y>0.28439</cdr:y>
    </cdr:to>
    <cdr:sp macro="" textlink="">
      <cdr:nvSpPr>
        <cdr:cNvPr id="55" name="TextBox 16"/>
        <cdr:cNvSpPr txBox="1"/>
      </cdr:nvSpPr>
      <cdr:spPr>
        <a:xfrm xmlns:a="http://schemas.openxmlformats.org/drawingml/2006/main">
          <a:off x="1121126" y="733244"/>
          <a:ext cx="379869" cy="3367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D-F</a:t>
          </a:r>
        </a:p>
      </cdr:txBody>
    </cdr:sp>
  </cdr:relSizeAnchor>
  <cdr:relSizeAnchor xmlns:cdr="http://schemas.openxmlformats.org/drawingml/2006/chartDrawing">
    <cdr:from>
      <cdr:x>0.77387</cdr:x>
      <cdr:y>0.11665</cdr:y>
    </cdr:from>
    <cdr:to>
      <cdr:x>0.84794</cdr:x>
      <cdr:y>0.19021</cdr:y>
    </cdr:to>
    <cdr:sp macro="" textlink="">
      <cdr:nvSpPr>
        <cdr:cNvPr id="58" name="TextBox 3"/>
        <cdr:cNvSpPr txBox="1"/>
      </cdr:nvSpPr>
      <cdr:spPr>
        <a:xfrm xmlns:a="http://schemas.openxmlformats.org/drawingml/2006/main">
          <a:off x="4599574" y="430361"/>
          <a:ext cx="440259" cy="2713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E-F</a:t>
          </a:r>
        </a:p>
      </cdr:txBody>
    </cdr:sp>
  </cdr:relSizeAnchor>
  <cdr:relSizeAnchor xmlns:cdr="http://schemas.openxmlformats.org/drawingml/2006/chartDrawing">
    <cdr:from>
      <cdr:x>0.33272</cdr:x>
      <cdr:y>0.18346</cdr:y>
    </cdr:from>
    <cdr:to>
      <cdr:x>0.41092</cdr:x>
      <cdr:y>0.54802</cdr:y>
    </cdr:to>
    <cdr:sp macro="" textlink="">
      <cdr:nvSpPr>
        <cdr:cNvPr id="62" name="TextBox 11"/>
        <cdr:cNvSpPr txBox="1"/>
      </cdr:nvSpPr>
      <cdr:spPr>
        <a:xfrm xmlns:a="http://schemas.openxmlformats.org/drawingml/2006/main">
          <a:off x="1976697" y="690227"/>
          <a:ext cx="464578" cy="137161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t>D-F</a:t>
          </a:r>
        </a:p>
      </cdr:txBody>
    </cdr:sp>
  </cdr:relSizeAnchor>
</c:userShapes>
</file>

<file path=word/drawings/drawing9.xml><?xml version="1.0" encoding="utf-8"?>
<c:userShapes xmlns:c="http://schemas.openxmlformats.org/drawingml/2006/chart">
  <cdr:relSizeAnchor xmlns:cdr="http://schemas.openxmlformats.org/drawingml/2006/chartDrawing">
    <cdr:from>
      <cdr:x>0.163</cdr:x>
      <cdr:y>0.56602</cdr:y>
    </cdr:from>
    <cdr:to>
      <cdr:x>0.19696</cdr:x>
      <cdr:y>0.63019</cdr:y>
    </cdr:to>
    <cdr:sp macro="" textlink="">
      <cdr:nvSpPr>
        <cdr:cNvPr id="2" name="TextBox 1"/>
        <cdr:cNvSpPr txBox="1"/>
      </cdr:nvSpPr>
      <cdr:spPr>
        <a:xfrm xmlns:a="http://schemas.openxmlformats.org/drawingml/2006/main">
          <a:off x="1145831" y="2129576"/>
          <a:ext cx="238691" cy="2414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0.82249</cdr:x>
      <cdr:y>0.06582</cdr:y>
    </cdr:from>
    <cdr:to>
      <cdr:x>0.84417</cdr:x>
      <cdr:y>0.18228</cdr:y>
    </cdr:to>
    <cdr:sp macro="" textlink="">
      <cdr:nvSpPr>
        <cdr:cNvPr id="18" name="TextBox 17"/>
        <cdr:cNvSpPr txBox="1"/>
      </cdr:nvSpPr>
      <cdr:spPr>
        <a:xfrm xmlns:a="http://schemas.openxmlformats.org/drawingml/2006/main">
          <a:off x="5781677" y="247651"/>
          <a:ext cx="152400" cy="438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0.37594</cdr:x>
      <cdr:y>0.07008</cdr:y>
    </cdr:from>
    <cdr:to>
      <cdr:x>0.41523</cdr:x>
      <cdr:y>0.1435</cdr:y>
    </cdr:to>
    <cdr:sp macro="" textlink="">
      <cdr:nvSpPr>
        <cdr:cNvPr id="4" name="TextBox 3"/>
        <cdr:cNvSpPr txBox="1"/>
      </cdr:nvSpPr>
      <cdr:spPr>
        <a:xfrm xmlns:a="http://schemas.openxmlformats.org/drawingml/2006/main">
          <a:off x="2234446" y="222942"/>
          <a:ext cx="233524" cy="2335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0.87221</cdr:x>
      <cdr:y>0</cdr:y>
    </cdr:from>
    <cdr:to>
      <cdr:x>0.91422</cdr:x>
      <cdr:y>0.06076</cdr:y>
    </cdr:to>
    <cdr:sp macro="" textlink="">
      <cdr:nvSpPr>
        <cdr:cNvPr id="5" name="TextBox 4"/>
        <cdr:cNvSpPr txBox="1"/>
      </cdr:nvSpPr>
      <cdr:spPr>
        <a:xfrm xmlns:a="http://schemas.openxmlformats.org/drawingml/2006/main">
          <a:off x="5184047" y="-914400"/>
          <a:ext cx="249691" cy="1932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cdr:x>
      <cdr:y>0.84127</cdr:y>
    </cdr:from>
    <cdr:to>
      <cdr:x>1</cdr:x>
      <cdr:y>1</cdr:y>
    </cdr:to>
    <cdr:sp macro="" textlink="">
      <cdr:nvSpPr>
        <cdr:cNvPr id="3" name="Text Box 2"/>
        <cdr:cNvSpPr txBox="1"/>
      </cdr:nvSpPr>
      <cdr:spPr>
        <a:xfrm xmlns:a="http://schemas.openxmlformats.org/drawingml/2006/main">
          <a:off x="0" y="3193576"/>
          <a:ext cx="6100549" cy="5049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0.12343</cdr:x>
      <cdr:y>0.28074</cdr:y>
    </cdr:from>
    <cdr:to>
      <cdr:x>0.18068</cdr:x>
      <cdr:y>0.37766</cdr:y>
    </cdr:to>
    <cdr:sp macro="" textlink="">
      <cdr:nvSpPr>
        <cdr:cNvPr id="6" name="Text Box 5"/>
        <cdr:cNvSpPr txBox="1"/>
      </cdr:nvSpPr>
      <cdr:spPr>
        <a:xfrm xmlns:a="http://schemas.openxmlformats.org/drawingml/2006/main">
          <a:off x="733647" y="893135"/>
          <a:ext cx="340241" cy="3083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0.25224</cdr:x>
      <cdr:y>0.16711</cdr:y>
    </cdr:from>
    <cdr:to>
      <cdr:x>0.32737</cdr:x>
      <cdr:y>0.25066</cdr:y>
    </cdr:to>
    <cdr:sp macro="" textlink="">
      <cdr:nvSpPr>
        <cdr:cNvPr id="7" name="Text Box 6"/>
        <cdr:cNvSpPr txBox="1"/>
      </cdr:nvSpPr>
      <cdr:spPr>
        <a:xfrm xmlns:a="http://schemas.openxmlformats.org/drawingml/2006/main">
          <a:off x="1499190" y="531628"/>
          <a:ext cx="446567" cy="2658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0.74419</cdr:x>
      <cdr:y>0.17379</cdr:y>
    </cdr:from>
    <cdr:to>
      <cdr:x>0.80859</cdr:x>
      <cdr:y>0.27071</cdr:y>
    </cdr:to>
    <cdr:sp macro="" textlink="">
      <cdr:nvSpPr>
        <cdr:cNvPr id="9" name="Text Box 8"/>
        <cdr:cNvSpPr txBox="1"/>
      </cdr:nvSpPr>
      <cdr:spPr>
        <a:xfrm xmlns:a="http://schemas.openxmlformats.org/drawingml/2006/main">
          <a:off x="4423145" y="552893"/>
          <a:ext cx="382772" cy="3083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0.50268</cdr:x>
      <cdr:y>0.54143</cdr:y>
    </cdr:from>
    <cdr:to>
      <cdr:x>0.56351</cdr:x>
      <cdr:y>0.62832</cdr:y>
    </cdr:to>
    <cdr:sp macro="" textlink="">
      <cdr:nvSpPr>
        <cdr:cNvPr id="10" name="Text Box 9"/>
        <cdr:cNvSpPr txBox="1"/>
      </cdr:nvSpPr>
      <cdr:spPr>
        <a:xfrm xmlns:a="http://schemas.openxmlformats.org/drawingml/2006/main">
          <a:off x="2987749" y="1722474"/>
          <a:ext cx="361507" cy="2764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0.62075</cdr:x>
      <cdr:y>0.16377</cdr:y>
    </cdr:from>
    <cdr:to>
      <cdr:x>0.68694</cdr:x>
      <cdr:y>0.254</cdr:y>
    </cdr:to>
    <cdr:sp macro="" textlink="">
      <cdr:nvSpPr>
        <cdr:cNvPr id="11" name="Text Box 10"/>
        <cdr:cNvSpPr txBox="1"/>
      </cdr:nvSpPr>
      <cdr:spPr>
        <a:xfrm xmlns:a="http://schemas.openxmlformats.org/drawingml/2006/main">
          <a:off x="3689498" y="520995"/>
          <a:ext cx="393404" cy="2870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userShapes>
</file>

<file path=word/drawings/drawing10.xml><?xml version="1.0" encoding="utf-8"?>
<c:userShapes xmlns:c="http://schemas.openxmlformats.org/drawingml/2006/chart">
  <cdr:relSizeAnchor xmlns:cdr="http://schemas.openxmlformats.org/drawingml/2006/chartDrawing">
    <cdr:from>
      <cdr:x>0.163</cdr:x>
      <cdr:y>0.56602</cdr:y>
    </cdr:from>
    <cdr:to>
      <cdr:x>0.19696</cdr:x>
      <cdr:y>0.63019</cdr:y>
    </cdr:to>
    <cdr:sp macro="" textlink="">
      <cdr:nvSpPr>
        <cdr:cNvPr id="2" name="TextBox 1"/>
        <cdr:cNvSpPr txBox="1"/>
      </cdr:nvSpPr>
      <cdr:spPr>
        <a:xfrm xmlns:a="http://schemas.openxmlformats.org/drawingml/2006/main">
          <a:off x="1145831" y="2129576"/>
          <a:ext cx="238691" cy="2414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0.45463</cdr:x>
      <cdr:y>0.55296</cdr:y>
    </cdr:from>
    <cdr:to>
      <cdr:x>0.52085</cdr:x>
      <cdr:y>0.68608</cdr:y>
    </cdr:to>
    <cdr:sp macro="" textlink="">
      <cdr:nvSpPr>
        <cdr:cNvPr id="3" name="TextBox 2"/>
        <cdr:cNvSpPr txBox="1"/>
      </cdr:nvSpPr>
      <cdr:spPr>
        <a:xfrm xmlns:a="http://schemas.openxmlformats.org/drawingml/2006/main">
          <a:off x="3195825" y="2080446"/>
          <a:ext cx="465447" cy="5008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0.4906</cdr:x>
      <cdr:y>0.50886</cdr:y>
    </cdr:from>
    <cdr:to>
      <cdr:x>0.53659</cdr:x>
      <cdr:y>0.70886</cdr:y>
    </cdr:to>
    <cdr:sp macro="" textlink="">
      <cdr:nvSpPr>
        <cdr:cNvPr id="8" name="TextBox 7"/>
        <cdr:cNvSpPr txBox="1"/>
      </cdr:nvSpPr>
      <cdr:spPr>
        <a:xfrm xmlns:a="http://schemas.openxmlformats.org/drawingml/2006/main">
          <a:off x="3448633" y="1914527"/>
          <a:ext cx="323269" cy="7524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0.26829</cdr:x>
      <cdr:y>0.40506</cdr:y>
    </cdr:from>
    <cdr:to>
      <cdr:x>0.34417</cdr:x>
      <cdr:y>0.66582</cdr:y>
    </cdr:to>
    <cdr:sp macro="" textlink="">
      <cdr:nvSpPr>
        <cdr:cNvPr id="9" name="TextBox 8"/>
        <cdr:cNvSpPr txBox="1"/>
      </cdr:nvSpPr>
      <cdr:spPr>
        <a:xfrm xmlns:a="http://schemas.openxmlformats.org/drawingml/2006/main">
          <a:off x="1885952" y="1524002"/>
          <a:ext cx="533400" cy="9810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0.42276</cdr:x>
      <cdr:y>0.19747</cdr:y>
    </cdr:from>
    <cdr:to>
      <cdr:x>0.47019</cdr:x>
      <cdr:y>0.46582</cdr:y>
    </cdr:to>
    <cdr:sp macro="" textlink="">
      <cdr:nvSpPr>
        <cdr:cNvPr id="10" name="TextBox 9"/>
        <cdr:cNvSpPr txBox="1"/>
      </cdr:nvSpPr>
      <cdr:spPr>
        <a:xfrm xmlns:a="http://schemas.openxmlformats.org/drawingml/2006/main">
          <a:off x="2971802" y="742951"/>
          <a:ext cx="333375" cy="1009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0.67886</cdr:x>
      <cdr:y>0.12658</cdr:y>
    </cdr:from>
    <cdr:to>
      <cdr:x>0.7168</cdr:x>
      <cdr:y>0.43038</cdr:y>
    </cdr:to>
    <cdr:sp macro="" textlink="">
      <cdr:nvSpPr>
        <cdr:cNvPr id="11" name="TextBox 10"/>
        <cdr:cNvSpPr txBox="1"/>
      </cdr:nvSpPr>
      <cdr:spPr>
        <a:xfrm xmlns:a="http://schemas.openxmlformats.org/drawingml/2006/main">
          <a:off x="4772027" y="476251"/>
          <a:ext cx="266700" cy="1143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0.71003</cdr:x>
      <cdr:y>0.11392</cdr:y>
    </cdr:from>
    <cdr:to>
      <cdr:x>0.74119</cdr:x>
      <cdr:y>0.41772</cdr:y>
    </cdr:to>
    <cdr:sp macro="" textlink="">
      <cdr:nvSpPr>
        <cdr:cNvPr id="12" name="TextBox 11"/>
        <cdr:cNvSpPr txBox="1"/>
      </cdr:nvSpPr>
      <cdr:spPr>
        <a:xfrm xmlns:a="http://schemas.openxmlformats.org/drawingml/2006/main">
          <a:off x="4991102" y="428626"/>
          <a:ext cx="219075" cy="1143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0.53388</cdr:x>
      <cdr:y>0.06835</cdr:y>
    </cdr:from>
    <cdr:to>
      <cdr:x>0.57724</cdr:x>
      <cdr:y>0.46835</cdr:y>
    </cdr:to>
    <cdr:sp macro="" textlink="">
      <cdr:nvSpPr>
        <cdr:cNvPr id="13" name="TextBox 12"/>
        <cdr:cNvSpPr txBox="1"/>
      </cdr:nvSpPr>
      <cdr:spPr>
        <a:xfrm xmlns:a="http://schemas.openxmlformats.org/drawingml/2006/main">
          <a:off x="3752852" y="257176"/>
          <a:ext cx="304800" cy="1504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0.59892</cdr:x>
      <cdr:y>0.07089</cdr:y>
    </cdr:from>
    <cdr:to>
      <cdr:x>0.62873</cdr:x>
      <cdr:y>0.36456</cdr:y>
    </cdr:to>
    <cdr:sp macro="" textlink="">
      <cdr:nvSpPr>
        <cdr:cNvPr id="14" name="TextBox 13"/>
        <cdr:cNvSpPr txBox="1"/>
      </cdr:nvSpPr>
      <cdr:spPr>
        <a:xfrm xmlns:a="http://schemas.openxmlformats.org/drawingml/2006/main">
          <a:off x="4210052" y="266701"/>
          <a:ext cx="209550" cy="1104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0.31436</cdr:x>
      <cdr:y>0.06835</cdr:y>
    </cdr:from>
    <cdr:to>
      <cdr:x>0.34417</cdr:x>
      <cdr:y>0.41266</cdr:y>
    </cdr:to>
    <cdr:sp macro="" textlink="">
      <cdr:nvSpPr>
        <cdr:cNvPr id="15" name="TextBox 14"/>
        <cdr:cNvSpPr txBox="1"/>
      </cdr:nvSpPr>
      <cdr:spPr>
        <a:xfrm xmlns:a="http://schemas.openxmlformats.org/drawingml/2006/main">
          <a:off x="2209802" y="257176"/>
          <a:ext cx="209550" cy="1295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0.20732</cdr:x>
      <cdr:y>0.11139</cdr:y>
    </cdr:from>
    <cdr:to>
      <cdr:x>0.23171</cdr:x>
      <cdr:y>0.30127</cdr:y>
    </cdr:to>
    <cdr:sp macro="" textlink="">
      <cdr:nvSpPr>
        <cdr:cNvPr id="16" name="TextBox 15"/>
        <cdr:cNvSpPr txBox="1"/>
      </cdr:nvSpPr>
      <cdr:spPr>
        <a:xfrm xmlns:a="http://schemas.openxmlformats.org/drawingml/2006/main">
          <a:off x="1457327" y="419101"/>
          <a:ext cx="171450" cy="714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0.38618</cdr:x>
      <cdr:y>0.07342</cdr:y>
    </cdr:from>
    <cdr:to>
      <cdr:x>0.41192</cdr:x>
      <cdr:y>0.25823</cdr:y>
    </cdr:to>
    <cdr:sp macro="" textlink="">
      <cdr:nvSpPr>
        <cdr:cNvPr id="17" name="TextBox 16"/>
        <cdr:cNvSpPr txBox="1"/>
      </cdr:nvSpPr>
      <cdr:spPr>
        <a:xfrm xmlns:a="http://schemas.openxmlformats.org/drawingml/2006/main">
          <a:off x="2714627" y="276226"/>
          <a:ext cx="180975" cy="695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0.82249</cdr:x>
      <cdr:y>0.06582</cdr:y>
    </cdr:from>
    <cdr:to>
      <cdr:x>0.84417</cdr:x>
      <cdr:y>0.18228</cdr:y>
    </cdr:to>
    <cdr:sp macro="" textlink="">
      <cdr:nvSpPr>
        <cdr:cNvPr id="18" name="TextBox 17"/>
        <cdr:cNvSpPr txBox="1"/>
      </cdr:nvSpPr>
      <cdr:spPr>
        <a:xfrm xmlns:a="http://schemas.openxmlformats.org/drawingml/2006/main">
          <a:off x="5781677" y="247651"/>
          <a:ext cx="152400" cy="438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0.75745</cdr:x>
      <cdr:y>0.02025</cdr:y>
    </cdr:from>
    <cdr:to>
      <cdr:x>0.7832</cdr:x>
      <cdr:y>0.08354</cdr:y>
    </cdr:to>
    <cdr:sp macro="" textlink="">
      <cdr:nvSpPr>
        <cdr:cNvPr id="19" name="TextBox 18"/>
        <cdr:cNvSpPr txBox="1"/>
      </cdr:nvSpPr>
      <cdr:spPr>
        <a:xfrm xmlns:a="http://schemas.openxmlformats.org/drawingml/2006/main">
          <a:off x="5324477" y="76201"/>
          <a:ext cx="1809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0.1271</cdr:x>
      <cdr:y>0</cdr:y>
    </cdr:from>
    <cdr:to>
      <cdr:x>0.93414</cdr:x>
      <cdr:y>0.43878</cdr:y>
    </cdr:to>
    <cdr:grpSp>
      <cdr:nvGrpSpPr>
        <cdr:cNvPr id="5" name="Group 4"/>
        <cdr:cNvGrpSpPr/>
      </cdr:nvGrpSpPr>
      <cdr:grpSpPr>
        <a:xfrm xmlns:a="http://schemas.openxmlformats.org/drawingml/2006/main">
          <a:off x="755417" y="0"/>
          <a:ext cx="4796717" cy="1395920"/>
          <a:chOff x="957990" y="66669"/>
          <a:chExt cx="5673042" cy="1650864"/>
        </a:xfrm>
      </cdr:grpSpPr>
      <cdr:sp macro="" textlink="">
        <cdr:nvSpPr>
          <cdr:cNvPr id="4" name="TextBox 3"/>
          <cdr:cNvSpPr txBox="1"/>
        </cdr:nvSpPr>
        <cdr:spPr>
          <a:xfrm xmlns:a="http://schemas.openxmlformats.org/drawingml/2006/main">
            <a:off x="3653070" y="1412743"/>
            <a:ext cx="352457" cy="3047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sp macro="" textlink="">
        <cdr:nvSpPr>
          <cdr:cNvPr id="20" name="TextBox 1"/>
          <cdr:cNvSpPr txBox="1"/>
        </cdr:nvSpPr>
        <cdr:spPr>
          <a:xfrm xmlns:a="http://schemas.openxmlformats.org/drawingml/2006/main">
            <a:off x="957990" y="1225803"/>
            <a:ext cx="352386" cy="30479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sp macro="" textlink="">
        <cdr:nvSpPr>
          <cdr:cNvPr id="21" name="TextBox 1"/>
          <cdr:cNvSpPr txBox="1"/>
        </cdr:nvSpPr>
        <cdr:spPr>
          <a:xfrm xmlns:a="http://schemas.openxmlformats.org/drawingml/2006/main">
            <a:off x="4512795" y="1022350"/>
            <a:ext cx="352387" cy="30479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sp macro="" textlink="">
        <cdr:nvSpPr>
          <cdr:cNvPr id="22" name="TextBox 1"/>
          <cdr:cNvSpPr txBox="1"/>
        </cdr:nvSpPr>
        <cdr:spPr>
          <a:xfrm xmlns:a="http://schemas.openxmlformats.org/drawingml/2006/main">
            <a:off x="5403928" y="981221"/>
            <a:ext cx="352457" cy="30479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a:t>
            </a:r>
          </a:p>
        </cdr:txBody>
      </cdr:sp>
      <cdr:sp macro="" textlink="">
        <cdr:nvSpPr>
          <cdr:cNvPr id="6" name="TextBox 5"/>
          <cdr:cNvSpPr txBox="1"/>
        </cdr:nvSpPr>
        <cdr:spPr>
          <a:xfrm xmlns:a="http://schemas.openxmlformats.org/drawingml/2006/main">
            <a:off x="1873820" y="752476"/>
            <a:ext cx="409536" cy="2447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23" name="TextBox 1"/>
          <cdr:cNvSpPr txBox="1"/>
        </cdr:nvSpPr>
        <cdr:spPr>
          <a:xfrm xmlns:a="http://schemas.openxmlformats.org/drawingml/2006/main">
            <a:off x="2705311" y="739652"/>
            <a:ext cx="409536" cy="20000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AB</a:t>
            </a:r>
          </a:p>
        </cdr:txBody>
      </cdr:sp>
      <cdr:sp macro="" textlink="">
        <cdr:nvSpPr>
          <cdr:cNvPr id="7" name="TextBox 6"/>
          <cdr:cNvSpPr txBox="1"/>
        </cdr:nvSpPr>
        <cdr:spPr>
          <a:xfrm xmlns:a="http://schemas.openxmlformats.org/drawingml/2006/main">
            <a:off x="6335795" y="66669"/>
            <a:ext cx="295237" cy="3047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grpSp>
  </cdr:relSizeAnchor>
</c:userShapes>
</file>

<file path=word/drawings/drawing11.xml><?xml version="1.0" encoding="utf-8"?>
<c:userShapes xmlns:c="http://schemas.openxmlformats.org/drawingml/2006/chart">
  <cdr:relSizeAnchor xmlns:cdr="http://schemas.openxmlformats.org/drawingml/2006/chartDrawing">
    <cdr:from>
      <cdr:x>0.42276</cdr:x>
      <cdr:y>0.19747</cdr:y>
    </cdr:from>
    <cdr:to>
      <cdr:x>0.47019</cdr:x>
      <cdr:y>0.46582</cdr:y>
    </cdr:to>
    <cdr:sp macro="" textlink="">
      <cdr:nvSpPr>
        <cdr:cNvPr id="10" name="TextBox 9"/>
        <cdr:cNvSpPr txBox="1"/>
      </cdr:nvSpPr>
      <cdr:spPr>
        <a:xfrm xmlns:a="http://schemas.openxmlformats.org/drawingml/2006/main">
          <a:off x="2971802" y="742951"/>
          <a:ext cx="333375" cy="1009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0.67886</cdr:x>
      <cdr:y>0.12658</cdr:y>
    </cdr:from>
    <cdr:to>
      <cdr:x>0.7168</cdr:x>
      <cdr:y>0.43038</cdr:y>
    </cdr:to>
    <cdr:sp macro="" textlink="">
      <cdr:nvSpPr>
        <cdr:cNvPr id="11" name="TextBox 10"/>
        <cdr:cNvSpPr txBox="1"/>
      </cdr:nvSpPr>
      <cdr:spPr>
        <a:xfrm xmlns:a="http://schemas.openxmlformats.org/drawingml/2006/main">
          <a:off x="4772027" y="476251"/>
          <a:ext cx="266700" cy="1143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0.71003</cdr:x>
      <cdr:y>0.11392</cdr:y>
    </cdr:from>
    <cdr:to>
      <cdr:x>0.74119</cdr:x>
      <cdr:y>0.41772</cdr:y>
    </cdr:to>
    <cdr:sp macro="" textlink="">
      <cdr:nvSpPr>
        <cdr:cNvPr id="12" name="TextBox 11"/>
        <cdr:cNvSpPr txBox="1"/>
      </cdr:nvSpPr>
      <cdr:spPr>
        <a:xfrm xmlns:a="http://schemas.openxmlformats.org/drawingml/2006/main">
          <a:off x="4991102" y="428626"/>
          <a:ext cx="219075" cy="1143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0.53388</cdr:x>
      <cdr:y>0.06835</cdr:y>
    </cdr:from>
    <cdr:to>
      <cdr:x>0.57724</cdr:x>
      <cdr:y>0.46835</cdr:y>
    </cdr:to>
    <cdr:sp macro="" textlink="">
      <cdr:nvSpPr>
        <cdr:cNvPr id="13" name="TextBox 12"/>
        <cdr:cNvSpPr txBox="1"/>
      </cdr:nvSpPr>
      <cdr:spPr>
        <a:xfrm xmlns:a="http://schemas.openxmlformats.org/drawingml/2006/main">
          <a:off x="3752852" y="257176"/>
          <a:ext cx="304800" cy="1504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0.59892</cdr:x>
      <cdr:y>0.07089</cdr:y>
    </cdr:from>
    <cdr:to>
      <cdr:x>0.62873</cdr:x>
      <cdr:y>0.36456</cdr:y>
    </cdr:to>
    <cdr:sp macro="" textlink="">
      <cdr:nvSpPr>
        <cdr:cNvPr id="14" name="TextBox 13"/>
        <cdr:cNvSpPr txBox="1"/>
      </cdr:nvSpPr>
      <cdr:spPr>
        <a:xfrm xmlns:a="http://schemas.openxmlformats.org/drawingml/2006/main">
          <a:off x="4210052" y="266701"/>
          <a:ext cx="209550" cy="1104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0.31436</cdr:x>
      <cdr:y>0.06835</cdr:y>
    </cdr:from>
    <cdr:to>
      <cdr:x>0.34417</cdr:x>
      <cdr:y>0.41266</cdr:y>
    </cdr:to>
    <cdr:sp macro="" textlink="">
      <cdr:nvSpPr>
        <cdr:cNvPr id="15" name="TextBox 14"/>
        <cdr:cNvSpPr txBox="1"/>
      </cdr:nvSpPr>
      <cdr:spPr>
        <a:xfrm xmlns:a="http://schemas.openxmlformats.org/drawingml/2006/main">
          <a:off x="2209802" y="257176"/>
          <a:ext cx="209550" cy="1295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0.20732</cdr:x>
      <cdr:y>0.11139</cdr:y>
    </cdr:from>
    <cdr:to>
      <cdr:x>0.23171</cdr:x>
      <cdr:y>0.30127</cdr:y>
    </cdr:to>
    <cdr:sp macro="" textlink="">
      <cdr:nvSpPr>
        <cdr:cNvPr id="16" name="TextBox 15"/>
        <cdr:cNvSpPr txBox="1"/>
      </cdr:nvSpPr>
      <cdr:spPr>
        <a:xfrm xmlns:a="http://schemas.openxmlformats.org/drawingml/2006/main">
          <a:off x="1457327" y="419101"/>
          <a:ext cx="171450" cy="714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0.38618</cdr:x>
      <cdr:y>0.07342</cdr:y>
    </cdr:from>
    <cdr:to>
      <cdr:x>0.41192</cdr:x>
      <cdr:y>0.25823</cdr:y>
    </cdr:to>
    <cdr:sp macro="" textlink="">
      <cdr:nvSpPr>
        <cdr:cNvPr id="17" name="TextBox 16"/>
        <cdr:cNvSpPr txBox="1"/>
      </cdr:nvSpPr>
      <cdr:spPr>
        <a:xfrm xmlns:a="http://schemas.openxmlformats.org/drawingml/2006/main">
          <a:off x="2714627" y="276226"/>
          <a:ext cx="180975" cy="695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0.82249</cdr:x>
      <cdr:y>0.06582</cdr:y>
    </cdr:from>
    <cdr:to>
      <cdr:x>0.84417</cdr:x>
      <cdr:y>0.18228</cdr:y>
    </cdr:to>
    <cdr:sp macro="" textlink="">
      <cdr:nvSpPr>
        <cdr:cNvPr id="18" name="TextBox 17"/>
        <cdr:cNvSpPr txBox="1"/>
      </cdr:nvSpPr>
      <cdr:spPr>
        <a:xfrm xmlns:a="http://schemas.openxmlformats.org/drawingml/2006/main">
          <a:off x="5781677" y="247651"/>
          <a:ext cx="152400" cy="438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0.75745</cdr:x>
      <cdr:y>0.02025</cdr:y>
    </cdr:from>
    <cdr:to>
      <cdr:x>0.7832</cdr:x>
      <cdr:y>0.08354</cdr:y>
    </cdr:to>
    <cdr:sp macro="" textlink="">
      <cdr:nvSpPr>
        <cdr:cNvPr id="19" name="TextBox 18"/>
        <cdr:cNvSpPr txBox="1"/>
      </cdr:nvSpPr>
      <cdr:spPr>
        <a:xfrm xmlns:a="http://schemas.openxmlformats.org/drawingml/2006/main">
          <a:off x="5324477" y="76201"/>
          <a:ext cx="1809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0.12177</cdr:x>
      <cdr:y>0.08157</cdr:y>
    </cdr:from>
    <cdr:to>
      <cdr:x>0.80789</cdr:x>
      <cdr:y>0.66433</cdr:y>
    </cdr:to>
    <cdr:grpSp>
      <cdr:nvGrpSpPr>
        <cdr:cNvPr id="7" name="Group 6"/>
        <cdr:cNvGrpSpPr/>
      </cdr:nvGrpSpPr>
      <cdr:grpSpPr>
        <a:xfrm xmlns:a="http://schemas.openxmlformats.org/drawingml/2006/main">
          <a:off x="723764" y="259504"/>
          <a:ext cx="4077982" cy="1853966"/>
          <a:chOff x="920555" y="371459"/>
          <a:chExt cx="4822999" cy="2192564"/>
        </a:xfrm>
      </cdr:grpSpPr>
      <cdr:sp macro="" textlink="">
        <cdr:nvSpPr>
          <cdr:cNvPr id="2" name="TextBox 1"/>
          <cdr:cNvSpPr txBox="1"/>
        </cdr:nvSpPr>
        <cdr:spPr>
          <a:xfrm xmlns:a="http://schemas.openxmlformats.org/drawingml/2006/main">
            <a:off x="920555" y="2091468"/>
            <a:ext cx="238721" cy="2414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sp macro="" textlink="">
        <cdr:nvSpPr>
          <cdr:cNvPr id="3" name="TextBox 2"/>
          <cdr:cNvSpPr txBox="1"/>
        </cdr:nvSpPr>
        <cdr:spPr>
          <a:xfrm xmlns:a="http://schemas.openxmlformats.org/drawingml/2006/main">
            <a:off x="3166094" y="2227361"/>
            <a:ext cx="744773" cy="3366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8" name="TextBox 7"/>
          <cdr:cNvSpPr txBox="1"/>
        </cdr:nvSpPr>
        <cdr:spPr>
          <a:xfrm xmlns:a="http://schemas.openxmlformats.org/drawingml/2006/main">
            <a:off x="1605127" y="1982519"/>
            <a:ext cx="652953" cy="43069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A-C</a:t>
            </a:r>
          </a:p>
        </cdr:txBody>
      </cdr:sp>
      <cdr:sp macro="" textlink="">
        <cdr:nvSpPr>
          <cdr:cNvPr id="9" name="TextBox 8"/>
          <cdr:cNvSpPr txBox="1"/>
        </cdr:nvSpPr>
        <cdr:spPr>
          <a:xfrm xmlns:a="http://schemas.openxmlformats.org/drawingml/2006/main">
            <a:off x="4719646" y="1033968"/>
            <a:ext cx="533396" cy="9810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A-D</a:t>
            </a:r>
          </a:p>
        </cdr:txBody>
      </cdr:sp>
      <cdr:sp macro="" textlink="">
        <cdr:nvSpPr>
          <cdr:cNvPr id="4" name="TextBox 3"/>
          <cdr:cNvSpPr txBox="1"/>
        </cdr:nvSpPr>
        <cdr:spPr>
          <a:xfrm xmlns:a="http://schemas.openxmlformats.org/drawingml/2006/main">
            <a:off x="3949518" y="933314"/>
            <a:ext cx="889767" cy="6667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B-D</a:t>
            </a:r>
          </a:p>
        </cdr:txBody>
      </cdr:sp>
      <cdr:sp macro="" textlink="">
        <cdr:nvSpPr>
          <cdr:cNvPr id="5" name="TextBox 4"/>
          <cdr:cNvSpPr txBox="1"/>
        </cdr:nvSpPr>
        <cdr:spPr>
          <a:xfrm xmlns:a="http://schemas.openxmlformats.org/drawingml/2006/main">
            <a:off x="2426175" y="623128"/>
            <a:ext cx="535870" cy="4667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C-D</a:t>
            </a:r>
          </a:p>
        </cdr:txBody>
      </cdr:sp>
      <cdr:sp macro="" textlink="">
        <cdr:nvSpPr>
          <cdr:cNvPr id="6" name="TextBox 5"/>
          <cdr:cNvSpPr txBox="1"/>
        </cdr:nvSpPr>
        <cdr:spPr>
          <a:xfrm xmlns:a="http://schemas.openxmlformats.org/drawingml/2006/main">
            <a:off x="5524516" y="371459"/>
            <a:ext cx="219038" cy="3714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a:t>
            </a:r>
          </a:p>
        </cdr:txBody>
      </cdr:sp>
    </cdr:grpSp>
  </cdr:relSizeAnchor>
</c:userShapes>
</file>

<file path=word/drawings/drawing12.xml><?xml version="1.0" encoding="utf-8"?>
<c:userShapes xmlns:c="http://schemas.openxmlformats.org/drawingml/2006/chart">
  <cdr:relSizeAnchor xmlns:cdr="http://schemas.openxmlformats.org/drawingml/2006/chartDrawing">
    <cdr:from>
      <cdr:x>0.18412</cdr:x>
      <cdr:y>0.14344</cdr:y>
    </cdr:from>
    <cdr:to>
      <cdr:x>0.92809</cdr:x>
      <cdr:y>0.59596</cdr:y>
    </cdr:to>
    <cdr:grpSp>
      <cdr:nvGrpSpPr>
        <cdr:cNvPr id="3" name="Group 2"/>
        <cdr:cNvGrpSpPr/>
      </cdr:nvGrpSpPr>
      <cdr:grpSpPr>
        <a:xfrm xmlns:a="http://schemas.openxmlformats.org/drawingml/2006/main">
          <a:off x="1038216" y="472728"/>
          <a:ext cx="4195098" cy="1491348"/>
          <a:chOff x="1038216" y="472728"/>
          <a:chExt cx="4195098" cy="1491348"/>
        </a:xfrm>
      </cdr:grpSpPr>
      <cdr:sp macro="" textlink="">
        <cdr:nvSpPr>
          <cdr:cNvPr id="2" name="TextBox 1"/>
          <cdr:cNvSpPr txBox="1"/>
        </cdr:nvSpPr>
        <cdr:spPr>
          <a:xfrm xmlns:a="http://schemas.openxmlformats.org/drawingml/2006/main">
            <a:off x="4833918" y="1632237"/>
            <a:ext cx="399396" cy="3318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sp macro="" textlink="">
        <cdr:nvSpPr>
          <cdr:cNvPr id="5" name="TextBox 4"/>
          <cdr:cNvSpPr txBox="1"/>
        </cdr:nvSpPr>
        <cdr:spPr>
          <a:xfrm xmlns:a="http://schemas.openxmlformats.org/drawingml/2006/main">
            <a:off x="2930166" y="726792"/>
            <a:ext cx="646150" cy="2631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7" name="TextBox 6"/>
          <cdr:cNvSpPr txBox="1"/>
        </cdr:nvSpPr>
        <cdr:spPr>
          <a:xfrm xmlns:a="http://schemas.openxmlformats.org/drawingml/2006/main">
            <a:off x="1980910" y="472728"/>
            <a:ext cx="270155" cy="2403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sp macro="" textlink="">
        <cdr:nvSpPr>
          <cdr:cNvPr id="4" name="TextBox 3"/>
          <cdr:cNvSpPr txBox="1"/>
        </cdr:nvSpPr>
        <cdr:spPr>
          <a:xfrm xmlns:a="http://schemas.openxmlformats.org/drawingml/2006/main">
            <a:off x="3848086" y="876313"/>
            <a:ext cx="381014" cy="2952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8" name="TextBox 7"/>
          <cdr:cNvSpPr txBox="1"/>
        </cdr:nvSpPr>
        <cdr:spPr>
          <a:xfrm xmlns:a="http://schemas.openxmlformats.org/drawingml/2006/main">
            <a:off x="1038216" y="1524007"/>
            <a:ext cx="314307" cy="3143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grpSp>
  </cdr:relSizeAnchor>
</c:userShapes>
</file>

<file path=word/drawings/drawing13.xml><?xml version="1.0" encoding="utf-8"?>
<c:userShapes xmlns:c="http://schemas.openxmlformats.org/drawingml/2006/chart">
  <cdr:relSizeAnchor xmlns:cdr="http://schemas.openxmlformats.org/drawingml/2006/chartDrawing">
    <cdr:from>
      <cdr:x>0.16808</cdr:x>
      <cdr:y>0.05654</cdr:y>
    </cdr:from>
    <cdr:to>
      <cdr:x>0.92656</cdr:x>
      <cdr:y>0.49425</cdr:y>
    </cdr:to>
    <cdr:grpSp>
      <cdr:nvGrpSpPr>
        <cdr:cNvPr id="5" name="Group 4"/>
        <cdr:cNvGrpSpPr/>
      </cdr:nvGrpSpPr>
      <cdr:grpSpPr>
        <a:xfrm xmlns:a="http://schemas.openxmlformats.org/drawingml/2006/main">
          <a:off x="914988" y="184554"/>
          <a:ext cx="4129061" cy="1428618"/>
          <a:chOff x="914988" y="184554"/>
          <a:chExt cx="4129061" cy="1428618"/>
        </a:xfrm>
      </cdr:grpSpPr>
      <cdr:sp macro="" textlink="">
        <cdr:nvSpPr>
          <cdr:cNvPr id="2" name="TextBox 1"/>
          <cdr:cNvSpPr txBox="1"/>
        </cdr:nvSpPr>
        <cdr:spPr>
          <a:xfrm xmlns:a="http://schemas.openxmlformats.org/drawingml/2006/main">
            <a:off x="914988" y="548738"/>
            <a:ext cx="476726" cy="3009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BC</a:t>
            </a:r>
          </a:p>
        </cdr:txBody>
      </cdr:sp>
      <cdr:sp macro="" textlink="">
        <cdr:nvSpPr>
          <cdr:cNvPr id="3" name="TextBox 2"/>
          <cdr:cNvSpPr txBox="1"/>
        </cdr:nvSpPr>
        <cdr:spPr>
          <a:xfrm xmlns:a="http://schemas.openxmlformats.org/drawingml/2006/main">
            <a:off x="1867984" y="1360351"/>
            <a:ext cx="295080" cy="2528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sp macro="" textlink="">
        <cdr:nvSpPr>
          <cdr:cNvPr id="4" name="TextBox 3"/>
          <cdr:cNvSpPr txBox="1"/>
        </cdr:nvSpPr>
        <cdr:spPr>
          <a:xfrm xmlns:a="http://schemas.openxmlformats.org/drawingml/2006/main">
            <a:off x="2803641" y="1276101"/>
            <a:ext cx="601547" cy="2768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effectLst/>
                <a:latin typeface="+mn-lt"/>
                <a:ea typeface="+mn-ea"/>
                <a:cs typeface="+mn-cs"/>
              </a:rPr>
              <a:t>AB</a:t>
            </a:r>
            <a:endParaRPr lang="en-US">
              <a:effectLst/>
            </a:endParaRPr>
          </a:p>
        </cdr:txBody>
      </cdr:sp>
      <cdr:sp macro="" textlink="">
        <cdr:nvSpPr>
          <cdr:cNvPr id="6" name="TextBox 5"/>
          <cdr:cNvSpPr txBox="1"/>
        </cdr:nvSpPr>
        <cdr:spPr>
          <a:xfrm xmlns:a="http://schemas.openxmlformats.org/drawingml/2006/main">
            <a:off x="4680866" y="184554"/>
            <a:ext cx="363183" cy="3130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grpSp>
  </cdr:relSizeAnchor>
  <cdr:relSizeAnchor xmlns:cdr="http://schemas.openxmlformats.org/drawingml/2006/chartDrawing">
    <cdr:from>
      <cdr:x>0.68706</cdr:x>
      <cdr:y>0.47097</cdr:y>
    </cdr:from>
    <cdr:to>
      <cdr:x>0.74749</cdr:x>
      <cdr:y>0.55714</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743309" y="1632895"/>
          <a:ext cx="329241" cy="298760"/>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0.15208</cdr:x>
      <cdr:y>0.23958</cdr:y>
    </cdr:from>
    <cdr:to>
      <cdr:x>0.25833</cdr:x>
      <cdr:y>0.38542</cdr:y>
    </cdr:to>
    <cdr:sp macro="" textlink="">
      <cdr:nvSpPr>
        <cdr:cNvPr id="2" name="TextBox 1"/>
        <cdr:cNvSpPr txBox="1"/>
      </cdr:nvSpPr>
      <cdr:spPr>
        <a:xfrm xmlns:a="http://schemas.openxmlformats.org/drawingml/2006/main">
          <a:off x="695325" y="657225"/>
          <a:ext cx="485775" cy="4000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0.76042</cdr:x>
      <cdr:y>0.29861</cdr:y>
    </cdr:from>
    <cdr:to>
      <cdr:x>0.81667</cdr:x>
      <cdr:y>0.37153</cdr:y>
    </cdr:to>
    <cdr:sp macro="" textlink="">
      <cdr:nvSpPr>
        <cdr:cNvPr id="8" name="TextBox 7"/>
        <cdr:cNvSpPr txBox="1"/>
      </cdr:nvSpPr>
      <cdr:spPr>
        <a:xfrm xmlns:a="http://schemas.openxmlformats.org/drawingml/2006/main">
          <a:off x="3476625" y="819150"/>
          <a:ext cx="2571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effectLst/>
          </a:endParaRPr>
        </a:p>
      </cdr:txBody>
    </cdr:sp>
  </cdr:relSizeAnchor>
  <cdr:relSizeAnchor xmlns:cdr="http://schemas.openxmlformats.org/drawingml/2006/chartDrawing">
    <cdr:from>
      <cdr:x>0.39583</cdr:x>
      <cdr:y>0.05903</cdr:y>
    </cdr:from>
    <cdr:to>
      <cdr:x>0.44375</cdr:x>
      <cdr:y>0.14236</cdr:y>
    </cdr:to>
    <cdr:sp macro="" textlink="">
      <cdr:nvSpPr>
        <cdr:cNvPr id="12" name="TextBox 11"/>
        <cdr:cNvSpPr txBox="1"/>
      </cdr:nvSpPr>
      <cdr:spPr>
        <a:xfrm xmlns:a="http://schemas.openxmlformats.org/drawingml/2006/main">
          <a:off x="1809750" y="161925"/>
          <a:ext cx="21907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0.15833</cdr:x>
      <cdr:y>0.19792</cdr:y>
    </cdr:from>
    <cdr:to>
      <cdr:x>0.25625</cdr:x>
      <cdr:y>0.28472</cdr:y>
    </cdr:to>
    <cdr:sp macro="" textlink="">
      <cdr:nvSpPr>
        <cdr:cNvPr id="13" name="TextBox 12"/>
        <cdr:cNvSpPr txBox="1"/>
      </cdr:nvSpPr>
      <cdr:spPr>
        <a:xfrm xmlns:a="http://schemas.openxmlformats.org/drawingml/2006/main">
          <a:off x="723899" y="542925"/>
          <a:ext cx="4476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0.14167</cdr:x>
      <cdr:y>0.25694</cdr:y>
    </cdr:from>
    <cdr:to>
      <cdr:x>0.23958</cdr:x>
      <cdr:y>0.34375</cdr:y>
    </cdr:to>
    <cdr:sp macro="" textlink="">
      <cdr:nvSpPr>
        <cdr:cNvPr id="15" name="TextBox 14"/>
        <cdr:cNvSpPr txBox="1"/>
      </cdr:nvSpPr>
      <cdr:spPr>
        <a:xfrm xmlns:a="http://schemas.openxmlformats.org/drawingml/2006/main">
          <a:off x="647699" y="704850"/>
          <a:ext cx="4476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0.15912</cdr:x>
      <cdr:y>0.06235</cdr:y>
    </cdr:from>
    <cdr:to>
      <cdr:x>0.81403</cdr:x>
      <cdr:y>0.38021</cdr:y>
    </cdr:to>
    <cdr:grpSp>
      <cdr:nvGrpSpPr>
        <cdr:cNvPr id="7" name="Group 6"/>
        <cdr:cNvGrpSpPr/>
      </cdr:nvGrpSpPr>
      <cdr:grpSpPr>
        <a:xfrm xmlns:a="http://schemas.openxmlformats.org/drawingml/2006/main">
          <a:off x="921976" y="217448"/>
          <a:ext cx="3794792" cy="1108505"/>
          <a:chOff x="795951" y="171450"/>
          <a:chExt cx="3276080" cy="874017"/>
        </a:xfrm>
      </cdr:grpSpPr>
      <cdr:sp macro="" textlink="">
        <cdr:nvSpPr>
          <cdr:cNvPr id="3" name="TextBox 2"/>
          <cdr:cNvSpPr txBox="1"/>
        </cdr:nvSpPr>
        <cdr:spPr>
          <a:xfrm xmlns:a="http://schemas.openxmlformats.org/drawingml/2006/main">
            <a:off x="795951" y="737236"/>
            <a:ext cx="447690" cy="23813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19" name="TextBox 18"/>
          <cdr:cNvSpPr txBox="1"/>
        </cdr:nvSpPr>
        <cdr:spPr>
          <a:xfrm xmlns:a="http://schemas.openxmlformats.org/drawingml/2006/main">
            <a:off x="3814856" y="845433"/>
            <a:ext cx="257175" cy="2000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effectLst/>
                <a:latin typeface="+mn-lt"/>
                <a:ea typeface="+mn-ea"/>
                <a:cs typeface="+mn-cs"/>
              </a:rPr>
              <a:t>A</a:t>
            </a:r>
            <a:endParaRPr lang="en-US">
              <a:effectLst/>
            </a:endParaRPr>
          </a:p>
        </cdr:txBody>
      </cdr:sp>
      <cdr:sp macro="" textlink="">
        <cdr:nvSpPr>
          <cdr:cNvPr id="21" name="TextBox 20"/>
          <cdr:cNvSpPr txBox="1"/>
        </cdr:nvSpPr>
        <cdr:spPr>
          <a:xfrm xmlns:a="http://schemas.openxmlformats.org/drawingml/2006/main">
            <a:off x="2019487" y="171450"/>
            <a:ext cx="219090" cy="2285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grpSp>
  </cdr:relSizeAnchor>
  <cdr:relSizeAnchor xmlns:cdr="http://schemas.openxmlformats.org/drawingml/2006/chartDrawing">
    <cdr:from>
      <cdr:x>0.87896</cdr:x>
      <cdr:y>0.32013</cdr:y>
    </cdr:from>
    <cdr:to>
      <cdr:x>0.91382</cdr:x>
      <cdr:y>0.41159</cdr:y>
    </cdr:to>
    <cdr:sp macro="" textlink="">
      <cdr:nvSpPr>
        <cdr:cNvPr id="9" name="Text Box 8"/>
        <cdr:cNvSpPr txBox="1"/>
      </cdr:nvSpPr>
      <cdr:spPr>
        <a:xfrm xmlns:a="http://schemas.openxmlformats.org/drawingml/2006/main">
          <a:off x="5092995" y="1116419"/>
          <a:ext cx="202019" cy="3189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dr:relSizeAnchor xmlns:cdr="http://schemas.openxmlformats.org/drawingml/2006/chartDrawing">
    <cdr:from>
      <cdr:x>0.27525</cdr:x>
      <cdr:y>0.2622</cdr:y>
    </cdr:from>
    <cdr:to>
      <cdr:x>0.34681</cdr:x>
      <cdr:y>0.35062</cdr:y>
    </cdr:to>
    <cdr:sp macro="" textlink="">
      <cdr:nvSpPr>
        <cdr:cNvPr id="11" name="Text Box 10"/>
        <cdr:cNvSpPr txBox="1"/>
      </cdr:nvSpPr>
      <cdr:spPr>
        <a:xfrm xmlns:a="http://schemas.openxmlformats.org/drawingml/2006/main">
          <a:off x="1594884" y="914400"/>
          <a:ext cx="414670" cy="3083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0.51196</cdr:x>
      <cdr:y>0.17378</cdr:y>
    </cdr:from>
    <cdr:to>
      <cdr:x>0.58169</cdr:x>
      <cdr:y>0.24391</cdr:y>
    </cdr:to>
    <cdr:sp macro="" textlink="">
      <cdr:nvSpPr>
        <cdr:cNvPr id="14" name="Text Box 13"/>
        <cdr:cNvSpPr txBox="1"/>
      </cdr:nvSpPr>
      <cdr:spPr>
        <a:xfrm xmlns:a="http://schemas.openxmlformats.org/drawingml/2006/main">
          <a:off x="2966484" y="606056"/>
          <a:ext cx="404037" cy="2445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0.6349</cdr:x>
      <cdr:y>0.25915</cdr:y>
    </cdr:from>
    <cdr:to>
      <cdr:x>0.70096</cdr:x>
      <cdr:y>0.32318</cdr:y>
    </cdr:to>
    <cdr:sp macro="" textlink="">
      <cdr:nvSpPr>
        <cdr:cNvPr id="16" name="Text Box 15"/>
        <cdr:cNvSpPr txBox="1"/>
      </cdr:nvSpPr>
      <cdr:spPr>
        <a:xfrm xmlns:a="http://schemas.openxmlformats.org/drawingml/2006/main">
          <a:off x="3678865" y="903767"/>
          <a:ext cx="382772" cy="2232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userShapes>
</file>

<file path=word/drawings/drawing15.xml><?xml version="1.0" encoding="utf-8"?>
<c:userShapes xmlns:c="http://schemas.openxmlformats.org/drawingml/2006/chart">
  <cdr:relSizeAnchor xmlns:cdr="http://schemas.openxmlformats.org/drawingml/2006/chartDrawing">
    <cdr:from>
      <cdr:x>0.14638</cdr:x>
      <cdr:y>0.056</cdr:y>
    </cdr:from>
    <cdr:to>
      <cdr:x>0.95184</cdr:x>
      <cdr:y>0.41732</cdr:y>
    </cdr:to>
    <cdr:grpSp>
      <cdr:nvGrpSpPr>
        <cdr:cNvPr id="9" name="Group 8"/>
        <cdr:cNvGrpSpPr/>
      </cdr:nvGrpSpPr>
      <cdr:grpSpPr>
        <a:xfrm xmlns:a="http://schemas.openxmlformats.org/drawingml/2006/main">
          <a:off x="849749" y="161936"/>
          <a:ext cx="4675856" cy="1044876"/>
          <a:chOff x="849749" y="161936"/>
          <a:chExt cx="4675856" cy="1044876"/>
        </a:xfrm>
      </cdr:grpSpPr>
      <cdr:sp macro="" textlink="">
        <cdr:nvSpPr>
          <cdr:cNvPr id="2" name="TextBox 1"/>
          <cdr:cNvSpPr txBox="1"/>
        </cdr:nvSpPr>
        <cdr:spPr>
          <a:xfrm xmlns:a="http://schemas.openxmlformats.org/drawingml/2006/main">
            <a:off x="849749" y="161936"/>
            <a:ext cx="266400" cy="2762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sp macro="" textlink="">
        <cdr:nvSpPr>
          <cdr:cNvPr id="3" name="TextBox 2"/>
          <cdr:cNvSpPr txBox="1"/>
        </cdr:nvSpPr>
        <cdr:spPr>
          <a:xfrm xmlns:a="http://schemas.openxmlformats.org/drawingml/2006/main">
            <a:off x="1579748" y="949610"/>
            <a:ext cx="293998" cy="2572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sp macro="" textlink="">
        <cdr:nvSpPr>
          <cdr:cNvPr id="6" name="TextBox 5"/>
          <cdr:cNvSpPr txBox="1"/>
        </cdr:nvSpPr>
        <cdr:spPr>
          <a:xfrm xmlns:a="http://schemas.openxmlformats.org/drawingml/2006/main">
            <a:off x="3704093" y="777506"/>
            <a:ext cx="409623" cy="2381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7" name="TextBox 6"/>
          <cdr:cNvSpPr txBox="1"/>
        </cdr:nvSpPr>
        <cdr:spPr>
          <a:xfrm xmlns:a="http://schemas.openxmlformats.org/drawingml/2006/main">
            <a:off x="4417359" y="696213"/>
            <a:ext cx="457209" cy="2571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sp macro="" textlink="">
        <cdr:nvSpPr>
          <cdr:cNvPr id="8" name="TextBox 7"/>
          <cdr:cNvSpPr txBox="1"/>
        </cdr:nvSpPr>
        <cdr:spPr>
          <a:xfrm xmlns:a="http://schemas.openxmlformats.org/drawingml/2006/main">
            <a:off x="5125569" y="850393"/>
            <a:ext cx="400036" cy="30479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grpSp>
  </cdr:relSizeAnchor>
  <cdr:relSizeAnchor xmlns:cdr="http://schemas.openxmlformats.org/drawingml/2006/chartDrawing">
    <cdr:from>
      <cdr:x>0.39344</cdr:x>
      <cdr:y>0.27314</cdr:y>
    </cdr:from>
    <cdr:to>
      <cdr:x>0.45383</cdr:x>
      <cdr:y>0.35297</cdr:y>
    </cdr:to>
    <cdr:sp macro="" textlink="">
      <cdr:nvSpPr>
        <cdr:cNvPr id="10" name="Text Box 9"/>
        <cdr:cNvSpPr txBox="1"/>
      </cdr:nvSpPr>
      <cdr:spPr>
        <a:xfrm xmlns:a="http://schemas.openxmlformats.org/drawingml/2006/main">
          <a:off x="2284004" y="789858"/>
          <a:ext cx="350574" cy="2308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0.5252</cdr:x>
      <cdr:y>0.33632</cdr:y>
    </cdr:from>
    <cdr:to>
      <cdr:x>0.56729</cdr:x>
      <cdr:y>0.40095</cdr:y>
    </cdr:to>
    <cdr:sp macro="" textlink="">
      <cdr:nvSpPr>
        <cdr:cNvPr id="11" name="Text Box 10"/>
        <cdr:cNvSpPr txBox="1"/>
      </cdr:nvSpPr>
      <cdr:spPr>
        <a:xfrm xmlns:a="http://schemas.openxmlformats.org/drawingml/2006/main">
          <a:off x="3048903" y="972565"/>
          <a:ext cx="244340" cy="1868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cdr:y>
    </cdr:from>
    <cdr:to>
      <cdr:x>0</cdr:x>
      <cdr:y>0</cdr:y>
    </cdr:to>
    <cdr:grpSp>
      <cdr:nvGrpSpPr>
        <cdr:cNvPr id="9" name="Group 8"/>
        <cdr:cNvGrpSpPr/>
      </cdr:nvGrpSpPr>
      <cdr:grpSpPr>
        <a:xfrm xmlns:a="http://schemas.openxmlformats.org/drawingml/2006/main">
          <a:off x="0" y="0"/>
          <a:ext cx="0" cy="0"/>
          <a:chOff x="0" y="0"/>
          <a:chExt cx="0" cy="0"/>
        </a:xfrm>
      </cdr:grpSpPr>
    </cdr:grpSp>
  </cdr:relSizeAnchor>
  <cdr:relSizeAnchor xmlns:cdr="http://schemas.openxmlformats.org/drawingml/2006/chartDrawing">
    <cdr:from>
      <cdr:x>0.38436</cdr:x>
      <cdr:y>0.39235</cdr:y>
    </cdr:from>
    <cdr:to>
      <cdr:x>0.46087</cdr:x>
      <cdr:y>0.4661</cdr:y>
    </cdr:to>
    <cdr:sp macro="" textlink="">
      <cdr:nvSpPr>
        <cdr:cNvPr id="10" name="Text Box 9"/>
        <cdr:cNvSpPr txBox="1"/>
      </cdr:nvSpPr>
      <cdr:spPr>
        <a:xfrm xmlns:a="http://schemas.openxmlformats.org/drawingml/2006/main">
          <a:off x="2243470" y="1414130"/>
          <a:ext cx="446567" cy="2658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0.51369</cdr:x>
      <cdr:y>0.24489</cdr:y>
    </cdr:from>
    <cdr:to>
      <cdr:x>0.60113</cdr:x>
      <cdr:y>0.30979</cdr:y>
    </cdr:to>
    <cdr:sp macro="" textlink="">
      <cdr:nvSpPr>
        <cdr:cNvPr id="11" name="Text Box 10"/>
        <cdr:cNvSpPr txBox="1"/>
      </cdr:nvSpPr>
      <cdr:spPr>
        <a:xfrm xmlns:a="http://schemas.openxmlformats.org/drawingml/2006/main">
          <a:off x="2998367" y="708178"/>
          <a:ext cx="510381" cy="1876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0.6321</cdr:x>
      <cdr:y>0.413</cdr:y>
    </cdr:from>
    <cdr:to>
      <cdr:x>0.69221</cdr:x>
      <cdr:y>0.52211</cdr:y>
    </cdr:to>
    <cdr:sp macro="" textlink="">
      <cdr:nvSpPr>
        <cdr:cNvPr id="12" name="Text Box 11"/>
        <cdr:cNvSpPr txBox="1"/>
      </cdr:nvSpPr>
      <cdr:spPr>
        <a:xfrm xmlns:a="http://schemas.openxmlformats.org/drawingml/2006/main">
          <a:off x="3689498" y="1194308"/>
          <a:ext cx="350874" cy="3155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0.76143</cdr:x>
      <cdr:y>0.4366</cdr:y>
    </cdr:from>
    <cdr:to>
      <cdr:x>0.83065</cdr:x>
      <cdr:y>0.50445</cdr:y>
    </cdr:to>
    <cdr:sp macro="" textlink="">
      <cdr:nvSpPr>
        <cdr:cNvPr id="13" name="Text Box 12"/>
        <cdr:cNvSpPr txBox="1"/>
      </cdr:nvSpPr>
      <cdr:spPr>
        <a:xfrm xmlns:a="http://schemas.openxmlformats.org/drawingml/2006/main">
          <a:off x="4444409" y="1573618"/>
          <a:ext cx="404037" cy="2445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0.88712</cdr:x>
      <cdr:y>0.40569</cdr:y>
    </cdr:from>
    <cdr:to>
      <cdr:x>0.94906</cdr:x>
      <cdr:y>0.47059</cdr:y>
    </cdr:to>
    <cdr:sp macro="" textlink="">
      <cdr:nvSpPr>
        <cdr:cNvPr id="14" name="Text Box 13"/>
        <cdr:cNvSpPr txBox="1"/>
      </cdr:nvSpPr>
      <cdr:spPr>
        <a:xfrm xmlns:a="http://schemas.openxmlformats.org/drawingml/2006/main">
          <a:off x="5178056" y="1173165"/>
          <a:ext cx="361507" cy="18767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AB</a:t>
          </a:r>
        </a:p>
      </cdr:txBody>
    </cdr:sp>
  </cdr:relSizeAnchor>
  <cdr:relSizeAnchor xmlns:cdr="http://schemas.openxmlformats.org/drawingml/2006/chartDrawing">
    <cdr:from>
      <cdr:x>0.26778</cdr:x>
      <cdr:y>0.1593</cdr:y>
    </cdr:from>
    <cdr:to>
      <cdr:x>0.30603</cdr:x>
      <cdr:y>0.2301</cdr:y>
    </cdr:to>
    <cdr:sp macro="" textlink="">
      <cdr:nvSpPr>
        <cdr:cNvPr id="15" name="Text Box 14"/>
        <cdr:cNvSpPr txBox="1"/>
      </cdr:nvSpPr>
      <cdr:spPr>
        <a:xfrm xmlns:a="http://schemas.openxmlformats.org/drawingml/2006/main">
          <a:off x="1562986" y="574158"/>
          <a:ext cx="223284" cy="2551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dr:relSizeAnchor xmlns:cdr="http://schemas.openxmlformats.org/drawingml/2006/chartDrawing">
    <cdr:from>
      <cdr:x>0.14026</cdr:x>
      <cdr:y>0.4779</cdr:y>
    </cdr:from>
    <cdr:to>
      <cdr:x>0.18763</cdr:x>
      <cdr:y>0.5546</cdr:y>
    </cdr:to>
    <cdr:sp macro="" textlink="">
      <cdr:nvSpPr>
        <cdr:cNvPr id="16" name="Text Box 15"/>
        <cdr:cNvSpPr txBox="1"/>
      </cdr:nvSpPr>
      <cdr:spPr>
        <a:xfrm xmlns:a="http://schemas.openxmlformats.org/drawingml/2006/main">
          <a:off x="818707" y="1722474"/>
          <a:ext cx="276447" cy="2764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17.xml><?xml version="1.0" encoding="utf-8"?>
<c:userShapes xmlns:c="http://schemas.openxmlformats.org/drawingml/2006/chart">
  <cdr:relSizeAnchor xmlns:cdr="http://schemas.openxmlformats.org/drawingml/2006/chartDrawing">
    <cdr:from>
      <cdr:x>0.14923</cdr:x>
      <cdr:y>0.71505</cdr:y>
    </cdr:from>
    <cdr:to>
      <cdr:x>0.91568</cdr:x>
      <cdr:y>0.80687</cdr:y>
    </cdr:to>
    <cdr:grpSp>
      <cdr:nvGrpSpPr>
        <cdr:cNvPr id="8" name="Group 7"/>
        <cdr:cNvGrpSpPr/>
      </cdr:nvGrpSpPr>
      <cdr:grpSpPr>
        <a:xfrm xmlns:a="http://schemas.openxmlformats.org/drawingml/2006/main">
          <a:off x="798053" y="2242585"/>
          <a:ext cx="4098955" cy="287968"/>
          <a:chOff x="779820" y="2513579"/>
          <a:chExt cx="3635921" cy="308250"/>
        </a:xfrm>
      </cdr:grpSpPr>
      <cdr:sp macro="" textlink="">
        <cdr:nvSpPr>
          <cdr:cNvPr id="2" name="TextBox 1"/>
          <cdr:cNvSpPr txBox="1"/>
        </cdr:nvSpPr>
        <cdr:spPr>
          <a:xfrm xmlns:a="http://schemas.openxmlformats.org/drawingml/2006/main">
            <a:off x="779820" y="2513579"/>
            <a:ext cx="171494" cy="2857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A</a:t>
            </a:r>
          </a:p>
        </cdr:txBody>
      </cdr:sp>
      <cdr:sp macro="" textlink="">
        <cdr:nvSpPr>
          <cdr:cNvPr id="3" name="TextBox 2"/>
          <cdr:cNvSpPr txBox="1"/>
        </cdr:nvSpPr>
        <cdr:spPr>
          <a:xfrm xmlns:a="http://schemas.openxmlformats.org/drawingml/2006/main">
            <a:off x="1925162" y="2558634"/>
            <a:ext cx="247658" cy="2381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A</a:t>
            </a:r>
          </a:p>
        </cdr:txBody>
      </cdr:sp>
      <cdr:sp macro="" textlink="">
        <cdr:nvSpPr>
          <cdr:cNvPr id="4" name="TextBox 3"/>
          <cdr:cNvSpPr txBox="1"/>
        </cdr:nvSpPr>
        <cdr:spPr>
          <a:xfrm xmlns:a="http://schemas.openxmlformats.org/drawingml/2006/main">
            <a:off x="3592701" y="2532138"/>
            <a:ext cx="204644" cy="2896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AS</a:t>
            </a:r>
          </a:p>
        </cdr:txBody>
      </cdr:sp>
      <cdr:sp macro="" textlink="">
        <cdr:nvSpPr>
          <cdr:cNvPr id="5" name="TextBox 4"/>
          <cdr:cNvSpPr txBox="1"/>
        </cdr:nvSpPr>
        <cdr:spPr>
          <a:xfrm xmlns:a="http://schemas.openxmlformats.org/drawingml/2006/main">
            <a:off x="2486372" y="2521710"/>
            <a:ext cx="198678" cy="215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B</a:t>
            </a:r>
          </a:p>
        </cdr:txBody>
      </cdr:sp>
      <cdr:sp macro="" textlink="">
        <cdr:nvSpPr>
          <cdr:cNvPr id="6" name="TextBox 5"/>
          <cdr:cNvSpPr txBox="1"/>
        </cdr:nvSpPr>
        <cdr:spPr>
          <a:xfrm xmlns:a="http://schemas.openxmlformats.org/drawingml/2006/main">
            <a:off x="3049370" y="2532138"/>
            <a:ext cx="191520" cy="2441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B</a:t>
            </a:r>
          </a:p>
        </cdr:txBody>
      </cdr:sp>
      <cdr:sp macro="" textlink="">
        <cdr:nvSpPr>
          <cdr:cNvPr id="7" name="TextBox 6"/>
          <cdr:cNvSpPr txBox="1"/>
        </cdr:nvSpPr>
        <cdr:spPr>
          <a:xfrm xmlns:a="http://schemas.openxmlformats.org/drawingml/2006/main">
            <a:off x="4168083" y="2533759"/>
            <a:ext cx="247658" cy="2381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B</a:t>
            </a:r>
          </a:p>
        </cdr:txBody>
      </cdr:sp>
    </cdr:grpSp>
  </cdr:relSizeAnchor>
  <cdr:relSizeAnchor xmlns:cdr="http://schemas.openxmlformats.org/drawingml/2006/chartDrawing">
    <cdr:from>
      <cdr:x>0.24015</cdr:x>
      <cdr:y>0.7239</cdr:y>
    </cdr:from>
    <cdr:to>
      <cdr:x>0.29235</cdr:x>
      <cdr:y>0.79482</cdr:y>
    </cdr:to>
    <cdr:sp macro="" textlink="">
      <cdr:nvSpPr>
        <cdr:cNvPr id="9" name="TextBox 2"/>
        <cdr:cNvSpPr txBox="1"/>
      </cdr:nvSpPr>
      <cdr:spPr>
        <a:xfrm xmlns:a="http://schemas.openxmlformats.org/drawingml/2006/main">
          <a:off x="1286127" y="2578796"/>
          <a:ext cx="279593" cy="252642"/>
        </a:xfrm>
        <a:prstGeom xmlns:a="http://schemas.openxmlformats.org/drawingml/2006/main" prst="rect">
          <a:avLst/>
        </a:prstGeom>
      </cdr:spPr>
    </cdr:sp>
  </cdr:relSizeAnchor>
  <cdr:relSizeAnchor xmlns:cdr="http://schemas.openxmlformats.org/drawingml/2006/chartDrawing">
    <cdr:from>
      <cdr:x>0.14696</cdr:x>
      <cdr:y>0.73672</cdr:y>
    </cdr:from>
    <cdr:to>
      <cdr:x>0.20178</cdr:x>
      <cdr:y>0.801</cdr:y>
    </cdr:to>
    <cdr:sp macro="" textlink="">
      <cdr:nvSpPr>
        <cdr:cNvPr id="10" name="TextBox 1"/>
        <cdr:cNvSpPr txBox="1"/>
      </cdr:nvSpPr>
      <cdr:spPr>
        <a:xfrm xmlns:a="http://schemas.openxmlformats.org/drawingml/2006/main">
          <a:off x="787070" y="2624445"/>
          <a:ext cx="293584" cy="228985"/>
        </a:xfrm>
        <a:prstGeom xmlns:a="http://schemas.openxmlformats.org/drawingml/2006/main" prst="rect">
          <a:avLst/>
        </a:prstGeom>
      </cdr:spPr>
    </cdr:sp>
  </cdr:relSizeAnchor>
  <cdr:relSizeAnchor xmlns:cdr="http://schemas.openxmlformats.org/drawingml/2006/chartDrawing">
    <cdr:from>
      <cdr:x>0.63086</cdr:x>
      <cdr:y>0.72441</cdr:y>
    </cdr:from>
    <cdr:to>
      <cdr:x>0.66901</cdr:x>
      <cdr:y>0.77831</cdr:y>
    </cdr:to>
    <cdr:sp macro="" textlink="">
      <cdr:nvSpPr>
        <cdr:cNvPr id="11" name="TextBox 3"/>
        <cdr:cNvSpPr txBox="1"/>
      </cdr:nvSpPr>
      <cdr:spPr>
        <a:xfrm xmlns:a="http://schemas.openxmlformats.org/drawingml/2006/main">
          <a:off x="3378639" y="2580590"/>
          <a:ext cx="204314" cy="192011"/>
        </a:xfrm>
        <a:prstGeom xmlns:a="http://schemas.openxmlformats.org/drawingml/2006/main" prst="rect">
          <a:avLst/>
        </a:prstGeom>
      </cdr:spPr>
    </cdr:sp>
  </cdr:relSizeAnchor>
  <cdr:relSizeAnchor xmlns:cdr="http://schemas.openxmlformats.org/drawingml/2006/chartDrawing">
    <cdr:from>
      <cdr:x>0.27148</cdr:x>
      <cdr:y>0.7243</cdr:y>
    </cdr:from>
    <cdr:to>
      <cdr:x>0.31805</cdr:x>
      <cdr:y>0.79097</cdr:y>
    </cdr:to>
    <cdr:sp macro="" textlink="">
      <cdr:nvSpPr>
        <cdr:cNvPr id="13" name="Text Box 12"/>
        <cdr:cNvSpPr txBox="1"/>
      </cdr:nvSpPr>
      <cdr:spPr>
        <a:xfrm xmlns:a="http://schemas.openxmlformats.org/drawingml/2006/main">
          <a:off x="1453922" y="2580204"/>
          <a:ext cx="249410" cy="2375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D2003-F6EB-4FFD-A981-65529FCF6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13548</Words>
  <Characters>77230</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2012-11-16T19:10:00Z</dcterms:created>
  <dcterms:modified xsi:type="dcterms:W3CDTF">2012-11-16T19:10:00Z</dcterms:modified>
</cp:coreProperties>
</file>