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8F" w:rsidRDefault="00E23B8F" w:rsidP="00E23B8F">
      <w:pPr>
        <w:rPr>
          <w:rFonts w:cstheme="minorHAnsi"/>
          <w:sz w:val="24"/>
          <w:szCs w:val="24"/>
        </w:rPr>
      </w:pPr>
    </w:p>
    <w:p w:rsidR="00E23B8F" w:rsidRDefault="00E23B8F" w:rsidP="00E23B8F">
      <w:pPr>
        <w:jc w:val="center"/>
        <w:rPr>
          <w:rFonts w:cstheme="minorHAnsi"/>
          <w:sz w:val="24"/>
          <w:szCs w:val="24"/>
        </w:rPr>
      </w:pPr>
      <w:r w:rsidRPr="0012002A">
        <w:rPr>
          <w:rFonts w:cstheme="minorHAnsi"/>
          <w:sz w:val="24"/>
          <w:szCs w:val="24"/>
        </w:rPr>
        <w:t xml:space="preserve">Disruptive Voices in </w:t>
      </w:r>
      <w:r>
        <w:rPr>
          <w:rFonts w:cstheme="minorHAnsi"/>
          <w:sz w:val="24"/>
          <w:szCs w:val="24"/>
        </w:rPr>
        <w:t>the American Musical Discourse:</w:t>
      </w:r>
    </w:p>
    <w:p w:rsidR="00E23B8F" w:rsidRPr="0012002A" w:rsidRDefault="00E23B8F" w:rsidP="00E23B8F">
      <w:pPr>
        <w:jc w:val="center"/>
        <w:rPr>
          <w:rFonts w:cstheme="minorHAnsi"/>
          <w:sz w:val="24"/>
          <w:szCs w:val="24"/>
        </w:rPr>
      </w:pPr>
      <w:r w:rsidRPr="0012002A">
        <w:rPr>
          <w:rFonts w:cstheme="minorHAnsi"/>
          <w:sz w:val="24"/>
          <w:szCs w:val="24"/>
        </w:rPr>
        <w:t>Comic Song Performance in the American Parlor, 1865-1917</w:t>
      </w: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Pr="00E23B8F" w:rsidRDefault="00E23B8F" w:rsidP="00E23B8F">
      <w:pPr>
        <w:spacing w:line="240" w:lineRule="auto"/>
        <w:contextualSpacing/>
        <w:jc w:val="center"/>
        <w:rPr>
          <w:rFonts w:cstheme="minorHAnsi"/>
          <w:sz w:val="24"/>
          <w:szCs w:val="24"/>
        </w:rPr>
      </w:pPr>
    </w:p>
    <w:p w:rsidR="00E23B8F" w:rsidRPr="00E23B8F" w:rsidRDefault="00E23B8F" w:rsidP="00E23B8F">
      <w:pPr>
        <w:spacing w:after="0" w:line="240" w:lineRule="auto"/>
        <w:contextualSpacing/>
        <w:jc w:val="center"/>
        <w:rPr>
          <w:rFonts w:eastAsia="Times New Roman" w:cs="Arial"/>
          <w:sz w:val="24"/>
          <w:szCs w:val="24"/>
        </w:rPr>
      </w:pPr>
      <w:r w:rsidRPr="00E23B8F">
        <w:rPr>
          <w:rFonts w:eastAsia="Times New Roman" w:cs="Arial"/>
          <w:sz w:val="24"/>
          <w:szCs w:val="24"/>
        </w:rPr>
        <w:t>A Thesis</w:t>
      </w:r>
    </w:p>
    <w:p w:rsidR="00E23B8F" w:rsidRPr="00E23B8F" w:rsidRDefault="00E23B8F" w:rsidP="00E23B8F">
      <w:pPr>
        <w:spacing w:after="0" w:line="240" w:lineRule="auto"/>
        <w:contextualSpacing/>
        <w:jc w:val="center"/>
        <w:rPr>
          <w:rFonts w:eastAsia="Times New Roman" w:cs="Arial"/>
          <w:sz w:val="24"/>
          <w:szCs w:val="24"/>
        </w:rPr>
      </w:pPr>
      <w:r w:rsidRPr="00E23B8F">
        <w:rPr>
          <w:rFonts w:eastAsia="Times New Roman" w:cs="Arial"/>
          <w:sz w:val="24"/>
          <w:szCs w:val="24"/>
        </w:rPr>
        <w:t>Presented for the</w:t>
      </w:r>
    </w:p>
    <w:p w:rsidR="00E23B8F" w:rsidRPr="00E23B8F" w:rsidRDefault="00D029BE" w:rsidP="00E23B8F">
      <w:pPr>
        <w:spacing w:after="0" w:line="240" w:lineRule="auto"/>
        <w:contextualSpacing/>
        <w:jc w:val="center"/>
        <w:rPr>
          <w:rFonts w:eastAsia="Times New Roman" w:cs="Arial"/>
          <w:sz w:val="24"/>
          <w:szCs w:val="24"/>
        </w:rPr>
      </w:pPr>
      <w:r>
        <w:rPr>
          <w:rFonts w:eastAsia="Times New Roman" w:cs="Arial"/>
          <w:sz w:val="24"/>
          <w:szCs w:val="24"/>
        </w:rPr>
        <w:t>Master</w:t>
      </w:r>
      <w:r w:rsidR="00E23B8F" w:rsidRPr="00E23B8F">
        <w:rPr>
          <w:rFonts w:eastAsia="Times New Roman" w:cs="Arial"/>
          <w:sz w:val="24"/>
          <w:szCs w:val="24"/>
        </w:rPr>
        <w:t> of Music</w:t>
      </w:r>
    </w:p>
    <w:p w:rsidR="00E23B8F" w:rsidRPr="00E23B8F" w:rsidRDefault="00E23B8F" w:rsidP="00E23B8F">
      <w:pPr>
        <w:spacing w:after="0" w:line="240" w:lineRule="auto"/>
        <w:contextualSpacing/>
        <w:jc w:val="center"/>
        <w:rPr>
          <w:rFonts w:eastAsia="Times New Roman" w:cs="Arial"/>
          <w:sz w:val="24"/>
          <w:szCs w:val="24"/>
        </w:rPr>
      </w:pPr>
      <w:r w:rsidRPr="00E23B8F">
        <w:rPr>
          <w:rFonts w:eastAsia="Times New Roman" w:cs="Arial"/>
          <w:sz w:val="24"/>
          <w:szCs w:val="24"/>
        </w:rPr>
        <w:t>Degree</w:t>
      </w:r>
    </w:p>
    <w:p w:rsidR="00E23B8F" w:rsidRPr="00E23B8F" w:rsidRDefault="00E23B8F" w:rsidP="00E23B8F">
      <w:pPr>
        <w:spacing w:after="0" w:line="240" w:lineRule="auto"/>
        <w:contextualSpacing/>
        <w:jc w:val="center"/>
        <w:rPr>
          <w:rFonts w:eastAsia="Times New Roman" w:cs="Arial"/>
          <w:sz w:val="24"/>
          <w:szCs w:val="24"/>
        </w:rPr>
      </w:pPr>
      <w:r w:rsidRPr="00E23B8F">
        <w:rPr>
          <w:rFonts w:eastAsia="Times New Roman" w:cs="Arial"/>
          <w:sz w:val="24"/>
          <w:szCs w:val="24"/>
        </w:rPr>
        <w:t>The University of Tennessee, Knoxville</w:t>
      </w: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Pr="0012002A" w:rsidRDefault="00E23B8F" w:rsidP="00E23B8F">
      <w:pPr>
        <w:jc w:val="center"/>
        <w:rPr>
          <w:rFonts w:cstheme="minorHAnsi"/>
          <w:sz w:val="24"/>
          <w:szCs w:val="24"/>
        </w:rPr>
      </w:pPr>
      <w:r w:rsidRPr="0012002A">
        <w:rPr>
          <w:rFonts w:cstheme="minorHAnsi"/>
          <w:sz w:val="24"/>
          <w:szCs w:val="24"/>
        </w:rPr>
        <w:t>Kevin</w:t>
      </w:r>
      <w:r w:rsidR="00CB00CA">
        <w:rPr>
          <w:rFonts w:cstheme="minorHAnsi"/>
          <w:sz w:val="24"/>
          <w:szCs w:val="24"/>
        </w:rPr>
        <w:t xml:space="preserve"> Steven</w:t>
      </w:r>
      <w:r w:rsidRPr="0012002A">
        <w:rPr>
          <w:rFonts w:cstheme="minorHAnsi"/>
          <w:sz w:val="24"/>
          <w:szCs w:val="24"/>
        </w:rPr>
        <w:t xml:space="preserve"> O’Brien</w:t>
      </w:r>
    </w:p>
    <w:p w:rsidR="00E23B8F" w:rsidRDefault="00D029BE" w:rsidP="00CB00CA">
      <w:pPr>
        <w:jc w:val="center"/>
        <w:rPr>
          <w:rFonts w:cstheme="minorHAnsi"/>
          <w:sz w:val="24"/>
          <w:szCs w:val="24"/>
        </w:rPr>
      </w:pPr>
      <w:r>
        <w:rPr>
          <w:rFonts w:cstheme="minorHAnsi"/>
          <w:sz w:val="24"/>
          <w:szCs w:val="24"/>
        </w:rPr>
        <w:t>May</w:t>
      </w:r>
      <w:r w:rsidR="00E23B8F">
        <w:rPr>
          <w:rFonts w:cstheme="minorHAnsi"/>
          <w:sz w:val="24"/>
          <w:szCs w:val="24"/>
        </w:rPr>
        <w:t xml:space="preserve"> 2013</w:t>
      </w:r>
    </w:p>
    <w:p w:rsidR="00E23B8F" w:rsidRPr="008E60DA" w:rsidRDefault="00E23B8F" w:rsidP="00DB0515">
      <w:pPr>
        <w:pStyle w:val="Heading1"/>
        <w:numPr>
          <w:ilvl w:val="0"/>
          <w:numId w:val="0"/>
        </w:numPr>
        <w:jc w:val="center"/>
        <w:rPr>
          <w:rFonts w:asciiTheme="minorHAnsi" w:hAnsiTheme="minorHAnsi"/>
          <w:b w:val="0"/>
          <w:color w:val="auto"/>
          <w:sz w:val="24"/>
          <w:szCs w:val="24"/>
        </w:rPr>
      </w:pPr>
      <w:bookmarkStart w:id="0" w:name="_Toc354113006"/>
      <w:bookmarkStart w:id="1" w:name="_Toc356278686"/>
      <w:r w:rsidRPr="008E60DA">
        <w:rPr>
          <w:rFonts w:asciiTheme="minorHAnsi" w:hAnsiTheme="minorHAnsi"/>
          <w:b w:val="0"/>
          <w:color w:val="auto"/>
          <w:sz w:val="24"/>
          <w:szCs w:val="24"/>
        </w:rPr>
        <w:lastRenderedPageBreak/>
        <w:t>Acknowledgements</w:t>
      </w:r>
      <w:bookmarkEnd w:id="0"/>
      <w:bookmarkEnd w:id="1"/>
    </w:p>
    <w:p w:rsidR="00E23B8F" w:rsidRDefault="00E23B8F" w:rsidP="00E23B8F">
      <w:pPr>
        <w:jc w:val="center"/>
        <w:rPr>
          <w:rFonts w:cstheme="minorHAnsi"/>
          <w:sz w:val="24"/>
          <w:szCs w:val="24"/>
        </w:rPr>
      </w:pPr>
    </w:p>
    <w:p w:rsidR="002F7ED9" w:rsidRDefault="005B23D6" w:rsidP="005B23D6">
      <w:pPr>
        <w:spacing w:line="480" w:lineRule="auto"/>
        <w:rPr>
          <w:rFonts w:cstheme="minorHAnsi"/>
          <w:sz w:val="24"/>
          <w:szCs w:val="24"/>
        </w:rPr>
      </w:pPr>
      <w:r>
        <w:rPr>
          <w:rFonts w:cstheme="minorHAnsi"/>
          <w:sz w:val="24"/>
          <w:szCs w:val="24"/>
        </w:rPr>
        <w:tab/>
        <w:t xml:space="preserve">Nothing in life is ever truly accomplished alone, and I am grateful for everyone who has helped </w:t>
      </w:r>
      <w:r w:rsidR="00007733">
        <w:rPr>
          <w:rFonts w:cstheme="minorHAnsi"/>
          <w:sz w:val="24"/>
          <w:szCs w:val="24"/>
        </w:rPr>
        <w:t xml:space="preserve">me </w:t>
      </w:r>
      <w:r>
        <w:rPr>
          <w:rFonts w:cstheme="minorHAnsi"/>
          <w:sz w:val="24"/>
          <w:szCs w:val="24"/>
        </w:rPr>
        <w:t xml:space="preserve">reach this point in my academic pursuits. Special thanks are due to my major advisor on this project, Dr. Leslie C. Gay, Jr., whose immeasurable knowledge of the field of musicology proved an invaluable tool. </w:t>
      </w:r>
      <w:r w:rsidR="002F7ED9">
        <w:rPr>
          <w:rFonts w:cstheme="minorHAnsi"/>
          <w:sz w:val="24"/>
          <w:szCs w:val="24"/>
        </w:rPr>
        <w:t xml:space="preserve">I am indebted to Dr. Rachel Golden for all of her guidance, advice, and the tremendous amount of effort and passion she pours into the musicology program at the University of Tennessee. All of the scholars who I have had the privilege to study under have influenced me greatly, but I would especially like to highlight Dr. Jacqueline Avila, Dr. Allison Robbins, Dr. Ryan McCormack, Sean </w:t>
      </w:r>
      <w:proofErr w:type="spellStart"/>
      <w:r w:rsidR="002F7ED9">
        <w:rPr>
          <w:rFonts w:cstheme="minorHAnsi"/>
          <w:sz w:val="24"/>
          <w:szCs w:val="24"/>
        </w:rPr>
        <w:t>McCollough</w:t>
      </w:r>
      <w:proofErr w:type="spellEnd"/>
      <w:r w:rsidR="002F7ED9">
        <w:rPr>
          <w:rFonts w:cstheme="minorHAnsi"/>
          <w:sz w:val="24"/>
          <w:szCs w:val="24"/>
        </w:rPr>
        <w:t>, Dr. Jonathon Gibson, and Dr. Pedro Aponte.</w:t>
      </w:r>
    </w:p>
    <w:p w:rsidR="00E23B8F" w:rsidRDefault="002F7ED9" w:rsidP="005B23D6">
      <w:pPr>
        <w:spacing w:line="480" w:lineRule="auto"/>
        <w:rPr>
          <w:rFonts w:cstheme="minorHAnsi"/>
          <w:sz w:val="24"/>
          <w:szCs w:val="24"/>
        </w:rPr>
      </w:pPr>
      <w:r>
        <w:rPr>
          <w:rFonts w:cstheme="minorHAnsi"/>
          <w:sz w:val="24"/>
          <w:szCs w:val="24"/>
        </w:rPr>
        <w:tab/>
        <w:t xml:space="preserve">I am, of course, grateful </w:t>
      </w:r>
      <w:r w:rsidR="00DA16B0">
        <w:rPr>
          <w:rFonts w:cstheme="minorHAnsi"/>
          <w:sz w:val="24"/>
          <w:szCs w:val="24"/>
        </w:rPr>
        <w:t>for</w:t>
      </w:r>
      <w:r>
        <w:rPr>
          <w:rFonts w:cstheme="minorHAnsi"/>
          <w:sz w:val="24"/>
          <w:szCs w:val="24"/>
        </w:rPr>
        <w:t xml:space="preserve"> </w:t>
      </w:r>
      <w:r w:rsidR="00DA16B0">
        <w:rPr>
          <w:rFonts w:cstheme="minorHAnsi"/>
          <w:sz w:val="24"/>
          <w:szCs w:val="24"/>
        </w:rPr>
        <w:t xml:space="preserve">the love and support from </w:t>
      </w:r>
      <w:r>
        <w:rPr>
          <w:rFonts w:cstheme="minorHAnsi"/>
          <w:sz w:val="24"/>
          <w:szCs w:val="24"/>
        </w:rPr>
        <w:t>all of my friends and family through all of my endeavors.</w:t>
      </w:r>
      <w:r w:rsidR="00DA16B0">
        <w:rPr>
          <w:rFonts w:cstheme="minorHAnsi"/>
          <w:sz w:val="24"/>
          <w:szCs w:val="24"/>
        </w:rPr>
        <w:t xml:space="preserve"> My parents, Jim and Irene, gave me m</w:t>
      </w:r>
      <w:r w:rsidR="00AC6866">
        <w:rPr>
          <w:rFonts w:cstheme="minorHAnsi"/>
          <w:sz w:val="24"/>
          <w:szCs w:val="24"/>
        </w:rPr>
        <w:t>y</w:t>
      </w:r>
      <w:r w:rsidR="00DA16B0">
        <w:rPr>
          <w:rFonts w:cstheme="minorHAnsi"/>
          <w:sz w:val="24"/>
          <w:szCs w:val="24"/>
        </w:rPr>
        <w:t xml:space="preserve"> love of knowledge and sense of curiosity. None of my graduate pursuits would have been possible however, without the brothers of Kappa </w:t>
      </w:r>
      <w:proofErr w:type="spellStart"/>
      <w:r w:rsidR="00DA16B0">
        <w:rPr>
          <w:rFonts w:cstheme="minorHAnsi"/>
          <w:sz w:val="24"/>
          <w:szCs w:val="24"/>
        </w:rPr>
        <w:t>Kappa</w:t>
      </w:r>
      <w:proofErr w:type="spellEnd"/>
      <w:r w:rsidR="00DA16B0">
        <w:rPr>
          <w:rFonts w:cstheme="minorHAnsi"/>
          <w:sz w:val="24"/>
          <w:szCs w:val="24"/>
        </w:rPr>
        <w:t xml:space="preserve"> Psi and Phi Mu Alpha </w:t>
      </w:r>
      <w:proofErr w:type="spellStart"/>
      <w:r w:rsidR="00DA16B0">
        <w:rPr>
          <w:rFonts w:cstheme="minorHAnsi"/>
          <w:sz w:val="24"/>
          <w:szCs w:val="24"/>
        </w:rPr>
        <w:t>Sinfonia</w:t>
      </w:r>
      <w:proofErr w:type="spellEnd"/>
      <w:r w:rsidR="00DA16B0">
        <w:rPr>
          <w:rFonts w:cstheme="minorHAnsi"/>
          <w:sz w:val="24"/>
          <w:szCs w:val="24"/>
        </w:rPr>
        <w:t>, respectively, whose support and guiding ideals pushed to me strive to achieve greatness.</w:t>
      </w: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AC6866">
      <w:pPr>
        <w:rPr>
          <w:rFonts w:cstheme="minorHAnsi"/>
          <w:sz w:val="24"/>
          <w:szCs w:val="24"/>
        </w:rPr>
      </w:pPr>
    </w:p>
    <w:p w:rsidR="00565229" w:rsidRDefault="00565229" w:rsidP="00AC6866">
      <w:pPr>
        <w:rPr>
          <w:rFonts w:cstheme="minorHAnsi"/>
          <w:sz w:val="24"/>
          <w:szCs w:val="24"/>
        </w:rPr>
      </w:pPr>
    </w:p>
    <w:p w:rsidR="00E23B8F" w:rsidRPr="008E60DA" w:rsidRDefault="00E23B8F" w:rsidP="00DB0515">
      <w:pPr>
        <w:pStyle w:val="Heading1"/>
        <w:numPr>
          <w:ilvl w:val="0"/>
          <w:numId w:val="0"/>
        </w:numPr>
        <w:jc w:val="center"/>
        <w:rPr>
          <w:rFonts w:asciiTheme="minorHAnsi" w:hAnsiTheme="minorHAnsi"/>
          <w:b w:val="0"/>
          <w:color w:val="auto"/>
          <w:sz w:val="24"/>
          <w:szCs w:val="24"/>
        </w:rPr>
      </w:pPr>
      <w:bookmarkStart w:id="2" w:name="_Toc354113007"/>
      <w:bookmarkStart w:id="3" w:name="_Toc356278687"/>
      <w:r w:rsidRPr="008E60DA">
        <w:rPr>
          <w:rFonts w:asciiTheme="minorHAnsi" w:hAnsiTheme="minorHAnsi"/>
          <w:b w:val="0"/>
          <w:color w:val="auto"/>
          <w:sz w:val="24"/>
          <w:szCs w:val="24"/>
        </w:rPr>
        <w:lastRenderedPageBreak/>
        <w:t>Abstract</w:t>
      </w:r>
      <w:bookmarkEnd w:id="2"/>
      <w:bookmarkEnd w:id="3"/>
    </w:p>
    <w:p w:rsidR="00AC6866" w:rsidRPr="00D7260B" w:rsidRDefault="00AC6866" w:rsidP="00E23B8F">
      <w:pPr>
        <w:jc w:val="center"/>
        <w:rPr>
          <w:rFonts w:cstheme="minorHAnsi"/>
          <w:b/>
          <w:sz w:val="24"/>
          <w:szCs w:val="24"/>
        </w:rPr>
      </w:pPr>
    </w:p>
    <w:p w:rsidR="009000C2" w:rsidRPr="00A01455" w:rsidRDefault="009000C2" w:rsidP="00BB1114">
      <w:pPr>
        <w:spacing w:line="480" w:lineRule="auto"/>
        <w:ind w:firstLine="720"/>
        <w:contextualSpacing/>
        <w:rPr>
          <w:rFonts w:cstheme="minorHAnsi"/>
          <w:sz w:val="24"/>
          <w:szCs w:val="24"/>
        </w:rPr>
      </w:pPr>
      <w:r w:rsidRPr="00A01455">
        <w:rPr>
          <w:rFonts w:cstheme="minorHAnsi"/>
          <w:sz w:val="24"/>
          <w:szCs w:val="24"/>
        </w:rPr>
        <w:t>In th</w:t>
      </w:r>
      <w:r w:rsidR="00F3534B">
        <w:rPr>
          <w:rFonts w:cstheme="minorHAnsi"/>
          <w:sz w:val="24"/>
          <w:szCs w:val="24"/>
        </w:rPr>
        <w:t xml:space="preserve">e latter half of the nineteenth </w:t>
      </w:r>
      <w:r w:rsidRPr="00A01455">
        <w:rPr>
          <w:rFonts w:cstheme="minorHAnsi"/>
          <w:sz w:val="24"/>
          <w:szCs w:val="24"/>
        </w:rPr>
        <w:t xml:space="preserve">century, the American </w:t>
      </w:r>
      <w:r w:rsidR="00782073">
        <w:rPr>
          <w:rFonts w:cstheme="minorHAnsi"/>
          <w:sz w:val="24"/>
          <w:szCs w:val="24"/>
        </w:rPr>
        <w:t>song sheet</w:t>
      </w:r>
      <w:r w:rsidRPr="00A01455">
        <w:rPr>
          <w:rFonts w:cstheme="minorHAnsi"/>
          <w:sz w:val="24"/>
          <w:szCs w:val="24"/>
        </w:rPr>
        <w:t xml:space="preserve"> industry vastly increased in size. This mass mediated form reac</w:t>
      </w:r>
      <w:r w:rsidR="00AD42FC">
        <w:rPr>
          <w:rFonts w:cstheme="minorHAnsi"/>
          <w:sz w:val="24"/>
          <w:szCs w:val="24"/>
        </w:rPr>
        <w:t>hed a broad number of consumers,</w:t>
      </w:r>
      <w:r w:rsidRPr="00A01455">
        <w:rPr>
          <w:rFonts w:cstheme="minorHAnsi"/>
          <w:sz w:val="24"/>
          <w:szCs w:val="24"/>
        </w:rPr>
        <w:t xml:space="preserve"> who performed this m</w:t>
      </w:r>
      <w:r w:rsidR="00BB1114">
        <w:rPr>
          <w:rFonts w:cstheme="minorHAnsi"/>
          <w:sz w:val="24"/>
          <w:szCs w:val="24"/>
        </w:rPr>
        <w:t>usic in their homes, identified</w:t>
      </w:r>
      <w:r w:rsidRPr="00A01455">
        <w:rPr>
          <w:rFonts w:cstheme="minorHAnsi"/>
          <w:sz w:val="24"/>
          <w:szCs w:val="24"/>
        </w:rPr>
        <w:t xml:space="preserve"> with it</w:t>
      </w:r>
      <w:r w:rsidR="00BB1114">
        <w:rPr>
          <w:rFonts w:cstheme="minorHAnsi"/>
          <w:sz w:val="24"/>
          <w:szCs w:val="24"/>
        </w:rPr>
        <w:t>, and shaped</w:t>
      </w:r>
      <w:r w:rsidRPr="00A01455">
        <w:rPr>
          <w:rFonts w:cstheme="minorHAnsi"/>
          <w:sz w:val="24"/>
          <w:szCs w:val="24"/>
        </w:rPr>
        <w:t xml:space="preserve"> the</w:t>
      </w:r>
      <w:r w:rsidR="00BB1114">
        <w:rPr>
          <w:rFonts w:cstheme="minorHAnsi"/>
          <w:sz w:val="24"/>
          <w:szCs w:val="24"/>
        </w:rPr>
        <w:t xml:space="preserve"> new</w:t>
      </w:r>
      <w:r w:rsidRPr="00A01455">
        <w:rPr>
          <w:rFonts w:cstheme="minorHAnsi"/>
          <w:sz w:val="24"/>
          <w:szCs w:val="24"/>
        </w:rPr>
        <w:t xml:space="preserve"> discourse on their identity as they did so. Simultaneously, Americans were re-shaping their cultural conceptions of music, in a process Lawrence Levine chronicled as the emergence of “highbrow” and “lowbrow” distinctions. Performing music in the culturally </w:t>
      </w:r>
      <w:proofErr w:type="spellStart"/>
      <w:r w:rsidRPr="00A01455">
        <w:rPr>
          <w:rFonts w:cstheme="minorHAnsi"/>
          <w:sz w:val="24"/>
          <w:szCs w:val="24"/>
        </w:rPr>
        <w:t>sacralized</w:t>
      </w:r>
      <w:proofErr w:type="spellEnd"/>
      <w:r w:rsidRPr="00A01455">
        <w:rPr>
          <w:rFonts w:cstheme="minorHAnsi"/>
          <w:sz w:val="24"/>
          <w:szCs w:val="24"/>
        </w:rPr>
        <w:t xml:space="preserve"> space of the parlor was mea</w:t>
      </w:r>
      <w:r w:rsidR="00BB1114">
        <w:rPr>
          <w:rFonts w:cstheme="minorHAnsi"/>
          <w:sz w:val="24"/>
          <w:szCs w:val="24"/>
        </w:rPr>
        <w:t>nt to be an edifying experience</w:t>
      </w:r>
      <w:r w:rsidRPr="00A01455">
        <w:rPr>
          <w:rFonts w:cstheme="minorHAnsi"/>
          <w:sz w:val="24"/>
          <w:szCs w:val="24"/>
        </w:rPr>
        <w:t xml:space="preserve"> and a display of genteel, “highbrow” identities. Performing comic songs (comic character pieces, topical songs, and parody pieces), however, presented distinct, subversive, and disruptive voices in this crisis moment of American cultural discourse. In the segmented idealized realms of nineteenth-century music, the performance of comic songs in the American parlor provided a powerful means of embodying “lowbrow” identities, contributing to and challenging the e</w:t>
      </w:r>
      <w:r w:rsidR="00AD42FC">
        <w:rPr>
          <w:rFonts w:cstheme="minorHAnsi"/>
          <w:sz w:val="24"/>
          <w:szCs w:val="24"/>
        </w:rPr>
        <w:t>merging constructions of class.</w:t>
      </w:r>
    </w:p>
    <w:p w:rsidR="00E23B8F" w:rsidRPr="00565229" w:rsidRDefault="009000C2" w:rsidP="00565229">
      <w:pPr>
        <w:spacing w:line="480" w:lineRule="auto"/>
        <w:contextualSpacing/>
        <w:rPr>
          <w:rFonts w:cstheme="minorHAnsi"/>
          <w:sz w:val="24"/>
          <w:szCs w:val="24"/>
        </w:rPr>
      </w:pPr>
      <w:r w:rsidRPr="00A01455">
        <w:rPr>
          <w:rFonts w:cstheme="minorHAnsi"/>
          <w:sz w:val="24"/>
          <w:szCs w:val="24"/>
        </w:rPr>
        <w:tab/>
        <w:t xml:space="preserve">Working with Judith Butler’s notion of performativity, I examine how late nineteenth-century American song sheets served as the basis for the corporeal signification of identities. Using key examples from song sheets that specify </w:t>
      </w:r>
      <w:r w:rsidR="00AC6866">
        <w:rPr>
          <w:rFonts w:cstheme="minorHAnsi"/>
          <w:sz w:val="24"/>
          <w:szCs w:val="24"/>
        </w:rPr>
        <w:t>the use of pantomime, dance,</w:t>
      </w:r>
      <w:r w:rsidRPr="00A01455">
        <w:rPr>
          <w:rFonts w:cstheme="minorHAnsi"/>
          <w:sz w:val="24"/>
          <w:szCs w:val="24"/>
        </w:rPr>
        <w:t xml:space="preserve"> costuming,</w:t>
      </w:r>
      <w:r w:rsidR="00AC6866">
        <w:rPr>
          <w:rFonts w:cstheme="minorHAnsi"/>
          <w:sz w:val="24"/>
          <w:szCs w:val="24"/>
        </w:rPr>
        <w:t xml:space="preserve"> and vocal alterations,</w:t>
      </w:r>
      <w:r w:rsidRPr="00A01455">
        <w:rPr>
          <w:rFonts w:cstheme="minorHAnsi"/>
          <w:sz w:val="24"/>
          <w:szCs w:val="24"/>
        </w:rPr>
        <w:t xml:space="preserve"> I demonstrate how they engaged the body and created physical</w:t>
      </w:r>
      <w:r w:rsidR="00AC6866">
        <w:rPr>
          <w:rFonts w:cstheme="minorHAnsi"/>
          <w:sz w:val="24"/>
          <w:szCs w:val="24"/>
        </w:rPr>
        <w:t xml:space="preserve"> and verbal</w:t>
      </w:r>
      <w:r w:rsidRPr="00A01455">
        <w:rPr>
          <w:rFonts w:cstheme="minorHAnsi"/>
          <w:sz w:val="24"/>
          <w:szCs w:val="24"/>
        </w:rPr>
        <w:t xml:space="preserve"> </w:t>
      </w:r>
      <w:proofErr w:type="spellStart"/>
      <w:r w:rsidRPr="00A01455">
        <w:rPr>
          <w:rFonts w:cstheme="minorHAnsi"/>
          <w:sz w:val="24"/>
          <w:szCs w:val="24"/>
        </w:rPr>
        <w:t>performatives</w:t>
      </w:r>
      <w:proofErr w:type="spellEnd"/>
      <w:r w:rsidRPr="00A01455">
        <w:rPr>
          <w:rFonts w:cstheme="minorHAnsi"/>
          <w:sz w:val="24"/>
          <w:szCs w:val="24"/>
        </w:rPr>
        <w:t xml:space="preserve"> that embodied comic “lowbrow” identities. By showing how singers fully engaged their bodies and </w:t>
      </w:r>
      <w:r w:rsidR="00AC6866">
        <w:rPr>
          <w:rFonts w:cstheme="minorHAnsi"/>
          <w:sz w:val="24"/>
          <w:szCs w:val="24"/>
        </w:rPr>
        <w:t>altered themselves for performance</w:t>
      </w:r>
      <w:r w:rsidRPr="00A01455">
        <w:rPr>
          <w:rFonts w:cstheme="minorHAnsi"/>
          <w:sz w:val="24"/>
          <w:szCs w:val="24"/>
        </w:rPr>
        <w:t xml:space="preserve">, I argue that their mimetic embodiments of </w:t>
      </w:r>
      <w:proofErr w:type="gramStart"/>
      <w:r w:rsidRPr="00A01455">
        <w:rPr>
          <w:rFonts w:cstheme="minorHAnsi"/>
          <w:sz w:val="24"/>
          <w:szCs w:val="24"/>
        </w:rPr>
        <w:t>Others</w:t>
      </w:r>
      <w:proofErr w:type="gramEnd"/>
      <w:r w:rsidRPr="00A01455">
        <w:rPr>
          <w:rFonts w:cstheme="minorHAnsi"/>
          <w:sz w:val="24"/>
          <w:szCs w:val="24"/>
        </w:rPr>
        <w:t xml:space="preserve"> entered alternate identities </w:t>
      </w:r>
      <w:r w:rsidR="00D7260B">
        <w:rPr>
          <w:rFonts w:cstheme="minorHAnsi"/>
          <w:sz w:val="24"/>
          <w:szCs w:val="24"/>
        </w:rPr>
        <w:t>into constructions of their ow</w:t>
      </w:r>
      <w:r w:rsidR="00AC6866">
        <w:rPr>
          <w:rFonts w:cstheme="minorHAnsi"/>
          <w:sz w:val="24"/>
          <w:szCs w:val="24"/>
        </w:rPr>
        <w:t>n</w:t>
      </w:r>
      <w:r w:rsidR="00161254">
        <w:rPr>
          <w:rFonts w:cstheme="minorHAnsi"/>
          <w:sz w:val="24"/>
          <w:szCs w:val="24"/>
        </w:rPr>
        <w:t>.</w:t>
      </w:r>
    </w:p>
    <w:sdt>
      <w:sdtPr>
        <w:rPr>
          <w:rFonts w:asciiTheme="minorHAnsi" w:eastAsiaTheme="minorHAnsi" w:hAnsiTheme="minorHAnsi" w:cstheme="minorBidi"/>
          <w:b w:val="0"/>
          <w:bCs w:val="0"/>
          <w:color w:val="auto"/>
          <w:sz w:val="22"/>
          <w:szCs w:val="22"/>
        </w:rPr>
        <w:id w:val="189520475"/>
        <w:docPartObj>
          <w:docPartGallery w:val="Table of Contents"/>
          <w:docPartUnique/>
        </w:docPartObj>
      </w:sdtPr>
      <w:sdtContent>
        <w:p w:rsidR="007B5A16" w:rsidRPr="007B5A16" w:rsidRDefault="00565229" w:rsidP="007B5A16">
          <w:pPr>
            <w:pStyle w:val="TOCHeading"/>
            <w:numPr>
              <w:ilvl w:val="0"/>
              <w:numId w:val="0"/>
            </w:numPr>
            <w:jc w:val="center"/>
            <w:rPr>
              <w:rFonts w:asciiTheme="minorHAnsi" w:hAnsiTheme="minorHAnsi"/>
              <w:b w:val="0"/>
              <w:noProof/>
              <w:color w:val="auto"/>
              <w:sz w:val="24"/>
              <w:szCs w:val="24"/>
            </w:rPr>
          </w:pPr>
          <w:r w:rsidRPr="008E60DA">
            <w:rPr>
              <w:rFonts w:asciiTheme="minorHAnsi" w:hAnsiTheme="minorHAnsi"/>
              <w:b w:val="0"/>
              <w:color w:val="auto"/>
              <w:sz w:val="24"/>
              <w:szCs w:val="24"/>
            </w:rPr>
            <w:t>Table of Contents</w:t>
          </w:r>
          <w:r w:rsidR="00734461" w:rsidRPr="00734461">
            <w:fldChar w:fldCharType="begin"/>
          </w:r>
          <w:r>
            <w:instrText xml:space="preserve"> TOC \o "1-3" \h \z \u </w:instrText>
          </w:r>
          <w:r w:rsidR="00734461" w:rsidRPr="00734461">
            <w:fldChar w:fldCharType="separate"/>
          </w:r>
        </w:p>
        <w:p w:rsidR="007B5A16" w:rsidRDefault="007B5A16">
          <w:pPr>
            <w:pStyle w:val="TOC1"/>
            <w:tabs>
              <w:tab w:val="right" w:leader="dot" w:pos="9350"/>
            </w:tabs>
            <w:rPr>
              <w:rStyle w:val="Hyperlink"/>
              <w:noProof/>
            </w:rPr>
          </w:pPr>
        </w:p>
        <w:p w:rsidR="007B5A16" w:rsidRDefault="00734461">
          <w:pPr>
            <w:pStyle w:val="TOC1"/>
            <w:tabs>
              <w:tab w:val="right" w:leader="dot" w:pos="9350"/>
            </w:tabs>
            <w:rPr>
              <w:noProof/>
            </w:rPr>
          </w:pPr>
          <w:hyperlink w:anchor="_Toc356278689" w:history="1">
            <w:r w:rsidR="007B5A16" w:rsidRPr="00EE34FF">
              <w:rPr>
                <w:rStyle w:val="Hyperlink"/>
                <w:noProof/>
              </w:rPr>
              <w:t>Chapter 1 : The High, The Low, and The Comic</w:t>
            </w:r>
            <w:r w:rsidR="007B5A16">
              <w:rPr>
                <w:noProof/>
                <w:webHidden/>
              </w:rPr>
              <w:tab/>
            </w:r>
            <w:r>
              <w:rPr>
                <w:noProof/>
                <w:webHidden/>
              </w:rPr>
              <w:fldChar w:fldCharType="begin"/>
            </w:r>
            <w:r w:rsidR="007B5A16">
              <w:rPr>
                <w:noProof/>
                <w:webHidden/>
              </w:rPr>
              <w:instrText xml:space="preserve"> PAGEREF _Toc356278689 \h </w:instrText>
            </w:r>
            <w:r>
              <w:rPr>
                <w:noProof/>
                <w:webHidden/>
              </w:rPr>
            </w:r>
            <w:r>
              <w:rPr>
                <w:noProof/>
                <w:webHidden/>
              </w:rPr>
              <w:fldChar w:fldCharType="separate"/>
            </w:r>
            <w:r w:rsidR="00881782">
              <w:rPr>
                <w:noProof/>
                <w:webHidden/>
              </w:rPr>
              <w:t>1</w:t>
            </w:r>
            <w:r>
              <w:rPr>
                <w:noProof/>
                <w:webHidden/>
              </w:rPr>
              <w:fldChar w:fldCharType="end"/>
            </w:r>
          </w:hyperlink>
        </w:p>
        <w:p w:rsidR="007B5A16" w:rsidRDefault="00734461">
          <w:pPr>
            <w:pStyle w:val="TOC2"/>
            <w:tabs>
              <w:tab w:val="right" w:leader="dot" w:pos="9350"/>
            </w:tabs>
            <w:rPr>
              <w:noProof/>
            </w:rPr>
          </w:pPr>
          <w:hyperlink w:anchor="_Toc356278690" w:history="1">
            <w:r w:rsidR="007B5A16" w:rsidRPr="00EE34FF">
              <w:rPr>
                <w:rStyle w:val="Hyperlink"/>
                <w:noProof/>
              </w:rPr>
              <w:t>Introduction</w:t>
            </w:r>
            <w:r w:rsidR="007B5A16">
              <w:rPr>
                <w:noProof/>
                <w:webHidden/>
              </w:rPr>
              <w:tab/>
            </w:r>
            <w:r>
              <w:rPr>
                <w:noProof/>
                <w:webHidden/>
              </w:rPr>
              <w:fldChar w:fldCharType="begin"/>
            </w:r>
            <w:r w:rsidR="007B5A16">
              <w:rPr>
                <w:noProof/>
                <w:webHidden/>
              </w:rPr>
              <w:instrText xml:space="preserve"> PAGEREF _Toc356278690 \h </w:instrText>
            </w:r>
            <w:r>
              <w:rPr>
                <w:noProof/>
                <w:webHidden/>
              </w:rPr>
            </w:r>
            <w:r>
              <w:rPr>
                <w:noProof/>
                <w:webHidden/>
              </w:rPr>
              <w:fldChar w:fldCharType="separate"/>
            </w:r>
            <w:r w:rsidR="00881782">
              <w:rPr>
                <w:noProof/>
                <w:webHidden/>
              </w:rPr>
              <w:t>1</w:t>
            </w:r>
            <w:r>
              <w:rPr>
                <w:noProof/>
                <w:webHidden/>
              </w:rPr>
              <w:fldChar w:fldCharType="end"/>
            </w:r>
          </w:hyperlink>
        </w:p>
        <w:p w:rsidR="007B5A16" w:rsidRDefault="00734461">
          <w:pPr>
            <w:pStyle w:val="TOC2"/>
            <w:tabs>
              <w:tab w:val="right" w:leader="dot" w:pos="9350"/>
            </w:tabs>
            <w:rPr>
              <w:noProof/>
            </w:rPr>
          </w:pPr>
          <w:hyperlink w:anchor="_Toc356278691" w:history="1">
            <w:r w:rsidR="007B5A16" w:rsidRPr="00EE34FF">
              <w:rPr>
                <w:rStyle w:val="Hyperlink"/>
                <w:noProof/>
              </w:rPr>
              <w:t>Scop</w:t>
            </w:r>
            <w:r w:rsidR="007B5A16" w:rsidRPr="00EE34FF">
              <w:rPr>
                <w:rStyle w:val="Hyperlink"/>
                <w:noProof/>
              </w:rPr>
              <w:t>e</w:t>
            </w:r>
            <w:r w:rsidR="007B5A16" w:rsidRPr="00EE34FF">
              <w:rPr>
                <w:rStyle w:val="Hyperlink"/>
                <w:noProof/>
              </w:rPr>
              <w:t xml:space="preserve"> and Definitions</w:t>
            </w:r>
            <w:r w:rsidR="007B5A16">
              <w:rPr>
                <w:noProof/>
                <w:webHidden/>
              </w:rPr>
              <w:tab/>
            </w:r>
            <w:r>
              <w:rPr>
                <w:noProof/>
                <w:webHidden/>
              </w:rPr>
              <w:fldChar w:fldCharType="begin"/>
            </w:r>
            <w:r w:rsidR="007B5A16">
              <w:rPr>
                <w:noProof/>
                <w:webHidden/>
              </w:rPr>
              <w:instrText xml:space="preserve"> PAGEREF _Toc356278691 \h </w:instrText>
            </w:r>
            <w:r>
              <w:rPr>
                <w:noProof/>
                <w:webHidden/>
              </w:rPr>
            </w:r>
            <w:r>
              <w:rPr>
                <w:noProof/>
                <w:webHidden/>
              </w:rPr>
              <w:fldChar w:fldCharType="separate"/>
            </w:r>
            <w:r w:rsidR="00881782">
              <w:rPr>
                <w:noProof/>
                <w:webHidden/>
              </w:rPr>
              <w:t>5</w:t>
            </w:r>
            <w:r>
              <w:rPr>
                <w:noProof/>
                <w:webHidden/>
              </w:rPr>
              <w:fldChar w:fldCharType="end"/>
            </w:r>
          </w:hyperlink>
        </w:p>
        <w:p w:rsidR="007B5A16" w:rsidRDefault="00734461">
          <w:pPr>
            <w:pStyle w:val="TOC2"/>
            <w:tabs>
              <w:tab w:val="right" w:leader="dot" w:pos="9350"/>
            </w:tabs>
            <w:rPr>
              <w:noProof/>
            </w:rPr>
          </w:pPr>
          <w:hyperlink w:anchor="_Toc356278692" w:history="1">
            <w:r w:rsidR="007B5A16" w:rsidRPr="00EE34FF">
              <w:rPr>
                <w:rStyle w:val="Hyperlink"/>
                <w:noProof/>
              </w:rPr>
              <w:t>Methodology</w:t>
            </w:r>
            <w:r w:rsidR="007B5A16">
              <w:rPr>
                <w:noProof/>
                <w:webHidden/>
              </w:rPr>
              <w:tab/>
            </w:r>
            <w:r>
              <w:rPr>
                <w:noProof/>
                <w:webHidden/>
              </w:rPr>
              <w:fldChar w:fldCharType="begin"/>
            </w:r>
            <w:r w:rsidR="007B5A16">
              <w:rPr>
                <w:noProof/>
                <w:webHidden/>
              </w:rPr>
              <w:instrText xml:space="preserve"> PAGEREF _Toc356278692 \h </w:instrText>
            </w:r>
            <w:r>
              <w:rPr>
                <w:noProof/>
                <w:webHidden/>
              </w:rPr>
            </w:r>
            <w:r>
              <w:rPr>
                <w:noProof/>
                <w:webHidden/>
              </w:rPr>
              <w:fldChar w:fldCharType="separate"/>
            </w:r>
            <w:r w:rsidR="00881782">
              <w:rPr>
                <w:noProof/>
                <w:webHidden/>
              </w:rPr>
              <w:t>15</w:t>
            </w:r>
            <w:r>
              <w:rPr>
                <w:noProof/>
                <w:webHidden/>
              </w:rPr>
              <w:fldChar w:fldCharType="end"/>
            </w:r>
          </w:hyperlink>
        </w:p>
        <w:p w:rsidR="007B5A16" w:rsidRDefault="00734461">
          <w:pPr>
            <w:pStyle w:val="TOC2"/>
            <w:tabs>
              <w:tab w:val="right" w:leader="dot" w:pos="9350"/>
            </w:tabs>
            <w:rPr>
              <w:noProof/>
            </w:rPr>
          </w:pPr>
          <w:hyperlink w:anchor="_Toc356278693" w:history="1">
            <w:r w:rsidR="007B5A16" w:rsidRPr="00EE34FF">
              <w:rPr>
                <w:rStyle w:val="Hyperlink"/>
                <w:noProof/>
              </w:rPr>
              <w:t>Theoretical Frames</w:t>
            </w:r>
            <w:r w:rsidR="007B5A16">
              <w:rPr>
                <w:noProof/>
                <w:webHidden/>
              </w:rPr>
              <w:tab/>
            </w:r>
            <w:r>
              <w:rPr>
                <w:noProof/>
                <w:webHidden/>
              </w:rPr>
              <w:fldChar w:fldCharType="begin"/>
            </w:r>
            <w:r w:rsidR="007B5A16">
              <w:rPr>
                <w:noProof/>
                <w:webHidden/>
              </w:rPr>
              <w:instrText xml:space="preserve"> PAGEREF _Toc356278693 \h </w:instrText>
            </w:r>
            <w:r>
              <w:rPr>
                <w:noProof/>
                <w:webHidden/>
              </w:rPr>
            </w:r>
            <w:r>
              <w:rPr>
                <w:noProof/>
                <w:webHidden/>
              </w:rPr>
              <w:fldChar w:fldCharType="separate"/>
            </w:r>
            <w:r w:rsidR="00881782">
              <w:rPr>
                <w:noProof/>
                <w:webHidden/>
              </w:rPr>
              <w:t>16</w:t>
            </w:r>
            <w:r>
              <w:rPr>
                <w:noProof/>
                <w:webHidden/>
              </w:rPr>
              <w:fldChar w:fldCharType="end"/>
            </w:r>
          </w:hyperlink>
        </w:p>
        <w:p w:rsidR="007B5A16" w:rsidRDefault="00734461">
          <w:pPr>
            <w:pStyle w:val="TOC2"/>
            <w:tabs>
              <w:tab w:val="right" w:leader="dot" w:pos="9350"/>
            </w:tabs>
            <w:rPr>
              <w:noProof/>
            </w:rPr>
          </w:pPr>
          <w:hyperlink w:anchor="_Toc356278694" w:history="1">
            <w:r w:rsidR="007B5A16" w:rsidRPr="00EE34FF">
              <w:rPr>
                <w:rStyle w:val="Hyperlink"/>
                <w:noProof/>
              </w:rPr>
              <w:t>Historical Context</w:t>
            </w:r>
            <w:r w:rsidR="007B5A16">
              <w:rPr>
                <w:noProof/>
                <w:webHidden/>
              </w:rPr>
              <w:tab/>
            </w:r>
            <w:r>
              <w:rPr>
                <w:noProof/>
                <w:webHidden/>
              </w:rPr>
              <w:fldChar w:fldCharType="begin"/>
            </w:r>
            <w:r w:rsidR="007B5A16">
              <w:rPr>
                <w:noProof/>
                <w:webHidden/>
              </w:rPr>
              <w:instrText xml:space="preserve"> PAGEREF _Toc356278694 \h </w:instrText>
            </w:r>
            <w:r>
              <w:rPr>
                <w:noProof/>
                <w:webHidden/>
              </w:rPr>
            </w:r>
            <w:r>
              <w:rPr>
                <w:noProof/>
                <w:webHidden/>
              </w:rPr>
              <w:fldChar w:fldCharType="separate"/>
            </w:r>
            <w:r w:rsidR="00881782">
              <w:rPr>
                <w:noProof/>
                <w:webHidden/>
              </w:rPr>
              <w:t>22</w:t>
            </w:r>
            <w:r>
              <w:rPr>
                <w:noProof/>
                <w:webHidden/>
              </w:rPr>
              <w:fldChar w:fldCharType="end"/>
            </w:r>
          </w:hyperlink>
        </w:p>
        <w:p w:rsidR="007B5A16" w:rsidRDefault="00734461">
          <w:pPr>
            <w:pStyle w:val="TOC2"/>
            <w:tabs>
              <w:tab w:val="right" w:leader="dot" w:pos="9350"/>
            </w:tabs>
            <w:rPr>
              <w:noProof/>
            </w:rPr>
          </w:pPr>
          <w:hyperlink w:anchor="_Toc356278695" w:history="1">
            <w:r w:rsidR="007B5A16" w:rsidRPr="00EE34FF">
              <w:rPr>
                <w:rStyle w:val="Hyperlink"/>
                <w:noProof/>
              </w:rPr>
              <w:t>Literature Review</w:t>
            </w:r>
            <w:r w:rsidR="007B5A16">
              <w:rPr>
                <w:noProof/>
                <w:webHidden/>
              </w:rPr>
              <w:tab/>
            </w:r>
            <w:r>
              <w:rPr>
                <w:noProof/>
                <w:webHidden/>
              </w:rPr>
              <w:fldChar w:fldCharType="begin"/>
            </w:r>
            <w:r w:rsidR="007B5A16">
              <w:rPr>
                <w:noProof/>
                <w:webHidden/>
              </w:rPr>
              <w:instrText xml:space="preserve"> PAGEREF _Toc356278695 \h </w:instrText>
            </w:r>
            <w:r>
              <w:rPr>
                <w:noProof/>
                <w:webHidden/>
              </w:rPr>
            </w:r>
            <w:r>
              <w:rPr>
                <w:noProof/>
                <w:webHidden/>
              </w:rPr>
              <w:fldChar w:fldCharType="separate"/>
            </w:r>
            <w:r w:rsidR="00881782">
              <w:rPr>
                <w:noProof/>
                <w:webHidden/>
              </w:rPr>
              <w:t>27</w:t>
            </w:r>
            <w:r>
              <w:rPr>
                <w:noProof/>
                <w:webHidden/>
              </w:rPr>
              <w:fldChar w:fldCharType="end"/>
            </w:r>
          </w:hyperlink>
        </w:p>
        <w:p w:rsidR="007B5A16" w:rsidRDefault="00734461">
          <w:pPr>
            <w:pStyle w:val="TOC2"/>
            <w:tabs>
              <w:tab w:val="right" w:leader="dot" w:pos="9350"/>
            </w:tabs>
            <w:rPr>
              <w:noProof/>
            </w:rPr>
          </w:pPr>
          <w:hyperlink w:anchor="_Toc356278696" w:history="1">
            <w:r w:rsidR="007B5A16" w:rsidRPr="00EE34FF">
              <w:rPr>
                <w:rStyle w:val="Hyperlink"/>
                <w:noProof/>
              </w:rPr>
              <w:t>Conc</w:t>
            </w:r>
            <w:r w:rsidR="007B5A16" w:rsidRPr="00EE34FF">
              <w:rPr>
                <w:rStyle w:val="Hyperlink"/>
                <w:noProof/>
              </w:rPr>
              <w:t>l</w:t>
            </w:r>
            <w:r w:rsidR="007B5A16" w:rsidRPr="00EE34FF">
              <w:rPr>
                <w:rStyle w:val="Hyperlink"/>
                <w:noProof/>
              </w:rPr>
              <w:t>usion</w:t>
            </w:r>
            <w:r w:rsidR="007B5A16">
              <w:rPr>
                <w:noProof/>
                <w:webHidden/>
              </w:rPr>
              <w:tab/>
            </w:r>
            <w:r>
              <w:rPr>
                <w:noProof/>
                <w:webHidden/>
              </w:rPr>
              <w:fldChar w:fldCharType="begin"/>
            </w:r>
            <w:r w:rsidR="007B5A16">
              <w:rPr>
                <w:noProof/>
                <w:webHidden/>
              </w:rPr>
              <w:instrText xml:space="preserve"> PAGEREF _Toc356278696 \h </w:instrText>
            </w:r>
            <w:r>
              <w:rPr>
                <w:noProof/>
                <w:webHidden/>
              </w:rPr>
            </w:r>
            <w:r>
              <w:rPr>
                <w:noProof/>
                <w:webHidden/>
              </w:rPr>
              <w:fldChar w:fldCharType="separate"/>
            </w:r>
            <w:r w:rsidR="00881782">
              <w:rPr>
                <w:noProof/>
                <w:webHidden/>
              </w:rPr>
              <w:t>31</w:t>
            </w:r>
            <w:r>
              <w:rPr>
                <w:noProof/>
                <w:webHidden/>
              </w:rPr>
              <w:fldChar w:fldCharType="end"/>
            </w:r>
          </w:hyperlink>
        </w:p>
        <w:p w:rsidR="007B5A16" w:rsidRDefault="00734461">
          <w:pPr>
            <w:pStyle w:val="TOC1"/>
            <w:tabs>
              <w:tab w:val="right" w:leader="dot" w:pos="9350"/>
            </w:tabs>
            <w:rPr>
              <w:noProof/>
            </w:rPr>
          </w:pPr>
          <w:hyperlink w:anchor="_Toc356278697" w:history="1">
            <w:r w:rsidR="007B5A16" w:rsidRPr="00EE34FF">
              <w:rPr>
                <w:rStyle w:val="Hyperlink"/>
                <w:noProof/>
              </w:rPr>
              <w:t>Chapter 2 : Physical Performatives in Parlor Performance</w:t>
            </w:r>
            <w:r w:rsidR="007B5A16">
              <w:rPr>
                <w:noProof/>
                <w:webHidden/>
              </w:rPr>
              <w:tab/>
            </w:r>
            <w:r>
              <w:rPr>
                <w:noProof/>
                <w:webHidden/>
              </w:rPr>
              <w:fldChar w:fldCharType="begin"/>
            </w:r>
            <w:r w:rsidR="007B5A16">
              <w:rPr>
                <w:noProof/>
                <w:webHidden/>
              </w:rPr>
              <w:instrText xml:space="preserve"> PAGEREF _Toc356278697 \h </w:instrText>
            </w:r>
            <w:r>
              <w:rPr>
                <w:noProof/>
                <w:webHidden/>
              </w:rPr>
            </w:r>
            <w:r>
              <w:rPr>
                <w:noProof/>
                <w:webHidden/>
              </w:rPr>
              <w:fldChar w:fldCharType="separate"/>
            </w:r>
            <w:r w:rsidR="00881782">
              <w:rPr>
                <w:noProof/>
                <w:webHidden/>
              </w:rPr>
              <w:t>33</w:t>
            </w:r>
            <w:r>
              <w:rPr>
                <w:noProof/>
                <w:webHidden/>
              </w:rPr>
              <w:fldChar w:fldCharType="end"/>
            </w:r>
          </w:hyperlink>
        </w:p>
        <w:p w:rsidR="007B5A16" w:rsidRDefault="00734461">
          <w:pPr>
            <w:pStyle w:val="TOC1"/>
            <w:tabs>
              <w:tab w:val="right" w:leader="dot" w:pos="9350"/>
            </w:tabs>
            <w:rPr>
              <w:noProof/>
            </w:rPr>
          </w:pPr>
          <w:hyperlink w:anchor="_Toc356278698" w:history="1">
            <w:r w:rsidR="00881782">
              <w:rPr>
                <w:rStyle w:val="Hyperlink"/>
                <w:noProof/>
              </w:rPr>
              <w:t>Chapter 3 : The Comic Character</w:t>
            </w:r>
            <w:r w:rsidR="007B5A16" w:rsidRPr="00EE34FF">
              <w:rPr>
                <w:rStyle w:val="Hyperlink"/>
                <w:noProof/>
              </w:rPr>
              <w:t>: First-Person Perspectives and Vocal Inflection</w:t>
            </w:r>
            <w:r w:rsidR="007B5A16">
              <w:rPr>
                <w:noProof/>
                <w:webHidden/>
              </w:rPr>
              <w:tab/>
            </w:r>
            <w:r>
              <w:rPr>
                <w:noProof/>
                <w:webHidden/>
              </w:rPr>
              <w:fldChar w:fldCharType="begin"/>
            </w:r>
            <w:r w:rsidR="007B5A16">
              <w:rPr>
                <w:noProof/>
                <w:webHidden/>
              </w:rPr>
              <w:instrText xml:space="preserve"> PAGEREF _Toc356278698 \h </w:instrText>
            </w:r>
            <w:r>
              <w:rPr>
                <w:noProof/>
                <w:webHidden/>
              </w:rPr>
            </w:r>
            <w:r>
              <w:rPr>
                <w:noProof/>
                <w:webHidden/>
              </w:rPr>
              <w:fldChar w:fldCharType="separate"/>
            </w:r>
            <w:r w:rsidR="00881782">
              <w:rPr>
                <w:noProof/>
                <w:webHidden/>
              </w:rPr>
              <w:t>54</w:t>
            </w:r>
            <w:r>
              <w:rPr>
                <w:noProof/>
                <w:webHidden/>
              </w:rPr>
              <w:fldChar w:fldCharType="end"/>
            </w:r>
          </w:hyperlink>
        </w:p>
        <w:p w:rsidR="007B5A16" w:rsidRDefault="00734461">
          <w:pPr>
            <w:pStyle w:val="TOC1"/>
            <w:tabs>
              <w:tab w:val="right" w:leader="dot" w:pos="9350"/>
            </w:tabs>
            <w:rPr>
              <w:noProof/>
            </w:rPr>
          </w:pPr>
          <w:hyperlink w:anchor="_Toc356278699" w:history="1">
            <w:r w:rsidR="00881782">
              <w:rPr>
                <w:rStyle w:val="Hyperlink"/>
                <w:noProof/>
              </w:rPr>
              <w:t>Chapter 4 : Topical Songs</w:t>
            </w:r>
            <w:r w:rsidR="007B5A16" w:rsidRPr="00EE34FF">
              <w:rPr>
                <w:rStyle w:val="Hyperlink"/>
                <w:noProof/>
              </w:rPr>
              <w:t>: Addressing Reality and Critiquing Utopia</w:t>
            </w:r>
            <w:r w:rsidR="007B5A16">
              <w:rPr>
                <w:noProof/>
                <w:webHidden/>
              </w:rPr>
              <w:tab/>
            </w:r>
            <w:r>
              <w:rPr>
                <w:noProof/>
                <w:webHidden/>
              </w:rPr>
              <w:fldChar w:fldCharType="begin"/>
            </w:r>
            <w:r w:rsidR="007B5A16">
              <w:rPr>
                <w:noProof/>
                <w:webHidden/>
              </w:rPr>
              <w:instrText xml:space="preserve"> PAGEREF _Toc356278699 \h </w:instrText>
            </w:r>
            <w:r>
              <w:rPr>
                <w:noProof/>
                <w:webHidden/>
              </w:rPr>
            </w:r>
            <w:r>
              <w:rPr>
                <w:noProof/>
                <w:webHidden/>
              </w:rPr>
              <w:fldChar w:fldCharType="separate"/>
            </w:r>
            <w:r w:rsidR="00881782">
              <w:rPr>
                <w:noProof/>
                <w:webHidden/>
              </w:rPr>
              <w:t>80</w:t>
            </w:r>
            <w:r>
              <w:rPr>
                <w:noProof/>
                <w:webHidden/>
              </w:rPr>
              <w:fldChar w:fldCharType="end"/>
            </w:r>
          </w:hyperlink>
        </w:p>
        <w:p w:rsidR="007B5A16" w:rsidRDefault="00734461">
          <w:pPr>
            <w:pStyle w:val="TOC1"/>
            <w:tabs>
              <w:tab w:val="right" w:leader="dot" w:pos="9350"/>
            </w:tabs>
            <w:rPr>
              <w:noProof/>
            </w:rPr>
          </w:pPr>
          <w:hyperlink w:anchor="_Toc356278700" w:history="1">
            <w:r w:rsidR="007B5A16" w:rsidRPr="00EE34FF">
              <w:rPr>
                <w:rStyle w:val="Hyperlink"/>
                <w:noProof/>
              </w:rPr>
              <w:t>Chapter 5 : Conclusions, a.k.a. The Punch Line</w:t>
            </w:r>
            <w:r w:rsidR="007B5A16">
              <w:rPr>
                <w:noProof/>
                <w:webHidden/>
              </w:rPr>
              <w:tab/>
            </w:r>
            <w:r>
              <w:rPr>
                <w:noProof/>
                <w:webHidden/>
              </w:rPr>
              <w:fldChar w:fldCharType="begin"/>
            </w:r>
            <w:r w:rsidR="007B5A16">
              <w:rPr>
                <w:noProof/>
                <w:webHidden/>
              </w:rPr>
              <w:instrText xml:space="preserve"> PAGEREF _Toc356278700 \h </w:instrText>
            </w:r>
            <w:r>
              <w:rPr>
                <w:noProof/>
                <w:webHidden/>
              </w:rPr>
            </w:r>
            <w:r>
              <w:rPr>
                <w:noProof/>
                <w:webHidden/>
              </w:rPr>
              <w:fldChar w:fldCharType="separate"/>
            </w:r>
            <w:r w:rsidR="00881782">
              <w:rPr>
                <w:noProof/>
                <w:webHidden/>
              </w:rPr>
              <w:t>101</w:t>
            </w:r>
            <w:r>
              <w:rPr>
                <w:noProof/>
                <w:webHidden/>
              </w:rPr>
              <w:fldChar w:fldCharType="end"/>
            </w:r>
          </w:hyperlink>
        </w:p>
        <w:p w:rsidR="007B5A16" w:rsidRDefault="00734461">
          <w:pPr>
            <w:pStyle w:val="TOC1"/>
            <w:tabs>
              <w:tab w:val="right" w:leader="dot" w:pos="9350"/>
            </w:tabs>
            <w:rPr>
              <w:noProof/>
            </w:rPr>
          </w:pPr>
          <w:hyperlink w:anchor="_Toc356278701" w:history="1">
            <w:r w:rsidR="007B5A16" w:rsidRPr="00EE34FF">
              <w:rPr>
                <w:rStyle w:val="Hyperlink"/>
                <w:noProof/>
              </w:rPr>
              <w:t>Bibliography</w:t>
            </w:r>
            <w:r w:rsidR="007B5A16">
              <w:rPr>
                <w:noProof/>
                <w:webHidden/>
              </w:rPr>
              <w:tab/>
            </w:r>
            <w:r>
              <w:rPr>
                <w:noProof/>
                <w:webHidden/>
              </w:rPr>
              <w:fldChar w:fldCharType="begin"/>
            </w:r>
            <w:r w:rsidR="007B5A16">
              <w:rPr>
                <w:noProof/>
                <w:webHidden/>
              </w:rPr>
              <w:instrText xml:space="preserve"> PAGEREF _Toc356278701 \h </w:instrText>
            </w:r>
            <w:r>
              <w:rPr>
                <w:noProof/>
                <w:webHidden/>
              </w:rPr>
            </w:r>
            <w:r>
              <w:rPr>
                <w:noProof/>
                <w:webHidden/>
              </w:rPr>
              <w:fldChar w:fldCharType="separate"/>
            </w:r>
            <w:r w:rsidR="00881782">
              <w:rPr>
                <w:noProof/>
                <w:webHidden/>
              </w:rPr>
              <w:t>107</w:t>
            </w:r>
            <w:r>
              <w:rPr>
                <w:noProof/>
                <w:webHidden/>
              </w:rPr>
              <w:fldChar w:fldCharType="end"/>
            </w:r>
          </w:hyperlink>
        </w:p>
        <w:p w:rsidR="007B5A16" w:rsidRDefault="00734461">
          <w:pPr>
            <w:pStyle w:val="TOC1"/>
            <w:tabs>
              <w:tab w:val="right" w:leader="dot" w:pos="9350"/>
            </w:tabs>
            <w:rPr>
              <w:noProof/>
            </w:rPr>
          </w:pPr>
          <w:hyperlink w:anchor="_Toc356278702" w:history="1">
            <w:r w:rsidR="007B5A16" w:rsidRPr="00EE34FF">
              <w:rPr>
                <w:rStyle w:val="Hyperlink"/>
                <w:noProof/>
              </w:rPr>
              <w:t>Vita</w:t>
            </w:r>
            <w:r w:rsidR="007B5A16">
              <w:rPr>
                <w:noProof/>
                <w:webHidden/>
              </w:rPr>
              <w:tab/>
            </w:r>
            <w:r>
              <w:rPr>
                <w:noProof/>
                <w:webHidden/>
              </w:rPr>
              <w:fldChar w:fldCharType="begin"/>
            </w:r>
            <w:r w:rsidR="007B5A16">
              <w:rPr>
                <w:noProof/>
                <w:webHidden/>
              </w:rPr>
              <w:instrText xml:space="preserve"> PAGEREF _Toc356278702 \h </w:instrText>
            </w:r>
            <w:r>
              <w:rPr>
                <w:noProof/>
                <w:webHidden/>
              </w:rPr>
            </w:r>
            <w:r>
              <w:rPr>
                <w:noProof/>
                <w:webHidden/>
              </w:rPr>
              <w:fldChar w:fldCharType="separate"/>
            </w:r>
            <w:r w:rsidR="00881782">
              <w:rPr>
                <w:noProof/>
                <w:webHidden/>
              </w:rPr>
              <w:t>115</w:t>
            </w:r>
            <w:r>
              <w:rPr>
                <w:noProof/>
                <w:webHidden/>
              </w:rPr>
              <w:fldChar w:fldCharType="end"/>
            </w:r>
          </w:hyperlink>
        </w:p>
        <w:p w:rsidR="00565229" w:rsidRDefault="00734461">
          <w:r>
            <w:fldChar w:fldCharType="end"/>
          </w:r>
        </w:p>
      </w:sdtContent>
    </w:sdt>
    <w:p w:rsidR="007B3705" w:rsidRDefault="007B3705" w:rsidP="00E23B8F">
      <w:pPr>
        <w:jc w:val="center"/>
        <w:rPr>
          <w:rFonts w:cstheme="minorHAnsi"/>
          <w:sz w:val="24"/>
          <w:szCs w:val="24"/>
        </w:rPr>
      </w:pPr>
    </w:p>
    <w:p w:rsidR="007B3705" w:rsidRDefault="007B3705" w:rsidP="00E23B8F">
      <w:pPr>
        <w:jc w:val="center"/>
        <w:rPr>
          <w:rFonts w:cstheme="minorHAnsi"/>
          <w:sz w:val="24"/>
          <w:szCs w:val="24"/>
        </w:rPr>
      </w:pPr>
    </w:p>
    <w:p w:rsidR="007B3705" w:rsidRDefault="007B3705" w:rsidP="00E23B8F">
      <w:pPr>
        <w:jc w:val="center"/>
        <w:rPr>
          <w:rFonts w:cstheme="minorHAnsi"/>
          <w:sz w:val="24"/>
          <w:szCs w:val="24"/>
        </w:rPr>
      </w:pPr>
    </w:p>
    <w:p w:rsidR="007B3705" w:rsidRDefault="007B3705"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jc w:val="center"/>
        <w:rPr>
          <w:rFonts w:cstheme="minorHAnsi"/>
          <w:sz w:val="24"/>
          <w:szCs w:val="24"/>
        </w:rPr>
      </w:pPr>
    </w:p>
    <w:p w:rsidR="00E23B8F" w:rsidRDefault="00E23B8F" w:rsidP="00E23B8F">
      <w:pPr>
        <w:rPr>
          <w:rFonts w:cstheme="minorHAnsi"/>
          <w:sz w:val="24"/>
          <w:szCs w:val="24"/>
        </w:rPr>
      </w:pPr>
    </w:p>
    <w:p w:rsidR="00D7260B" w:rsidRDefault="00D7260B" w:rsidP="00E23B8F">
      <w:pPr>
        <w:rPr>
          <w:rFonts w:cstheme="minorHAnsi"/>
          <w:sz w:val="24"/>
          <w:szCs w:val="24"/>
        </w:rPr>
      </w:pPr>
    </w:p>
    <w:p w:rsidR="006B2830" w:rsidRPr="006B2830" w:rsidRDefault="006B2830" w:rsidP="006B2830"/>
    <w:p w:rsidR="007B5A16" w:rsidRDefault="007B5A16" w:rsidP="007B5A16">
      <w:pPr>
        <w:pStyle w:val="TableofFigures"/>
        <w:tabs>
          <w:tab w:val="right" w:leader="dot" w:pos="9350"/>
        </w:tabs>
        <w:jc w:val="center"/>
        <w:rPr>
          <w:rFonts w:cstheme="minorHAnsi"/>
          <w:sz w:val="24"/>
          <w:szCs w:val="24"/>
        </w:rPr>
      </w:pPr>
      <w:r>
        <w:rPr>
          <w:rFonts w:cstheme="minorHAnsi"/>
          <w:sz w:val="24"/>
          <w:szCs w:val="24"/>
        </w:rPr>
        <w:lastRenderedPageBreak/>
        <w:t>List of Figures</w:t>
      </w:r>
    </w:p>
    <w:p w:rsidR="007B5A16" w:rsidRPr="007B5A16" w:rsidRDefault="007B5A16" w:rsidP="007B5A16"/>
    <w:p w:rsidR="001075CB" w:rsidRDefault="001075CB">
      <w:pPr>
        <w:pStyle w:val="TableofFigures"/>
        <w:tabs>
          <w:tab w:val="right" w:leader="dot" w:pos="9350"/>
        </w:tabs>
        <w:rPr>
          <w:rFonts w:eastAsiaTheme="minorEastAsia"/>
          <w:noProof/>
        </w:rPr>
      </w:pPr>
      <w:r>
        <w:rPr>
          <w:rFonts w:cstheme="minorHAnsi"/>
        </w:rPr>
        <w:fldChar w:fldCharType="begin"/>
      </w:r>
      <w:r>
        <w:rPr>
          <w:rFonts w:cstheme="minorHAnsi"/>
        </w:rPr>
        <w:instrText xml:space="preserve"> TOC \h \z \c "Figure" </w:instrText>
      </w:r>
      <w:r>
        <w:rPr>
          <w:rFonts w:cstheme="minorHAnsi"/>
        </w:rPr>
        <w:fldChar w:fldCharType="separate"/>
      </w:r>
      <w:hyperlink w:anchor="_Toc356413235" w:history="1">
        <w:r w:rsidRPr="003C27B3">
          <w:rPr>
            <w:rStyle w:val="Hyperlink"/>
            <w:noProof/>
          </w:rPr>
          <w:t>Figure 1.1 “Pantomime of Old Folks at Home, or Swanee River”</w:t>
        </w:r>
        <w:r>
          <w:rPr>
            <w:noProof/>
            <w:webHidden/>
          </w:rPr>
          <w:tab/>
        </w:r>
        <w:r>
          <w:rPr>
            <w:noProof/>
            <w:webHidden/>
          </w:rPr>
          <w:fldChar w:fldCharType="begin"/>
        </w:r>
        <w:r>
          <w:rPr>
            <w:noProof/>
            <w:webHidden/>
          </w:rPr>
          <w:instrText xml:space="preserve"> PAGEREF _Toc356413235 \h </w:instrText>
        </w:r>
        <w:r>
          <w:rPr>
            <w:noProof/>
            <w:webHidden/>
          </w:rPr>
        </w:r>
        <w:r>
          <w:rPr>
            <w:noProof/>
            <w:webHidden/>
          </w:rPr>
          <w:fldChar w:fldCharType="separate"/>
        </w:r>
        <w:r>
          <w:rPr>
            <w:noProof/>
            <w:webHidden/>
          </w:rPr>
          <w:t>2</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36" w:history="1">
        <w:r w:rsidRPr="003C27B3">
          <w:rPr>
            <w:rStyle w:val="Hyperlink"/>
            <w:noProof/>
          </w:rPr>
          <w:t>Figure 2.1 Performance Directions in “The Owl, Parrot, Duck and Crow”</w:t>
        </w:r>
        <w:r>
          <w:rPr>
            <w:noProof/>
            <w:webHidden/>
          </w:rPr>
          <w:tab/>
        </w:r>
        <w:r>
          <w:rPr>
            <w:noProof/>
            <w:webHidden/>
          </w:rPr>
          <w:fldChar w:fldCharType="begin"/>
        </w:r>
        <w:r>
          <w:rPr>
            <w:noProof/>
            <w:webHidden/>
          </w:rPr>
          <w:instrText xml:space="preserve"> PAGEREF _Toc356413236 \h </w:instrText>
        </w:r>
        <w:r>
          <w:rPr>
            <w:noProof/>
            <w:webHidden/>
          </w:rPr>
        </w:r>
        <w:r>
          <w:rPr>
            <w:noProof/>
            <w:webHidden/>
          </w:rPr>
          <w:fldChar w:fldCharType="separate"/>
        </w:r>
        <w:r>
          <w:rPr>
            <w:noProof/>
            <w:webHidden/>
          </w:rPr>
          <w:t>45</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37" w:history="1">
        <w:r w:rsidRPr="003C27B3">
          <w:rPr>
            <w:rStyle w:val="Hyperlink"/>
            <w:noProof/>
          </w:rPr>
          <w:t>Figure 2.2 Mimed Bird Calls in “The Owl, Parrot, Duck and Crow”</w:t>
        </w:r>
        <w:r>
          <w:rPr>
            <w:noProof/>
            <w:webHidden/>
          </w:rPr>
          <w:tab/>
        </w:r>
        <w:r>
          <w:rPr>
            <w:noProof/>
            <w:webHidden/>
          </w:rPr>
          <w:fldChar w:fldCharType="begin"/>
        </w:r>
        <w:r>
          <w:rPr>
            <w:noProof/>
            <w:webHidden/>
          </w:rPr>
          <w:instrText xml:space="preserve"> PAGEREF _Toc356413237 \h </w:instrText>
        </w:r>
        <w:r>
          <w:rPr>
            <w:noProof/>
            <w:webHidden/>
          </w:rPr>
        </w:r>
        <w:r>
          <w:rPr>
            <w:noProof/>
            <w:webHidden/>
          </w:rPr>
          <w:fldChar w:fldCharType="separate"/>
        </w:r>
        <w:r>
          <w:rPr>
            <w:noProof/>
            <w:webHidden/>
          </w:rPr>
          <w:t>46</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38" w:history="1">
        <w:r w:rsidRPr="003C27B3">
          <w:rPr>
            <w:rStyle w:val="Hyperlink"/>
            <w:noProof/>
          </w:rPr>
          <w:t>Figure 2.3 Examples of Mimesis in “He’s the Picture of His Daddy in 1000 Different Ways!”</w:t>
        </w:r>
        <w:r>
          <w:rPr>
            <w:noProof/>
            <w:webHidden/>
          </w:rPr>
          <w:tab/>
        </w:r>
        <w:r>
          <w:rPr>
            <w:noProof/>
            <w:webHidden/>
          </w:rPr>
          <w:fldChar w:fldCharType="begin"/>
        </w:r>
        <w:r>
          <w:rPr>
            <w:noProof/>
            <w:webHidden/>
          </w:rPr>
          <w:instrText xml:space="preserve"> PAGEREF _Toc356413238 \h </w:instrText>
        </w:r>
        <w:r>
          <w:rPr>
            <w:noProof/>
            <w:webHidden/>
          </w:rPr>
        </w:r>
        <w:r>
          <w:rPr>
            <w:noProof/>
            <w:webHidden/>
          </w:rPr>
          <w:fldChar w:fldCharType="separate"/>
        </w:r>
        <w:r>
          <w:rPr>
            <w:noProof/>
            <w:webHidden/>
          </w:rPr>
          <w:t>48</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39" w:history="1">
        <w:r w:rsidRPr="003C27B3">
          <w:rPr>
            <w:rStyle w:val="Hyperlink"/>
            <w:noProof/>
          </w:rPr>
          <w:t>Figure 2.4 Syncopated Rhythms in “When Crazy Joe Did the Alligator Slide”</w:t>
        </w:r>
        <w:r>
          <w:rPr>
            <w:noProof/>
            <w:webHidden/>
          </w:rPr>
          <w:tab/>
        </w:r>
        <w:r>
          <w:rPr>
            <w:noProof/>
            <w:webHidden/>
          </w:rPr>
          <w:fldChar w:fldCharType="begin"/>
        </w:r>
        <w:r>
          <w:rPr>
            <w:noProof/>
            <w:webHidden/>
          </w:rPr>
          <w:instrText xml:space="preserve"> PAGEREF _Toc356413239 \h </w:instrText>
        </w:r>
        <w:r>
          <w:rPr>
            <w:noProof/>
            <w:webHidden/>
          </w:rPr>
        </w:r>
        <w:r>
          <w:rPr>
            <w:noProof/>
            <w:webHidden/>
          </w:rPr>
          <w:fldChar w:fldCharType="separate"/>
        </w:r>
        <w:r>
          <w:rPr>
            <w:noProof/>
            <w:webHidden/>
          </w:rPr>
          <w:t>51</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0" w:history="1">
        <w:r w:rsidRPr="003C27B3">
          <w:rPr>
            <w:rStyle w:val="Hyperlink"/>
            <w:noProof/>
          </w:rPr>
          <w:t>Figure 2.5 Syncopated Rhythms in the chorus of “When Crazy Joe Did the Alligator Slide”</w:t>
        </w:r>
        <w:r>
          <w:rPr>
            <w:noProof/>
            <w:webHidden/>
          </w:rPr>
          <w:tab/>
        </w:r>
        <w:r>
          <w:rPr>
            <w:noProof/>
            <w:webHidden/>
          </w:rPr>
          <w:fldChar w:fldCharType="begin"/>
        </w:r>
        <w:r>
          <w:rPr>
            <w:noProof/>
            <w:webHidden/>
          </w:rPr>
          <w:instrText xml:space="preserve"> PAGEREF _Toc356413240 \h </w:instrText>
        </w:r>
        <w:r>
          <w:rPr>
            <w:noProof/>
            <w:webHidden/>
          </w:rPr>
        </w:r>
        <w:r>
          <w:rPr>
            <w:noProof/>
            <w:webHidden/>
          </w:rPr>
          <w:fldChar w:fldCharType="separate"/>
        </w:r>
        <w:r>
          <w:rPr>
            <w:noProof/>
            <w:webHidden/>
          </w:rPr>
          <w:t>52</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1" w:history="1">
        <w:r w:rsidRPr="003C27B3">
          <w:rPr>
            <w:rStyle w:val="Hyperlink"/>
            <w:noProof/>
          </w:rPr>
          <w:t>Figure 3.1 Cover Sheet for “The Roomatiz”</w:t>
        </w:r>
        <w:r>
          <w:rPr>
            <w:noProof/>
            <w:webHidden/>
          </w:rPr>
          <w:tab/>
        </w:r>
        <w:r>
          <w:rPr>
            <w:noProof/>
            <w:webHidden/>
          </w:rPr>
          <w:fldChar w:fldCharType="begin"/>
        </w:r>
        <w:r>
          <w:rPr>
            <w:noProof/>
            <w:webHidden/>
          </w:rPr>
          <w:instrText xml:space="preserve"> PAGEREF _Toc356413241 \h </w:instrText>
        </w:r>
        <w:r>
          <w:rPr>
            <w:noProof/>
            <w:webHidden/>
          </w:rPr>
        </w:r>
        <w:r>
          <w:rPr>
            <w:noProof/>
            <w:webHidden/>
          </w:rPr>
          <w:fldChar w:fldCharType="separate"/>
        </w:r>
        <w:r>
          <w:rPr>
            <w:noProof/>
            <w:webHidden/>
          </w:rPr>
          <w:t>65</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2" w:history="1">
        <w:r w:rsidRPr="003C27B3">
          <w:rPr>
            <w:rStyle w:val="Hyperlink"/>
            <w:noProof/>
          </w:rPr>
          <w:t>Figure 3.2 The “Trembling” Vocal Line of “The Roomatiz”</w:t>
        </w:r>
        <w:r>
          <w:rPr>
            <w:noProof/>
            <w:webHidden/>
          </w:rPr>
          <w:tab/>
        </w:r>
        <w:r>
          <w:rPr>
            <w:noProof/>
            <w:webHidden/>
          </w:rPr>
          <w:fldChar w:fldCharType="begin"/>
        </w:r>
        <w:r>
          <w:rPr>
            <w:noProof/>
            <w:webHidden/>
          </w:rPr>
          <w:instrText xml:space="preserve"> PAGEREF _Toc356413242 \h </w:instrText>
        </w:r>
        <w:r>
          <w:rPr>
            <w:noProof/>
            <w:webHidden/>
          </w:rPr>
        </w:r>
        <w:r>
          <w:rPr>
            <w:noProof/>
            <w:webHidden/>
          </w:rPr>
          <w:fldChar w:fldCharType="separate"/>
        </w:r>
        <w:r>
          <w:rPr>
            <w:noProof/>
            <w:webHidden/>
          </w:rPr>
          <w:t>65</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3" w:history="1">
        <w:r w:rsidRPr="003C27B3">
          <w:rPr>
            <w:rStyle w:val="Hyperlink"/>
            <w:noProof/>
          </w:rPr>
          <w:t>Figure 3.3 The Lilting Irish Melody of “What’s the World to a Man When His Wife is a Widdy?”</w:t>
        </w:r>
        <w:r>
          <w:rPr>
            <w:noProof/>
            <w:webHidden/>
          </w:rPr>
          <w:tab/>
        </w:r>
        <w:r>
          <w:rPr>
            <w:noProof/>
            <w:webHidden/>
          </w:rPr>
          <w:fldChar w:fldCharType="begin"/>
        </w:r>
        <w:r>
          <w:rPr>
            <w:noProof/>
            <w:webHidden/>
          </w:rPr>
          <w:instrText xml:space="preserve"> PAGEREF _Toc356413243 \h </w:instrText>
        </w:r>
        <w:r>
          <w:rPr>
            <w:noProof/>
            <w:webHidden/>
          </w:rPr>
        </w:r>
        <w:r>
          <w:rPr>
            <w:noProof/>
            <w:webHidden/>
          </w:rPr>
          <w:fldChar w:fldCharType="separate"/>
        </w:r>
        <w:r>
          <w:rPr>
            <w:noProof/>
            <w:webHidden/>
          </w:rPr>
          <w:t>67</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4" w:history="1">
        <w:r w:rsidRPr="003C27B3">
          <w:rPr>
            <w:rStyle w:val="Hyperlink"/>
            <w:noProof/>
          </w:rPr>
          <w:t>Figure 3.4 “The Chinese Invasion”</w:t>
        </w:r>
        <w:r>
          <w:rPr>
            <w:noProof/>
            <w:webHidden/>
          </w:rPr>
          <w:tab/>
        </w:r>
        <w:r>
          <w:rPr>
            <w:noProof/>
            <w:webHidden/>
          </w:rPr>
          <w:fldChar w:fldCharType="begin"/>
        </w:r>
        <w:r>
          <w:rPr>
            <w:noProof/>
            <w:webHidden/>
          </w:rPr>
          <w:instrText xml:space="preserve"> PAGEREF _Toc356413244 \h </w:instrText>
        </w:r>
        <w:r>
          <w:rPr>
            <w:noProof/>
            <w:webHidden/>
          </w:rPr>
        </w:r>
        <w:r>
          <w:rPr>
            <w:noProof/>
            <w:webHidden/>
          </w:rPr>
          <w:fldChar w:fldCharType="separate"/>
        </w:r>
        <w:r>
          <w:rPr>
            <w:noProof/>
            <w:webHidden/>
          </w:rPr>
          <w:t>72</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5" w:history="1">
        <w:r w:rsidRPr="003C27B3">
          <w:rPr>
            <w:rStyle w:val="Hyperlink"/>
            <w:noProof/>
          </w:rPr>
          <w:t>Figure 3.5 Cover Sheet for “Tickle It!”</w:t>
        </w:r>
        <w:r>
          <w:rPr>
            <w:noProof/>
            <w:webHidden/>
          </w:rPr>
          <w:tab/>
        </w:r>
        <w:r>
          <w:rPr>
            <w:noProof/>
            <w:webHidden/>
          </w:rPr>
          <w:fldChar w:fldCharType="begin"/>
        </w:r>
        <w:r>
          <w:rPr>
            <w:noProof/>
            <w:webHidden/>
          </w:rPr>
          <w:instrText xml:space="preserve"> PAGEREF _Toc356413245 \h </w:instrText>
        </w:r>
        <w:r>
          <w:rPr>
            <w:noProof/>
            <w:webHidden/>
          </w:rPr>
        </w:r>
        <w:r>
          <w:rPr>
            <w:noProof/>
            <w:webHidden/>
          </w:rPr>
          <w:fldChar w:fldCharType="separate"/>
        </w:r>
        <w:r>
          <w:rPr>
            <w:noProof/>
            <w:webHidden/>
          </w:rPr>
          <w:t>77</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6" w:history="1">
        <w:r w:rsidRPr="003C27B3">
          <w:rPr>
            <w:rStyle w:val="Hyperlink"/>
            <w:noProof/>
          </w:rPr>
          <w:t>Figure 3.6 Syncopated Rhythms in “Tickle It!”</w:t>
        </w:r>
        <w:r>
          <w:rPr>
            <w:noProof/>
            <w:webHidden/>
          </w:rPr>
          <w:tab/>
        </w:r>
        <w:r>
          <w:rPr>
            <w:noProof/>
            <w:webHidden/>
          </w:rPr>
          <w:fldChar w:fldCharType="begin"/>
        </w:r>
        <w:r>
          <w:rPr>
            <w:noProof/>
            <w:webHidden/>
          </w:rPr>
          <w:instrText xml:space="preserve"> PAGEREF _Toc356413246 \h </w:instrText>
        </w:r>
        <w:r>
          <w:rPr>
            <w:noProof/>
            <w:webHidden/>
          </w:rPr>
        </w:r>
        <w:r>
          <w:rPr>
            <w:noProof/>
            <w:webHidden/>
          </w:rPr>
          <w:fldChar w:fldCharType="separate"/>
        </w:r>
        <w:r>
          <w:rPr>
            <w:noProof/>
            <w:webHidden/>
          </w:rPr>
          <w:t>78</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7" w:history="1">
        <w:r w:rsidRPr="003C27B3">
          <w:rPr>
            <w:rStyle w:val="Hyperlink"/>
            <w:noProof/>
          </w:rPr>
          <w:t>Figure 3.7 The Chorus of “Tickle It!”</w:t>
        </w:r>
        <w:r>
          <w:rPr>
            <w:noProof/>
            <w:webHidden/>
          </w:rPr>
          <w:tab/>
        </w:r>
        <w:r>
          <w:rPr>
            <w:noProof/>
            <w:webHidden/>
          </w:rPr>
          <w:fldChar w:fldCharType="begin"/>
        </w:r>
        <w:r>
          <w:rPr>
            <w:noProof/>
            <w:webHidden/>
          </w:rPr>
          <w:instrText xml:space="preserve"> PAGEREF _Toc356413247 \h </w:instrText>
        </w:r>
        <w:r>
          <w:rPr>
            <w:noProof/>
            <w:webHidden/>
          </w:rPr>
        </w:r>
        <w:r>
          <w:rPr>
            <w:noProof/>
            <w:webHidden/>
          </w:rPr>
          <w:fldChar w:fldCharType="separate"/>
        </w:r>
        <w:r>
          <w:rPr>
            <w:noProof/>
            <w:webHidden/>
          </w:rPr>
          <w:t>78</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8" w:history="1">
        <w:r w:rsidRPr="003C27B3">
          <w:rPr>
            <w:rStyle w:val="Hyperlink"/>
            <w:noProof/>
          </w:rPr>
          <w:t>Figure 4.1 “’Possum’ Dinner Tendered to President-Elect William Howard Taft by the Atlanta Chamber of Commerce, January 15, 1909”</w:t>
        </w:r>
        <w:r>
          <w:rPr>
            <w:noProof/>
            <w:webHidden/>
          </w:rPr>
          <w:tab/>
        </w:r>
        <w:r>
          <w:rPr>
            <w:noProof/>
            <w:webHidden/>
          </w:rPr>
          <w:fldChar w:fldCharType="begin"/>
        </w:r>
        <w:r>
          <w:rPr>
            <w:noProof/>
            <w:webHidden/>
          </w:rPr>
          <w:instrText xml:space="preserve"> PAGEREF _Toc356413248 \h </w:instrText>
        </w:r>
        <w:r>
          <w:rPr>
            <w:noProof/>
            <w:webHidden/>
          </w:rPr>
        </w:r>
        <w:r>
          <w:rPr>
            <w:noProof/>
            <w:webHidden/>
          </w:rPr>
          <w:fldChar w:fldCharType="separate"/>
        </w:r>
        <w:r>
          <w:rPr>
            <w:noProof/>
            <w:webHidden/>
          </w:rPr>
          <w:t>93</w:t>
        </w:r>
        <w:r>
          <w:rPr>
            <w:noProof/>
            <w:webHidden/>
          </w:rPr>
          <w:fldChar w:fldCharType="end"/>
        </w:r>
      </w:hyperlink>
    </w:p>
    <w:p w:rsidR="001075CB" w:rsidRDefault="001075CB">
      <w:pPr>
        <w:pStyle w:val="TableofFigures"/>
        <w:tabs>
          <w:tab w:val="right" w:leader="dot" w:pos="9350"/>
        </w:tabs>
        <w:rPr>
          <w:rFonts w:eastAsiaTheme="minorEastAsia"/>
          <w:noProof/>
        </w:rPr>
      </w:pPr>
      <w:hyperlink w:anchor="_Toc356413249" w:history="1">
        <w:r w:rsidRPr="003C27B3">
          <w:rPr>
            <w:rStyle w:val="Hyperlink"/>
            <w:noProof/>
          </w:rPr>
          <w:t>Figure 4.2 Photo from the cover of “Her Skirt Went A Little Bit Higher”</w:t>
        </w:r>
        <w:r>
          <w:rPr>
            <w:noProof/>
            <w:webHidden/>
          </w:rPr>
          <w:tab/>
        </w:r>
        <w:r>
          <w:rPr>
            <w:noProof/>
            <w:webHidden/>
          </w:rPr>
          <w:fldChar w:fldCharType="begin"/>
        </w:r>
        <w:r>
          <w:rPr>
            <w:noProof/>
            <w:webHidden/>
          </w:rPr>
          <w:instrText xml:space="preserve"> PAGEREF _Toc356413249 \h </w:instrText>
        </w:r>
        <w:r>
          <w:rPr>
            <w:noProof/>
            <w:webHidden/>
          </w:rPr>
        </w:r>
        <w:r>
          <w:rPr>
            <w:noProof/>
            <w:webHidden/>
          </w:rPr>
          <w:fldChar w:fldCharType="separate"/>
        </w:r>
        <w:r>
          <w:rPr>
            <w:noProof/>
            <w:webHidden/>
          </w:rPr>
          <w:t>97</w:t>
        </w:r>
        <w:r>
          <w:rPr>
            <w:noProof/>
            <w:webHidden/>
          </w:rPr>
          <w:fldChar w:fldCharType="end"/>
        </w:r>
      </w:hyperlink>
    </w:p>
    <w:p w:rsidR="00D029BE" w:rsidRDefault="001075CB" w:rsidP="00E23B8F">
      <w:pPr>
        <w:rPr>
          <w:rFonts w:cstheme="minorHAnsi"/>
          <w:sz w:val="24"/>
          <w:szCs w:val="24"/>
        </w:rPr>
      </w:pPr>
      <w:r>
        <w:rPr>
          <w:rFonts w:cstheme="minorHAnsi"/>
        </w:rPr>
        <w:fldChar w:fldCharType="end"/>
      </w:r>
    </w:p>
    <w:p w:rsidR="00D029BE" w:rsidRDefault="00D029BE" w:rsidP="00E23B8F">
      <w:pPr>
        <w:rPr>
          <w:rFonts w:cstheme="minorHAnsi"/>
          <w:sz w:val="24"/>
          <w:szCs w:val="24"/>
        </w:rPr>
      </w:pPr>
    </w:p>
    <w:p w:rsidR="00D029BE" w:rsidRDefault="00D029BE" w:rsidP="00E23B8F">
      <w:pPr>
        <w:rPr>
          <w:rFonts w:cstheme="minorHAnsi"/>
          <w:sz w:val="24"/>
          <w:szCs w:val="24"/>
        </w:rPr>
      </w:pPr>
    </w:p>
    <w:p w:rsidR="00D029BE" w:rsidRDefault="00D029BE" w:rsidP="00E23B8F">
      <w:pPr>
        <w:rPr>
          <w:rFonts w:cstheme="minorHAnsi"/>
          <w:sz w:val="24"/>
          <w:szCs w:val="24"/>
        </w:rPr>
      </w:pPr>
    </w:p>
    <w:p w:rsidR="00D029BE" w:rsidRDefault="00D029BE" w:rsidP="00E23B8F">
      <w:pPr>
        <w:rPr>
          <w:rFonts w:cstheme="minorHAnsi"/>
          <w:sz w:val="24"/>
          <w:szCs w:val="24"/>
        </w:rPr>
      </w:pPr>
    </w:p>
    <w:p w:rsidR="00D029BE" w:rsidRDefault="00D029BE" w:rsidP="00E23B8F">
      <w:pPr>
        <w:rPr>
          <w:rFonts w:cstheme="minorHAnsi"/>
          <w:sz w:val="24"/>
          <w:szCs w:val="24"/>
        </w:rPr>
      </w:pPr>
    </w:p>
    <w:p w:rsidR="00D029BE" w:rsidRDefault="00D029BE" w:rsidP="00E23B8F">
      <w:pPr>
        <w:rPr>
          <w:rFonts w:cstheme="minorHAnsi"/>
          <w:sz w:val="24"/>
          <w:szCs w:val="24"/>
        </w:rPr>
      </w:pPr>
    </w:p>
    <w:p w:rsidR="00D029BE" w:rsidRDefault="00D029BE" w:rsidP="00E23B8F">
      <w:pPr>
        <w:rPr>
          <w:rFonts w:cstheme="minorHAnsi"/>
          <w:sz w:val="24"/>
          <w:szCs w:val="24"/>
        </w:rPr>
      </w:pPr>
    </w:p>
    <w:p w:rsidR="00D029BE" w:rsidRDefault="00D029BE" w:rsidP="00E23B8F">
      <w:pPr>
        <w:rPr>
          <w:rFonts w:cstheme="minorHAnsi"/>
          <w:sz w:val="24"/>
          <w:szCs w:val="24"/>
        </w:rPr>
      </w:pPr>
    </w:p>
    <w:p w:rsidR="00007733" w:rsidRDefault="00007733" w:rsidP="00E23B8F">
      <w:pPr>
        <w:rPr>
          <w:rFonts w:cstheme="minorHAnsi"/>
          <w:sz w:val="24"/>
          <w:szCs w:val="24"/>
        </w:rPr>
        <w:sectPr w:rsidR="00007733" w:rsidSect="00007733">
          <w:headerReference w:type="default" r:id="rId7"/>
          <w:pgSz w:w="12240" w:h="15840"/>
          <w:pgMar w:top="1440" w:right="1440" w:bottom="1440" w:left="1440" w:header="720" w:footer="720" w:gutter="0"/>
          <w:pgNumType w:fmt="lowerRoman"/>
          <w:cols w:space="720"/>
          <w:titlePg/>
          <w:docGrid w:linePitch="360"/>
        </w:sectPr>
      </w:pPr>
    </w:p>
    <w:p w:rsidR="002F1D7D" w:rsidRPr="007B1C43" w:rsidRDefault="002566BD" w:rsidP="00DB0515">
      <w:pPr>
        <w:pStyle w:val="Heading1"/>
        <w:jc w:val="center"/>
        <w:rPr>
          <w:rFonts w:asciiTheme="minorHAnsi" w:hAnsiTheme="minorHAnsi"/>
          <w:color w:val="auto"/>
          <w:sz w:val="24"/>
          <w:szCs w:val="24"/>
        </w:rPr>
      </w:pPr>
      <w:bookmarkStart w:id="4" w:name="_Toc356278689"/>
      <w:r w:rsidRPr="007B1C43">
        <w:rPr>
          <w:rFonts w:asciiTheme="minorHAnsi" w:hAnsiTheme="minorHAnsi"/>
          <w:color w:val="auto"/>
          <w:sz w:val="24"/>
          <w:szCs w:val="24"/>
        </w:rPr>
        <w:lastRenderedPageBreak/>
        <w:t xml:space="preserve">: </w:t>
      </w:r>
      <w:r w:rsidR="003E6056" w:rsidRPr="007B1C43">
        <w:rPr>
          <w:rFonts w:asciiTheme="minorHAnsi" w:hAnsiTheme="minorHAnsi"/>
          <w:color w:val="auto"/>
          <w:sz w:val="24"/>
          <w:szCs w:val="24"/>
        </w:rPr>
        <w:t xml:space="preserve">The High, </w:t>
      </w:r>
      <w:proofErr w:type="gramStart"/>
      <w:r w:rsidR="003E6056" w:rsidRPr="007B1C43">
        <w:rPr>
          <w:rFonts w:asciiTheme="minorHAnsi" w:hAnsiTheme="minorHAnsi"/>
          <w:color w:val="auto"/>
          <w:sz w:val="24"/>
          <w:szCs w:val="24"/>
        </w:rPr>
        <w:t>The</w:t>
      </w:r>
      <w:proofErr w:type="gramEnd"/>
      <w:r w:rsidR="003E6056" w:rsidRPr="007B1C43">
        <w:rPr>
          <w:rFonts w:asciiTheme="minorHAnsi" w:hAnsiTheme="minorHAnsi"/>
          <w:color w:val="auto"/>
          <w:sz w:val="24"/>
          <w:szCs w:val="24"/>
        </w:rPr>
        <w:t xml:space="preserve"> Low, and The Comic</w:t>
      </w:r>
      <w:bookmarkEnd w:id="4"/>
    </w:p>
    <w:p w:rsidR="00007733" w:rsidRPr="00806E40" w:rsidRDefault="00007733" w:rsidP="00806E40"/>
    <w:p w:rsidR="002F1D7D" w:rsidRPr="007B1C43" w:rsidRDefault="00D029BE" w:rsidP="00CB6E74">
      <w:pPr>
        <w:pStyle w:val="Heading2"/>
        <w:jc w:val="center"/>
        <w:rPr>
          <w:rFonts w:asciiTheme="minorHAnsi" w:hAnsiTheme="minorHAnsi"/>
          <w:b w:val="0"/>
          <w:color w:val="auto"/>
          <w:sz w:val="24"/>
          <w:szCs w:val="24"/>
        </w:rPr>
      </w:pPr>
      <w:bookmarkStart w:id="5" w:name="_Toc356278690"/>
      <w:r w:rsidRPr="007B1C43">
        <w:rPr>
          <w:rFonts w:asciiTheme="minorHAnsi" w:hAnsiTheme="minorHAnsi"/>
          <w:b w:val="0"/>
          <w:color w:val="auto"/>
          <w:sz w:val="24"/>
          <w:szCs w:val="24"/>
        </w:rPr>
        <w:t>Introduction</w:t>
      </w:r>
      <w:bookmarkEnd w:id="5"/>
    </w:p>
    <w:p w:rsidR="00642536" w:rsidRPr="00642536" w:rsidRDefault="00642536" w:rsidP="00642536"/>
    <w:p w:rsidR="00D029BE" w:rsidRPr="000C0EBC" w:rsidRDefault="00D029BE" w:rsidP="00D029BE">
      <w:pPr>
        <w:spacing w:line="480" w:lineRule="auto"/>
        <w:contextualSpacing/>
        <w:jc w:val="both"/>
        <w:rPr>
          <w:rFonts w:cstheme="minorHAnsi"/>
          <w:sz w:val="24"/>
          <w:szCs w:val="24"/>
        </w:rPr>
      </w:pPr>
      <w:r w:rsidRPr="000C0EBC">
        <w:rPr>
          <w:rFonts w:cstheme="minorHAnsi"/>
          <w:sz w:val="24"/>
          <w:szCs w:val="24"/>
        </w:rPr>
        <w:tab/>
        <w:t>In 1900, almost fifty years after Stephen Foster penned “Old Folks at Home,” Edgar S. Werner &amp; Co. published a booklet illustrating the proper method of performing the piece. Accompanying each line of the song, photos of a young woman demonstrate recommended gestures. Dressed entirely in white, the young woman resembles a ballet dancer as she strikes poses reminiscent of the severe style of classical Greek statues. Next to each photograph, detailed descriptions prescribe exactly what to do with every body part. For example, while singing the titular line “And for de old folks at home,” the booklet instructs the performer to stand:</w:t>
      </w:r>
    </w:p>
    <w:p w:rsidR="00D029BE" w:rsidRDefault="00D029BE" w:rsidP="00D029BE">
      <w:pPr>
        <w:spacing w:line="240" w:lineRule="auto"/>
        <w:ind w:firstLine="720"/>
        <w:contextualSpacing/>
        <w:jc w:val="both"/>
        <w:rPr>
          <w:rFonts w:cstheme="minorHAnsi"/>
          <w:sz w:val="24"/>
          <w:szCs w:val="24"/>
        </w:rPr>
      </w:pPr>
      <w:proofErr w:type="gramStart"/>
      <w:r w:rsidRPr="000C0EBC">
        <w:rPr>
          <w:rFonts w:cstheme="minorHAnsi"/>
          <w:sz w:val="24"/>
          <w:szCs w:val="24"/>
        </w:rPr>
        <w:t>Left foot back, strong; right hand supine, oblique ascending; left hand on heart; head</w:t>
      </w:r>
      <w:r w:rsidRPr="000C0EBC">
        <w:rPr>
          <w:rFonts w:cstheme="minorHAnsi"/>
          <w:sz w:val="24"/>
          <w:szCs w:val="24"/>
        </w:rPr>
        <w:tab/>
        <w:t>right oblique, slightly drooping toward right shoulder; eyes looking in direction of right</w:t>
      </w:r>
      <w:r w:rsidRPr="000C0EBC">
        <w:rPr>
          <w:rFonts w:cstheme="minorHAnsi"/>
          <w:sz w:val="24"/>
          <w:szCs w:val="24"/>
        </w:rPr>
        <w:tab/>
        <w:t>hand.</w:t>
      </w:r>
      <w:proofErr w:type="gramEnd"/>
      <w:r w:rsidRPr="000C0EBC">
        <w:rPr>
          <w:rStyle w:val="FootnoteReference"/>
          <w:rFonts w:cstheme="minorHAnsi"/>
          <w:sz w:val="24"/>
          <w:szCs w:val="24"/>
        </w:rPr>
        <w:footnoteReference w:id="1"/>
      </w:r>
    </w:p>
    <w:p w:rsidR="00782073" w:rsidRPr="000C0EBC" w:rsidRDefault="00782073" w:rsidP="00D029BE">
      <w:pPr>
        <w:spacing w:line="240" w:lineRule="auto"/>
        <w:ind w:firstLine="720"/>
        <w:contextualSpacing/>
        <w:jc w:val="both"/>
        <w:rPr>
          <w:rFonts w:cstheme="minorHAnsi"/>
          <w:sz w:val="24"/>
          <w:szCs w:val="24"/>
        </w:rPr>
      </w:pPr>
    </w:p>
    <w:p w:rsidR="00D029BE" w:rsidRPr="000C0EBC" w:rsidRDefault="00D029BE" w:rsidP="00D029BE">
      <w:pPr>
        <w:spacing w:line="480" w:lineRule="auto"/>
        <w:contextualSpacing/>
        <w:jc w:val="both"/>
        <w:rPr>
          <w:rFonts w:cstheme="minorHAnsi"/>
          <w:sz w:val="24"/>
          <w:szCs w:val="24"/>
        </w:rPr>
      </w:pPr>
      <w:r w:rsidRPr="000C0EBC">
        <w:rPr>
          <w:rFonts w:cstheme="minorHAnsi"/>
          <w:sz w:val="24"/>
          <w:szCs w:val="24"/>
        </w:rPr>
        <w:t>Each pose and gesture was carefully crafted to match the content of each line and embody meaning. For Edgar S. Werner, the booklet’s publisher, gesture was a language.</w:t>
      </w:r>
    </w:p>
    <w:p w:rsidR="00F63C34" w:rsidRDefault="00D029BE" w:rsidP="00F63C34">
      <w:pPr>
        <w:spacing w:line="480" w:lineRule="auto"/>
        <w:ind w:firstLine="720"/>
        <w:contextualSpacing/>
        <w:jc w:val="both"/>
        <w:rPr>
          <w:rFonts w:cstheme="minorHAnsi"/>
          <w:sz w:val="24"/>
          <w:szCs w:val="24"/>
        </w:rPr>
      </w:pPr>
      <w:r w:rsidRPr="000C0EBC">
        <w:rPr>
          <w:rFonts w:cstheme="minorHAnsi"/>
          <w:sz w:val="24"/>
          <w:szCs w:val="24"/>
        </w:rPr>
        <w:t xml:space="preserve">A few years prior, in 1893, Werner had co-authored a book on the methods of famed French musician and elocutionist François </w:t>
      </w:r>
      <w:proofErr w:type="spellStart"/>
      <w:r w:rsidRPr="000C0EBC">
        <w:rPr>
          <w:rFonts w:cstheme="minorHAnsi"/>
          <w:sz w:val="24"/>
          <w:szCs w:val="24"/>
        </w:rPr>
        <w:t>Delsarte</w:t>
      </w:r>
      <w:proofErr w:type="spellEnd"/>
      <w:r w:rsidRPr="000C0EBC">
        <w:rPr>
          <w:rFonts w:cstheme="minorHAnsi"/>
          <w:sz w:val="24"/>
          <w:szCs w:val="24"/>
        </w:rPr>
        <w:t xml:space="preserve"> (1811-1871), who defined gesture not as accompaniment to speech, but its interpreter. </w:t>
      </w:r>
      <w:proofErr w:type="spellStart"/>
      <w:r w:rsidRPr="000C0EBC">
        <w:rPr>
          <w:rFonts w:cstheme="minorHAnsi"/>
          <w:sz w:val="24"/>
          <w:szCs w:val="24"/>
        </w:rPr>
        <w:t>Delsarte</w:t>
      </w:r>
      <w:proofErr w:type="spellEnd"/>
      <w:r w:rsidRPr="000C0EBC">
        <w:rPr>
          <w:rFonts w:cstheme="minorHAnsi"/>
          <w:sz w:val="24"/>
          <w:szCs w:val="24"/>
        </w:rPr>
        <w:t xml:space="preserve"> believed that gesture was “the bond of union between inflection and thought,”</w:t>
      </w:r>
      <w:r w:rsidRPr="000C0EBC">
        <w:rPr>
          <w:rStyle w:val="FootnoteReference"/>
          <w:rFonts w:cstheme="minorHAnsi"/>
          <w:sz w:val="24"/>
          <w:szCs w:val="24"/>
        </w:rPr>
        <w:footnoteReference w:id="2"/>
      </w:r>
      <w:r w:rsidRPr="000C0EBC">
        <w:rPr>
          <w:rFonts w:cstheme="minorHAnsi"/>
          <w:sz w:val="24"/>
          <w:szCs w:val="24"/>
        </w:rPr>
        <w:t xml:space="preserve"> and “the direct language of the heart.”</w:t>
      </w:r>
      <w:r w:rsidRPr="000C0EBC">
        <w:rPr>
          <w:rStyle w:val="FootnoteReference"/>
          <w:rFonts w:cstheme="minorHAnsi"/>
          <w:sz w:val="24"/>
          <w:szCs w:val="24"/>
        </w:rPr>
        <w:footnoteReference w:id="3"/>
      </w:r>
      <w:r w:rsidRPr="000C0EBC">
        <w:rPr>
          <w:rFonts w:cstheme="minorHAnsi"/>
          <w:sz w:val="24"/>
          <w:szCs w:val="24"/>
        </w:rPr>
        <w:t xml:space="preserve"> Bodily actions carry as much performative weight as speech. Thus, as the young woman in Werner’s booklet </w:t>
      </w:r>
      <w:r w:rsidRPr="000C0EBC">
        <w:rPr>
          <w:rFonts w:cstheme="minorHAnsi"/>
          <w:sz w:val="24"/>
          <w:szCs w:val="24"/>
        </w:rPr>
        <w:lastRenderedPageBreak/>
        <w:t xml:space="preserve">sings “When will I hear de banjo </w:t>
      </w:r>
      <w:proofErr w:type="spellStart"/>
      <w:r w:rsidRPr="000C0EBC">
        <w:rPr>
          <w:rFonts w:cstheme="minorHAnsi"/>
          <w:sz w:val="24"/>
          <w:szCs w:val="24"/>
        </w:rPr>
        <w:t>tumming</w:t>
      </w:r>
      <w:proofErr w:type="spellEnd"/>
      <w:r w:rsidRPr="000C0EBC">
        <w:rPr>
          <w:rFonts w:cstheme="minorHAnsi"/>
          <w:sz w:val="24"/>
          <w:szCs w:val="24"/>
        </w:rPr>
        <w:t>/ Down in my good old home?”</w:t>
      </w:r>
      <w:r w:rsidR="001212F2">
        <w:rPr>
          <w:rFonts w:cstheme="minorHAnsi"/>
          <w:sz w:val="24"/>
          <w:szCs w:val="24"/>
        </w:rPr>
        <w:t xml:space="preserve"> (see F</w:t>
      </w:r>
      <w:r w:rsidR="00782073">
        <w:rPr>
          <w:rFonts w:cstheme="minorHAnsi"/>
          <w:sz w:val="24"/>
          <w:szCs w:val="24"/>
        </w:rPr>
        <w:t>igure 1</w:t>
      </w:r>
      <w:r w:rsidR="002566BD">
        <w:rPr>
          <w:rFonts w:cstheme="minorHAnsi"/>
          <w:sz w:val="24"/>
          <w:szCs w:val="24"/>
        </w:rPr>
        <w:t>.1</w:t>
      </w:r>
      <w:r w:rsidR="00782073">
        <w:rPr>
          <w:rFonts w:cstheme="minorHAnsi"/>
          <w:sz w:val="24"/>
          <w:szCs w:val="24"/>
        </w:rPr>
        <w:t>)</w:t>
      </w:r>
      <w:r w:rsidRPr="000C0EBC">
        <w:rPr>
          <w:rFonts w:cstheme="minorHAnsi"/>
          <w:sz w:val="24"/>
          <w:szCs w:val="24"/>
        </w:rPr>
        <w:t xml:space="preserve"> and holds her “hands in the position for playing the banjo,”</w:t>
      </w:r>
      <w:r w:rsidRPr="000C0EBC">
        <w:rPr>
          <w:rStyle w:val="FootnoteReference"/>
          <w:rFonts w:cstheme="minorHAnsi"/>
          <w:sz w:val="24"/>
          <w:szCs w:val="24"/>
        </w:rPr>
        <w:footnoteReference w:id="4"/>
      </w:r>
      <w:r w:rsidRPr="000C0EBC">
        <w:rPr>
          <w:rFonts w:cstheme="minorHAnsi"/>
          <w:sz w:val="24"/>
          <w:szCs w:val="24"/>
        </w:rPr>
        <w:t xml:space="preserve"> she not only enacts the literal lyrical content through mimetic action, she embodies the desire for the sensory experience of hearing the banjo by having her “head dropped toward [the imaginary] banjo,”</w:t>
      </w:r>
      <w:r w:rsidRPr="000C0EBC">
        <w:rPr>
          <w:rStyle w:val="FootnoteReference"/>
          <w:rFonts w:cstheme="minorHAnsi"/>
          <w:sz w:val="24"/>
          <w:szCs w:val="24"/>
        </w:rPr>
        <w:footnoteReference w:id="5"/>
      </w:r>
      <w:r w:rsidRPr="000C0EBC">
        <w:rPr>
          <w:rFonts w:cstheme="minorHAnsi"/>
          <w:sz w:val="24"/>
          <w:szCs w:val="24"/>
        </w:rPr>
        <w:t xml:space="preserve"> and she constructs a place for her imagined “good old home” by “looking toward right front.”</w:t>
      </w:r>
      <w:r w:rsidRPr="000C0EBC">
        <w:rPr>
          <w:rStyle w:val="FootnoteReference"/>
          <w:rFonts w:cstheme="minorHAnsi"/>
          <w:sz w:val="24"/>
          <w:szCs w:val="24"/>
        </w:rPr>
        <w:footnoteReference w:id="6"/>
      </w:r>
    </w:p>
    <w:p w:rsidR="00D029BE" w:rsidRDefault="00D029BE" w:rsidP="002566BD">
      <w:pPr>
        <w:spacing w:line="240" w:lineRule="auto"/>
        <w:rPr>
          <w:rFonts w:cstheme="minorHAnsi"/>
          <w:sz w:val="24"/>
          <w:szCs w:val="24"/>
        </w:rPr>
      </w:pPr>
    </w:p>
    <w:p w:rsidR="002566BD" w:rsidRDefault="002566BD" w:rsidP="002566BD">
      <w:pPr>
        <w:spacing w:line="240" w:lineRule="auto"/>
        <w:rPr>
          <w:rFonts w:cstheme="minorHAnsi"/>
          <w:sz w:val="24"/>
          <w:szCs w:val="24"/>
        </w:rPr>
      </w:pPr>
    </w:p>
    <w:p w:rsidR="002566BD" w:rsidRDefault="002566BD" w:rsidP="002566BD">
      <w:pPr>
        <w:keepNext/>
        <w:spacing w:line="240" w:lineRule="auto"/>
        <w:jc w:val="center"/>
      </w:pPr>
      <w:r w:rsidRPr="002566BD">
        <w:rPr>
          <w:rFonts w:cstheme="minorHAnsi"/>
          <w:noProof/>
          <w:sz w:val="24"/>
          <w:szCs w:val="24"/>
        </w:rPr>
        <w:drawing>
          <wp:inline distT="0" distB="0" distL="0" distR="0">
            <wp:extent cx="3667125" cy="3362325"/>
            <wp:effectExtent l="19050" t="0" r="9525" b="0"/>
            <wp:docPr id="20"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cstate="print"/>
                    <a:srcRect/>
                    <a:stretch>
                      <a:fillRect/>
                    </a:stretch>
                  </pic:blipFill>
                  <pic:spPr bwMode="auto">
                    <a:xfrm>
                      <a:off x="0" y="0"/>
                      <a:ext cx="3667125" cy="3362325"/>
                    </a:xfrm>
                    <a:prstGeom prst="rect">
                      <a:avLst/>
                    </a:prstGeom>
                    <a:noFill/>
                    <a:ln w="9525">
                      <a:noFill/>
                      <a:miter lim="800000"/>
                      <a:headEnd/>
                      <a:tailEnd/>
                    </a:ln>
                  </pic:spPr>
                </pic:pic>
              </a:graphicData>
            </a:graphic>
          </wp:inline>
        </w:drawing>
      </w:r>
    </w:p>
    <w:p w:rsidR="002566BD" w:rsidRPr="002566BD" w:rsidRDefault="002566BD" w:rsidP="002566BD">
      <w:pPr>
        <w:pStyle w:val="Caption"/>
        <w:jc w:val="center"/>
        <w:rPr>
          <w:rFonts w:cstheme="minorHAnsi"/>
          <w:b w:val="0"/>
          <w:color w:val="auto"/>
          <w:sz w:val="24"/>
          <w:szCs w:val="24"/>
        </w:rPr>
      </w:pPr>
      <w:bookmarkStart w:id="6" w:name="_Toc356413235"/>
      <w:proofErr w:type="gramStart"/>
      <w:r w:rsidRPr="002566BD">
        <w:rPr>
          <w:b w:val="0"/>
          <w:color w:val="auto"/>
          <w:sz w:val="24"/>
          <w:szCs w:val="24"/>
        </w:rPr>
        <w:t xml:space="preserve">Figure </w:t>
      </w:r>
      <w:r w:rsidR="00734461" w:rsidRPr="002566BD">
        <w:rPr>
          <w:b w:val="0"/>
          <w:color w:val="auto"/>
          <w:sz w:val="24"/>
          <w:szCs w:val="24"/>
        </w:rPr>
        <w:fldChar w:fldCharType="begin"/>
      </w:r>
      <w:r w:rsidRPr="002566BD">
        <w:rPr>
          <w:b w:val="0"/>
          <w:color w:val="auto"/>
          <w:sz w:val="24"/>
          <w:szCs w:val="24"/>
        </w:rPr>
        <w:instrText xml:space="preserve"> STYLEREF 1 \s </w:instrText>
      </w:r>
      <w:r w:rsidR="00734461" w:rsidRPr="002566BD">
        <w:rPr>
          <w:b w:val="0"/>
          <w:color w:val="auto"/>
          <w:sz w:val="24"/>
          <w:szCs w:val="24"/>
        </w:rPr>
        <w:fldChar w:fldCharType="separate"/>
      </w:r>
      <w:r w:rsidRPr="002566BD">
        <w:rPr>
          <w:b w:val="0"/>
          <w:noProof/>
          <w:color w:val="auto"/>
          <w:sz w:val="24"/>
          <w:szCs w:val="24"/>
        </w:rPr>
        <w:t>1</w:t>
      </w:r>
      <w:r w:rsidR="00734461" w:rsidRPr="002566BD">
        <w:rPr>
          <w:b w:val="0"/>
          <w:color w:val="auto"/>
          <w:sz w:val="24"/>
          <w:szCs w:val="24"/>
        </w:rPr>
        <w:fldChar w:fldCharType="end"/>
      </w:r>
      <w:r w:rsidRPr="002566BD">
        <w:rPr>
          <w:b w:val="0"/>
          <w:color w:val="auto"/>
          <w:sz w:val="24"/>
          <w:szCs w:val="24"/>
        </w:rPr>
        <w:t>.</w:t>
      </w:r>
      <w:proofErr w:type="gramEnd"/>
      <w:r w:rsidR="00734461" w:rsidRPr="002566BD">
        <w:rPr>
          <w:b w:val="0"/>
          <w:color w:val="auto"/>
          <w:sz w:val="24"/>
          <w:szCs w:val="24"/>
        </w:rPr>
        <w:fldChar w:fldCharType="begin"/>
      </w:r>
      <w:r w:rsidRPr="002566BD">
        <w:rPr>
          <w:b w:val="0"/>
          <w:color w:val="auto"/>
          <w:sz w:val="24"/>
          <w:szCs w:val="24"/>
        </w:rPr>
        <w:instrText xml:space="preserve"> SEQ Figure \* ARABIC \s 1 </w:instrText>
      </w:r>
      <w:r w:rsidR="00734461" w:rsidRPr="002566BD">
        <w:rPr>
          <w:b w:val="0"/>
          <w:color w:val="auto"/>
          <w:sz w:val="24"/>
          <w:szCs w:val="24"/>
        </w:rPr>
        <w:fldChar w:fldCharType="separate"/>
      </w:r>
      <w:r w:rsidRPr="002566BD">
        <w:rPr>
          <w:b w:val="0"/>
          <w:noProof/>
          <w:color w:val="auto"/>
          <w:sz w:val="24"/>
          <w:szCs w:val="24"/>
        </w:rPr>
        <w:t>1</w:t>
      </w:r>
      <w:r w:rsidR="00734461" w:rsidRPr="002566BD">
        <w:rPr>
          <w:b w:val="0"/>
          <w:color w:val="auto"/>
          <w:sz w:val="24"/>
          <w:szCs w:val="24"/>
        </w:rPr>
        <w:fldChar w:fldCharType="end"/>
      </w:r>
      <w:r w:rsidRPr="002566BD">
        <w:rPr>
          <w:b w:val="0"/>
          <w:color w:val="auto"/>
          <w:sz w:val="24"/>
          <w:szCs w:val="24"/>
        </w:rPr>
        <w:t xml:space="preserve"> “Pantomime of Old Folks at Home, or </w:t>
      </w:r>
      <w:proofErr w:type="spellStart"/>
      <w:r w:rsidRPr="002566BD">
        <w:rPr>
          <w:b w:val="0"/>
          <w:color w:val="auto"/>
          <w:sz w:val="24"/>
          <w:szCs w:val="24"/>
        </w:rPr>
        <w:t>Swanee</w:t>
      </w:r>
      <w:proofErr w:type="spellEnd"/>
      <w:r w:rsidRPr="002566BD">
        <w:rPr>
          <w:b w:val="0"/>
          <w:color w:val="auto"/>
          <w:sz w:val="24"/>
          <w:szCs w:val="24"/>
        </w:rPr>
        <w:t xml:space="preserve"> River”</w:t>
      </w:r>
      <w:r>
        <w:rPr>
          <w:rStyle w:val="FootnoteReference"/>
          <w:b w:val="0"/>
          <w:color w:val="auto"/>
          <w:sz w:val="24"/>
          <w:szCs w:val="24"/>
        </w:rPr>
        <w:footnoteReference w:id="7"/>
      </w:r>
      <w:bookmarkEnd w:id="6"/>
    </w:p>
    <w:p w:rsidR="002566BD" w:rsidRDefault="002566BD" w:rsidP="002566BD">
      <w:pPr>
        <w:spacing w:line="480" w:lineRule="auto"/>
        <w:jc w:val="both"/>
        <w:rPr>
          <w:rFonts w:cstheme="minorHAnsi"/>
          <w:sz w:val="24"/>
          <w:szCs w:val="24"/>
        </w:rPr>
      </w:pPr>
    </w:p>
    <w:p w:rsidR="002566BD" w:rsidRDefault="002566BD" w:rsidP="002566BD">
      <w:pPr>
        <w:spacing w:line="480" w:lineRule="auto"/>
        <w:jc w:val="both"/>
        <w:rPr>
          <w:rFonts w:cstheme="minorHAnsi"/>
          <w:sz w:val="24"/>
          <w:szCs w:val="24"/>
        </w:rPr>
      </w:pPr>
    </w:p>
    <w:p w:rsidR="00D029BE" w:rsidRPr="000C0EBC" w:rsidRDefault="00D029BE" w:rsidP="00D029BE">
      <w:pPr>
        <w:spacing w:line="480" w:lineRule="auto"/>
        <w:ind w:firstLine="720"/>
        <w:jc w:val="both"/>
        <w:rPr>
          <w:rFonts w:cstheme="minorHAnsi"/>
          <w:sz w:val="24"/>
          <w:szCs w:val="24"/>
        </w:rPr>
      </w:pPr>
      <w:r w:rsidRPr="000C0EBC">
        <w:rPr>
          <w:rFonts w:cstheme="minorHAnsi"/>
          <w:sz w:val="24"/>
          <w:szCs w:val="24"/>
        </w:rPr>
        <w:lastRenderedPageBreak/>
        <w:t>The dramatic nature of this pantomime, however, starkly contrasts the minstrel dialect and context of Foster’s song. Although this example comes from one of Foster’s sentimental melodies and it held a prominent place in the American parlor music tradition from its outset, it was nonetheless derived from the American blackface minstrel tradition; a tradition centered on white males made up as exaggerated black stereotypes performing bawdy songs and dances for largely working class male audiences. Eric Lott has even argued that “the minstrel show…primitive in execution, and raucous in effect,” helped generate the emerging break “between elite, genteel, and low cultures.”</w:t>
      </w:r>
      <w:r w:rsidRPr="000C0EBC">
        <w:rPr>
          <w:rStyle w:val="FootnoteReference"/>
          <w:rFonts w:cstheme="minorHAnsi"/>
          <w:sz w:val="24"/>
          <w:szCs w:val="24"/>
        </w:rPr>
        <w:footnoteReference w:id="8"/>
      </w:r>
      <w:r w:rsidRPr="000C0EBC">
        <w:rPr>
          <w:rFonts w:cstheme="minorHAnsi"/>
          <w:sz w:val="24"/>
          <w:szCs w:val="24"/>
        </w:rPr>
        <w:t xml:space="preserve"> According to Lawrence Levine, the American categorizations of “high” and “low” culture emerged in the “second half of the nineteenth century.”</w:t>
      </w:r>
      <w:r w:rsidRPr="000C0EBC">
        <w:rPr>
          <w:rStyle w:val="FootnoteReference"/>
          <w:rFonts w:cstheme="minorHAnsi"/>
          <w:sz w:val="24"/>
          <w:szCs w:val="24"/>
        </w:rPr>
        <w:footnoteReference w:id="9"/>
      </w:r>
      <w:r w:rsidRPr="000C0EBC">
        <w:rPr>
          <w:rFonts w:cstheme="minorHAnsi"/>
          <w:sz w:val="24"/>
          <w:szCs w:val="24"/>
        </w:rPr>
        <w:t xml:space="preserve"> Illus</w:t>
      </w:r>
      <w:r w:rsidR="00F3534B">
        <w:rPr>
          <w:rFonts w:cstheme="minorHAnsi"/>
          <w:sz w:val="24"/>
          <w:szCs w:val="24"/>
        </w:rPr>
        <w:t>trating the rising distinction,</w:t>
      </w:r>
      <w:r w:rsidRPr="000C0EBC">
        <w:rPr>
          <w:rFonts w:cstheme="minorHAnsi"/>
          <w:sz w:val="24"/>
          <w:szCs w:val="24"/>
        </w:rPr>
        <w:t xml:space="preserve"> Levine quotes author Hiram M. Stanley, who wrote in 1894 that anyone displaying “a permanent taste for higher pleasures…ceases, </w:t>
      </w:r>
      <w:r w:rsidRPr="000C0EBC">
        <w:rPr>
          <w:rFonts w:cstheme="minorHAnsi"/>
          <w:i/>
          <w:sz w:val="24"/>
          <w:szCs w:val="24"/>
        </w:rPr>
        <w:t>ipso facto,</w:t>
      </w:r>
      <w:r w:rsidRPr="000C0EBC">
        <w:rPr>
          <w:rFonts w:cstheme="minorHAnsi"/>
          <w:sz w:val="24"/>
          <w:szCs w:val="24"/>
        </w:rPr>
        <w:t xml:space="preserve"> to belong to the ‘masses,’” a group Stanley defined by their interest in “eating, drinking, smoking, society of the other sex, with dancing, [and] music of a noisy and lively character.”</w:t>
      </w:r>
      <w:r w:rsidRPr="000C0EBC">
        <w:rPr>
          <w:rStyle w:val="FootnoteReference"/>
          <w:rFonts w:cstheme="minorHAnsi"/>
          <w:sz w:val="24"/>
          <w:szCs w:val="24"/>
        </w:rPr>
        <w:footnoteReference w:id="10"/>
      </w:r>
      <w:r w:rsidRPr="000C0EBC">
        <w:rPr>
          <w:rFonts w:cstheme="minorHAnsi"/>
          <w:sz w:val="24"/>
          <w:szCs w:val="24"/>
        </w:rPr>
        <w:t xml:space="preserve"> The American distinction between high and low culture, as Levine argues, is determined “less by pedigree than by their life style, manners, and cultural artifacts.”</w:t>
      </w:r>
      <w:r w:rsidRPr="000C0EBC">
        <w:rPr>
          <w:rStyle w:val="FootnoteReference"/>
          <w:rFonts w:cstheme="minorHAnsi"/>
          <w:sz w:val="24"/>
          <w:szCs w:val="24"/>
        </w:rPr>
        <w:footnoteReference w:id="11"/>
      </w:r>
      <w:r w:rsidR="007B1C43">
        <w:rPr>
          <w:rFonts w:cstheme="minorHAnsi"/>
          <w:sz w:val="24"/>
          <w:szCs w:val="24"/>
        </w:rPr>
        <w:t xml:space="preserve"> “High</w:t>
      </w:r>
      <w:r w:rsidRPr="000C0EBC">
        <w:rPr>
          <w:rFonts w:cstheme="minorHAnsi"/>
          <w:sz w:val="24"/>
          <w:szCs w:val="24"/>
        </w:rPr>
        <w:t>brow” actions and possessions generated what Levine termed a “cloak of culture” that the “new professional and middle class” used to “distance themselves, culturally at least, from those below them on the socioeconomic scale.”</w:t>
      </w:r>
      <w:r w:rsidRPr="000C0EBC">
        <w:rPr>
          <w:rStyle w:val="FootnoteReference"/>
          <w:rFonts w:cstheme="minorHAnsi"/>
          <w:sz w:val="24"/>
          <w:szCs w:val="24"/>
        </w:rPr>
        <w:footnoteReference w:id="12"/>
      </w:r>
      <w:r w:rsidRPr="000C0EBC">
        <w:rPr>
          <w:rFonts w:cstheme="minorHAnsi"/>
          <w:sz w:val="24"/>
          <w:szCs w:val="24"/>
        </w:rPr>
        <w:t xml:space="preserve"> Werner’s publication of Foster’s minstrel tune blurs this distinction as it </w:t>
      </w:r>
      <w:r w:rsidRPr="000C0EBC">
        <w:rPr>
          <w:rFonts w:cstheme="minorHAnsi"/>
          <w:sz w:val="24"/>
          <w:szCs w:val="24"/>
        </w:rPr>
        <w:lastRenderedPageBreak/>
        <w:t>transports a working class repertoire to the parlor, a primarily feminine space set aside specifically for displaying genteel and “highbrow” ideals.</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The forms and modes of power that constructed the notions of high and low culture were engaged in a divisive dialogue on all forms of music in t</w:t>
      </w:r>
      <w:r w:rsidR="00F3534B">
        <w:rPr>
          <w:rFonts w:cstheme="minorHAnsi"/>
          <w:sz w:val="24"/>
          <w:szCs w:val="24"/>
        </w:rPr>
        <w:t xml:space="preserve">he late nineteenth </w:t>
      </w:r>
      <w:r w:rsidRPr="000C0EBC">
        <w:rPr>
          <w:rFonts w:cstheme="minorHAnsi"/>
          <w:sz w:val="24"/>
          <w:szCs w:val="24"/>
        </w:rPr>
        <w:t>century. Comic songs presented distinct, subversive, and disruptive voices in a crisis moment of American cultural discourse. Our current understanding of “highbrow” and “lowbrow” culture</w:t>
      </w:r>
      <w:r w:rsidR="00782073">
        <w:rPr>
          <w:rFonts w:cstheme="minorHAnsi"/>
          <w:sz w:val="24"/>
          <w:szCs w:val="24"/>
        </w:rPr>
        <w:t>s</w:t>
      </w:r>
      <w:r w:rsidRPr="000C0EBC">
        <w:rPr>
          <w:rFonts w:cstheme="minorHAnsi"/>
          <w:sz w:val="24"/>
          <w:szCs w:val="24"/>
        </w:rPr>
        <w:t xml:space="preserve"> did not exis</w:t>
      </w:r>
      <w:r w:rsidR="00F3534B">
        <w:rPr>
          <w:rFonts w:cstheme="minorHAnsi"/>
          <w:sz w:val="24"/>
          <w:szCs w:val="24"/>
        </w:rPr>
        <w:t xml:space="preserve">t in the same sense in the late </w:t>
      </w:r>
      <w:r w:rsidRPr="000C0EBC">
        <w:rPr>
          <w:rFonts w:cstheme="minorHAnsi"/>
          <w:sz w:val="24"/>
          <w:szCs w:val="24"/>
        </w:rPr>
        <w:t>ninet</w:t>
      </w:r>
      <w:r w:rsidR="00F3534B">
        <w:rPr>
          <w:rFonts w:cstheme="minorHAnsi"/>
          <w:sz w:val="24"/>
          <w:szCs w:val="24"/>
        </w:rPr>
        <w:t xml:space="preserve">eenth </w:t>
      </w:r>
      <w:r w:rsidRPr="000C0EBC">
        <w:rPr>
          <w:rFonts w:cstheme="minorHAnsi"/>
          <w:sz w:val="24"/>
          <w:szCs w:val="24"/>
        </w:rPr>
        <w:t>century, and the conflicting and paradoxical voice of comic songs within the parlor was part of the discourse that led to their constructio</w:t>
      </w:r>
      <w:r w:rsidR="00782073">
        <w:rPr>
          <w:rFonts w:cstheme="minorHAnsi"/>
          <w:sz w:val="24"/>
          <w:szCs w:val="24"/>
        </w:rPr>
        <w:t xml:space="preserve">n. Anthropologist Sherry </w:t>
      </w:r>
      <w:proofErr w:type="spellStart"/>
      <w:r w:rsidR="00782073">
        <w:rPr>
          <w:rFonts w:cstheme="minorHAnsi"/>
          <w:sz w:val="24"/>
          <w:szCs w:val="24"/>
        </w:rPr>
        <w:t>Ortner</w:t>
      </w:r>
      <w:proofErr w:type="spellEnd"/>
      <w:r w:rsidR="00782073">
        <w:rPr>
          <w:rFonts w:cstheme="minorHAnsi"/>
          <w:sz w:val="24"/>
          <w:szCs w:val="24"/>
        </w:rPr>
        <w:t xml:space="preserve"> has </w:t>
      </w:r>
      <w:r w:rsidRPr="000C0EBC">
        <w:rPr>
          <w:rFonts w:cstheme="minorHAnsi"/>
          <w:sz w:val="24"/>
          <w:szCs w:val="24"/>
        </w:rPr>
        <w:t>not only</w:t>
      </w:r>
      <w:r w:rsidR="00782073">
        <w:rPr>
          <w:rFonts w:cstheme="minorHAnsi"/>
          <w:sz w:val="24"/>
          <w:szCs w:val="24"/>
        </w:rPr>
        <w:t xml:space="preserve"> argued</w:t>
      </w:r>
      <w:r w:rsidRPr="000C0EBC">
        <w:rPr>
          <w:rFonts w:cstheme="minorHAnsi"/>
          <w:sz w:val="24"/>
          <w:szCs w:val="24"/>
        </w:rPr>
        <w:t xml:space="preserve"> that the “supposedly hard and objective social phenomenon” of class is “culturally constructed,” she has further propounded a poststructuralist position “that cultural constructions are always ‘ideological,’ always situated with respect to the forms and modes of power operating in a given time and place.”</w:t>
      </w:r>
      <w:r w:rsidRPr="000C0EBC">
        <w:rPr>
          <w:rStyle w:val="FootnoteReference"/>
          <w:rFonts w:cstheme="minorHAnsi"/>
          <w:sz w:val="24"/>
          <w:szCs w:val="24"/>
        </w:rPr>
        <w:footnoteReference w:id="13"/>
      </w:r>
      <w:r w:rsidRPr="000C0EBC">
        <w:rPr>
          <w:rFonts w:cstheme="minorHAnsi"/>
          <w:sz w:val="24"/>
          <w:szCs w:val="24"/>
        </w:rPr>
        <w:t xml:space="preserve"> Lawrence Levine has convincingly argued for the rise of these ideological distinctions in the public performance of late-nineteenth-century music, specifically the sacralization of symphonic and operatic traditions, but I extend it beyond the public sphere to the parlor.</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 xml:space="preserve">Parlor music is the music of “mass culture,” a cultural group Simon </w:t>
      </w:r>
      <w:proofErr w:type="spellStart"/>
      <w:r w:rsidRPr="000C0EBC">
        <w:rPr>
          <w:rFonts w:cstheme="minorHAnsi"/>
          <w:sz w:val="24"/>
          <w:szCs w:val="24"/>
        </w:rPr>
        <w:t>Frith</w:t>
      </w:r>
      <w:proofErr w:type="spellEnd"/>
      <w:r w:rsidRPr="000C0EBC">
        <w:rPr>
          <w:rFonts w:cstheme="minorHAnsi"/>
          <w:sz w:val="24"/>
          <w:szCs w:val="24"/>
        </w:rPr>
        <w:t xml:space="preserve"> defines not by class affiliations, but as one “made possible by technological change, by the use of the means of mass cultural production”</w:t>
      </w:r>
      <w:r w:rsidRPr="000C0EBC">
        <w:rPr>
          <w:rStyle w:val="FootnoteReference"/>
          <w:rFonts w:cstheme="minorHAnsi"/>
          <w:sz w:val="24"/>
          <w:szCs w:val="24"/>
        </w:rPr>
        <w:footnoteReference w:id="14"/>
      </w:r>
      <w:r w:rsidRPr="000C0EBC">
        <w:rPr>
          <w:rFonts w:cstheme="minorHAnsi"/>
          <w:sz w:val="24"/>
          <w:szCs w:val="24"/>
        </w:rPr>
        <w:t xml:space="preserve"> like song sheets. </w:t>
      </w:r>
      <w:proofErr w:type="spellStart"/>
      <w:r w:rsidRPr="000C0EBC">
        <w:rPr>
          <w:rFonts w:cstheme="minorHAnsi"/>
          <w:sz w:val="24"/>
          <w:szCs w:val="24"/>
        </w:rPr>
        <w:t>Frith</w:t>
      </w:r>
      <w:proofErr w:type="spellEnd"/>
      <w:r w:rsidRPr="000C0EBC">
        <w:rPr>
          <w:rFonts w:cstheme="minorHAnsi"/>
          <w:sz w:val="24"/>
          <w:szCs w:val="24"/>
        </w:rPr>
        <w:t xml:space="preserve"> has also argued, based on Pierre </w:t>
      </w:r>
      <w:proofErr w:type="spellStart"/>
      <w:r w:rsidRPr="000C0EBC">
        <w:rPr>
          <w:rFonts w:cstheme="minorHAnsi"/>
          <w:sz w:val="24"/>
          <w:szCs w:val="24"/>
        </w:rPr>
        <w:t>Bourdieu’s</w:t>
      </w:r>
      <w:proofErr w:type="spellEnd"/>
      <w:r w:rsidRPr="000C0EBC">
        <w:rPr>
          <w:rFonts w:cstheme="minorHAnsi"/>
          <w:sz w:val="24"/>
          <w:szCs w:val="24"/>
        </w:rPr>
        <w:t xml:space="preserve"> “concept of ‘cultural capital,’” that every cultural group has ways of listening, where certain “aesthetic [responses]” are deemed “socially appropriate,” and “the aesthetic response can </w:t>
      </w:r>
      <w:r w:rsidRPr="000C0EBC">
        <w:rPr>
          <w:rFonts w:cstheme="minorHAnsi"/>
          <w:sz w:val="24"/>
          <w:szCs w:val="24"/>
        </w:rPr>
        <w:lastRenderedPageBreak/>
        <w:t xml:space="preserve">only be understood by reference to the social organization of taste which patterns people’s lifestyle, morality and </w:t>
      </w:r>
      <w:proofErr w:type="spellStart"/>
      <w:r w:rsidRPr="000C0EBC">
        <w:rPr>
          <w:rFonts w:cstheme="minorHAnsi"/>
          <w:sz w:val="24"/>
          <w:szCs w:val="24"/>
        </w:rPr>
        <w:t>habitus</w:t>
      </w:r>
      <w:proofErr w:type="spellEnd"/>
      <w:r w:rsidRPr="000C0EBC">
        <w:rPr>
          <w:rFonts w:cstheme="minorHAnsi"/>
          <w:sz w:val="24"/>
          <w:szCs w:val="24"/>
        </w:rPr>
        <w:t>.”</w:t>
      </w:r>
      <w:r w:rsidRPr="000C0EBC">
        <w:rPr>
          <w:rStyle w:val="FootnoteReference"/>
          <w:rFonts w:cstheme="minorHAnsi"/>
          <w:sz w:val="24"/>
          <w:szCs w:val="24"/>
        </w:rPr>
        <w:footnoteReference w:id="15"/>
      </w:r>
      <w:r w:rsidRPr="000C0EBC">
        <w:rPr>
          <w:rFonts w:cstheme="minorHAnsi"/>
          <w:sz w:val="24"/>
          <w:szCs w:val="24"/>
        </w:rPr>
        <w:t xml:space="preserve"> The parlor aesthetic was a construction, an organization of taste that expounded beliefs in refinement and gentility. Thus, the parlor was not an exclusive realm of a social class, but a set of organizing principles that guided acceptable behaviors. As Simon </w:t>
      </w:r>
      <w:proofErr w:type="spellStart"/>
      <w:r w:rsidRPr="000C0EBC">
        <w:rPr>
          <w:rFonts w:cstheme="minorHAnsi"/>
          <w:sz w:val="24"/>
          <w:szCs w:val="24"/>
        </w:rPr>
        <w:t>Frith</w:t>
      </w:r>
      <w:proofErr w:type="spellEnd"/>
      <w:r w:rsidRPr="000C0EBC">
        <w:rPr>
          <w:rFonts w:cstheme="minorHAnsi"/>
          <w:sz w:val="24"/>
          <w:szCs w:val="24"/>
        </w:rPr>
        <w:t xml:space="preserve"> explains in his interpretation of Levine:</w:t>
      </w:r>
    </w:p>
    <w:p w:rsidR="00D029BE" w:rsidRPr="000C0EBC" w:rsidRDefault="00D029BE" w:rsidP="00D029BE">
      <w:pPr>
        <w:spacing w:line="240" w:lineRule="auto"/>
        <w:ind w:left="720"/>
        <w:contextualSpacing/>
        <w:rPr>
          <w:rFonts w:cstheme="minorHAnsi"/>
          <w:sz w:val="24"/>
          <w:szCs w:val="24"/>
        </w:rPr>
      </w:pPr>
      <w:proofErr w:type="gramStart"/>
      <w:r w:rsidRPr="000C0EBC">
        <w:rPr>
          <w:rFonts w:cstheme="minorHAnsi"/>
          <w:sz w:val="24"/>
          <w:szCs w:val="24"/>
        </w:rPr>
        <w:t>the</w:t>
      </w:r>
      <w:proofErr w:type="gramEnd"/>
      <w:r w:rsidRPr="000C0EBC">
        <w:rPr>
          <w:rFonts w:cstheme="minorHAnsi"/>
          <w:sz w:val="24"/>
          <w:szCs w:val="24"/>
        </w:rPr>
        <w:t xml:space="preserve"> crucial high/low conflict is not that between social classes but that produced by the commercial process itself at all levels of cultural expression, in pop as well as classical music…. High/low thus describes the emergence of consumer elites or cults.</w:t>
      </w:r>
      <w:r w:rsidRPr="000C0EBC">
        <w:rPr>
          <w:rStyle w:val="FootnoteReference"/>
          <w:rFonts w:cstheme="minorHAnsi"/>
          <w:sz w:val="24"/>
          <w:szCs w:val="24"/>
        </w:rPr>
        <w:footnoteReference w:id="16"/>
      </w:r>
    </w:p>
    <w:p w:rsidR="00D029BE" w:rsidRPr="000C0EBC" w:rsidRDefault="00D029BE" w:rsidP="00D029BE">
      <w:pPr>
        <w:spacing w:line="240" w:lineRule="auto"/>
        <w:contextualSpacing/>
        <w:rPr>
          <w:rFonts w:cstheme="minorHAnsi"/>
          <w:sz w:val="24"/>
          <w:szCs w:val="24"/>
        </w:rPr>
      </w:pPr>
    </w:p>
    <w:p w:rsidR="00D029BE" w:rsidRPr="000C0EBC" w:rsidRDefault="00D029BE" w:rsidP="00D029BE">
      <w:pPr>
        <w:spacing w:line="480" w:lineRule="auto"/>
        <w:contextualSpacing/>
        <w:rPr>
          <w:rFonts w:cstheme="minorHAnsi"/>
          <w:sz w:val="24"/>
          <w:szCs w:val="24"/>
        </w:rPr>
      </w:pPr>
      <w:r w:rsidRPr="000C0EBC">
        <w:rPr>
          <w:rFonts w:cstheme="minorHAnsi"/>
          <w:sz w:val="24"/>
          <w:szCs w:val="24"/>
        </w:rPr>
        <w:t>The “consum</w:t>
      </w:r>
      <w:r w:rsidR="00782073">
        <w:rPr>
          <w:rFonts w:cstheme="minorHAnsi"/>
          <w:sz w:val="24"/>
          <w:szCs w:val="24"/>
        </w:rPr>
        <w:t xml:space="preserve">er elites” </w:t>
      </w:r>
      <w:proofErr w:type="spellStart"/>
      <w:r w:rsidR="00782073">
        <w:rPr>
          <w:rFonts w:cstheme="minorHAnsi"/>
          <w:sz w:val="24"/>
          <w:szCs w:val="24"/>
        </w:rPr>
        <w:t>Frith</w:t>
      </w:r>
      <w:proofErr w:type="spellEnd"/>
      <w:r w:rsidR="00782073">
        <w:rPr>
          <w:rFonts w:cstheme="minorHAnsi"/>
          <w:sz w:val="24"/>
          <w:szCs w:val="24"/>
        </w:rPr>
        <w:t xml:space="preserve"> depicts altered</w:t>
      </w:r>
      <w:r w:rsidRPr="000C0EBC">
        <w:rPr>
          <w:rFonts w:cstheme="minorHAnsi"/>
          <w:sz w:val="24"/>
          <w:szCs w:val="24"/>
        </w:rPr>
        <w:t xml:space="preserve"> the American musical discourse, and as new definitions of socially acceptable musical engagement emerged, the home performance </w:t>
      </w:r>
      <w:r w:rsidR="00782073">
        <w:rPr>
          <w:rFonts w:cstheme="minorHAnsi"/>
          <w:sz w:val="24"/>
          <w:szCs w:val="24"/>
        </w:rPr>
        <w:t>of comic songs shifted</w:t>
      </w:r>
      <w:r w:rsidRPr="000C0EBC">
        <w:rPr>
          <w:rFonts w:cstheme="minorHAnsi"/>
          <w:sz w:val="24"/>
          <w:szCs w:val="24"/>
        </w:rPr>
        <w:t xml:space="preserve"> into a conflicted and disruptive experience. In the segmented idealized realms of nineteenth-century music, the performance of comic songs in the American parlor provided a powerful means of embodying “lowbrow” identities, contributing to and challenging the emerging constructions of class. The contextualized “highbrow” performance of “lowbrow” songs like “Old Folks at Home” encapsulates this conflicted discourse within individual bodies.</w:t>
      </w:r>
    </w:p>
    <w:p w:rsidR="00D029BE" w:rsidRPr="007B1C43" w:rsidRDefault="00D029BE" w:rsidP="002566BD">
      <w:pPr>
        <w:pStyle w:val="Heading2"/>
        <w:jc w:val="center"/>
        <w:rPr>
          <w:rFonts w:asciiTheme="minorHAnsi" w:hAnsiTheme="minorHAnsi"/>
        </w:rPr>
      </w:pPr>
      <w:bookmarkStart w:id="7" w:name="_Toc356278691"/>
      <w:r w:rsidRPr="007B1C43">
        <w:rPr>
          <w:rFonts w:asciiTheme="minorHAnsi" w:hAnsiTheme="minorHAnsi"/>
          <w:b w:val="0"/>
          <w:color w:val="auto"/>
          <w:sz w:val="24"/>
          <w:szCs w:val="24"/>
        </w:rPr>
        <w:t>Scope and</w:t>
      </w:r>
      <w:r w:rsidRPr="007B1C43">
        <w:rPr>
          <w:rFonts w:asciiTheme="minorHAnsi" w:hAnsiTheme="minorHAnsi"/>
        </w:rPr>
        <w:t xml:space="preserve"> </w:t>
      </w:r>
      <w:r w:rsidRPr="007B1C43">
        <w:rPr>
          <w:rFonts w:asciiTheme="minorHAnsi" w:hAnsiTheme="minorHAnsi"/>
          <w:b w:val="0"/>
          <w:color w:val="auto"/>
          <w:sz w:val="24"/>
          <w:szCs w:val="24"/>
        </w:rPr>
        <w:t>Definitions</w:t>
      </w:r>
      <w:bookmarkEnd w:id="7"/>
    </w:p>
    <w:p w:rsidR="00642536" w:rsidRPr="00642536" w:rsidRDefault="00642536" w:rsidP="00642536"/>
    <w:p w:rsidR="00D029BE" w:rsidRPr="004D46FE" w:rsidRDefault="00D029BE" w:rsidP="004D46FE">
      <w:pPr>
        <w:spacing w:line="480" w:lineRule="auto"/>
        <w:ind w:firstLine="720"/>
        <w:rPr>
          <w:rFonts w:ascii="Calibri" w:eastAsia="Times New Roman" w:hAnsi="Calibri" w:cs="Times New Roman"/>
          <w:color w:val="010101"/>
          <w:sz w:val="24"/>
          <w:szCs w:val="24"/>
        </w:rPr>
      </w:pPr>
      <w:r w:rsidRPr="000C0EBC">
        <w:rPr>
          <w:rFonts w:cstheme="minorHAnsi"/>
          <w:sz w:val="24"/>
          <w:szCs w:val="24"/>
        </w:rPr>
        <w:t>The music performed in parlors varied from Foster to Beethoven, from minstrelsy to opera transcriptions, but the space of the par</w:t>
      </w:r>
      <w:r w:rsidR="00782073">
        <w:rPr>
          <w:rFonts w:cstheme="minorHAnsi"/>
          <w:sz w:val="24"/>
          <w:szCs w:val="24"/>
        </w:rPr>
        <w:t>lor had a consistent definition as</w:t>
      </w:r>
      <w:r w:rsidRPr="000C0EBC">
        <w:rPr>
          <w:rFonts w:cstheme="minorHAnsi"/>
          <w:sz w:val="24"/>
          <w:szCs w:val="24"/>
        </w:rPr>
        <w:t xml:space="preserve"> a place of “refinement.” Katherine C. Grier defined the late-nineteenth-century parlor as a space reflecting the Victorian “fascination” with “gentility</w:t>
      </w:r>
      <w:proofErr w:type="gramStart"/>
      <w:r w:rsidRPr="000C0EBC">
        <w:rPr>
          <w:rFonts w:cstheme="minorHAnsi"/>
          <w:sz w:val="24"/>
          <w:szCs w:val="24"/>
        </w:rPr>
        <w:t>…[</w:t>
      </w:r>
      <w:proofErr w:type="gramEnd"/>
      <w:r w:rsidRPr="000C0EBC">
        <w:rPr>
          <w:rFonts w:cstheme="minorHAnsi"/>
          <w:sz w:val="24"/>
          <w:szCs w:val="24"/>
        </w:rPr>
        <w:t xml:space="preserve">which] stressed individual cultivation and </w:t>
      </w:r>
      <w:r w:rsidRPr="000C0EBC">
        <w:rPr>
          <w:rFonts w:cstheme="minorHAnsi"/>
          <w:sz w:val="24"/>
          <w:szCs w:val="24"/>
        </w:rPr>
        <w:lastRenderedPageBreak/>
        <w:t>social display.”</w:t>
      </w:r>
      <w:r w:rsidRPr="000C0EBC">
        <w:rPr>
          <w:rStyle w:val="FootnoteReference"/>
          <w:rFonts w:cstheme="minorHAnsi"/>
          <w:sz w:val="24"/>
          <w:szCs w:val="24"/>
        </w:rPr>
        <w:footnoteReference w:id="17"/>
      </w:r>
      <w:r w:rsidR="004D46FE">
        <w:rPr>
          <w:rFonts w:cstheme="minorHAnsi"/>
          <w:sz w:val="24"/>
          <w:szCs w:val="24"/>
        </w:rPr>
        <w:t xml:space="preserve"> In her study of the nineteenth-century Christian home, cultural historian Colleen </w:t>
      </w:r>
      <w:proofErr w:type="spellStart"/>
      <w:r w:rsidR="004D46FE">
        <w:rPr>
          <w:rFonts w:cstheme="minorHAnsi"/>
          <w:sz w:val="24"/>
          <w:szCs w:val="24"/>
        </w:rPr>
        <w:t>McDannell</w:t>
      </w:r>
      <w:proofErr w:type="spellEnd"/>
      <w:r w:rsidR="004D46FE">
        <w:rPr>
          <w:rFonts w:cstheme="minorHAnsi"/>
          <w:sz w:val="24"/>
          <w:szCs w:val="24"/>
        </w:rPr>
        <w:t xml:space="preserve"> emphasized the Victorian parlor’s important role in “conveying to the visitor the respectability and status of the family.”</w:t>
      </w:r>
      <w:r w:rsidR="004D46FE">
        <w:rPr>
          <w:rStyle w:val="FootnoteReference"/>
          <w:rFonts w:cstheme="minorHAnsi"/>
          <w:sz w:val="24"/>
          <w:szCs w:val="24"/>
        </w:rPr>
        <w:footnoteReference w:id="18"/>
      </w:r>
      <w:r w:rsidR="004D46FE">
        <w:rPr>
          <w:rFonts w:cstheme="minorHAnsi"/>
          <w:sz w:val="24"/>
          <w:szCs w:val="24"/>
        </w:rPr>
        <w:t xml:space="preserve"> </w:t>
      </w:r>
      <w:r w:rsidRPr="000C0EBC">
        <w:rPr>
          <w:rFonts w:cstheme="minorHAnsi"/>
          <w:sz w:val="24"/>
          <w:szCs w:val="24"/>
        </w:rPr>
        <w:t>Pianos and “portfolios”</w:t>
      </w:r>
      <w:r w:rsidRPr="000C0EBC">
        <w:rPr>
          <w:rStyle w:val="FootnoteReference"/>
          <w:rFonts w:cstheme="minorHAnsi"/>
          <w:sz w:val="24"/>
          <w:szCs w:val="24"/>
        </w:rPr>
        <w:footnoteReference w:id="19"/>
      </w:r>
      <w:r w:rsidRPr="000C0EBC">
        <w:rPr>
          <w:rFonts w:cstheme="minorHAnsi"/>
          <w:sz w:val="24"/>
          <w:szCs w:val="24"/>
        </w:rPr>
        <w:t xml:space="preserve"> of printed music provided evidence of this gentility. In Arthur Minton’s 1938 history of parlor music, he described the archetypal parlor as a room with a piano, “topped, perhaps, with a fringed silken scarf, heroic family portraits, and even a bowl of goldfish</w:t>
      </w:r>
      <w:proofErr w:type="gramStart"/>
      <w:r w:rsidRPr="000C0EBC">
        <w:rPr>
          <w:rFonts w:cstheme="minorHAnsi"/>
          <w:sz w:val="24"/>
          <w:szCs w:val="24"/>
        </w:rPr>
        <w:t>…[</w:t>
      </w:r>
      <w:proofErr w:type="gramEnd"/>
      <w:r w:rsidRPr="000C0EBC">
        <w:rPr>
          <w:rFonts w:cstheme="minorHAnsi"/>
          <w:sz w:val="24"/>
          <w:szCs w:val="24"/>
        </w:rPr>
        <w:t>symbols] of the higher life.”</w:t>
      </w:r>
      <w:r w:rsidRPr="000C0EBC">
        <w:rPr>
          <w:rStyle w:val="FootnoteReference"/>
          <w:rFonts w:cstheme="minorHAnsi"/>
          <w:sz w:val="24"/>
          <w:szCs w:val="24"/>
        </w:rPr>
        <w:footnoteReference w:id="20"/>
      </w:r>
      <w:r w:rsidRPr="000C0EBC">
        <w:rPr>
          <w:rFonts w:cstheme="minorHAnsi"/>
          <w:sz w:val="24"/>
          <w:szCs w:val="24"/>
        </w:rPr>
        <w:t xml:space="preserve"> The majority of the mass-produced music performed in the parlor focused on sentimental treatments of courtship that served largely to reinforce normative behavior. Minton described parlor music as “the essence of ‘refinement,’” metaphorically avoiding the lowbrow by lifting “its skirts above the vulgar.”</w:t>
      </w:r>
      <w:r w:rsidRPr="000C0EBC">
        <w:rPr>
          <w:rStyle w:val="FootnoteReference"/>
          <w:rFonts w:cstheme="minorHAnsi"/>
          <w:sz w:val="24"/>
          <w:szCs w:val="24"/>
        </w:rPr>
        <w:footnoteReference w:id="21"/>
      </w:r>
    </w:p>
    <w:p w:rsidR="00D029BE" w:rsidRPr="000C0EBC" w:rsidRDefault="00D029BE" w:rsidP="00FB39B4">
      <w:pPr>
        <w:spacing w:line="480" w:lineRule="auto"/>
        <w:ind w:firstLine="720"/>
        <w:jc w:val="both"/>
        <w:rPr>
          <w:rFonts w:cstheme="minorHAnsi"/>
          <w:sz w:val="24"/>
          <w:szCs w:val="24"/>
        </w:rPr>
      </w:pPr>
      <w:r w:rsidRPr="000C0EBC">
        <w:rPr>
          <w:rFonts w:cstheme="minorHAnsi"/>
          <w:sz w:val="24"/>
          <w:szCs w:val="24"/>
        </w:rPr>
        <w:t>The feminine metaphor Minton uses proves especially relevant, as the main producers of parlor music were women. Mary Burgan’s analysis of the representation of women’s music-making in nineteenth-century fiction shows that “the ultimate rationale for musical training for young women was the exercise of moral rather than aesthetic aptitudes.”</w:t>
      </w:r>
      <w:r w:rsidRPr="000C0EBC">
        <w:rPr>
          <w:rStyle w:val="FootnoteReference"/>
          <w:rFonts w:cstheme="minorHAnsi"/>
          <w:sz w:val="24"/>
          <w:szCs w:val="24"/>
        </w:rPr>
        <w:footnoteReference w:id="22"/>
      </w:r>
      <w:r w:rsidRPr="000C0EBC">
        <w:rPr>
          <w:rFonts w:cstheme="minorHAnsi"/>
          <w:sz w:val="24"/>
          <w:szCs w:val="24"/>
        </w:rPr>
        <w:t xml:space="preserve"> </w:t>
      </w:r>
      <w:r w:rsidR="002D2264">
        <w:rPr>
          <w:rFonts w:cstheme="minorHAnsi"/>
          <w:sz w:val="24"/>
          <w:szCs w:val="24"/>
        </w:rPr>
        <w:t xml:space="preserve">When close family and friends gathered for a parlor theatrical or musicale, the act was a chance to display social value or engage in important courtship rituals. </w:t>
      </w:r>
      <w:r w:rsidRPr="000C0EBC">
        <w:rPr>
          <w:rFonts w:cstheme="minorHAnsi"/>
          <w:sz w:val="24"/>
          <w:szCs w:val="24"/>
        </w:rPr>
        <w:t xml:space="preserve">Women’s parlor performances were “a </w:t>
      </w:r>
      <w:r w:rsidRPr="000C0EBC">
        <w:rPr>
          <w:rFonts w:cstheme="minorHAnsi"/>
          <w:sz w:val="24"/>
          <w:szCs w:val="24"/>
        </w:rPr>
        <w:lastRenderedPageBreak/>
        <w:t>commodity”</w:t>
      </w:r>
      <w:r w:rsidRPr="000C0EBC">
        <w:rPr>
          <w:rStyle w:val="FootnoteReference"/>
          <w:rFonts w:cstheme="minorHAnsi"/>
          <w:sz w:val="24"/>
          <w:szCs w:val="24"/>
        </w:rPr>
        <w:footnoteReference w:id="23"/>
      </w:r>
      <w:r w:rsidRPr="000C0EBC">
        <w:rPr>
          <w:rFonts w:cstheme="minorHAnsi"/>
          <w:sz w:val="24"/>
          <w:szCs w:val="24"/>
        </w:rPr>
        <w:t xml:space="preserve"> in Burgan’s terms, a “part of the young woman’s dowry and public identity.”</w:t>
      </w:r>
      <w:r w:rsidRPr="000C0EBC">
        <w:rPr>
          <w:rStyle w:val="FootnoteReference"/>
          <w:rFonts w:cstheme="minorHAnsi"/>
          <w:sz w:val="24"/>
          <w:szCs w:val="24"/>
        </w:rPr>
        <w:footnoteReference w:id="24"/>
      </w:r>
      <w:r w:rsidR="004D46FE">
        <w:rPr>
          <w:rFonts w:cstheme="minorHAnsi"/>
          <w:sz w:val="24"/>
          <w:szCs w:val="24"/>
        </w:rPr>
        <w:t xml:space="preserve"> Victorian era courtship, according to Jennifer </w:t>
      </w:r>
      <w:proofErr w:type="spellStart"/>
      <w:r w:rsidR="004D46FE">
        <w:rPr>
          <w:rFonts w:cstheme="minorHAnsi"/>
          <w:sz w:val="24"/>
          <w:szCs w:val="24"/>
        </w:rPr>
        <w:t>Phegley</w:t>
      </w:r>
      <w:proofErr w:type="spellEnd"/>
      <w:r w:rsidR="004D46FE">
        <w:rPr>
          <w:rFonts w:cstheme="minorHAnsi"/>
          <w:sz w:val="24"/>
          <w:szCs w:val="24"/>
        </w:rPr>
        <w:t>, “was considered a trial period in which to examine one’s potential partner to make sure they were suitable,” and potential sui</w:t>
      </w:r>
      <w:r w:rsidR="00FB39B4">
        <w:rPr>
          <w:rFonts w:cstheme="minorHAnsi"/>
          <w:sz w:val="24"/>
          <w:szCs w:val="24"/>
        </w:rPr>
        <w:t>tors of both genders inspected</w:t>
      </w:r>
      <w:r w:rsidR="004D46FE">
        <w:rPr>
          <w:rFonts w:cstheme="minorHAnsi"/>
          <w:sz w:val="24"/>
          <w:szCs w:val="24"/>
        </w:rPr>
        <w:t xml:space="preserve"> each other for “signs of disrespectful behavior…a lack of religious feeling, or any inclination toward ‘expensive pleasures,’ ‘low and vulgar amusements,’ or ‘foppish, eccentric, or very slovenly’ appearance.”</w:t>
      </w:r>
      <w:r w:rsidR="004D46FE">
        <w:rPr>
          <w:rStyle w:val="FootnoteReference"/>
          <w:rFonts w:cstheme="minorHAnsi"/>
          <w:sz w:val="24"/>
          <w:szCs w:val="24"/>
        </w:rPr>
        <w:footnoteReference w:id="25"/>
      </w:r>
      <w:r w:rsidR="00FB39B4">
        <w:rPr>
          <w:rFonts w:cstheme="minorHAnsi"/>
          <w:sz w:val="24"/>
          <w:szCs w:val="24"/>
        </w:rPr>
        <w:t xml:space="preserve"> As parlor performers—especially young women—sang, played, and dance</w:t>
      </w:r>
      <w:r w:rsidR="00BA4A20">
        <w:rPr>
          <w:rFonts w:cstheme="minorHAnsi"/>
          <w:sz w:val="24"/>
          <w:szCs w:val="24"/>
        </w:rPr>
        <w:t xml:space="preserve">d for one </w:t>
      </w:r>
      <w:r w:rsidR="00FB39B4">
        <w:rPr>
          <w:rFonts w:cstheme="minorHAnsi"/>
          <w:sz w:val="24"/>
          <w:szCs w:val="24"/>
        </w:rPr>
        <w:t xml:space="preserve">another, their identities were on display for their closest relations and potential life-partners to scrutinize. </w:t>
      </w:r>
      <w:r w:rsidRPr="000C0EBC">
        <w:rPr>
          <w:rFonts w:cstheme="minorHAnsi"/>
          <w:sz w:val="24"/>
          <w:szCs w:val="24"/>
        </w:rPr>
        <w:t xml:space="preserve">Every action in this culturally </w:t>
      </w:r>
      <w:proofErr w:type="spellStart"/>
      <w:r w:rsidRPr="000C0EBC">
        <w:rPr>
          <w:rFonts w:cstheme="minorHAnsi"/>
          <w:sz w:val="24"/>
          <w:szCs w:val="24"/>
        </w:rPr>
        <w:t>sacralized</w:t>
      </w:r>
      <w:proofErr w:type="spellEnd"/>
      <w:r w:rsidRPr="000C0EBC">
        <w:rPr>
          <w:rFonts w:cstheme="minorHAnsi"/>
          <w:sz w:val="24"/>
          <w:szCs w:val="24"/>
        </w:rPr>
        <w:t xml:space="preserve"> space w</w:t>
      </w:r>
      <w:r w:rsidR="00FB39B4">
        <w:rPr>
          <w:rFonts w:cstheme="minorHAnsi"/>
          <w:sz w:val="24"/>
          <w:szCs w:val="24"/>
        </w:rPr>
        <w:t>as</w:t>
      </w:r>
      <w:r w:rsidRPr="000C0EBC">
        <w:rPr>
          <w:rFonts w:cstheme="minorHAnsi"/>
          <w:sz w:val="24"/>
          <w:szCs w:val="24"/>
        </w:rPr>
        <w:t xml:space="preserve"> meant to reflect refinement and gentility. Paradoxically, some music, such as Foster’s minstrel tunes and other “comic songs” (comic character pieces, topical songs, and parody pieces) came in direct opposition to notions of refinement, and their performance in the parlor ruptured the desired “highbrow” identity the parlor sought to create.</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The comic song’s distinctly subversive voice comes from its dialectical opposition to the majority of the mass-mediat</w:t>
      </w:r>
      <w:r w:rsidR="00F3534B">
        <w:rPr>
          <w:rFonts w:cstheme="minorHAnsi"/>
          <w:sz w:val="24"/>
          <w:szCs w:val="24"/>
        </w:rPr>
        <w:t xml:space="preserve">ed music of the late nineteenth </w:t>
      </w:r>
      <w:r w:rsidR="00782073">
        <w:rPr>
          <w:rFonts w:cstheme="minorHAnsi"/>
          <w:sz w:val="24"/>
          <w:szCs w:val="24"/>
        </w:rPr>
        <w:t xml:space="preserve">century. Charles Hamm </w:t>
      </w:r>
      <w:r w:rsidRPr="000C0EBC">
        <w:rPr>
          <w:rFonts w:cstheme="minorHAnsi"/>
          <w:sz w:val="24"/>
          <w:szCs w:val="24"/>
        </w:rPr>
        <w:t>exhaustively detailed the American popu</w:t>
      </w:r>
      <w:r w:rsidR="00782073">
        <w:rPr>
          <w:rFonts w:cstheme="minorHAnsi"/>
          <w:sz w:val="24"/>
          <w:szCs w:val="24"/>
        </w:rPr>
        <w:t>lar song throughout history, noting that</w:t>
      </w:r>
      <w:r w:rsidRPr="000C0EBC">
        <w:rPr>
          <w:rFonts w:cstheme="minorHAnsi"/>
          <w:sz w:val="24"/>
          <w:szCs w:val="24"/>
        </w:rPr>
        <w:t xml:space="preserve"> in the years after t</w:t>
      </w:r>
      <w:r w:rsidR="00B22F1B">
        <w:rPr>
          <w:rFonts w:cstheme="minorHAnsi"/>
          <w:sz w:val="24"/>
          <w:szCs w:val="24"/>
        </w:rPr>
        <w:t>he American Civil War</w:t>
      </w:r>
      <w:r w:rsidRPr="000C0EBC">
        <w:rPr>
          <w:rFonts w:cstheme="minorHAnsi"/>
          <w:sz w:val="24"/>
          <w:szCs w:val="24"/>
        </w:rPr>
        <w:t xml:space="preserve"> songs took on a clear “consistency and character,”</w:t>
      </w:r>
      <w:r w:rsidRPr="000C0EBC">
        <w:rPr>
          <w:rStyle w:val="FootnoteReference"/>
          <w:rFonts w:cstheme="minorHAnsi"/>
          <w:sz w:val="24"/>
          <w:szCs w:val="24"/>
        </w:rPr>
        <w:footnoteReference w:id="26"/>
      </w:r>
      <w:r w:rsidR="00782073">
        <w:rPr>
          <w:rFonts w:cstheme="minorHAnsi"/>
          <w:sz w:val="24"/>
          <w:szCs w:val="24"/>
        </w:rPr>
        <w:t xml:space="preserve"> which</w:t>
      </w:r>
      <w:r w:rsidRPr="000C0EBC">
        <w:rPr>
          <w:rFonts w:cstheme="minorHAnsi"/>
          <w:sz w:val="24"/>
          <w:szCs w:val="24"/>
        </w:rPr>
        <w:t xml:space="preserve"> was primarily sentimental, pathetic</w:t>
      </w:r>
      <w:r w:rsidR="00B22F1B">
        <w:rPr>
          <w:rFonts w:cstheme="minorHAnsi"/>
          <w:sz w:val="24"/>
          <w:szCs w:val="24"/>
        </w:rPr>
        <w:t>,</w:t>
      </w:r>
      <w:r w:rsidRPr="000C0EBC">
        <w:rPr>
          <w:rFonts w:cstheme="minorHAnsi"/>
          <w:sz w:val="24"/>
          <w:szCs w:val="24"/>
        </w:rPr>
        <w:t xml:space="preserve"> or tragic. The use of intense pathos and emotional appeal dominated popular song writing, as Jon </w:t>
      </w:r>
      <w:proofErr w:type="spellStart"/>
      <w:r w:rsidRPr="000C0EBC">
        <w:rPr>
          <w:rFonts w:cstheme="minorHAnsi"/>
          <w:sz w:val="24"/>
          <w:szCs w:val="24"/>
        </w:rPr>
        <w:t>Finson</w:t>
      </w:r>
      <w:proofErr w:type="spellEnd"/>
      <w:r w:rsidRPr="000C0EBC">
        <w:rPr>
          <w:rFonts w:cstheme="minorHAnsi"/>
          <w:sz w:val="24"/>
          <w:szCs w:val="24"/>
        </w:rPr>
        <w:t xml:space="preserve"> points out in his survey of nineteenth-century song themes, and these pathetic ballads “invested familiar situations with heightened drama in </w:t>
      </w:r>
      <w:r w:rsidRPr="000C0EBC">
        <w:rPr>
          <w:rFonts w:cstheme="minorHAnsi"/>
          <w:sz w:val="24"/>
          <w:szCs w:val="24"/>
        </w:rPr>
        <w:lastRenderedPageBreak/>
        <w:t>order to arrest public attention.”</w:t>
      </w:r>
      <w:r w:rsidRPr="000C0EBC">
        <w:rPr>
          <w:rStyle w:val="FootnoteReference"/>
          <w:rFonts w:cstheme="minorHAnsi"/>
          <w:sz w:val="24"/>
          <w:szCs w:val="24"/>
        </w:rPr>
        <w:footnoteReference w:id="27"/>
      </w:r>
      <w:r w:rsidRPr="000C0EBC">
        <w:rPr>
          <w:rFonts w:cstheme="minorHAnsi"/>
          <w:sz w:val="24"/>
          <w:szCs w:val="24"/>
        </w:rPr>
        <w:t xml:space="preserve"> In contrast, the term comic did not necessarily describe songs that made an attempt at humor or the incitement of laught</w:t>
      </w:r>
      <w:r w:rsidR="00782073">
        <w:rPr>
          <w:rFonts w:cstheme="minorHAnsi"/>
          <w:sz w:val="24"/>
          <w:szCs w:val="24"/>
        </w:rPr>
        <w:t>er; rather the term denoted</w:t>
      </w:r>
      <w:r w:rsidRPr="000C0EBC">
        <w:rPr>
          <w:rFonts w:cstheme="minorHAnsi"/>
          <w:sz w:val="24"/>
          <w:szCs w:val="24"/>
        </w:rPr>
        <w:t xml:space="preserve"> the opposite of tragic. Any song of an upbeat nature, in melody and lyrical content, was thought of as comic. The binary separation of sentimental from comic, and the relative minority position of comic songs, caused a writer for </w:t>
      </w:r>
      <w:r w:rsidRPr="000C0EBC">
        <w:rPr>
          <w:rFonts w:cstheme="minorHAnsi"/>
          <w:i/>
          <w:sz w:val="24"/>
          <w:szCs w:val="24"/>
        </w:rPr>
        <w:t>The Clipper</w:t>
      </w:r>
      <w:r w:rsidRPr="000C0EBC">
        <w:rPr>
          <w:rFonts w:cstheme="minorHAnsi"/>
          <w:sz w:val="24"/>
          <w:szCs w:val="24"/>
        </w:rPr>
        <w:t>, a New York trade publication, to begin an 1877 announcement for a visiting Italian singer by saying:</w:t>
      </w:r>
    </w:p>
    <w:p w:rsidR="00D029BE" w:rsidRDefault="00D029BE" w:rsidP="002C7F17">
      <w:pPr>
        <w:spacing w:line="240" w:lineRule="auto"/>
        <w:contextualSpacing/>
        <w:rPr>
          <w:rFonts w:cstheme="minorHAnsi"/>
          <w:sz w:val="24"/>
          <w:szCs w:val="24"/>
        </w:rPr>
      </w:pPr>
      <w:r w:rsidRPr="000C0EBC">
        <w:rPr>
          <w:rFonts w:cstheme="minorHAnsi"/>
          <w:sz w:val="24"/>
          <w:szCs w:val="24"/>
        </w:rPr>
        <w:tab/>
        <w:t>While the pathetic ballad thrills the heart with ecstatic pleasure as it recalls some sweet</w:t>
      </w:r>
      <w:r w:rsidRPr="000C0EBC">
        <w:rPr>
          <w:rFonts w:cstheme="minorHAnsi"/>
          <w:sz w:val="24"/>
          <w:szCs w:val="24"/>
        </w:rPr>
        <w:tab/>
        <w:t>moment when love enchanted the soul, there are other forms of song and other types</w:t>
      </w:r>
      <w:r w:rsidRPr="000C0EBC">
        <w:rPr>
          <w:rFonts w:cstheme="minorHAnsi"/>
          <w:sz w:val="24"/>
          <w:szCs w:val="24"/>
        </w:rPr>
        <w:tab/>
        <w:t>of singers that are intended to offset the serious side of life, and cheer the heart with</w:t>
      </w:r>
      <w:r w:rsidRPr="000C0EBC">
        <w:rPr>
          <w:rFonts w:cstheme="minorHAnsi"/>
          <w:sz w:val="24"/>
          <w:szCs w:val="24"/>
        </w:rPr>
        <w:tab/>
        <w:t>merriment.</w:t>
      </w:r>
      <w:r w:rsidRPr="000C0EBC">
        <w:rPr>
          <w:rStyle w:val="FootnoteReference"/>
          <w:rFonts w:cstheme="minorHAnsi"/>
          <w:sz w:val="24"/>
          <w:szCs w:val="24"/>
        </w:rPr>
        <w:footnoteReference w:id="28"/>
      </w:r>
    </w:p>
    <w:p w:rsidR="002C7F17" w:rsidRPr="000C0EBC" w:rsidRDefault="002C7F17" w:rsidP="002C7F17">
      <w:pPr>
        <w:spacing w:line="240" w:lineRule="auto"/>
        <w:contextualSpacing/>
        <w:rPr>
          <w:rFonts w:cstheme="minorHAnsi"/>
          <w:sz w:val="24"/>
          <w:szCs w:val="24"/>
        </w:rPr>
      </w:pPr>
    </w:p>
    <w:p w:rsidR="00D029BE" w:rsidRPr="000C0EBC" w:rsidRDefault="00D029BE" w:rsidP="00D029BE">
      <w:pPr>
        <w:spacing w:line="480" w:lineRule="auto"/>
        <w:contextualSpacing/>
        <w:rPr>
          <w:rFonts w:cstheme="minorHAnsi"/>
          <w:color w:val="FF0000"/>
          <w:sz w:val="24"/>
          <w:szCs w:val="24"/>
        </w:rPr>
      </w:pPr>
      <w:r w:rsidRPr="000C0EBC">
        <w:rPr>
          <w:rFonts w:cstheme="minorHAnsi"/>
          <w:sz w:val="24"/>
          <w:szCs w:val="24"/>
        </w:rPr>
        <w:t>The author felt it necessary to remind the reader that lighter fare did indeed exist outside of the “pathetic ballad.”</w:t>
      </w:r>
    </w:p>
    <w:p w:rsidR="00944C39" w:rsidRDefault="00D72F7F" w:rsidP="00D72F7F">
      <w:pPr>
        <w:spacing w:line="480" w:lineRule="auto"/>
        <w:ind w:firstLine="720"/>
        <w:contextualSpacing/>
        <w:rPr>
          <w:rFonts w:cstheme="minorHAnsi"/>
          <w:sz w:val="24"/>
          <w:szCs w:val="24"/>
        </w:rPr>
      </w:pPr>
      <w:r>
        <w:rPr>
          <w:rFonts w:cstheme="minorHAnsi"/>
          <w:sz w:val="24"/>
          <w:szCs w:val="24"/>
        </w:rPr>
        <w:t xml:space="preserve">The verse-chorus form cemented as the standard during this era. </w:t>
      </w:r>
      <w:r w:rsidR="00D029BE" w:rsidRPr="000C0EBC">
        <w:rPr>
          <w:rFonts w:cstheme="minorHAnsi"/>
          <w:sz w:val="24"/>
          <w:szCs w:val="24"/>
        </w:rPr>
        <w:t>The basic form laid out by Charles Hamm for “almost all songs of this time,” was to:</w:t>
      </w:r>
      <w:r w:rsidR="00D029BE" w:rsidRPr="000C0EBC">
        <w:rPr>
          <w:rFonts w:cstheme="minorHAnsi"/>
          <w:color w:val="FF0000"/>
          <w:sz w:val="24"/>
          <w:szCs w:val="24"/>
        </w:rPr>
        <w:t xml:space="preserve"> </w:t>
      </w:r>
      <w:r w:rsidR="00D029BE" w:rsidRPr="000C0EBC">
        <w:rPr>
          <w:rFonts w:cstheme="minorHAnsi"/>
          <w:sz w:val="24"/>
          <w:szCs w:val="24"/>
        </w:rPr>
        <w:t>“begin with a piano (instrumental) introduction…have a verse for a solo voice,” where “there is text for 2 to 4 verses, each sung to the same music, unfolding a brief drama or sketching a vignette usually of nostalgic, cautionary, pathetic, or tragic content;” the songs</w:t>
      </w:r>
      <w:r w:rsidR="00D029BE" w:rsidRPr="000C0EBC">
        <w:rPr>
          <w:rFonts w:cstheme="minorHAnsi"/>
          <w:color w:val="FF0000"/>
          <w:sz w:val="24"/>
          <w:szCs w:val="24"/>
        </w:rPr>
        <w:t xml:space="preserve"> </w:t>
      </w:r>
      <w:r w:rsidR="00D029BE" w:rsidRPr="000C0EBC">
        <w:rPr>
          <w:rFonts w:cstheme="minorHAnsi"/>
          <w:sz w:val="24"/>
          <w:szCs w:val="24"/>
        </w:rPr>
        <w:t>“continue with a refrain, most often arranged for four voices, derived musically from some part of the verse.…it functions as a choral commentary on the dramatic situation developed in the successive verses;” and then concludes “with a piano postlude.”</w:t>
      </w:r>
      <w:r w:rsidR="00D029BE" w:rsidRPr="000C0EBC">
        <w:rPr>
          <w:rStyle w:val="FootnoteReference"/>
          <w:rFonts w:cstheme="minorHAnsi"/>
          <w:sz w:val="24"/>
          <w:szCs w:val="24"/>
        </w:rPr>
        <w:footnoteReference w:id="29"/>
      </w:r>
      <w:r>
        <w:rPr>
          <w:rFonts w:cstheme="minorHAnsi"/>
          <w:sz w:val="24"/>
          <w:szCs w:val="24"/>
        </w:rPr>
        <w:t xml:space="preserve"> The term </w:t>
      </w:r>
      <w:r w:rsidR="00BA4A20">
        <w:rPr>
          <w:rFonts w:cstheme="minorHAnsi"/>
          <w:sz w:val="24"/>
          <w:szCs w:val="24"/>
        </w:rPr>
        <w:t>“</w:t>
      </w:r>
      <w:r>
        <w:rPr>
          <w:rFonts w:cstheme="minorHAnsi"/>
          <w:sz w:val="24"/>
          <w:szCs w:val="24"/>
        </w:rPr>
        <w:t>chorus</w:t>
      </w:r>
      <w:r w:rsidR="00B22F1B">
        <w:rPr>
          <w:rFonts w:cstheme="minorHAnsi"/>
          <w:sz w:val="24"/>
          <w:szCs w:val="24"/>
        </w:rPr>
        <w:t>”</w:t>
      </w:r>
      <w:r>
        <w:rPr>
          <w:rFonts w:cstheme="minorHAnsi"/>
          <w:sz w:val="24"/>
          <w:szCs w:val="24"/>
        </w:rPr>
        <w:t xml:space="preserve"> derived from the minstrel show pr</w:t>
      </w:r>
      <w:r w:rsidR="00BA4A20">
        <w:rPr>
          <w:rFonts w:cstheme="minorHAnsi"/>
          <w:sz w:val="24"/>
          <w:szCs w:val="24"/>
        </w:rPr>
        <w:t>actice of havi</w:t>
      </w:r>
      <w:r w:rsidR="00B22F1B">
        <w:rPr>
          <w:rFonts w:cstheme="minorHAnsi"/>
          <w:sz w:val="24"/>
          <w:szCs w:val="24"/>
        </w:rPr>
        <w:t xml:space="preserve">ng all the voices </w:t>
      </w:r>
      <w:proofErr w:type="gramStart"/>
      <w:r w:rsidR="00B22F1B">
        <w:rPr>
          <w:rFonts w:cstheme="minorHAnsi"/>
          <w:sz w:val="24"/>
          <w:szCs w:val="24"/>
        </w:rPr>
        <w:t>join</w:t>
      </w:r>
      <w:proofErr w:type="gramEnd"/>
      <w:r w:rsidR="00B22F1B">
        <w:rPr>
          <w:rFonts w:cstheme="minorHAnsi"/>
          <w:sz w:val="24"/>
          <w:szCs w:val="24"/>
        </w:rPr>
        <w:t xml:space="preserve"> in. The chorus</w:t>
      </w:r>
      <w:r w:rsidR="00BA4A20">
        <w:rPr>
          <w:rFonts w:cstheme="minorHAnsi"/>
          <w:sz w:val="24"/>
          <w:szCs w:val="24"/>
        </w:rPr>
        <w:t xml:space="preserve"> was not just a separate section</w:t>
      </w:r>
      <w:r w:rsidR="00B22F1B">
        <w:rPr>
          <w:rFonts w:cstheme="minorHAnsi"/>
          <w:sz w:val="24"/>
          <w:szCs w:val="24"/>
        </w:rPr>
        <w:t xml:space="preserve"> of the form; the label</w:t>
      </w:r>
      <w:r w:rsidR="00BA4A20">
        <w:rPr>
          <w:rFonts w:cstheme="minorHAnsi"/>
          <w:sz w:val="24"/>
          <w:szCs w:val="24"/>
        </w:rPr>
        <w:t xml:space="preserve"> suggests that</w:t>
      </w:r>
      <w:r>
        <w:rPr>
          <w:rFonts w:cstheme="minorHAnsi"/>
          <w:sz w:val="24"/>
          <w:szCs w:val="24"/>
        </w:rPr>
        <w:t xml:space="preserve"> </w:t>
      </w:r>
      <w:r w:rsidR="00BA4A20">
        <w:rPr>
          <w:rFonts w:cstheme="minorHAnsi"/>
          <w:sz w:val="24"/>
          <w:szCs w:val="24"/>
        </w:rPr>
        <w:t>multiple</w:t>
      </w:r>
      <w:r>
        <w:rPr>
          <w:rFonts w:cstheme="minorHAnsi"/>
          <w:sz w:val="24"/>
          <w:szCs w:val="24"/>
        </w:rPr>
        <w:t xml:space="preserve"> </w:t>
      </w:r>
      <w:r>
        <w:rPr>
          <w:rFonts w:cstheme="minorHAnsi"/>
          <w:sz w:val="24"/>
          <w:szCs w:val="24"/>
        </w:rPr>
        <w:lastRenderedPageBreak/>
        <w:t>performers</w:t>
      </w:r>
      <w:r w:rsidR="00BA4A20">
        <w:rPr>
          <w:rFonts w:cstheme="minorHAnsi"/>
          <w:sz w:val="24"/>
          <w:szCs w:val="24"/>
        </w:rPr>
        <w:t>, on stage or in the parlor,</w:t>
      </w:r>
      <w:r>
        <w:rPr>
          <w:rFonts w:cstheme="minorHAnsi"/>
          <w:sz w:val="24"/>
          <w:szCs w:val="24"/>
        </w:rPr>
        <w:t xml:space="preserve"> may have been voicing songs together. Additionally, the piano postludes were frequently ma</w:t>
      </w:r>
      <w:r w:rsidR="00BA4A20">
        <w:rPr>
          <w:rFonts w:cstheme="minorHAnsi"/>
          <w:sz w:val="24"/>
          <w:szCs w:val="24"/>
        </w:rPr>
        <w:t>rked “dance,” further suggesting</w:t>
      </w:r>
      <w:r w:rsidR="00944C39">
        <w:rPr>
          <w:rFonts w:cstheme="minorHAnsi"/>
          <w:sz w:val="24"/>
          <w:szCs w:val="24"/>
        </w:rPr>
        <w:t xml:space="preserve"> way</w:t>
      </w:r>
      <w:r w:rsidR="00BA4A20">
        <w:rPr>
          <w:rFonts w:cstheme="minorHAnsi"/>
          <w:sz w:val="24"/>
          <w:szCs w:val="24"/>
        </w:rPr>
        <w:t>s</w:t>
      </w:r>
      <w:r w:rsidR="00B22F1B">
        <w:rPr>
          <w:rFonts w:cstheme="minorHAnsi"/>
          <w:sz w:val="24"/>
          <w:szCs w:val="24"/>
        </w:rPr>
        <w:t xml:space="preserve"> that</w:t>
      </w:r>
      <w:r>
        <w:rPr>
          <w:rFonts w:cstheme="minorHAnsi"/>
          <w:sz w:val="24"/>
          <w:szCs w:val="24"/>
        </w:rPr>
        <w:t xml:space="preserve"> song</w:t>
      </w:r>
      <w:r w:rsidR="00944C39">
        <w:rPr>
          <w:rFonts w:cstheme="minorHAnsi"/>
          <w:sz w:val="24"/>
          <w:szCs w:val="24"/>
        </w:rPr>
        <w:t xml:space="preserve"> sheet</w:t>
      </w:r>
      <w:r>
        <w:rPr>
          <w:rFonts w:cstheme="minorHAnsi"/>
          <w:sz w:val="24"/>
          <w:szCs w:val="24"/>
        </w:rPr>
        <w:t>s physical</w:t>
      </w:r>
      <w:r w:rsidR="00944C39">
        <w:rPr>
          <w:rFonts w:cstheme="minorHAnsi"/>
          <w:sz w:val="24"/>
          <w:szCs w:val="24"/>
        </w:rPr>
        <w:t>ly engaged the body</w:t>
      </w:r>
      <w:r>
        <w:rPr>
          <w:rFonts w:cstheme="minorHAnsi"/>
          <w:sz w:val="24"/>
          <w:szCs w:val="24"/>
        </w:rPr>
        <w:t>.</w:t>
      </w:r>
    </w:p>
    <w:p w:rsidR="00D029BE" w:rsidRPr="000C0EBC" w:rsidRDefault="00D029BE" w:rsidP="00D72F7F">
      <w:pPr>
        <w:spacing w:line="480" w:lineRule="auto"/>
        <w:ind w:firstLine="720"/>
        <w:contextualSpacing/>
        <w:rPr>
          <w:rFonts w:cstheme="minorHAnsi"/>
          <w:color w:val="FF0000"/>
          <w:sz w:val="24"/>
          <w:szCs w:val="24"/>
        </w:rPr>
      </w:pPr>
      <w:r w:rsidRPr="000C0EBC">
        <w:rPr>
          <w:rFonts w:cstheme="minorHAnsi"/>
          <w:sz w:val="24"/>
          <w:szCs w:val="24"/>
        </w:rPr>
        <w:t>Moreover</w:t>
      </w:r>
      <w:r w:rsidR="00BA4A20">
        <w:rPr>
          <w:rFonts w:cstheme="minorHAnsi"/>
          <w:sz w:val="24"/>
          <w:szCs w:val="24"/>
        </w:rPr>
        <w:t>,</w:t>
      </w:r>
      <w:r w:rsidRPr="000C0EBC">
        <w:rPr>
          <w:rFonts w:cstheme="minorHAnsi"/>
          <w:sz w:val="24"/>
          <w:szCs w:val="24"/>
        </w:rPr>
        <w:t xml:space="preserve"> Hamm’s analysis of popular songs in the decades following the American Civil War concludes by claiming that popular song was “moving out of contact with the realities of life in the United States…painting an essentially false picture of certain aspects of American society.”</w:t>
      </w:r>
      <w:r w:rsidRPr="000C0EBC">
        <w:rPr>
          <w:rStyle w:val="FootnoteReference"/>
          <w:rFonts w:cstheme="minorHAnsi"/>
          <w:sz w:val="24"/>
          <w:szCs w:val="24"/>
        </w:rPr>
        <w:footnoteReference w:id="30"/>
      </w:r>
      <w:r w:rsidRPr="000C0EBC">
        <w:rPr>
          <w:rFonts w:cstheme="minorHAnsi"/>
          <w:sz w:val="24"/>
          <w:szCs w:val="24"/>
        </w:rPr>
        <w:t xml:space="preserve"> Hamm recognizes the sentimental themes of most parlor songs as fabri</w:t>
      </w:r>
      <w:r w:rsidR="00DA30F1">
        <w:rPr>
          <w:rFonts w:cstheme="minorHAnsi"/>
          <w:sz w:val="24"/>
          <w:szCs w:val="24"/>
        </w:rPr>
        <w:t>cations, but does not connect these themes</w:t>
      </w:r>
      <w:r w:rsidRPr="000C0EBC">
        <w:rPr>
          <w:rFonts w:cstheme="minorHAnsi"/>
          <w:sz w:val="24"/>
          <w:szCs w:val="24"/>
        </w:rPr>
        <w:t xml:space="preserve"> to the desire to portray these fabricated identities. The “nostalgic, cautionary, pathetic, or tragic”</w:t>
      </w:r>
      <w:r w:rsidRPr="000C0EBC">
        <w:rPr>
          <w:rStyle w:val="FootnoteReference"/>
          <w:rFonts w:cstheme="minorHAnsi"/>
          <w:sz w:val="24"/>
          <w:szCs w:val="24"/>
        </w:rPr>
        <w:footnoteReference w:id="31"/>
      </w:r>
      <w:r w:rsidRPr="000C0EBC">
        <w:rPr>
          <w:rFonts w:cstheme="minorHAnsi"/>
          <w:sz w:val="24"/>
          <w:szCs w:val="24"/>
        </w:rPr>
        <w:t xml:space="preserve"> content Hamm found in the majority of parlor songs reinforces normative courtship behaviors and acceptable Victorian genteel ideas. Chas. K Harris’ monumental success “Aft</w:t>
      </w:r>
      <w:r>
        <w:rPr>
          <w:rFonts w:cstheme="minorHAnsi"/>
          <w:sz w:val="24"/>
          <w:szCs w:val="24"/>
        </w:rPr>
        <w:t>er the Ball,”</w:t>
      </w:r>
      <w:r w:rsidR="00DA30F1">
        <w:rPr>
          <w:rStyle w:val="FootnoteReference"/>
          <w:rFonts w:cstheme="minorHAnsi"/>
          <w:sz w:val="24"/>
          <w:szCs w:val="24"/>
        </w:rPr>
        <w:footnoteReference w:id="32"/>
      </w:r>
      <w:r>
        <w:rPr>
          <w:rFonts w:cstheme="minorHAnsi"/>
          <w:sz w:val="24"/>
          <w:szCs w:val="24"/>
        </w:rPr>
        <w:t xml:space="preserve"> published in 1892</w:t>
      </w:r>
      <w:r w:rsidR="00DA30F1">
        <w:rPr>
          <w:rFonts w:cstheme="minorHAnsi"/>
          <w:sz w:val="24"/>
          <w:szCs w:val="24"/>
        </w:rPr>
        <w:t>,</w:t>
      </w:r>
      <w:r w:rsidRPr="000C0EBC">
        <w:rPr>
          <w:rFonts w:cstheme="minorHAnsi"/>
          <w:sz w:val="24"/>
          <w:szCs w:val="24"/>
        </w:rPr>
        <w:t xml:space="preserve"> fits this model, wherein an elderly man nostalgically recalls a failed attempt at love. In contrast, comic songs are equally false, as the wildly exaggerated identities they portray are not direct depictions of reality</w:t>
      </w:r>
      <w:r w:rsidR="001B1BA5">
        <w:rPr>
          <w:rFonts w:cstheme="minorHAnsi"/>
          <w:sz w:val="24"/>
          <w:szCs w:val="24"/>
        </w:rPr>
        <w:t>,</w:t>
      </w:r>
      <w:r w:rsidRPr="000C0EBC">
        <w:rPr>
          <w:rFonts w:cstheme="minorHAnsi"/>
          <w:sz w:val="24"/>
          <w:szCs w:val="24"/>
        </w:rPr>
        <w:t xml:space="preserve"> and they do not paint a desirable or ideal picture of any aspect of American society. Comic character pieces portray </w:t>
      </w:r>
      <w:r w:rsidR="001B1BA5">
        <w:rPr>
          <w:rFonts w:cstheme="minorHAnsi"/>
          <w:sz w:val="24"/>
          <w:szCs w:val="24"/>
        </w:rPr>
        <w:t>low-</w:t>
      </w:r>
      <w:r w:rsidRPr="000C0EBC">
        <w:rPr>
          <w:rFonts w:cstheme="minorHAnsi"/>
          <w:sz w:val="24"/>
          <w:szCs w:val="24"/>
        </w:rPr>
        <w:t xml:space="preserve">class or foolish </w:t>
      </w:r>
      <w:r w:rsidR="001B1BA5">
        <w:rPr>
          <w:rFonts w:cstheme="minorHAnsi"/>
          <w:sz w:val="24"/>
          <w:szCs w:val="24"/>
        </w:rPr>
        <w:t xml:space="preserve">characters; parody songs reveal </w:t>
      </w:r>
      <w:r w:rsidRPr="000C0EBC">
        <w:rPr>
          <w:rFonts w:cstheme="minorHAnsi"/>
          <w:sz w:val="24"/>
          <w:szCs w:val="24"/>
        </w:rPr>
        <w:t>farce by extending conventions to exaggerated extremes; and topical comic songs connect directly to real events, but mock and subvert them.</w:t>
      </w:r>
    </w:p>
    <w:p w:rsidR="00D029BE" w:rsidRPr="000C0EBC" w:rsidRDefault="00D029BE" w:rsidP="00D029BE">
      <w:pPr>
        <w:spacing w:line="480" w:lineRule="auto"/>
        <w:contextualSpacing/>
        <w:rPr>
          <w:rFonts w:cstheme="minorHAnsi"/>
          <w:sz w:val="24"/>
          <w:szCs w:val="24"/>
        </w:rPr>
      </w:pPr>
      <w:r w:rsidRPr="000C0EBC">
        <w:rPr>
          <w:rFonts w:cstheme="minorHAnsi"/>
          <w:sz w:val="24"/>
          <w:szCs w:val="24"/>
        </w:rPr>
        <w:tab/>
        <w:t xml:space="preserve">Among the comic songs, sub-categories stand out. The most prevalent is the “comic character piece,” involving narratives, told in the first person by the “comic character,” offering ready opportunities to embody alternative lowbrow identities. For example, the 1875 song </w:t>
      </w:r>
      <w:r w:rsidRPr="000C0EBC">
        <w:rPr>
          <w:rFonts w:cstheme="minorHAnsi"/>
          <w:sz w:val="24"/>
          <w:szCs w:val="24"/>
        </w:rPr>
        <w:lastRenderedPageBreak/>
        <w:t>“F</w:t>
      </w:r>
      <w:r w:rsidR="0066394C">
        <w:rPr>
          <w:rFonts w:cstheme="minorHAnsi"/>
          <w:sz w:val="24"/>
          <w:szCs w:val="24"/>
        </w:rPr>
        <w:t>unny Old Gal,”</w:t>
      </w:r>
      <w:r w:rsidR="001B1BA5" w:rsidRPr="001B1BA5">
        <w:rPr>
          <w:rStyle w:val="FootnoteReference"/>
          <w:rFonts w:cstheme="minorHAnsi"/>
          <w:sz w:val="24"/>
          <w:szCs w:val="24"/>
        </w:rPr>
        <w:t xml:space="preserve"> </w:t>
      </w:r>
      <w:r w:rsidR="001B1BA5" w:rsidRPr="000C0EBC">
        <w:rPr>
          <w:rStyle w:val="FootnoteReference"/>
          <w:rFonts w:cstheme="minorHAnsi"/>
          <w:sz w:val="24"/>
          <w:szCs w:val="24"/>
        </w:rPr>
        <w:footnoteReference w:id="33"/>
      </w:r>
      <w:r w:rsidR="001B1BA5">
        <w:rPr>
          <w:rFonts w:cstheme="minorHAnsi"/>
          <w:sz w:val="24"/>
          <w:szCs w:val="24"/>
        </w:rPr>
        <w:t xml:space="preserve"> </w:t>
      </w:r>
      <w:r w:rsidR="0066394C">
        <w:rPr>
          <w:rFonts w:cstheme="minorHAnsi"/>
          <w:sz w:val="24"/>
          <w:szCs w:val="24"/>
        </w:rPr>
        <w:t>adopts</w:t>
      </w:r>
      <w:r w:rsidRPr="000C0EBC">
        <w:rPr>
          <w:rFonts w:cstheme="minorHAnsi"/>
          <w:sz w:val="24"/>
          <w:szCs w:val="24"/>
        </w:rPr>
        <w:t xml:space="preserve"> the point of view of an eccentric old woman who gets in street fights and looks for another husba</w:t>
      </w:r>
      <w:r w:rsidR="001B1BA5">
        <w:rPr>
          <w:rFonts w:cstheme="minorHAnsi"/>
          <w:sz w:val="24"/>
          <w:szCs w:val="24"/>
        </w:rPr>
        <w:t xml:space="preserve">nd even though she already has </w:t>
      </w:r>
      <w:r w:rsidRPr="000C0EBC">
        <w:rPr>
          <w:rFonts w:cstheme="minorHAnsi"/>
          <w:sz w:val="24"/>
          <w:szCs w:val="24"/>
        </w:rPr>
        <w:t xml:space="preserve">nine. For male performers this song would involve slipping into a female identity to enact a criticism of it; and for female performers, this character </w:t>
      </w:r>
      <w:r w:rsidR="001B1BA5">
        <w:rPr>
          <w:rFonts w:cstheme="minorHAnsi"/>
          <w:sz w:val="24"/>
          <w:szCs w:val="24"/>
        </w:rPr>
        <w:t>would involve representing the S</w:t>
      </w:r>
      <w:r w:rsidRPr="000C0EBC">
        <w:rPr>
          <w:rFonts w:cstheme="minorHAnsi"/>
          <w:sz w:val="24"/>
          <w:szCs w:val="24"/>
        </w:rPr>
        <w:t>elf in an alternate identity.</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Other useful comic song categorizations include</w:t>
      </w:r>
      <w:r w:rsidR="0066394C">
        <w:rPr>
          <w:rFonts w:cstheme="minorHAnsi"/>
          <w:sz w:val="24"/>
          <w:szCs w:val="24"/>
        </w:rPr>
        <w:t xml:space="preserve"> “parody” and “topical” songs. Parody most often designated a song with </w:t>
      </w:r>
      <w:proofErr w:type="spellStart"/>
      <w:r w:rsidR="0066394C">
        <w:rPr>
          <w:rFonts w:cstheme="minorHAnsi"/>
          <w:sz w:val="24"/>
          <w:szCs w:val="24"/>
        </w:rPr>
        <w:t>intertextual</w:t>
      </w:r>
      <w:proofErr w:type="spellEnd"/>
      <w:r w:rsidR="0066394C">
        <w:rPr>
          <w:rFonts w:cstheme="minorHAnsi"/>
          <w:sz w:val="24"/>
          <w:szCs w:val="24"/>
        </w:rPr>
        <w:t xml:space="preserve"> relationships</w:t>
      </w:r>
      <w:r w:rsidRPr="000C0EBC">
        <w:rPr>
          <w:rFonts w:cstheme="minorHAnsi"/>
          <w:sz w:val="24"/>
          <w:szCs w:val="24"/>
        </w:rPr>
        <w:t xml:space="preserve"> to another. Parodies</w:t>
      </w:r>
      <w:r w:rsidR="0066394C">
        <w:rPr>
          <w:rFonts w:cstheme="minorHAnsi"/>
          <w:sz w:val="24"/>
          <w:szCs w:val="24"/>
        </w:rPr>
        <w:t xml:space="preserve"> usually</w:t>
      </w:r>
      <w:r w:rsidRPr="000C0EBC">
        <w:rPr>
          <w:rFonts w:cstheme="minorHAnsi"/>
          <w:sz w:val="24"/>
          <w:szCs w:val="24"/>
        </w:rPr>
        <w:t xml:space="preserve"> occurred most often in one of two further sub-categories, the medley and the sequel song. The parody medley involved arranging a variety of other popular melodies, and changing their lyri</w:t>
      </w:r>
      <w:r w:rsidR="0066394C">
        <w:rPr>
          <w:rFonts w:cstheme="minorHAnsi"/>
          <w:sz w:val="24"/>
          <w:szCs w:val="24"/>
        </w:rPr>
        <w:t>cs to present one humorous idea. For example,</w:t>
      </w:r>
      <w:r w:rsidRPr="000C0EBC">
        <w:rPr>
          <w:rFonts w:cstheme="minorHAnsi"/>
          <w:sz w:val="24"/>
          <w:szCs w:val="24"/>
        </w:rPr>
        <w:t xml:space="preserve"> 1881’s “Domestic Squabbl</w:t>
      </w:r>
      <w:r w:rsidR="0066394C">
        <w:rPr>
          <w:rFonts w:cstheme="minorHAnsi"/>
          <w:sz w:val="24"/>
          <w:szCs w:val="24"/>
        </w:rPr>
        <w:t xml:space="preserve">es, or, My Mother </w:t>
      </w:r>
      <w:proofErr w:type="gramStart"/>
      <w:r w:rsidR="0066394C">
        <w:rPr>
          <w:rFonts w:cstheme="minorHAnsi"/>
          <w:sz w:val="24"/>
          <w:szCs w:val="24"/>
        </w:rPr>
        <w:t>In</w:t>
      </w:r>
      <w:proofErr w:type="gramEnd"/>
      <w:r w:rsidR="0066394C">
        <w:rPr>
          <w:rFonts w:cstheme="minorHAnsi"/>
          <w:sz w:val="24"/>
          <w:szCs w:val="24"/>
        </w:rPr>
        <w:t xml:space="preserve"> Law,”</w:t>
      </w:r>
      <w:r w:rsidRPr="000C0EBC">
        <w:rPr>
          <w:rFonts w:cstheme="minorHAnsi"/>
          <w:sz w:val="24"/>
          <w:szCs w:val="24"/>
        </w:rPr>
        <w:t xml:space="preserve"> transforms songs of the day, such as “Take This Message to My Mother” and “I Love to Think of the Days When I Was Young,</w:t>
      </w:r>
      <w:r w:rsidR="001B1BA5">
        <w:rPr>
          <w:rFonts w:cstheme="minorHAnsi"/>
          <w:sz w:val="24"/>
          <w:szCs w:val="24"/>
        </w:rPr>
        <w:t>” into complaints about an over</w:t>
      </w:r>
      <w:r w:rsidRPr="000C0EBC">
        <w:rPr>
          <w:rFonts w:cstheme="minorHAnsi"/>
          <w:sz w:val="24"/>
          <w:szCs w:val="24"/>
        </w:rPr>
        <w:t>bearing mother-in-law.</w:t>
      </w:r>
      <w:r w:rsidRPr="000C0EBC">
        <w:rPr>
          <w:rStyle w:val="FootnoteReference"/>
          <w:rFonts w:cstheme="minorHAnsi"/>
          <w:sz w:val="24"/>
          <w:szCs w:val="24"/>
        </w:rPr>
        <w:footnoteReference w:id="34"/>
      </w:r>
      <w:r w:rsidRPr="000C0EBC">
        <w:rPr>
          <w:rFonts w:cstheme="minorHAnsi"/>
          <w:sz w:val="24"/>
          <w:szCs w:val="24"/>
        </w:rPr>
        <w:t xml:space="preserve"> The sequel song usually did not directly quote the music of a previous song, but closely paralleled its style while the lyrics continue</w:t>
      </w:r>
      <w:r w:rsidR="0066394C">
        <w:rPr>
          <w:rFonts w:cstheme="minorHAnsi"/>
          <w:sz w:val="24"/>
          <w:szCs w:val="24"/>
        </w:rPr>
        <w:t>d</w:t>
      </w:r>
      <w:r w:rsidRPr="000C0EBC">
        <w:rPr>
          <w:rFonts w:cstheme="minorHAnsi"/>
          <w:sz w:val="24"/>
          <w:szCs w:val="24"/>
        </w:rPr>
        <w:t xml:space="preserve"> the narrative of the earlier song, but in an unexpected and humorous manner. The 1888 song “How I Got Even </w:t>
      </w:r>
      <w:proofErr w:type="gramStart"/>
      <w:r w:rsidRPr="000C0EBC">
        <w:rPr>
          <w:rFonts w:cstheme="minorHAnsi"/>
          <w:sz w:val="24"/>
          <w:szCs w:val="24"/>
        </w:rPr>
        <w:t>With</w:t>
      </w:r>
      <w:proofErr w:type="gramEnd"/>
      <w:r w:rsidRPr="000C0EBC">
        <w:rPr>
          <w:rFonts w:cstheme="minorHAnsi"/>
          <w:sz w:val="24"/>
          <w:szCs w:val="24"/>
        </w:rPr>
        <w:t xml:space="preserve"> O'Grady: Companion Song to Harry Kennedy's Great Hit, ‘I Owe Ten Dollars to O'Grady,’”</w:t>
      </w:r>
      <w:r w:rsidR="001B1BA5" w:rsidRPr="001B1BA5">
        <w:rPr>
          <w:rStyle w:val="FootnoteReference"/>
          <w:rFonts w:cstheme="minorHAnsi"/>
          <w:sz w:val="24"/>
          <w:szCs w:val="24"/>
        </w:rPr>
        <w:t xml:space="preserve"> </w:t>
      </w:r>
      <w:r w:rsidR="001B1BA5" w:rsidRPr="000C0EBC">
        <w:rPr>
          <w:rStyle w:val="FootnoteReference"/>
          <w:rFonts w:cstheme="minorHAnsi"/>
          <w:sz w:val="24"/>
          <w:szCs w:val="24"/>
        </w:rPr>
        <w:footnoteReference w:id="35"/>
      </w:r>
      <w:r w:rsidRPr="000C0EBC">
        <w:rPr>
          <w:rFonts w:cstheme="minorHAnsi"/>
          <w:sz w:val="24"/>
          <w:szCs w:val="24"/>
        </w:rPr>
        <w:t xml:space="preserve"> takes a narrative on a</w:t>
      </w:r>
      <w:r w:rsidR="001B1BA5">
        <w:rPr>
          <w:rFonts w:cstheme="minorHAnsi"/>
          <w:sz w:val="24"/>
          <w:szCs w:val="24"/>
        </w:rPr>
        <w:t>n immigrant’s crippling poverty</w:t>
      </w:r>
      <w:r w:rsidRPr="000C0EBC">
        <w:rPr>
          <w:rFonts w:cstheme="minorHAnsi"/>
          <w:sz w:val="24"/>
          <w:szCs w:val="24"/>
        </w:rPr>
        <w:t xml:space="preserve"> and transforms it into a comical tale of revenge and adultery. The term “topical” was generally applied to songs on contemporary political and cultural events, and even included specific names within the lyrics. For example the 1875 song “Upside Down” </w:t>
      </w:r>
      <w:r w:rsidRPr="000C0EBC">
        <w:rPr>
          <w:rFonts w:cstheme="minorHAnsi"/>
          <w:sz w:val="24"/>
          <w:szCs w:val="24"/>
        </w:rPr>
        <w:lastRenderedPageBreak/>
        <w:t>narrates a strange dream where public figures such as Queen Victoria, P.T. Barnum, Jay Gould</w:t>
      </w:r>
      <w:r w:rsidR="00702BA8">
        <w:rPr>
          <w:rFonts w:cstheme="minorHAnsi"/>
          <w:sz w:val="24"/>
          <w:szCs w:val="24"/>
        </w:rPr>
        <w:t>,</w:t>
      </w:r>
      <w:r w:rsidRPr="000C0EBC">
        <w:rPr>
          <w:rFonts w:cstheme="minorHAnsi"/>
          <w:sz w:val="24"/>
          <w:szCs w:val="24"/>
        </w:rPr>
        <w:t xml:space="preserve"> and Brigham Young all behave in comically contradictory manners to their normal personas; here Harriet Beecher Stowe even “danced the Can Can—when the world turned upside down.”</w:t>
      </w:r>
      <w:r w:rsidRPr="000C0EBC">
        <w:rPr>
          <w:rStyle w:val="FootnoteReference"/>
          <w:rFonts w:cstheme="minorHAnsi"/>
          <w:sz w:val="24"/>
          <w:szCs w:val="24"/>
        </w:rPr>
        <w:footnoteReference w:id="36"/>
      </w:r>
      <w:r w:rsidRPr="000C0EBC">
        <w:rPr>
          <w:rFonts w:cstheme="minorHAnsi"/>
          <w:sz w:val="24"/>
          <w:szCs w:val="24"/>
        </w:rPr>
        <w:t xml:space="preserve"> Although sentimental songs were written about important contemporary issues such as temperance, topical songs largely fall on the comic side of the bi</w:t>
      </w:r>
      <w:r w:rsidR="0066394C">
        <w:rPr>
          <w:rFonts w:cstheme="minorHAnsi"/>
          <w:sz w:val="24"/>
          <w:szCs w:val="24"/>
        </w:rPr>
        <w:t>nary division, as their</w:t>
      </w:r>
      <w:r w:rsidRPr="000C0EBC">
        <w:rPr>
          <w:rFonts w:cstheme="minorHAnsi"/>
          <w:sz w:val="24"/>
          <w:szCs w:val="24"/>
        </w:rPr>
        <w:t xml:space="preserve"> explicit conne</w:t>
      </w:r>
      <w:r w:rsidR="0066394C">
        <w:rPr>
          <w:rFonts w:cstheme="minorHAnsi"/>
          <w:sz w:val="24"/>
          <w:szCs w:val="24"/>
        </w:rPr>
        <w:t>ctions to current events, instead of</w:t>
      </w:r>
      <w:r w:rsidRPr="000C0EBC">
        <w:rPr>
          <w:rFonts w:cstheme="minorHAnsi"/>
          <w:sz w:val="24"/>
          <w:szCs w:val="24"/>
        </w:rPr>
        <w:t xml:space="preserve"> imagined idealized pasts</w:t>
      </w:r>
      <w:r w:rsidR="0066394C">
        <w:rPr>
          <w:rFonts w:cstheme="minorHAnsi"/>
          <w:sz w:val="24"/>
          <w:szCs w:val="24"/>
        </w:rPr>
        <w:t>, do</w:t>
      </w:r>
      <w:r w:rsidRPr="000C0EBC">
        <w:rPr>
          <w:rFonts w:cstheme="minorHAnsi"/>
          <w:sz w:val="24"/>
          <w:szCs w:val="24"/>
        </w:rPr>
        <w:t xml:space="preserve"> not fit the pathetic and nostalgic aesthetic of sentimental songs.</w:t>
      </w:r>
    </w:p>
    <w:p w:rsidR="00D029BE" w:rsidRPr="000C0EBC" w:rsidRDefault="00D029BE" w:rsidP="004144E4">
      <w:pPr>
        <w:spacing w:line="480" w:lineRule="auto"/>
        <w:ind w:firstLine="720"/>
        <w:contextualSpacing/>
        <w:rPr>
          <w:rFonts w:cstheme="minorHAnsi"/>
          <w:sz w:val="24"/>
          <w:szCs w:val="24"/>
        </w:rPr>
      </w:pPr>
      <w:r w:rsidRPr="000C0EBC">
        <w:rPr>
          <w:rFonts w:cstheme="minorHAnsi"/>
          <w:sz w:val="24"/>
          <w:szCs w:val="24"/>
        </w:rPr>
        <w:t>The existence of comic songs and musical performances in the American parlor extend further back and forward than my delimitation of 1865 to 1917, but these years encompass the apex of parlor performances’ cultural import. The essential industries necessary to parlor performance—songs sheets and pianos—were already in place before 1865, but new technologies allowed them to reach a wider number of consumers, and the late-nineteenth-century cultural discourse gave them new significance. Charles Hamm placed the “important beginnings”</w:t>
      </w:r>
      <w:r w:rsidRPr="000C0EBC">
        <w:rPr>
          <w:rStyle w:val="FootnoteReference"/>
          <w:rFonts w:cstheme="minorHAnsi"/>
          <w:sz w:val="24"/>
          <w:szCs w:val="24"/>
        </w:rPr>
        <w:footnoteReference w:id="37"/>
      </w:r>
      <w:r w:rsidRPr="000C0EBC">
        <w:rPr>
          <w:rFonts w:cstheme="minorHAnsi"/>
          <w:sz w:val="24"/>
          <w:szCs w:val="24"/>
        </w:rPr>
        <w:t xml:space="preserve"> of American popular song in the generation of the 1780s, the same time period</w:t>
      </w:r>
      <w:r w:rsidR="006A7F29">
        <w:rPr>
          <w:rFonts w:cstheme="minorHAnsi"/>
          <w:sz w:val="24"/>
          <w:szCs w:val="24"/>
        </w:rPr>
        <w:t xml:space="preserve"> that</w:t>
      </w:r>
      <w:r w:rsidRPr="000C0EBC">
        <w:rPr>
          <w:rFonts w:cstheme="minorHAnsi"/>
          <w:sz w:val="24"/>
          <w:szCs w:val="24"/>
        </w:rPr>
        <w:t xml:space="preserve"> Richard J. Wolfe claims as the “establishment” of an American “music-publishing industry.”</w:t>
      </w:r>
      <w:r w:rsidRPr="000C0EBC">
        <w:rPr>
          <w:rStyle w:val="FootnoteReference"/>
          <w:rFonts w:cstheme="minorHAnsi"/>
          <w:sz w:val="24"/>
          <w:szCs w:val="24"/>
        </w:rPr>
        <w:footnoteReference w:id="38"/>
      </w:r>
      <w:r w:rsidRPr="000C0EBC">
        <w:rPr>
          <w:rFonts w:cstheme="minorHAnsi"/>
          <w:sz w:val="24"/>
          <w:szCs w:val="24"/>
        </w:rPr>
        <w:t xml:space="preserve"> Although commercially produced songs were available, the mass production and mass dissemination of music in th</w:t>
      </w:r>
      <w:r w:rsidR="00F3534B">
        <w:rPr>
          <w:rFonts w:cstheme="minorHAnsi"/>
          <w:sz w:val="24"/>
          <w:szCs w:val="24"/>
        </w:rPr>
        <w:t xml:space="preserve">e latter half of the nineteenth </w:t>
      </w:r>
      <w:r w:rsidRPr="000C0EBC">
        <w:rPr>
          <w:rFonts w:cstheme="minorHAnsi"/>
          <w:sz w:val="24"/>
          <w:szCs w:val="24"/>
        </w:rPr>
        <w:t xml:space="preserve">century meant a significant increase in the number of Americans who had access to this music. From the “few dozen </w:t>
      </w:r>
      <w:r w:rsidRPr="000C0EBC">
        <w:rPr>
          <w:rFonts w:cstheme="minorHAnsi"/>
          <w:sz w:val="24"/>
          <w:szCs w:val="24"/>
        </w:rPr>
        <w:lastRenderedPageBreak/>
        <w:t>printers”</w:t>
      </w:r>
      <w:r w:rsidRPr="000C0EBC">
        <w:rPr>
          <w:rStyle w:val="FootnoteReference"/>
          <w:rFonts w:cstheme="minorHAnsi"/>
          <w:sz w:val="24"/>
          <w:szCs w:val="24"/>
        </w:rPr>
        <w:footnoteReference w:id="39"/>
      </w:r>
      <w:r w:rsidRPr="000C0EBC">
        <w:rPr>
          <w:rFonts w:cstheme="minorHAnsi"/>
          <w:sz w:val="24"/>
          <w:szCs w:val="24"/>
        </w:rPr>
        <w:t xml:space="preserve"> </w:t>
      </w:r>
      <w:r w:rsidR="006A7F29">
        <w:rPr>
          <w:rFonts w:cstheme="minorHAnsi"/>
          <w:sz w:val="24"/>
          <w:szCs w:val="24"/>
        </w:rPr>
        <w:t xml:space="preserve">Russell </w:t>
      </w:r>
      <w:proofErr w:type="spellStart"/>
      <w:r w:rsidRPr="000C0EBC">
        <w:rPr>
          <w:rFonts w:cstheme="minorHAnsi"/>
          <w:sz w:val="24"/>
          <w:szCs w:val="24"/>
        </w:rPr>
        <w:t>Sanjek</w:t>
      </w:r>
      <w:proofErr w:type="spellEnd"/>
      <w:r w:rsidRPr="000C0EBC">
        <w:rPr>
          <w:rFonts w:cstheme="minorHAnsi"/>
          <w:sz w:val="24"/>
          <w:szCs w:val="24"/>
        </w:rPr>
        <w:t xml:space="preserve"> found at </w:t>
      </w:r>
      <w:r w:rsidR="00F3534B">
        <w:rPr>
          <w:rFonts w:cstheme="minorHAnsi"/>
          <w:sz w:val="24"/>
          <w:szCs w:val="24"/>
        </w:rPr>
        <w:t xml:space="preserve">the beginning of the nineteenth </w:t>
      </w:r>
      <w:r w:rsidRPr="000C0EBC">
        <w:rPr>
          <w:rFonts w:cstheme="minorHAnsi"/>
          <w:sz w:val="24"/>
          <w:szCs w:val="24"/>
        </w:rPr>
        <w:t xml:space="preserve">century, the number skyrockets into the hundreds. </w:t>
      </w:r>
      <w:proofErr w:type="spellStart"/>
      <w:r w:rsidRPr="000C0EBC">
        <w:rPr>
          <w:rFonts w:cstheme="minorHAnsi"/>
          <w:sz w:val="24"/>
          <w:szCs w:val="24"/>
        </w:rPr>
        <w:t>Sanjek</w:t>
      </w:r>
      <w:proofErr w:type="spellEnd"/>
      <w:r w:rsidRPr="000C0EBC">
        <w:rPr>
          <w:rFonts w:cstheme="minorHAnsi"/>
          <w:sz w:val="24"/>
          <w:szCs w:val="24"/>
        </w:rPr>
        <w:t xml:space="preserve"> tallied the number of pieces printed for piano between 1857 and 1887 at 800,000,</w:t>
      </w:r>
      <w:r w:rsidRPr="000C0EBC">
        <w:rPr>
          <w:rStyle w:val="FootnoteReference"/>
          <w:rFonts w:cstheme="minorHAnsi"/>
          <w:sz w:val="24"/>
          <w:szCs w:val="24"/>
        </w:rPr>
        <w:footnoteReference w:id="40"/>
      </w:r>
      <w:r w:rsidRPr="000C0EBC">
        <w:rPr>
          <w:rFonts w:cstheme="minorHAnsi"/>
          <w:sz w:val="24"/>
          <w:szCs w:val="24"/>
        </w:rPr>
        <w:t xml:space="preserve"> and among them, “a considerable number…were for voice and piano.”</w:t>
      </w:r>
      <w:r w:rsidRPr="000C0EBC">
        <w:rPr>
          <w:rStyle w:val="FootnoteReference"/>
          <w:rFonts w:cstheme="minorHAnsi"/>
          <w:sz w:val="24"/>
          <w:szCs w:val="24"/>
        </w:rPr>
        <w:footnoteReference w:id="41"/>
      </w:r>
      <w:r w:rsidR="00944C39">
        <w:rPr>
          <w:rFonts w:cstheme="minorHAnsi"/>
          <w:sz w:val="24"/>
          <w:szCs w:val="24"/>
        </w:rPr>
        <w:t xml:space="preserve"> Publishers also frequently released versions of songs arranged for voice and guitar, banjo, or mandolin, widening the potential consumer base</w:t>
      </w:r>
      <w:r w:rsidR="004144E4">
        <w:rPr>
          <w:rFonts w:cstheme="minorHAnsi"/>
          <w:sz w:val="24"/>
          <w:szCs w:val="24"/>
        </w:rPr>
        <w:t xml:space="preserve">. </w:t>
      </w:r>
      <w:r w:rsidRPr="000C0EBC">
        <w:rPr>
          <w:rFonts w:cstheme="minorHAnsi"/>
          <w:sz w:val="24"/>
          <w:szCs w:val="24"/>
        </w:rPr>
        <w:t>These printers took advantage of the massive expansion of railroads at the time, which Karl Miller noted, “made it possible to deliver a wealth of consumer products into even previously remote areas.”</w:t>
      </w:r>
      <w:r w:rsidRPr="000C0EBC">
        <w:rPr>
          <w:rStyle w:val="FootnoteReference"/>
          <w:rFonts w:cstheme="minorHAnsi"/>
          <w:sz w:val="24"/>
          <w:szCs w:val="24"/>
        </w:rPr>
        <w:footnoteReference w:id="42"/>
      </w:r>
      <w:r w:rsidRPr="000C0EBC">
        <w:rPr>
          <w:rFonts w:cstheme="minorHAnsi"/>
          <w:sz w:val="24"/>
          <w:szCs w:val="24"/>
        </w:rPr>
        <w:t xml:space="preserve"> In the time “between 1869 and 1900</w:t>
      </w:r>
      <w:r w:rsidR="006A7F29">
        <w:rPr>
          <w:rFonts w:cstheme="minorHAnsi"/>
          <w:sz w:val="24"/>
          <w:szCs w:val="24"/>
        </w:rPr>
        <w:t>,</w:t>
      </w:r>
      <w:r w:rsidRPr="000C0EBC">
        <w:rPr>
          <w:rFonts w:cstheme="minorHAnsi"/>
          <w:sz w:val="24"/>
          <w:szCs w:val="24"/>
        </w:rPr>
        <w:t>” Miller found the “train companies completed appr</w:t>
      </w:r>
      <w:r w:rsidR="006A7F29">
        <w:rPr>
          <w:rFonts w:cstheme="minorHAnsi"/>
          <w:sz w:val="24"/>
          <w:szCs w:val="24"/>
        </w:rPr>
        <w:t>oximately 100,000 miles of rail</w:t>
      </w:r>
      <w:r w:rsidRPr="000C0EBC">
        <w:rPr>
          <w:rFonts w:cstheme="minorHAnsi"/>
          <w:sz w:val="24"/>
          <w:szCs w:val="24"/>
        </w:rPr>
        <w:t>”</w:t>
      </w:r>
      <w:r w:rsidRPr="000C0EBC">
        <w:rPr>
          <w:rStyle w:val="FootnoteReference"/>
          <w:rFonts w:cstheme="minorHAnsi"/>
          <w:sz w:val="24"/>
          <w:szCs w:val="24"/>
        </w:rPr>
        <w:footnoteReference w:id="43"/>
      </w:r>
      <w:r w:rsidRPr="000C0EBC">
        <w:rPr>
          <w:rFonts w:cstheme="minorHAnsi"/>
          <w:sz w:val="24"/>
          <w:szCs w:val="24"/>
        </w:rPr>
        <w:t xml:space="preserve"> all over the United States, allowing unprecedented reach of commercial products into markets.</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 xml:space="preserve">Outside of the physical </w:t>
      </w:r>
      <w:r w:rsidR="006A7F29">
        <w:rPr>
          <w:rFonts w:cstheme="minorHAnsi"/>
          <w:sz w:val="24"/>
          <w:szCs w:val="24"/>
        </w:rPr>
        <w:t>manufacturing practices that le</w:t>
      </w:r>
      <w:r w:rsidRPr="000C0EBC">
        <w:rPr>
          <w:rFonts w:cstheme="minorHAnsi"/>
          <w:sz w:val="24"/>
          <w:szCs w:val="24"/>
        </w:rPr>
        <w:t>d to an increase in th</w:t>
      </w:r>
      <w:r w:rsidR="006A7F29">
        <w:rPr>
          <w:rFonts w:cstheme="minorHAnsi"/>
          <w:sz w:val="24"/>
          <w:szCs w:val="24"/>
        </w:rPr>
        <w:t>e availability of parlor songs</w:t>
      </w:r>
      <w:r w:rsidRPr="000C0EBC">
        <w:rPr>
          <w:rFonts w:cstheme="minorHAnsi"/>
          <w:sz w:val="24"/>
          <w:szCs w:val="24"/>
        </w:rPr>
        <w:t>, th</w:t>
      </w:r>
      <w:r w:rsidR="00F3534B">
        <w:rPr>
          <w:rFonts w:cstheme="minorHAnsi"/>
          <w:sz w:val="24"/>
          <w:szCs w:val="24"/>
        </w:rPr>
        <w:t xml:space="preserve">e latter half of the nineteenth </w:t>
      </w:r>
      <w:r w:rsidRPr="000C0EBC">
        <w:rPr>
          <w:rFonts w:cstheme="minorHAnsi"/>
          <w:sz w:val="24"/>
          <w:szCs w:val="24"/>
        </w:rPr>
        <w:t>century contained profound cultural shifts, to which I have already alluded, that reframed the performance of music. The concept of the parlor in the American home reached its</w:t>
      </w:r>
      <w:r w:rsidR="006A7F29">
        <w:rPr>
          <w:rFonts w:cstheme="minorHAnsi"/>
          <w:sz w:val="24"/>
          <w:szCs w:val="24"/>
        </w:rPr>
        <w:t xml:space="preserve"> height, according to </w:t>
      </w:r>
      <w:r w:rsidRPr="000C0EBC">
        <w:rPr>
          <w:rFonts w:cstheme="minorHAnsi"/>
          <w:sz w:val="24"/>
          <w:szCs w:val="24"/>
        </w:rPr>
        <w:t>Grier, during “the 1870s through the turn of century, with the 1890s as its apex.”</w:t>
      </w:r>
      <w:r w:rsidRPr="000C0EBC">
        <w:rPr>
          <w:rStyle w:val="FootnoteReference"/>
          <w:rFonts w:cstheme="minorHAnsi"/>
          <w:sz w:val="24"/>
          <w:szCs w:val="24"/>
        </w:rPr>
        <w:footnoteReference w:id="44"/>
      </w:r>
      <w:r w:rsidRPr="000C0EBC">
        <w:rPr>
          <w:rFonts w:cstheme="minorHAnsi"/>
          <w:sz w:val="24"/>
          <w:szCs w:val="24"/>
        </w:rPr>
        <w:t xml:space="preserve"> The notions of refinement and </w:t>
      </w:r>
      <w:r w:rsidR="0066394C">
        <w:rPr>
          <w:rFonts w:cstheme="minorHAnsi"/>
          <w:sz w:val="24"/>
          <w:szCs w:val="24"/>
        </w:rPr>
        <w:t>gentility that defined this</w:t>
      </w:r>
      <w:r w:rsidRPr="000C0EBC">
        <w:rPr>
          <w:rFonts w:cstheme="minorHAnsi"/>
          <w:sz w:val="24"/>
          <w:szCs w:val="24"/>
        </w:rPr>
        <w:t xml:space="preserve"> prominent space are linked to the emerging s</w:t>
      </w:r>
      <w:r w:rsidR="006A7F29">
        <w:rPr>
          <w:rFonts w:cstheme="minorHAnsi"/>
          <w:sz w:val="24"/>
          <w:szCs w:val="24"/>
        </w:rPr>
        <w:t>acralization of culture that</w:t>
      </w:r>
      <w:r w:rsidRPr="000C0EBC">
        <w:rPr>
          <w:rFonts w:cstheme="minorHAnsi"/>
          <w:sz w:val="24"/>
          <w:szCs w:val="24"/>
        </w:rPr>
        <w:t xml:space="preserve"> Levine </w:t>
      </w:r>
      <w:r w:rsidR="00F3534B">
        <w:rPr>
          <w:rFonts w:cstheme="minorHAnsi"/>
          <w:sz w:val="24"/>
          <w:szCs w:val="24"/>
        </w:rPr>
        <w:t xml:space="preserve">observed in the late nineteenth </w:t>
      </w:r>
      <w:r w:rsidRPr="000C0EBC">
        <w:rPr>
          <w:rFonts w:cstheme="minorHAnsi"/>
          <w:sz w:val="24"/>
          <w:szCs w:val="24"/>
        </w:rPr>
        <w:t>century.</w:t>
      </w:r>
    </w:p>
    <w:p w:rsidR="0066394C" w:rsidRDefault="00D029BE" w:rsidP="00D029BE">
      <w:pPr>
        <w:spacing w:line="480" w:lineRule="auto"/>
        <w:ind w:firstLine="720"/>
        <w:contextualSpacing/>
        <w:rPr>
          <w:rFonts w:cstheme="minorHAnsi"/>
          <w:sz w:val="24"/>
          <w:szCs w:val="24"/>
        </w:rPr>
      </w:pPr>
      <w:r w:rsidRPr="000C0EBC">
        <w:rPr>
          <w:rFonts w:cstheme="minorHAnsi"/>
          <w:sz w:val="24"/>
          <w:szCs w:val="24"/>
        </w:rPr>
        <w:lastRenderedPageBreak/>
        <w:t>I begin specifically after 1865 because of the complicating factor of the American Civil War, which drastically altered the American character, cultural practices, and music. As Charles Hamm put it, “the Civil War was a people’s war, more so than any other in the history of the United States.”</w:t>
      </w:r>
      <w:r w:rsidRPr="000C0EBC">
        <w:rPr>
          <w:rStyle w:val="FootnoteReference"/>
          <w:rFonts w:cstheme="minorHAnsi"/>
          <w:sz w:val="24"/>
          <w:szCs w:val="24"/>
        </w:rPr>
        <w:footnoteReference w:id="45"/>
      </w:r>
      <w:r w:rsidRPr="000C0EBC">
        <w:rPr>
          <w:rFonts w:cstheme="minorHAnsi"/>
          <w:sz w:val="24"/>
          <w:szCs w:val="24"/>
        </w:rPr>
        <w:t xml:space="preserve"> </w:t>
      </w:r>
      <w:r w:rsidR="006A7F29">
        <w:rPr>
          <w:rFonts w:cstheme="minorHAnsi"/>
          <w:sz w:val="24"/>
          <w:szCs w:val="24"/>
        </w:rPr>
        <w:t>Hamm found</w:t>
      </w:r>
      <w:r w:rsidRPr="000C0EBC">
        <w:rPr>
          <w:rFonts w:cstheme="minorHAnsi"/>
          <w:sz w:val="24"/>
          <w:szCs w:val="24"/>
        </w:rPr>
        <w:t xml:space="preserve"> that the content of popular song</w:t>
      </w:r>
      <w:r w:rsidR="006A7F29">
        <w:rPr>
          <w:rFonts w:cstheme="minorHAnsi"/>
          <w:sz w:val="24"/>
          <w:szCs w:val="24"/>
        </w:rPr>
        <w:t xml:space="preserve"> not only</w:t>
      </w:r>
      <w:r w:rsidRPr="000C0EBC">
        <w:rPr>
          <w:rFonts w:cstheme="minorHAnsi"/>
          <w:sz w:val="24"/>
          <w:szCs w:val="24"/>
        </w:rPr>
        <w:t xml:space="preserve"> shifted in these years, it </w:t>
      </w:r>
      <w:r w:rsidR="006A7F29">
        <w:rPr>
          <w:rFonts w:cstheme="minorHAnsi"/>
          <w:sz w:val="24"/>
          <w:szCs w:val="24"/>
        </w:rPr>
        <w:t xml:space="preserve">also </w:t>
      </w:r>
      <w:r w:rsidRPr="000C0EBC">
        <w:rPr>
          <w:rFonts w:cstheme="minorHAnsi"/>
          <w:sz w:val="24"/>
          <w:szCs w:val="24"/>
        </w:rPr>
        <w:t>became “intimately tuned to the pulse of the people” as “never before” or again for “almost a century.”</w:t>
      </w:r>
      <w:r w:rsidRPr="000C0EBC">
        <w:rPr>
          <w:rStyle w:val="FootnoteReference"/>
          <w:rFonts w:cstheme="minorHAnsi"/>
          <w:sz w:val="24"/>
          <w:szCs w:val="24"/>
        </w:rPr>
        <w:footnoteReference w:id="46"/>
      </w:r>
      <w:r w:rsidRPr="000C0EBC">
        <w:rPr>
          <w:rFonts w:cstheme="minorHAnsi"/>
          <w:sz w:val="24"/>
          <w:szCs w:val="24"/>
        </w:rPr>
        <w:t xml:space="preserve"> The song industry drastically changed as well, as Hamm points out, as the South was “denied access to sheet music from the North for the duration of the hostilities,”</w:t>
      </w:r>
      <w:r w:rsidRPr="000C0EBC">
        <w:rPr>
          <w:rStyle w:val="FootnoteReference"/>
          <w:rFonts w:cstheme="minorHAnsi"/>
          <w:sz w:val="24"/>
          <w:szCs w:val="24"/>
        </w:rPr>
        <w:footnoteReference w:id="47"/>
      </w:r>
      <w:r w:rsidRPr="000C0EBC">
        <w:rPr>
          <w:rFonts w:cstheme="minorHAnsi"/>
          <w:sz w:val="24"/>
          <w:szCs w:val="24"/>
        </w:rPr>
        <w:t xml:space="preserve"> spawning the first la</w:t>
      </w:r>
      <w:r w:rsidR="0066394C">
        <w:rPr>
          <w:rFonts w:cstheme="minorHAnsi"/>
          <w:sz w:val="24"/>
          <w:szCs w:val="24"/>
        </w:rPr>
        <w:t>rge southern publishing houses.</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The end date of this study is more porous, and has more to do with technological shifts than the cultural impact of the United States involvement in World War I in</w:t>
      </w:r>
      <w:r w:rsidR="006A7F29">
        <w:rPr>
          <w:rFonts w:cstheme="minorHAnsi"/>
          <w:sz w:val="24"/>
          <w:szCs w:val="24"/>
        </w:rPr>
        <w:t xml:space="preserve"> 1917. The invention and</w:t>
      </w:r>
      <w:r w:rsidRPr="000C0EBC">
        <w:rPr>
          <w:rFonts w:cstheme="minorHAnsi"/>
          <w:sz w:val="24"/>
          <w:szCs w:val="24"/>
        </w:rPr>
        <w:t xml:space="preserve"> increase</w:t>
      </w:r>
      <w:r w:rsidR="006A7F29">
        <w:rPr>
          <w:rFonts w:cstheme="minorHAnsi"/>
          <w:sz w:val="24"/>
          <w:szCs w:val="24"/>
        </w:rPr>
        <w:t>d</w:t>
      </w:r>
      <w:r w:rsidRPr="000C0EBC">
        <w:rPr>
          <w:rFonts w:cstheme="minorHAnsi"/>
          <w:sz w:val="24"/>
          <w:szCs w:val="24"/>
        </w:rPr>
        <w:t xml:space="preserve"> importance of phonograph recordings, player pianos, and radio contributed to dramatic shifts in the modes of</w:t>
      </w:r>
      <w:r w:rsidRPr="000C0EBC">
        <w:rPr>
          <w:rFonts w:cstheme="minorHAnsi"/>
          <w:color w:val="FF0000"/>
          <w:sz w:val="24"/>
          <w:szCs w:val="24"/>
        </w:rPr>
        <w:t xml:space="preserve"> </w:t>
      </w:r>
      <w:r w:rsidRPr="000C0EBC">
        <w:rPr>
          <w:rFonts w:cstheme="minorHAnsi"/>
          <w:sz w:val="24"/>
          <w:szCs w:val="24"/>
        </w:rPr>
        <w:t>domestic m</w:t>
      </w:r>
      <w:r w:rsidR="00686939">
        <w:rPr>
          <w:rFonts w:cstheme="minorHAnsi"/>
          <w:sz w:val="24"/>
          <w:szCs w:val="24"/>
        </w:rPr>
        <w:t>ass music consumption,</w:t>
      </w:r>
      <w:r w:rsidRPr="000C0EBC">
        <w:rPr>
          <w:rFonts w:cstheme="minorHAnsi"/>
          <w:sz w:val="24"/>
          <w:szCs w:val="24"/>
        </w:rPr>
        <w:t xml:space="preserve"> </w:t>
      </w:r>
      <w:r w:rsidR="006A7F29">
        <w:rPr>
          <w:rFonts w:cstheme="minorHAnsi"/>
          <w:sz w:val="24"/>
          <w:szCs w:val="24"/>
        </w:rPr>
        <w:t xml:space="preserve">gradually </w:t>
      </w:r>
      <w:r w:rsidRPr="000C0EBC">
        <w:rPr>
          <w:rFonts w:cstheme="minorHAnsi"/>
          <w:sz w:val="24"/>
          <w:szCs w:val="24"/>
        </w:rPr>
        <w:t>diminishing the importance of song sheets. The early twentieth-century music business became one of “music without musicians,”</w:t>
      </w:r>
      <w:r w:rsidRPr="000C0EBC">
        <w:rPr>
          <w:rStyle w:val="FootnoteReference"/>
          <w:rFonts w:cstheme="minorHAnsi"/>
          <w:sz w:val="24"/>
          <w:szCs w:val="24"/>
        </w:rPr>
        <w:footnoteReference w:id="48"/>
      </w:r>
      <w:r w:rsidRPr="000C0EBC">
        <w:rPr>
          <w:rFonts w:cstheme="minorHAnsi"/>
          <w:sz w:val="24"/>
          <w:szCs w:val="24"/>
        </w:rPr>
        <w:t xml:space="preserve"> according to David </w:t>
      </w:r>
      <w:proofErr w:type="spellStart"/>
      <w:r w:rsidRPr="000C0EBC">
        <w:rPr>
          <w:rFonts w:cstheme="minorHAnsi"/>
          <w:sz w:val="24"/>
          <w:szCs w:val="24"/>
        </w:rPr>
        <w:t>Suisman</w:t>
      </w:r>
      <w:proofErr w:type="spellEnd"/>
      <w:r w:rsidRPr="000C0EBC">
        <w:rPr>
          <w:rFonts w:cstheme="minorHAnsi"/>
          <w:sz w:val="24"/>
          <w:szCs w:val="24"/>
        </w:rPr>
        <w:t>, who argues that “player-pianos and phonographs” differ from “the manual instrument,” i.e. the piano, in that there is a “predetermined outcome of their operation.”</w:t>
      </w:r>
      <w:r w:rsidRPr="000C0EBC">
        <w:rPr>
          <w:rStyle w:val="FootnoteReference"/>
          <w:rFonts w:cstheme="minorHAnsi"/>
          <w:sz w:val="24"/>
          <w:szCs w:val="24"/>
        </w:rPr>
        <w:footnoteReference w:id="49"/>
      </w:r>
      <w:r w:rsidRPr="000C0EBC">
        <w:rPr>
          <w:rFonts w:cstheme="minorHAnsi"/>
          <w:sz w:val="24"/>
          <w:szCs w:val="24"/>
        </w:rPr>
        <w:t xml:space="preserve"> Individual performative actions disappear from these technologies, for as </w:t>
      </w:r>
      <w:proofErr w:type="spellStart"/>
      <w:r w:rsidRPr="000C0EBC">
        <w:rPr>
          <w:rFonts w:cstheme="minorHAnsi"/>
          <w:sz w:val="24"/>
          <w:szCs w:val="24"/>
        </w:rPr>
        <w:t>Suisman</w:t>
      </w:r>
      <w:proofErr w:type="spellEnd"/>
      <w:r w:rsidRPr="000C0EBC">
        <w:rPr>
          <w:rFonts w:cstheme="minorHAnsi"/>
          <w:sz w:val="24"/>
          <w:szCs w:val="24"/>
        </w:rPr>
        <w:t xml:space="preserve"> summarizes:</w:t>
      </w:r>
    </w:p>
    <w:p w:rsidR="00D029BE" w:rsidRPr="000C0EBC" w:rsidRDefault="00D029BE" w:rsidP="00D029BE">
      <w:pPr>
        <w:spacing w:line="240" w:lineRule="auto"/>
        <w:ind w:left="720"/>
        <w:contextualSpacing/>
        <w:rPr>
          <w:rFonts w:cstheme="minorHAnsi"/>
          <w:sz w:val="24"/>
          <w:szCs w:val="24"/>
        </w:rPr>
      </w:pPr>
      <w:r w:rsidRPr="000C0EBC">
        <w:rPr>
          <w:rFonts w:cstheme="minorHAnsi"/>
          <w:sz w:val="24"/>
          <w:szCs w:val="24"/>
        </w:rPr>
        <w:t>The musical sounds encoded in sheet music could be followed or ignored; they could be executed well or poorly. The sounds encoded in a piano roll or phonograph record were set in advance and open only to minor variation.</w:t>
      </w:r>
      <w:r w:rsidRPr="000C0EBC">
        <w:rPr>
          <w:rStyle w:val="FootnoteReference"/>
          <w:rFonts w:cstheme="minorHAnsi"/>
          <w:sz w:val="24"/>
          <w:szCs w:val="24"/>
        </w:rPr>
        <w:footnoteReference w:id="50"/>
      </w:r>
    </w:p>
    <w:p w:rsidR="00D029BE" w:rsidRPr="000C0EBC" w:rsidRDefault="00D029BE" w:rsidP="00D029BE">
      <w:pPr>
        <w:spacing w:line="240" w:lineRule="auto"/>
        <w:contextualSpacing/>
        <w:rPr>
          <w:rFonts w:cstheme="minorHAnsi"/>
          <w:sz w:val="24"/>
          <w:szCs w:val="24"/>
        </w:rPr>
      </w:pPr>
    </w:p>
    <w:p w:rsidR="00D029BE" w:rsidRPr="000C0EBC" w:rsidRDefault="00D029BE" w:rsidP="00D029BE">
      <w:pPr>
        <w:spacing w:line="480" w:lineRule="auto"/>
        <w:contextualSpacing/>
        <w:rPr>
          <w:rFonts w:cstheme="minorHAnsi"/>
          <w:sz w:val="24"/>
          <w:szCs w:val="24"/>
        </w:rPr>
      </w:pPr>
      <w:r w:rsidRPr="000C0EBC">
        <w:rPr>
          <w:rFonts w:cstheme="minorHAnsi"/>
          <w:sz w:val="24"/>
          <w:szCs w:val="24"/>
        </w:rPr>
        <w:t>Song sheets require execution that generates specific opportunities for agency, but this experience shifts to new forms as new technologies take shape in the American home and the primacy of sheet music begins to fade.</w:t>
      </w:r>
    </w:p>
    <w:p w:rsidR="00CD1152" w:rsidRDefault="00D029BE" w:rsidP="00CD1152">
      <w:pPr>
        <w:spacing w:line="480" w:lineRule="auto"/>
        <w:contextualSpacing/>
        <w:rPr>
          <w:rFonts w:cstheme="minorHAnsi"/>
          <w:sz w:val="24"/>
          <w:szCs w:val="24"/>
        </w:rPr>
      </w:pPr>
      <w:r w:rsidRPr="000C0EBC">
        <w:rPr>
          <w:rFonts w:cstheme="minorHAnsi"/>
          <w:sz w:val="24"/>
          <w:szCs w:val="24"/>
        </w:rPr>
        <w:tab/>
        <w:t>Although music of practically every classification was printed and sold for hom</w:t>
      </w:r>
      <w:r w:rsidR="00F3534B">
        <w:rPr>
          <w:rFonts w:cstheme="minorHAnsi"/>
          <w:sz w:val="24"/>
          <w:szCs w:val="24"/>
        </w:rPr>
        <w:t xml:space="preserve">e consumption in the nineteenth </w:t>
      </w:r>
      <w:r w:rsidRPr="000C0EBC">
        <w:rPr>
          <w:rFonts w:cstheme="minorHAnsi"/>
          <w:sz w:val="24"/>
          <w:szCs w:val="24"/>
        </w:rPr>
        <w:t>century, this stu</w:t>
      </w:r>
      <w:r w:rsidR="00F3534B">
        <w:rPr>
          <w:rFonts w:cstheme="minorHAnsi"/>
          <w:sz w:val="24"/>
          <w:szCs w:val="24"/>
        </w:rPr>
        <w:t>dy is limited to popular music.</w:t>
      </w:r>
      <w:r w:rsidRPr="000C0EBC">
        <w:rPr>
          <w:rFonts w:cstheme="minorHAnsi"/>
          <w:sz w:val="24"/>
          <w:szCs w:val="24"/>
        </w:rPr>
        <w:t xml:space="preserve"> While I have already referred to Simon </w:t>
      </w:r>
      <w:proofErr w:type="spellStart"/>
      <w:r w:rsidRPr="000C0EBC">
        <w:rPr>
          <w:rFonts w:cstheme="minorHAnsi"/>
          <w:sz w:val="24"/>
          <w:szCs w:val="24"/>
        </w:rPr>
        <w:t>Frith</w:t>
      </w:r>
      <w:proofErr w:type="spellEnd"/>
      <w:r w:rsidRPr="000C0EBC">
        <w:rPr>
          <w:rFonts w:cstheme="minorHAnsi"/>
          <w:sz w:val="24"/>
          <w:szCs w:val="24"/>
        </w:rPr>
        <w:t xml:space="preserve"> and Charles Hamm</w:t>
      </w:r>
      <w:r>
        <w:rPr>
          <w:rFonts w:cstheme="minorHAnsi"/>
          <w:sz w:val="24"/>
          <w:szCs w:val="24"/>
        </w:rPr>
        <w:t>’s</w:t>
      </w:r>
      <w:r w:rsidRPr="000C0EBC">
        <w:rPr>
          <w:rFonts w:cstheme="minorHAnsi"/>
          <w:sz w:val="24"/>
          <w:szCs w:val="24"/>
        </w:rPr>
        <w:t xml:space="preserve"> definition</w:t>
      </w:r>
      <w:r w:rsidR="006A7F29">
        <w:rPr>
          <w:rFonts w:cstheme="minorHAnsi"/>
          <w:sz w:val="24"/>
          <w:szCs w:val="24"/>
        </w:rPr>
        <w:t>s of popular music, based on</w:t>
      </w:r>
      <w:r w:rsidRPr="000C0EBC">
        <w:rPr>
          <w:rFonts w:cstheme="minorHAnsi"/>
          <w:sz w:val="24"/>
          <w:szCs w:val="24"/>
        </w:rPr>
        <w:t xml:space="preserve"> mass culture, the term still proves notably hard to pin down. As Richard Middleton has exposed, definitions are often based upon “arbitrary criteria.”</w:t>
      </w:r>
      <w:r w:rsidRPr="000C0EBC">
        <w:rPr>
          <w:rStyle w:val="FootnoteReference"/>
          <w:rFonts w:cstheme="minorHAnsi"/>
          <w:sz w:val="24"/>
          <w:szCs w:val="24"/>
        </w:rPr>
        <w:footnoteReference w:id="51"/>
      </w:r>
      <w:r w:rsidRPr="000C0EBC">
        <w:rPr>
          <w:rFonts w:cstheme="minorHAnsi"/>
          <w:sz w:val="24"/>
          <w:szCs w:val="24"/>
        </w:rPr>
        <w:t xml:space="preserve"> My </w:t>
      </w:r>
      <w:r>
        <w:rPr>
          <w:rFonts w:cstheme="minorHAnsi"/>
          <w:sz w:val="24"/>
          <w:szCs w:val="24"/>
        </w:rPr>
        <w:t>definition of popular makes use</w:t>
      </w:r>
      <w:r w:rsidRPr="000C0EBC">
        <w:rPr>
          <w:rFonts w:cstheme="minorHAnsi"/>
          <w:sz w:val="24"/>
          <w:szCs w:val="24"/>
        </w:rPr>
        <w:t xml:space="preserve"> primarily of Middleton’s “</w:t>
      </w:r>
      <w:proofErr w:type="spellStart"/>
      <w:r w:rsidRPr="000C0EBC">
        <w:rPr>
          <w:rFonts w:cstheme="minorHAnsi"/>
          <w:sz w:val="24"/>
          <w:szCs w:val="24"/>
        </w:rPr>
        <w:t>technologic</w:t>
      </w:r>
      <w:r w:rsidR="00CF72A8">
        <w:rPr>
          <w:rFonts w:cstheme="minorHAnsi"/>
          <w:sz w:val="24"/>
          <w:szCs w:val="24"/>
        </w:rPr>
        <w:t>o</w:t>
      </w:r>
      <w:proofErr w:type="spellEnd"/>
      <w:r w:rsidR="00CF72A8">
        <w:rPr>
          <w:rFonts w:cstheme="minorHAnsi"/>
          <w:sz w:val="24"/>
          <w:szCs w:val="24"/>
        </w:rPr>
        <w:t>-economic” definition, where popular music</w:t>
      </w:r>
      <w:r w:rsidRPr="000C0EBC">
        <w:rPr>
          <w:rFonts w:cstheme="minorHAnsi"/>
          <w:sz w:val="24"/>
          <w:szCs w:val="24"/>
        </w:rPr>
        <w:t xml:space="preserve"> “is disseminated by mass media and/or in a mass market,” synthesized with his “sociological” definition of </w:t>
      </w:r>
      <w:r w:rsidR="00CF72A8">
        <w:rPr>
          <w:rFonts w:cstheme="minorHAnsi"/>
          <w:sz w:val="24"/>
          <w:szCs w:val="24"/>
        </w:rPr>
        <w:t xml:space="preserve">certain </w:t>
      </w:r>
      <w:proofErr w:type="spellStart"/>
      <w:r w:rsidR="00CF72A8">
        <w:rPr>
          <w:rFonts w:cstheme="minorHAnsi"/>
          <w:sz w:val="24"/>
          <w:szCs w:val="24"/>
        </w:rPr>
        <w:t>musics</w:t>
      </w:r>
      <w:proofErr w:type="spellEnd"/>
      <w:r w:rsidR="00CF72A8">
        <w:rPr>
          <w:rFonts w:cstheme="minorHAnsi"/>
          <w:sz w:val="24"/>
          <w:szCs w:val="24"/>
        </w:rPr>
        <w:t xml:space="preserve"> </w:t>
      </w:r>
      <w:r w:rsidRPr="000C0EBC">
        <w:rPr>
          <w:rFonts w:cstheme="minorHAnsi"/>
          <w:sz w:val="24"/>
          <w:szCs w:val="24"/>
        </w:rPr>
        <w:t>being “associated with (produced for or by) a particular social group.”</w:t>
      </w:r>
      <w:r w:rsidRPr="000C0EBC">
        <w:rPr>
          <w:rStyle w:val="FootnoteReference"/>
          <w:rFonts w:cstheme="minorHAnsi"/>
          <w:sz w:val="24"/>
          <w:szCs w:val="24"/>
        </w:rPr>
        <w:footnoteReference w:id="52"/>
      </w:r>
      <w:r w:rsidR="006A7F29">
        <w:rPr>
          <w:rFonts w:cstheme="minorHAnsi"/>
          <w:sz w:val="24"/>
          <w:szCs w:val="24"/>
        </w:rPr>
        <w:t xml:space="preserve"> Further,</w:t>
      </w:r>
      <w:r w:rsidRPr="000C0EBC">
        <w:rPr>
          <w:rFonts w:cstheme="minorHAnsi"/>
          <w:sz w:val="24"/>
          <w:szCs w:val="24"/>
        </w:rPr>
        <w:t xml:space="preserve"> </w:t>
      </w:r>
      <w:r w:rsidR="006A7F29">
        <w:rPr>
          <w:rFonts w:cstheme="minorHAnsi"/>
          <w:sz w:val="24"/>
          <w:szCs w:val="24"/>
        </w:rPr>
        <w:t xml:space="preserve">the </w:t>
      </w:r>
      <w:r w:rsidRPr="000C0EBC">
        <w:rPr>
          <w:rFonts w:cstheme="minorHAnsi"/>
          <w:sz w:val="24"/>
          <w:szCs w:val="24"/>
        </w:rPr>
        <w:t>popular music</w:t>
      </w:r>
      <w:r w:rsidR="006A7F29">
        <w:rPr>
          <w:rFonts w:cstheme="minorHAnsi"/>
          <w:sz w:val="24"/>
          <w:szCs w:val="24"/>
        </w:rPr>
        <w:t xml:space="preserve"> I address here is limited</w:t>
      </w:r>
      <w:r w:rsidRPr="000C0EBC">
        <w:rPr>
          <w:rFonts w:cstheme="minorHAnsi"/>
          <w:sz w:val="24"/>
          <w:szCs w:val="24"/>
        </w:rPr>
        <w:t xml:space="preserve"> to secular songs for voice and instrument. Although Hamm’s work came under criticism by Charles </w:t>
      </w:r>
      <w:proofErr w:type="spellStart"/>
      <w:r w:rsidRPr="000C0EBC">
        <w:rPr>
          <w:rFonts w:cstheme="minorHAnsi"/>
          <w:sz w:val="24"/>
          <w:szCs w:val="24"/>
        </w:rPr>
        <w:t>Keil</w:t>
      </w:r>
      <w:proofErr w:type="spellEnd"/>
      <w:r w:rsidRPr="000C0EBC">
        <w:rPr>
          <w:rFonts w:cstheme="minorHAnsi"/>
          <w:sz w:val="24"/>
          <w:szCs w:val="24"/>
        </w:rPr>
        <w:t xml:space="preserve"> for excluding “too many dialectical tensions,” such as “church music…those Americans who couldn’t afford sheet music and a piano</w:t>
      </w:r>
      <w:proofErr w:type="gramStart"/>
      <w:r w:rsidRPr="000C0EBC">
        <w:rPr>
          <w:rFonts w:cstheme="minorHAnsi"/>
          <w:sz w:val="24"/>
          <w:szCs w:val="24"/>
        </w:rPr>
        <w:t>…[</w:t>
      </w:r>
      <w:proofErr w:type="gramEnd"/>
      <w:r w:rsidRPr="000C0EBC">
        <w:rPr>
          <w:rFonts w:cstheme="minorHAnsi"/>
          <w:sz w:val="24"/>
          <w:szCs w:val="24"/>
        </w:rPr>
        <w:t>and] primarily instrumental music,”</w:t>
      </w:r>
      <w:r w:rsidRPr="000C0EBC">
        <w:rPr>
          <w:rStyle w:val="FootnoteReference"/>
          <w:rFonts w:cstheme="minorHAnsi"/>
          <w:sz w:val="24"/>
          <w:szCs w:val="24"/>
        </w:rPr>
        <w:footnoteReference w:id="53"/>
      </w:r>
      <w:r w:rsidR="006A7F29">
        <w:rPr>
          <w:rFonts w:cstheme="minorHAnsi"/>
          <w:sz w:val="24"/>
          <w:szCs w:val="24"/>
        </w:rPr>
        <w:t xml:space="preserve"> this study does not aim to</w:t>
      </w:r>
      <w:r w:rsidRPr="000C0EBC">
        <w:rPr>
          <w:rFonts w:cstheme="minorHAnsi"/>
          <w:sz w:val="24"/>
          <w:szCs w:val="24"/>
        </w:rPr>
        <w:t xml:space="preserve"> </w:t>
      </w:r>
      <w:r w:rsidR="006A7F29">
        <w:rPr>
          <w:rFonts w:cstheme="minorHAnsi"/>
          <w:sz w:val="24"/>
          <w:szCs w:val="24"/>
        </w:rPr>
        <w:t xml:space="preserve">understand </w:t>
      </w:r>
      <w:r w:rsidRPr="000C0EBC">
        <w:rPr>
          <w:rFonts w:cstheme="minorHAnsi"/>
          <w:sz w:val="24"/>
          <w:szCs w:val="24"/>
        </w:rPr>
        <w:t>comprehensive</w:t>
      </w:r>
      <w:r w:rsidR="006A7F29">
        <w:rPr>
          <w:rFonts w:cstheme="minorHAnsi"/>
          <w:sz w:val="24"/>
          <w:szCs w:val="24"/>
        </w:rPr>
        <w:t>ly</w:t>
      </w:r>
      <w:r w:rsidRPr="000C0EBC">
        <w:rPr>
          <w:rFonts w:cstheme="minorHAnsi"/>
          <w:sz w:val="24"/>
          <w:szCs w:val="24"/>
        </w:rPr>
        <w:t xml:space="preserve"> the who</w:t>
      </w:r>
      <w:r w:rsidR="00CF72A8">
        <w:rPr>
          <w:rFonts w:cstheme="minorHAnsi"/>
          <w:sz w:val="24"/>
          <w:szCs w:val="24"/>
        </w:rPr>
        <w:t>le of American home music. R</w:t>
      </w:r>
      <w:r w:rsidRPr="000C0EBC">
        <w:rPr>
          <w:rFonts w:cstheme="minorHAnsi"/>
          <w:sz w:val="24"/>
          <w:szCs w:val="24"/>
        </w:rPr>
        <w:t>ather</w:t>
      </w:r>
      <w:r w:rsidR="00CF72A8">
        <w:rPr>
          <w:rFonts w:cstheme="minorHAnsi"/>
          <w:sz w:val="24"/>
          <w:szCs w:val="24"/>
        </w:rPr>
        <w:t>, I investigate</w:t>
      </w:r>
      <w:r w:rsidRPr="000C0EBC">
        <w:rPr>
          <w:rFonts w:cstheme="minorHAnsi"/>
          <w:sz w:val="24"/>
          <w:szCs w:val="24"/>
        </w:rPr>
        <w:t xml:space="preserve"> the unique phenomena of embodying and enacting identities through song performance in specifically con</w:t>
      </w:r>
      <w:r w:rsidR="00CD1152">
        <w:rPr>
          <w:rFonts w:cstheme="minorHAnsi"/>
          <w:sz w:val="24"/>
          <w:szCs w:val="24"/>
        </w:rPr>
        <w:t>structed cultural spaces that</w:t>
      </w:r>
      <w:r w:rsidRPr="000C0EBC">
        <w:rPr>
          <w:rFonts w:cstheme="minorHAnsi"/>
          <w:sz w:val="24"/>
          <w:szCs w:val="24"/>
        </w:rPr>
        <w:t xml:space="preserve"> frequently include pianos.</w:t>
      </w:r>
      <w:bookmarkStart w:id="8" w:name="_Toc356278692"/>
    </w:p>
    <w:p w:rsidR="00CD1152" w:rsidRPr="00CD1152" w:rsidRDefault="00CD1152" w:rsidP="00CD1152">
      <w:pPr>
        <w:spacing w:line="480" w:lineRule="auto"/>
        <w:contextualSpacing/>
        <w:rPr>
          <w:rFonts w:cstheme="minorHAnsi"/>
          <w:sz w:val="24"/>
          <w:szCs w:val="24"/>
        </w:rPr>
      </w:pPr>
    </w:p>
    <w:p w:rsidR="00D029BE" w:rsidRPr="007B1C43" w:rsidRDefault="00D029BE" w:rsidP="002566BD">
      <w:pPr>
        <w:pStyle w:val="Heading2"/>
        <w:jc w:val="center"/>
        <w:rPr>
          <w:rFonts w:asciiTheme="minorHAnsi" w:hAnsiTheme="minorHAnsi"/>
        </w:rPr>
      </w:pPr>
      <w:r w:rsidRPr="007B1C43">
        <w:rPr>
          <w:rFonts w:asciiTheme="minorHAnsi" w:hAnsiTheme="minorHAnsi"/>
          <w:b w:val="0"/>
          <w:color w:val="auto"/>
          <w:sz w:val="24"/>
          <w:szCs w:val="24"/>
        </w:rPr>
        <w:lastRenderedPageBreak/>
        <w:t>Methodology</w:t>
      </w:r>
      <w:bookmarkEnd w:id="8"/>
    </w:p>
    <w:p w:rsidR="00642536" w:rsidRPr="00642536" w:rsidRDefault="00642536" w:rsidP="00642536"/>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The focal point of my research concerns song sheets, which served as the basis for the musical enactment of</w:t>
      </w:r>
      <w:r>
        <w:rPr>
          <w:rFonts w:cstheme="minorHAnsi"/>
          <w:sz w:val="24"/>
          <w:szCs w:val="24"/>
        </w:rPr>
        <w:t xml:space="preserve"> identities. The largest number</w:t>
      </w:r>
      <w:r w:rsidRPr="000C0EBC">
        <w:rPr>
          <w:rFonts w:cstheme="minorHAnsi"/>
          <w:sz w:val="24"/>
          <w:szCs w:val="24"/>
        </w:rPr>
        <w:t xml:space="preserve"> of sources come</w:t>
      </w:r>
      <w:r w:rsidR="00CD1152">
        <w:rPr>
          <w:rFonts w:cstheme="minorHAnsi"/>
          <w:sz w:val="24"/>
          <w:szCs w:val="24"/>
        </w:rPr>
        <w:t>s</w:t>
      </w:r>
      <w:r w:rsidRPr="000C0EBC">
        <w:rPr>
          <w:rFonts w:cstheme="minorHAnsi"/>
          <w:sz w:val="24"/>
          <w:szCs w:val="24"/>
        </w:rPr>
        <w:t xml:space="preserve"> from the Edison Sheet Music Collection at the Library of Congress and the Lester Levy Collection at John</w:t>
      </w:r>
      <w:r w:rsidR="00CF72A8">
        <w:rPr>
          <w:rFonts w:cstheme="minorHAnsi"/>
          <w:sz w:val="24"/>
          <w:szCs w:val="24"/>
        </w:rPr>
        <w:t>s</w:t>
      </w:r>
      <w:r w:rsidRPr="000C0EBC">
        <w:rPr>
          <w:rFonts w:cstheme="minorHAnsi"/>
          <w:sz w:val="24"/>
          <w:szCs w:val="24"/>
        </w:rPr>
        <w:t xml:space="preserve"> Hopkins University, which ha</w:t>
      </w:r>
      <w:r w:rsidR="004144E4">
        <w:rPr>
          <w:rFonts w:cstheme="minorHAnsi"/>
          <w:sz w:val="24"/>
          <w:szCs w:val="24"/>
        </w:rPr>
        <w:t xml:space="preserve">ve substantial online holdings. </w:t>
      </w:r>
      <w:r w:rsidRPr="000C0EBC">
        <w:rPr>
          <w:rFonts w:cstheme="minorHAnsi"/>
          <w:sz w:val="24"/>
          <w:szCs w:val="24"/>
        </w:rPr>
        <w:t>The sheet music collection at the Middle Tennessee State University Center for Popular Music includes bound volumes of song sheets, allowing import</w:t>
      </w:r>
      <w:r w:rsidR="00F3534B">
        <w:rPr>
          <w:rFonts w:cstheme="minorHAnsi"/>
          <w:sz w:val="24"/>
          <w:szCs w:val="24"/>
        </w:rPr>
        <w:t>ant insight into how nineteenth-</w:t>
      </w:r>
      <w:r w:rsidRPr="000C0EBC">
        <w:rPr>
          <w:rFonts w:cstheme="minorHAnsi"/>
          <w:sz w:val="24"/>
          <w:szCs w:val="24"/>
        </w:rPr>
        <w:t xml:space="preserve">century Americans grouped their music together and evidence of personalized writing and interactions with song sheets. The McClung Historical Collection at the East Tennessee History Center and the sheet music collections at the University of Tennessee Libraries provide a smaller number of relevant samples, but do exemplify </w:t>
      </w:r>
      <w:r w:rsidR="00CF72A8">
        <w:rPr>
          <w:rFonts w:cstheme="minorHAnsi"/>
          <w:sz w:val="24"/>
          <w:szCs w:val="24"/>
        </w:rPr>
        <w:t xml:space="preserve">both </w:t>
      </w:r>
      <w:r w:rsidRPr="000C0EBC">
        <w:rPr>
          <w:rFonts w:cstheme="minorHAnsi"/>
          <w:sz w:val="24"/>
          <w:szCs w:val="24"/>
        </w:rPr>
        <w:t>local publishing practices and the reach of other more distant publishing houses.</w:t>
      </w:r>
    </w:p>
    <w:p w:rsidR="004144E4" w:rsidRDefault="00D029BE" w:rsidP="00642536">
      <w:pPr>
        <w:spacing w:line="480" w:lineRule="auto"/>
        <w:ind w:firstLine="720"/>
        <w:contextualSpacing/>
        <w:rPr>
          <w:rFonts w:cstheme="minorHAnsi"/>
          <w:sz w:val="24"/>
          <w:szCs w:val="24"/>
        </w:rPr>
      </w:pPr>
      <w:r w:rsidRPr="000C0EBC">
        <w:rPr>
          <w:rFonts w:cstheme="minorHAnsi"/>
          <w:sz w:val="24"/>
          <w:szCs w:val="24"/>
        </w:rPr>
        <w:t>My method of approaching these song sheets is</w:t>
      </w:r>
      <w:r w:rsidR="00CF72A8">
        <w:rPr>
          <w:rFonts w:cstheme="minorHAnsi"/>
          <w:sz w:val="24"/>
          <w:szCs w:val="24"/>
        </w:rPr>
        <w:t xml:space="preserve"> rooted</w:t>
      </w:r>
      <w:r w:rsidRPr="000C0EBC">
        <w:rPr>
          <w:rFonts w:cstheme="minorHAnsi"/>
          <w:sz w:val="24"/>
          <w:szCs w:val="24"/>
        </w:rPr>
        <w:t xml:space="preserve"> not </w:t>
      </w:r>
      <w:r w:rsidR="00686939">
        <w:rPr>
          <w:rFonts w:cstheme="minorHAnsi"/>
          <w:sz w:val="24"/>
          <w:szCs w:val="24"/>
        </w:rPr>
        <w:t xml:space="preserve">in </w:t>
      </w:r>
      <w:r w:rsidRPr="000C0EBC">
        <w:rPr>
          <w:rFonts w:cstheme="minorHAnsi"/>
          <w:sz w:val="24"/>
          <w:szCs w:val="24"/>
        </w:rPr>
        <w:t xml:space="preserve">traditional score analysis, but </w:t>
      </w:r>
      <w:r w:rsidR="00CF72A8">
        <w:rPr>
          <w:rFonts w:cstheme="minorHAnsi"/>
          <w:sz w:val="24"/>
          <w:szCs w:val="24"/>
        </w:rPr>
        <w:t xml:space="preserve">in </w:t>
      </w:r>
      <w:r w:rsidRPr="000C0EBC">
        <w:rPr>
          <w:rFonts w:cstheme="minorHAnsi"/>
          <w:sz w:val="24"/>
          <w:szCs w:val="24"/>
        </w:rPr>
        <w:t xml:space="preserve">conceiving of them in relation to their users: as a cultural code and guide for production. Musically, this study limits selections to those written for voice (or small number of voices) and instrument, feasibly performed in the parlor. Lyrically, I limit selections to those with comic or topical content—contemporary labels frequently used by the songs’ producers. </w:t>
      </w:r>
      <w:r w:rsidR="004144E4">
        <w:rPr>
          <w:rFonts w:cstheme="minorHAnsi"/>
          <w:sz w:val="24"/>
          <w:szCs w:val="24"/>
        </w:rPr>
        <w:t>Although I found hundreds of relevant songs, this study does not aim at a comprehensive catalogue of comic songs from this era</w:t>
      </w:r>
      <w:r w:rsidR="00CD1152">
        <w:rPr>
          <w:rFonts w:cstheme="minorHAnsi"/>
          <w:sz w:val="24"/>
          <w:szCs w:val="24"/>
        </w:rPr>
        <w:t>; rather I present only select</w:t>
      </w:r>
      <w:r w:rsidR="004144E4">
        <w:rPr>
          <w:rFonts w:cstheme="minorHAnsi"/>
          <w:sz w:val="24"/>
          <w:szCs w:val="24"/>
        </w:rPr>
        <w:t xml:space="preserve"> outstanding examples. </w:t>
      </w:r>
      <w:r w:rsidRPr="000C0EBC">
        <w:rPr>
          <w:rFonts w:cstheme="minorHAnsi"/>
          <w:sz w:val="24"/>
          <w:szCs w:val="24"/>
        </w:rPr>
        <w:t>What drew me to the specific songs u</w:t>
      </w:r>
      <w:r w:rsidR="004144E4">
        <w:rPr>
          <w:rFonts w:cstheme="minorHAnsi"/>
          <w:sz w:val="24"/>
          <w:szCs w:val="24"/>
        </w:rPr>
        <w:t>tilized in this study, beyond their</w:t>
      </w:r>
      <w:r w:rsidRPr="000C0EBC">
        <w:rPr>
          <w:rFonts w:cstheme="minorHAnsi"/>
          <w:sz w:val="24"/>
          <w:szCs w:val="24"/>
        </w:rPr>
        <w:t xml:space="preserve"> </w:t>
      </w:r>
      <w:r w:rsidR="004144E4">
        <w:rPr>
          <w:rFonts w:cstheme="minorHAnsi"/>
          <w:sz w:val="24"/>
          <w:szCs w:val="24"/>
        </w:rPr>
        <w:t>musical and lyrical content, was</w:t>
      </w:r>
      <w:r w:rsidRPr="000C0EBC">
        <w:rPr>
          <w:rFonts w:cstheme="minorHAnsi"/>
          <w:sz w:val="24"/>
          <w:szCs w:val="24"/>
        </w:rPr>
        <w:t xml:space="preserve"> the way the song sheets wo</w:t>
      </w:r>
      <w:r w:rsidR="004144E4">
        <w:rPr>
          <w:rFonts w:cstheme="minorHAnsi"/>
          <w:sz w:val="24"/>
          <w:szCs w:val="24"/>
        </w:rPr>
        <w:t>uld have engaged the performer</w:t>
      </w:r>
      <w:r w:rsidR="00CD1152">
        <w:rPr>
          <w:rFonts w:cstheme="minorHAnsi"/>
          <w:sz w:val="24"/>
          <w:szCs w:val="24"/>
        </w:rPr>
        <w:t xml:space="preserve">, physically and </w:t>
      </w:r>
      <w:proofErr w:type="spellStart"/>
      <w:r w:rsidR="00CD1152">
        <w:rPr>
          <w:rFonts w:cstheme="minorHAnsi"/>
          <w:sz w:val="24"/>
          <w:szCs w:val="24"/>
        </w:rPr>
        <w:t>performatively</w:t>
      </w:r>
      <w:proofErr w:type="spellEnd"/>
      <w:r w:rsidR="004144E4">
        <w:rPr>
          <w:rFonts w:cstheme="minorHAnsi"/>
          <w:sz w:val="24"/>
          <w:szCs w:val="24"/>
        </w:rPr>
        <w:t>.</w:t>
      </w:r>
    </w:p>
    <w:p w:rsidR="00D029BE" w:rsidRPr="00642536" w:rsidRDefault="00686939" w:rsidP="00642536">
      <w:pPr>
        <w:spacing w:line="480" w:lineRule="auto"/>
        <w:ind w:firstLine="720"/>
        <w:contextualSpacing/>
        <w:rPr>
          <w:rFonts w:cstheme="minorHAnsi"/>
          <w:i/>
          <w:color w:val="FF0000"/>
          <w:sz w:val="24"/>
          <w:szCs w:val="24"/>
        </w:rPr>
      </w:pPr>
      <w:r>
        <w:rPr>
          <w:rFonts w:cstheme="minorHAnsi"/>
          <w:sz w:val="24"/>
          <w:szCs w:val="24"/>
        </w:rPr>
        <w:lastRenderedPageBreak/>
        <w:t>I</w:t>
      </w:r>
      <w:r w:rsidR="00CD1152">
        <w:rPr>
          <w:rFonts w:cstheme="minorHAnsi"/>
          <w:sz w:val="24"/>
          <w:szCs w:val="24"/>
        </w:rPr>
        <w:t xml:space="preserve"> seek to analyze</w:t>
      </w:r>
      <w:r w:rsidR="00D029BE" w:rsidRPr="000C0EBC">
        <w:rPr>
          <w:rFonts w:cstheme="minorHAnsi"/>
          <w:sz w:val="24"/>
          <w:szCs w:val="24"/>
        </w:rPr>
        <w:t xml:space="preserve"> the signs produced through actual performance. Scores with written instructions on performance practice, both printed and hand written marginalia, give the greatest clues to how these pieces engaged the body. Instances of dance, vocal alterations, gesturing</w:t>
      </w:r>
      <w:r w:rsidR="00D029BE">
        <w:rPr>
          <w:rFonts w:cstheme="minorHAnsi"/>
          <w:sz w:val="24"/>
          <w:szCs w:val="24"/>
        </w:rPr>
        <w:t>,</w:t>
      </w:r>
      <w:r w:rsidR="00D029BE" w:rsidRPr="000C0EBC">
        <w:rPr>
          <w:rFonts w:cstheme="minorHAnsi"/>
          <w:sz w:val="24"/>
          <w:szCs w:val="24"/>
        </w:rPr>
        <w:t xml:space="preserve"> and costuming provide evidence of bodily </w:t>
      </w:r>
      <w:proofErr w:type="spellStart"/>
      <w:r w:rsidR="00D029BE" w:rsidRPr="000C0EBC">
        <w:rPr>
          <w:rFonts w:cstheme="minorHAnsi"/>
          <w:sz w:val="24"/>
          <w:szCs w:val="24"/>
        </w:rPr>
        <w:t>performatives</w:t>
      </w:r>
      <w:proofErr w:type="spellEnd"/>
      <w:r w:rsidR="00D029BE" w:rsidRPr="000C0EBC">
        <w:rPr>
          <w:rFonts w:cstheme="minorHAnsi"/>
          <w:sz w:val="24"/>
          <w:szCs w:val="24"/>
        </w:rPr>
        <w:t xml:space="preserve">. Instances of verbal </w:t>
      </w:r>
      <w:proofErr w:type="spellStart"/>
      <w:r w:rsidR="00D029BE" w:rsidRPr="000C0EBC">
        <w:rPr>
          <w:rFonts w:cstheme="minorHAnsi"/>
          <w:sz w:val="24"/>
          <w:szCs w:val="24"/>
        </w:rPr>
        <w:t>performatives</w:t>
      </w:r>
      <w:proofErr w:type="spellEnd"/>
      <w:r w:rsidR="00D029BE" w:rsidRPr="000C0EBC">
        <w:rPr>
          <w:rFonts w:cstheme="minorHAnsi"/>
          <w:sz w:val="24"/>
          <w:szCs w:val="24"/>
        </w:rPr>
        <w:t xml:space="preserve"> are, of course, woven throughout the texts. While Edgar S. Werner’s booklet of photographs detailing the proper method of performing “Old Folks at Home” provides the most detailed, explicit guide to embo</w:t>
      </w:r>
      <w:r>
        <w:rPr>
          <w:rFonts w:cstheme="minorHAnsi"/>
          <w:sz w:val="24"/>
          <w:szCs w:val="24"/>
        </w:rPr>
        <w:t>dying a song I have encountered,</w:t>
      </w:r>
      <w:r w:rsidR="00D029BE" w:rsidRPr="000C0EBC">
        <w:rPr>
          <w:rFonts w:cstheme="minorHAnsi"/>
          <w:sz w:val="24"/>
          <w:szCs w:val="24"/>
        </w:rPr>
        <w:t xml:space="preserve"> evidence of enactment can be seen in select songs across this period. For example</w:t>
      </w:r>
      <w:r>
        <w:rPr>
          <w:rFonts w:cstheme="minorHAnsi"/>
          <w:sz w:val="24"/>
          <w:szCs w:val="24"/>
        </w:rPr>
        <w:t>,</w:t>
      </w:r>
      <w:r w:rsidR="00D029BE" w:rsidRPr="000C0EBC">
        <w:rPr>
          <w:rFonts w:cstheme="minorHAnsi"/>
          <w:sz w:val="24"/>
          <w:szCs w:val="24"/>
        </w:rPr>
        <w:t xml:space="preserve"> the 1898 publication “Th</w:t>
      </w:r>
      <w:r>
        <w:rPr>
          <w:rFonts w:cstheme="minorHAnsi"/>
          <w:sz w:val="24"/>
          <w:szCs w:val="24"/>
        </w:rPr>
        <w:t>e Owl, Parrot, Duck and Crow</w:t>
      </w:r>
      <w:r w:rsidR="00D029BE" w:rsidRPr="000C0EBC">
        <w:rPr>
          <w:rFonts w:cstheme="minorHAnsi"/>
          <w:sz w:val="24"/>
          <w:szCs w:val="24"/>
        </w:rPr>
        <w:t>” not only instru</w:t>
      </w:r>
      <w:r w:rsidR="00CF72A8">
        <w:rPr>
          <w:rFonts w:cstheme="minorHAnsi"/>
          <w:sz w:val="24"/>
          <w:szCs w:val="24"/>
        </w:rPr>
        <w:t>cts a quartet of performers which directions to face and which</w:t>
      </w:r>
      <w:r w:rsidR="00D029BE" w:rsidRPr="000C0EBC">
        <w:rPr>
          <w:rFonts w:cstheme="minorHAnsi"/>
          <w:sz w:val="24"/>
          <w:szCs w:val="24"/>
        </w:rPr>
        <w:t xml:space="preserve"> emotions to </w:t>
      </w:r>
      <w:r w:rsidR="00CF72A8">
        <w:rPr>
          <w:rFonts w:cstheme="minorHAnsi"/>
          <w:sz w:val="24"/>
          <w:szCs w:val="24"/>
        </w:rPr>
        <w:t>portray on their faces, but which</w:t>
      </w:r>
      <w:r w:rsidR="00D029BE" w:rsidRPr="000C0EBC">
        <w:rPr>
          <w:rFonts w:cstheme="minorHAnsi"/>
          <w:sz w:val="24"/>
          <w:szCs w:val="24"/>
        </w:rPr>
        <w:t xml:space="preserve"> colors to wear to match the avian character each vocalist portrays.</w:t>
      </w:r>
      <w:r w:rsidR="00D029BE" w:rsidRPr="000C0EBC">
        <w:rPr>
          <w:rStyle w:val="FootnoteReference"/>
          <w:rFonts w:cstheme="minorHAnsi"/>
          <w:sz w:val="24"/>
          <w:szCs w:val="24"/>
        </w:rPr>
        <w:footnoteReference w:id="54"/>
      </w:r>
      <w:r w:rsidR="00D029BE" w:rsidRPr="000C0EBC">
        <w:rPr>
          <w:rFonts w:cstheme="minorHAnsi"/>
          <w:sz w:val="24"/>
          <w:szCs w:val="24"/>
        </w:rPr>
        <w:t xml:space="preserve"> I discuss song sheets as more than notes on a page; they are an outline to a performance and the embodiment of identities in nineteenth-century parlor music</w:t>
      </w:r>
      <w:r w:rsidR="00642536">
        <w:rPr>
          <w:rFonts w:cstheme="minorHAnsi"/>
          <w:sz w:val="24"/>
          <w:szCs w:val="24"/>
        </w:rPr>
        <w:t>.</w:t>
      </w:r>
    </w:p>
    <w:p w:rsidR="00D029BE" w:rsidRPr="007B1C43" w:rsidRDefault="00D029BE" w:rsidP="002566BD">
      <w:pPr>
        <w:pStyle w:val="Heading2"/>
        <w:jc w:val="center"/>
        <w:rPr>
          <w:rFonts w:asciiTheme="minorHAnsi" w:hAnsiTheme="minorHAnsi"/>
          <w:b w:val="0"/>
          <w:color w:val="auto"/>
          <w:sz w:val="24"/>
          <w:szCs w:val="24"/>
        </w:rPr>
      </w:pPr>
      <w:bookmarkStart w:id="9" w:name="_Toc356278693"/>
      <w:r w:rsidRPr="007B1C43">
        <w:rPr>
          <w:rFonts w:asciiTheme="minorHAnsi" w:hAnsiTheme="minorHAnsi"/>
          <w:b w:val="0"/>
          <w:color w:val="auto"/>
          <w:sz w:val="24"/>
          <w:szCs w:val="24"/>
        </w:rPr>
        <w:t>Theoretical Frames</w:t>
      </w:r>
      <w:bookmarkEnd w:id="9"/>
    </w:p>
    <w:p w:rsidR="00642536" w:rsidRPr="00642536" w:rsidRDefault="00642536" w:rsidP="00642536"/>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 xml:space="preserve"> Performing comic songs and enacting lowbrow identities in the refined space of the parlor would not have been an edifying experience or display of gente</w:t>
      </w:r>
      <w:r w:rsidR="00686939">
        <w:rPr>
          <w:rFonts w:cstheme="minorHAnsi"/>
          <w:sz w:val="24"/>
          <w:szCs w:val="24"/>
        </w:rPr>
        <w:t xml:space="preserve">el nature. Yet, they were </w:t>
      </w:r>
      <w:r w:rsidRPr="000C0EBC">
        <w:rPr>
          <w:rFonts w:cstheme="minorHAnsi"/>
          <w:sz w:val="24"/>
          <w:szCs w:val="24"/>
        </w:rPr>
        <w:t xml:space="preserve">performed in this ostensibly highbrow, cultured space. </w:t>
      </w:r>
      <w:r w:rsidR="002D49DF">
        <w:rPr>
          <w:rFonts w:cstheme="minorHAnsi"/>
          <w:sz w:val="24"/>
          <w:szCs w:val="24"/>
        </w:rPr>
        <w:t>The existence of comic songs</w:t>
      </w:r>
      <w:r w:rsidRPr="000C0EBC">
        <w:rPr>
          <w:rFonts w:cstheme="minorHAnsi"/>
          <w:sz w:val="24"/>
          <w:szCs w:val="24"/>
        </w:rPr>
        <w:t xml:space="preserve"> in the parlor reveals the space as a gray area. To return to Minton’s metaphor, parlor musicians do occasionally let their “skirts” dip into the mud of the “vulgar,”</w:t>
      </w:r>
      <w:r w:rsidRPr="000C0EBC">
        <w:rPr>
          <w:rStyle w:val="FootnoteReference"/>
          <w:rFonts w:cstheme="minorHAnsi"/>
          <w:sz w:val="24"/>
          <w:szCs w:val="24"/>
        </w:rPr>
        <w:footnoteReference w:id="55"/>
      </w:r>
      <w:r w:rsidRPr="000C0EBC">
        <w:rPr>
          <w:rFonts w:cstheme="minorHAnsi"/>
          <w:sz w:val="24"/>
          <w:szCs w:val="24"/>
        </w:rPr>
        <w:t xml:space="preserve"> and it was the process of embodiment that gave the vulgar power in the American cultural discourse.</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lastRenderedPageBreak/>
        <w:t>The actions of the nineteenth-century body provided the primary display of gen</w:t>
      </w:r>
      <w:r w:rsidR="002D49DF">
        <w:rPr>
          <w:rFonts w:cstheme="minorHAnsi"/>
          <w:sz w:val="24"/>
          <w:szCs w:val="24"/>
        </w:rPr>
        <w:t xml:space="preserve">tility in the parlor. </w:t>
      </w:r>
      <w:r w:rsidRPr="000C0EBC">
        <w:rPr>
          <w:rFonts w:cstheme="minorHAnsi"/>
          <w:sz w:val="24"/>
          <w:szCs w:val="24"/>
        </w:rPr>
        <w:t>Grier posited that the material items on display in the parlor provided a means of defining and exhibiting a desired identity; I argue that so too does the display of the body—specifically through musical performances. The bodily display of identity has been best explored by Judith Butler, who coined the term “performativity” in relation to the enactment of gender identities, but which extends to all kinds of identity construction. She posited that “acts, gestures, and desire produce the effect of an internal core or substance…</w:t>
      </w:r>
      <w:r w:rsidRPr="000C0EBC">
        <w:rPr>
          <w:rFonts w:cstheme="minorHAnsi"/>
          <w:i/>
          <w:sz w:val="24"/>
          <w:szCs w:val="24"/>
        </w:rPr>
        <w:t>on the surface</w:t>
      </w:r>
      <w:r w:rsidRPr="000C0EBC">
        <w:rPr>
          <w:rFonts w:cstheme="minorHAnsi"/>
          <w:sz w:val="24"/>
          <w:szCs w:val="24"/>
        </w:rPr>
        <w:t xml:space="preserve"> of the body,” and that,</w:t>
      </w:r>
    </w:p>
    <w:p w:rsidR="00D029BE" w:rsidRPr="000C0EBC" w:rsidRDefault="00D029BE" w:rsidP="00D029BE">
      <w:pPr>
        <w:spacing w:line="240" w:lineRule="auto"/>
        <w:ind w:left="720"/>
        <w:contextualSpacing/>
        <w:rPr>
          <w:rFonts w:cstheme="minorHAnsi"/>
          <w:sz w:val="24"/>
          <w:szCs w:val="24"/>
        </w:rPr>
      </w:pPr>
      <w:r w:rsidRPr="000C0EBC">
        <w:rPr>
          <w:rFonts w:cstheme="minorHAnsi"/>
          <w:sz w:val="24"/>
          <w:szCs w:val="24"/>
        </w:rPr>
        <w:t xml:space="preserve">Such acts, gestures, [and] enactments…are </w:t>
      </w:r>
      <w:r w:rsidRPr="000C0EBC">
        <w:rPr>
          <w:rFonts w:cstheme="minorHAnsi"/>
          <w:i/>
          <w:sz w:val="24"/>
          <w:szCs w:val="24"/>
        </w:rPr>
        <w:t>performative</w:t>
      </w:r>
      <w:r w:rsidRPr="000C0EBC">
        <w:rPr>
          <w:rFonts w:cstheme="minorHAnsi"/>
          <w:sz w:val="24"/>
          <w:szCs w:val="24"/>
        </w:rPr>
        <w:t xml:space="preserve"> in the sense that the essence or identity that they otherwise purport to express are </w:t>
      </w:r>
      <w:r w:rsidRPr="000C0EBC">
        <w:rPr>
          <w:rFonts w:cstheme="minorHAnsi"/>
          <w:i/>
          <w:sz w:val="24"/>
          <w:szCs w:val="24"/>
        </w:rPr>
        <w:t>fabrications</w:t>
      </w:r>
      <w:r w:rsidRPr="000C0EBC">
        <w:rPr>
          <w:rFonts w:cstheme="minorHAnsi"/>
          <w:sz w:val="24"/>
          <w:szCs w:val="24"/>
        </w:rPr>
        <w:tab/>
        <w:t>manufactured and sustained through corporeal signs and other discursive means.</w:t>
      </w:r>
      <w:r w:rsidRPr="000C0EBC">
        <w:rPr>
          <w:rStyle w:val="FootnoteReference"/>
          <w:rFonts w:cstheme="minorHAnsi"/>
          <w:sz w:val="24"/>
          <w:szCs w:val="24"/>
        </w:rPr>
        <w:footnoteReference w:id="56"/>
      </w:r>
    </w:p>
    <w:p w:rsidR="00D029BE" w:rsidRPr="000C0EBC" w:rsidRDefault="00D029BE" w:rsidP="00D029BE">
      <w:pPr>
        <w:spacing w:line="240" w:lineRule="auto"/>
        <w:ind w:left="720"/>
        <w:contextualSpacing/>
        <w:rPr>
          <w:rFonts w:cstheme="minorHAnsi"/>
          <w:sz w:val="24"/>
          <w:szCs w:val="24"/>
        </w:rPr>
      </w:pPr>
    </w:p>
    <w:p w:rsidR="00D029BE" w:rsidRPr="000C0EBC" w:rsidRDefault="00D029BE" w:rsidP="00D029BE">
      <w:pPr>
        <w:spacing w:line="480" w:lineRule="auto"/>
        <w:contextualSpacing/>
        <w:rPr>
          <w:rFonts w:cstheme="minorHAnsi"/>
          <w:sz w:val="24"/>
          <w:szCs w:val="24"/>
        </w:rPr>
      </w:pPr>
      <w:r w:rsidRPr="000C0EBC">
        <w:rPr>
          <w:rFonts w:cstheme="minorHAnsi"/>
          <w:sz w:val="24"/>
          <w:szCs w:val="24"/>
        </w:rPr>
        <w:t>One of Butler’s key example</w:t>
      </w:r>
      <w:r w:rsidR="002D49DF">
        <w:rPr>
          <w:rFonts w:cstheme="minorHAnsi"/>
          <w:sz w:val="24"/>
          <w:szCs w:val="24"/>
        </w:rPr>
        <w:t xml:space="preserve">s is actress Greta </w:t>
      </w:r>
      <w:proofErr w:type="spellStart"/>
      <w:r w:rsidR="002D49DF">
        <w:rPr>
          <w:rFonts w:cstheme="minorHAnsi"/>
          <w:sz w:val="24"/>
          <w:szCs w:val="24"/>
        </w:rPr>
        <w:t>Garbo</w:t>
      </w:r>
      <w:proofErr w:type="spellEnd"/>
      <w:r w:rsidR="002D49DF">
        <w:rPr>
          <w:rFonts w:cstheme="minorHAnsi"/>
          <w:sz w:val="24"/>
          <w:szCs w:val="24"/>
        </w:rPr>
        <w:t>, who “‘</w:t>
      </w:r>
      <w:r w:rsidRPr="000C0EBC">
        <w:rPr>
          <w:rFonts w:cstheme="minorHAnsi"/>
          <w:sz w:val="24"/>
          <w:szCs w:val="24"/>
        </w:rPr>
        <w:t>got in drag’ whenever she took some heavy glamour part,”</w:t>
      </w:r>
      <w:r w:rsidRPr="000C0EBC">
        <w:rPr>
          <w:rStyle w:val="FootnoteReference"/>
          <w:rFonts w:cstheme="minorHAnsi"/>
          <w:sz w:val="24"/>
          <w:szCs w:val="24"/>
        </w:rPr>
        <w:footnoteReference w:id="57"/>
      </w:r>
      <w:r w:rsidRPr="000C0EBC">
        <w:rPr>
          <w:rFonts w:cstheme="minorHAnsi"/>
          <w:sz w:val="24"/>
          <w:szCs w:val="24"/>
        </w:rPr>
        <w:t xml:space="preserve"> acting out a parody of her own gender for the sake of her film roles. For Butler, the gender “parody” reveals that all gender identities are in fact </w:t>
      </w:r>
      <w:proofErr w:type="spellStart"/>
      <w:r w:rsidRPr="000C0EBC">
        <w:rPr>
          <w:rFonts w:cstheme="minorHAnsi"/>
          <w:sz w:val="24"/>
          <w:szCs w:val="24"/>
        </w:rPr>
        <w:t>parodic</w:t>
      </w:r>
      <w:proofErr w:type="spellEnd"/>
      <w:r w:rsidRPr="000C0EBC">
        <w:rPr>
          <w:rFonts w:cstheme="minorHAnsi"/>
          <w:sz w:val="24"/>
          <w:szCs w:val="24"/>
        </w:rPr>
        <w:t xml:space="preserve"> acts, “the effects of a subtle and politically enforced performativity,” whose “hyperbolic exhibitions of ‘the natural’…in their very </w:t>
      </w:r>
      <w:proofErr w:type="gramStart"/>
      <w:r w:rsidRPr="000C0EBC">
        <w:rPr>
          <w:rFonts w:cstheme="minorHAnsi"/>
          <w:sz w:val="24"/>
          <w:szCs w:val="24"/>
        </w:rPr>
        <w:t>exaggeration,</w:t>
      </w:r>
      <w:proofErr w:type="gramEnd"/>
      <w:r w:rsidRPr="000C0EBC">
        <w:rPr>
          <w:rFonts w:cstheme="minorHAnsi"/>
          <w:sz w:val="24"/>
          <w:szCs w:val="24"/>
        </w:rPr>
        <w:t xml:space="preserve"> reveal [gender’s] fundamentally </w:t>
      </w:r>
      <w:proofErr w:type="spellStart"/>
      <w:r w:rsidRPr="000C0EBC">
        <w:rPr>
          <w:rFonts w:cstheme="minorHAnsi"/>
          <w:sz w:val="24"/>
          <w:szCs w:val="24"/>
        </w:rPr>
        <w:t>phantasmatic</w:t>
      </w:r>
      <w:proofErr w:type="spellEnd"/>
      <w:r w:rsidRPr="000C0EBC">
        <w:rPr>
          <w:rFonts w:cstheme="minorHAnsi"/>
          <w:sz w:val="24"/>
          <w:szCs w:val="24"/>
        </w:rPr>
        <w:t xml:space="preserve"> status.”</w:t>
      </w:r>
      <w:r w:rsidRPr="000C0EBC">
        <w:rPr>
          <w:rStyle w:val="FootnoteReference"/>
          <w:rFonts w:cstheme="minorHAnsi"/>
          <w:sz w:val="24"/>
          <w:szCs w:val="24"/>
        </w:rPr>
        <w:footnoteReference w:id="58"/>
      </w:r>
      <w:r w:rsidRPr="000C0EBC">
        <w:rPr>
          <w:rFonts w:cstheme="minorHAnsi"/>
          <w:sz w:val="24"/>
          <w:szCs w:val="24"/>
        </w:rPr>
        <w:t xml:space="preserve"> I share Butler’s definition of identity as a “process” asserted through “signification,”</w:t>
      </w:r>
      <w:r w:rsidRPr="000C0EBC">
        <w:rPr>
          <w:rStyle w:val="FootnoteReference"/>
          <w:rFonts w:cstheme="minorHAnsi"/>
          <w:sz w:val="24"/>
          <w:szCs w:val="24"/>
        </w:rPr>
        <w:footnoteReference w:id="59"/>
      </w:r>
      <w:r w:rsidRPr="000C0EBC">
        <w:rPr>
          <w:rFonts w:cstheme="minorHAnsi"/>
          <w:sz w:val="24"/>
          <w:szCs w:val="24"/>
        </w:rPr>
        <w:t xml:space="preserve"> and so use the idea of performativity to argue that even exaggerated parodies enter into the discourse of one’s identity.</w:t>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 xml:space="preserve">Nineteenth-century parlor musical performances provided highly corporeal means of signifying identity. They involve not only verbalizations, but the utilization and display of the </w:t>
      </w:r>
      <w:r w:rsidRPr="000C0EBC">
        <w:rPr>
          <w:rFonts w:cstheme="minorHAnsi"/>
          <w:sz w:val="24"/>
          <w:szCs w:val="24"/>
        </w:rPr>
        <w:lastRenderedPageBreak/>
        <w:t>entire body. Singers engage deeply with texts as they transform them into melodic lines and add extra layers of meaning through their</w:t>
      </w:r>
      <w:r w:rsidR="00CF72A8">
        <w:rPr>
          <w:rFonts w:cstheme="minorHAnsi"/>
          <w:sz w:val="24"/>
          <w:szCs w:val="24"/>
        </w:rPr>
        <w:t xml:space="preserve"> vocal</w:t>
      </w:r>
      <w:r w:rsidRPr="000C0EBC">
        <w:rPr>
          <w:rFonts w:cstheme="minorHAnsi"/>
          <w:sz w:val="24"/>
          <w:szCs w:val="24"/>
        </w:rPr>
        <w:t xml:space="preserve"> tone. Pantomime and dance transform the performers into the characters they portray. Although little direct evidence of specific performance practices survive, creating and imitating characters must have</w:t>
      </w:r>
      <w:r w:rsidR="00686939">
        <w:rPr>
          <w:rFonts w:cstheme="minorHAnsi"/>
          <w:sz w:val="24"/>
          <w:szCs w:val="24"/>
        </w:rPr>
        <w:t xml:space="preserve"> been a key part of performance</w:t>
      </w:r>
      <w:r w:rsidRPr="000C0EBC">
        <w:rPr>
          <w:rFonts w:cstheme="minorHAnsi"/>
          <w:sz w:val="24"/>
          <w:szCs w:val="24"/>
        </w:rPr>
        <w:t xml:space="preserve"> because a number of</w:t>
      </w:r>
      <w:r w:rsidRPr="000C0EBC">
        <w:rPr>
          <w:rFonts w:cstheme="minorHAnsi"/>
          <w:color w:val="FF0000"/>
          <w:sz w:val="24"/>
          <w:szCs w:val="24"/>
        </w:rPr>
        <w:t xml:space="preserve"> </w:t>
      </w:r>
      <w:r w:rsidRPr="000C0EBC">
        <w:rPr>
          <w:rFonts w:cstheme="minorHAnsi"/>
          <w:sz w:val="24"/>
          <w:szCs w:val="24"/>
        </w:rPr>
        <w:t>song sheets include directions on when and how to do it, for example the 1891 song “Sister Mary Walked Like That.” The song narrates the arrival of a plethora of wedding guests, and during the chorus, the singer lists each guest and parenthetical notes just above the staff instruct the singer to imitate certain walks. Thus, as “Sister Mary” enters, the vocalist sings “pit pat pit a pat” and is told t</w:t>
      </w:r>
      <w:r w:rsidR="00C30857">
        <w:rPr>
          <w:rFonts w:cstheme="minorHAnsi"/>
          <w:sz w:val="24"/>
          <w:szCs w:val="24"/>
        </w:rPr>
        <w:t>o “(Here imitate a ladies limp);</w:t>
      </w:r>
      <w:r w:rsidRPr="000C0EBC">
        <w:rPr>
          <w:rFonts w:cstheme="minorHAnsi"/>
          <w:sz w:val="24"/>
          <w:szCs w:val="24"/>
        </w:rPr>
        <w:t xml:space="preserve">” then while “Uncle </w:t>
      </w:r>
      <w:proofErr w:type="gramStart"/>
      <w:r w:rsidRPr="000C0EBC">
        <w:rPr>
          <w:rFonts w:cstheme="minorHAnsi"/>
          <w:sz w:val="24"/>
          <w:szCs w:val="24"/>
        </w:rPr>
        <w:t>stout</w:t>
      </w:r>
      <w:proofErr w:type="gramEnd"/>
      <w:r w:rsidRPr="000C0EBC">
        <w:rPr>
          <w:rFonts w:cstheme="minorHAnsi"/>
          <w:sz w:val="24"/>
          <w:szCs w:val="24"/>
        </w:rPr>
        <w:t xml:space="preserve"> and fat” enters, the vocalist sings “Ho! Ho! Ho! Ho! Ho!” and imitates the “waddle of a fat man.”</w:t>
      </w:r>
      <w:r w:rsidRPr="000C0EBC">
        <w:rPr>
          <w:rStyle w:val="FootnoteReference"/>
          <w:rFonts w:cstheme="minorHAnsi"/>
          <w:sz w:val="24"/>
          <w:szCs w:val="24"/>
        </w:rPr>
        <w:footnoteReference w:id="60"/>
      </w:r>
    </w:p>
    <w:p w:rsidR="00D029BE" w:rsidRPr="000C0EBC" w:rsidRDefault="00D029BE" w:rsidP="00D029BE">
      <w:pPr>
        <w:spacing w:line="480" w:lineRule="auto"/>
        <w:ind w:firstLine="720"/>
        <w:contextualSpacing/>
        <w:rPr>
          <w:rFonts w:cstheme="minorHAnsi"/>
          <w:sz w:val="24"/>
          <w:szCs w:val="24"/>
        </w:rPr>
      </w:pPr>
      <w:r w:rsidRPr="000C0EBC">
        <w:rPr>
          <w:rFonts w:cstheme="minorHAnsi"/>
          <w:sz w:val="24"/>
          <w:szCs w:val="24"/>
        </w:rPr>
        <w:t>Performative imitation was not unique to this form of American music at the time, but in this context it presents a powerful cultural force. Minstrelsy, of c</w:t>
      </w:r>
      <w:r w:rsidR="00CF72A8">
        <w:rPr>
          <w:rFonts w:cstheme="minorHAnsi"/>
          <w:sz w:val="24"/>
          <w:szCs w:val="24"/>
        </w:rPr>
        <w:t>ourse, was based entirely on</w:t>
      </w:r>
      <w:r w:rsidRPr="000C0EBC">
        <w:rPr>
          <w:rFonts w:cstheme="minorHAnsi"/>
          <w:sz w:val="24"/>
          <w:szCs w:val="24"/>
        </w:rPr>
        <w:t xml:space="preserve"> an exaggerated imitation of a racial identity, and Eric Lott posited that minstrelsy’s power lay in being a “counterfeit,” through which “whites [girded] themselves by way of rituals that mirror rather than distance the Other,” and are touching “the blacks they would lampoon.”</w:t>
      </w:r>
      <w:r w:rsidRPr="000C0EBC">
        <w:rPr>
          <w:rStyle w:val="FootnoteReference"/>
          <w:rFonts w:cstheme="minorHAnsi"/>
          <w:sz w:val="24"/>
          <w:szCs w:val="24"/>
        </w:rPr>
        <w:footnoteReference w:id="61"/>
      </w:r>
      <w:r w:rsidRPr="000C0EBC">
        <w:rPr>
          <w:rFonts w:cstheme="minorHAnsi"/>
          <w:sz w:val="24"/>
          <w:szCs w:val="24"/>
        </w:rPr>
        <w:t xml:space="preserve"> Gillian Rodger’s history of the nineteenth-century variety hall discusses such imitative acts</w:t>
      </w:r>
      <w:r w:rsidR="00C30857">
        <w:rPr>
          <w:rFonts w:cstheme="minorHAnsi"/>
          <w:sz w:val="24"/>
          <w:szCs w:val="24"/>
        </w:rPr>
        <w:t>,</w:t>
      </w:r>
      <w:r w:rsidRPr="000C0EBC">
        <w:rPr>
          <w:rFonts w:cstheme="minorHAnsi"/>
          <w:sz w:val="24"/>
          <w:szCs w:val="24"/>
        </w:rPr>
        <w:t xml:space="preserve"> including male impersonators, female impersonators, and the potentially risqué “tableaux </w:t>
      </w:r>
      <w:proofErr w:type="spellStart"/>
      <w:r w:rsidRPr="000C0EBC">
        <w:rPr>
          <w:rFonts w:cstheme="minorHAnsi"/>
          <w:sz w:val="24"/>
          <w:szCs w:val="24"/>
        </w:rPr>
        <w:t>vivants</w:t>
      </w:r>
      <w:proofErr w:type="spellEnd"/>
      <w:r w:rsidRPr="000C0EBC">
        <w:rPr>
          <w:rFonts w:cstheme="minorHAnsi"/>
          <w:sz w:val="24"/>
          <w:szCs w:val="24"/>
        </w:rPr>
        <w:t>,”</w:t>
      </w:r>
      <w:r w:rsidRPr="000C0EBC">
        <w:rPr>
          <w:rStyle w:val="FootnoteReference"/>
          <w:rFonts w:cstheme="minorHAnsi"/>
          <w:sz w:val="24"/>
          <w:szCs w:val="24"/>
        </w:rPr>
        <w:footnoteReference w:id="62"/>
      </w:r>
      <w:r w:rsidRPr="000C0EBC">
        <w:rPr>
          <w:rFonts w:cstheme="minorHAnsi"/>
          <w:sz w:val="24"/>
          <w:szCs w:val="24"/>
        </w:rPr>
        <w:t xml:space="preserve"> in which ballet dancers and acrobats imitated classical statuary. The imitation and mimicry </w:t>
      </w:r>
      <w:r w:rsidRPr="000C0EBC">
        <w:rPr>
          <w:rFonts w:cstheme="minorHAnsi"/>
          <w:sz w:val="24"/>
          <w:szCs w:val="24"/>
        </w:rPr>
        <w:lastRenderedPageBreak/>
        <w:t xml:space="preserve">common to the comic repertoire relate to the concept of mimesis, but when this mimetic music is performed in the parlor, it invites the </w:t>
      </w:r>
      <w:proofErr w:type="gramStart"/>
      <w:r w:rsidRPr="000C0EBC">
        <w:rPr>
          <w:rFonts w:cstheme="minorHAnsi"/>
          <w:sz w:val="24"/>
          <w:szCs w:val="24"/>
        </w:rPr>
        <w:t>Other</w:t>
      </w:r>
      <w:proofErr w:type="gramEnd"/>
      <w:r w:rsidRPr="000C0EBC">
        <w:rPr>
          <w:rFonts w:cstheme="minorHAnsi"/>
          <w:sz w:val="24"/>
          <w:szCs w:val="24"/>
        </w:rPr>
        <w:t xml:space="preserve"> into the home and the body.</w:t>
      </w:r>
    </w:p>
    <w:p w:rsidR="00D029BE" w:rsidRPr="00CF72A8" w:rsidRDefault="00D029BE" w:rsidP="00D029BE">
      <w:pPr>
        <w:spacing w:line="480" w:lineRule="auto"/>
        <w:ind w:firstLine="720"/>
        <w:contextualSpacing/>
        <w:rPr>
          <w:rFonts w:cstheme="minorHAnsi"/>
          <w:sz w:val="24"/>
          <w:szCs w:val="24"/>
        </w:rPr>
      </w:pPr>
      <w:r w:rsidRPr="000C0EBC">
        <w:rPr>
          <w:rFonts w:cstheme="minorHAnsi"/>
          <w:sz w:val="24"/>
          <w:szCs w:val="24"/>
        </w:rPr>
        <w:t xml:space="preserve">Mimesis, according to Michael </w:t>
      </w:r>
      <w:proofErr w:type="spellStart"/>
      <w:r w:rsidRPr="000C0EBC">
        <w:rPr>
          <w:rFonts w:cstheme="minorHAnsi"/>
          <w:sz w:val="24"/>
          <w:szCs w:val="24"/>
        </w:rPr>
        <w:t>Taussig</w:t>
      </w:r>
      <w:proofErr w:type="spellEnd"/>
      <w:r w:rsidRPr="000C0EBC">
        <w:rPr>
          <w:rFonts w:cstheme="minorHAnsi"/>
          <w:sz w:val="24"/>
          <w:szCs w:val="24"/>
        </w:rPr>
        <w:t xml:space="preserve">, allows the breaking of “boundaries” and presents performers </w:t>
      </w:r>
      <w:r w:rsidR="00CF72A8">
        <w:rPr>
          <w:rFonts w:cstheme="minorHAnsi"/>
          <w:sz w:val="24"/>
          <w:szCs w:val="24"/>
        </w:rPr>
        <w:t xml:space="preserve">with </w:t>
      </w:r>
      <w:r w:rsidRPr="000C0EBC">
        <w:rPr>
          <w:rFonts w:cstheme="minorHAnsi"/>
          <w:sz w:val="24"/>
          <w:szCs w:val="24"/>
        </w:rPr>
        <w:t xml:space="preserve">the opportunity of “slipping into Otherness [and] trying it on for </w:t>
      </w:r>
      <w:r w:rsidRPr="00CF72A8">
        <w:rPr>
          <w:rFonts w:cstheme="minorHAnsi"/>
          <w:sz w:val="24"/>
          <w:szCs w:val="24"/>
        </w:rPr>
        <w:t>size.”</w:t>
      </w:r>
      <w:r w:rsidRPr="00CF72A8">
        <w:rPr>
          <w:rStyle w:val="FootnoteReference"/>
          <w:rFonts w:cstheme="minorHAnsi"/>
          <w:sz w:val="24"/>
          <w:szCs w:val="24"/>
        </w:rPr>
        <w:footnoteReference w:id="63"/>
      </w:r>
      <w:r w:rsidRPr="00CF72A8">
        <w:rPr>
          <w:rFonts w:cstheme="minorHAnsi"/>
          <w:sz w:val="24"/>
          <w:szCs w:val="24"/>
        </w:rPr>
        <w:t xml:space="preserve"> </w:t>
      </w:r>
      <w:proofErr w:type="spellStart"/>
      <w:r w:rsidRPr="00CF72A8">
        <w:rPr>
          <w:rFonts w:cstheme="minorHAnsi"/>
          <w:sz w:val="24"/>
          <w:szCs w:val="24"/>
        </w:rPr>
        <w:t>Taussig</w:t>
      </w:r>
      <w:proofErr w:type="spellEnd"/>
      <w:r w:rsidRPr="00CF72A8">
        <w:rPr>
          <w:rFonts w:cstheme="minorHAnsi"/>
          <w:sz w:val="24"/>
          <w:szCs w:val="24"/>
        </w:rPr>
        <w:t xml:space="preserve"> posited that “the power to represent the world” and the “power to falsify, m</w:t>
      </w:r>
      <w:r w:rsidR="00CF72A8" w:rsidRPr="00CF72A8">
        <w:rPr>
          <w:rFonts w:cstheme="minorHAnsi"/>
          <w:sz w:val="24"/>
          <w:szCs w:val="24"/>
        </w:rPr>
        <w:t>ask, and pose” are “inseparable;</w:t>
      </w:r>
      <w:r w:rsidRPr="00CF72A8">
        <w:rPr>
          <w:rFonts w:cstheme="minorHAnsi"/>
          <w:sz w:val="24"/>
          <w:szCs w:val="24"/>
        </w:rPr>
        <w:t xml:space="preserve">” through mimesis, not only do </w:t>
      </w:r>
      <w:r w:rsidR="00CF72A8" w:rsidRPr="00CF72A8">
        <w:rPr>
          <w:rFonts w:cstheme="minorHAnsi"/>
          <w:sz w:val="24"/>
          <w:szCs w:val="24"/>
        </w:rPr>
        <w:t>performers create “images [that</w:t>
      </w:r>
      <w:r w:rsidRPr="00CF72A8">
        <w:rPr>
          <w:rFonts w:cstheme="minorHAnsi"/>
          <w:sz w:val="24"/>
          <w:szCs w:val="24"/>
        </w:rPr>
        <w:t>] chase images…one also becomes matter.”</w:t>
      </w:r>
      <w:r w:rsidRPr="00CF72A8">
        <w:rPr>
          <w:rStyle w:val="FootnoteReference"/>
          <w:rFonts w:cstheme="minorHAnsi"/>
          <w:sz w:val="24"/>
          <w:szCs w:val="24"/>
        </w:rPr>
        <w:footnoteReference w:id="64"/>
      </w:r>
      <w:r w:rsidRPr="00CF72A8">
        <w:rPr>
          <w:rFonts w:cstheme="minorHAnsi"/>
          <w:sz w:val="24"/>
          <w:szCs w:val="24"/>
        </w:rPr>
        <w:t xml:space="preserve"> He presents the specific case of the </w:t>
      </w:r>
      <w:proofErr w:type="spellStart"/>
      <w:r w:rsidRPr="00CF72A8">
        <w:rPr>
          <w:rFonts w:cstheme="minorHAnsi"/>
          <w:sz w:val="24"/>
          <w:szCs w:val="24"/>
        </w:rPr>
        <w:t>Cuna</w:t>
      </w:r>
      <w:proofErr w:type="spellEnd"/>
      <w:r w:rsidRPr="00CF72A8">
        <w:rPr>
          <w:rFonts w:cstheme="minorHAnsi"/>
          <w:sz w:val="24"/>
          <w:szCs w:val="24"/>
        </w:rPr>
        <w:t xml:space="preserve"> people of Central America, who believe in specialized healers’ abilities to become “medicines”</w:t>
      </w:r>
      <w:r w:rsidRPr="00CF72A8">
        <w:rPr>
          <w:rStyle w:val="FootnoteReference"/>
          <w:rFonts w:cstheme="minorHAnsi"/>
          <w:sz w:val="24"/>
          <w:szCs w:val="24"/>
        </w:rPr>
        <w:footnoteReference w:id="65"/>
      </w:r>
      <w:r w:rsidRPr="00CF72A8">
        <w:rPr>
          <w:rFonts w:cstheme="minorHAnsi"/>
          <w:sz w:val="24"/>
          <w:szCs w:val="24"/>
        </w:rPr>
        <w:t xml:space="preserve"> through chanting.</w:t>
      </w:r>
      <w:r w:rsidRPr="00CF72A8">
        <w:rPr>
          <w:rFonts w:cstheme="minorHAnsi"/>
          <w:color w:val="FF0000"/>
          <w:sz w:val="24"/>
          <w:szCs w:val="24"/>
        </w:rPr>
        <w:t xml:space="preserve"> </w:t>
      </w:r>
      <w:r w:rsidRPr="00CF72A8">
        <w:rPr>
          <w:rFonts w:cstheme="minorHAnsi"/>
          <w:sz w:val="24"/>
          <w:szCs w:val="24"/>
        </w:rPr>
        <w:t xml:space="preserve">The </w:t>
      </w:r>
      <w:proofErr w:type="spellStart"/>
      <w:r w:rsidRPr="00CF72A8">
        <w:rPr>
          <w:rFonts w:cstheme="minorHAnsi"/>
          <w:sz w:val="24"/>
          <w:szCs w:val="24"/>
        </w:rPr>
        <w:t>Cuna</w:t>
      </w:r>
      <w:proofErr w:type="spellEnd"/>
      <w:r w:rsidRPr="00CF72A8">
        <w:rPr>
          <w:rFonts w:cstheme="minorHAnsi"/>
          <w:sz w:val="24"/>
          <w:szCs w:val="24"/>
        </w:rPr>
        <w:t xml:space="preserve"> medicine man describes and mimes a spirit </w:t>
      </w:r>
      <w:proofErr w:type="gramStart"/>
      <w:r w:rsidRPr="00CF72A8">
        <w:rPr>
          <w:rFonts w:cstheme="minorHAnsi"/>
          <w:sz w:val="24"/>
          <w:szCs w:val="24"/>
        </w:rPr>
        <w:t>Other</w:t>
      </w:r>
      <w:proofErr w:type="gramEnd"/>
      <w:r w:rsidRPr="00CF72A8">
        <w:rPr>
          <w:rFonts w:cstheme="minorHAnsi"/>
          <w:sz w:val="24"/>
          <w:szCs w:val="24"/>
        </w:rPr>
        <w:t>, engaging “with the thing described so as to bring out its spirit,” placing himself in the scene and existing “not just as subject</w:t>
      </w:r>
      <w:r w:rsidR="00C30857">
        <w:rPr>
          <w:rFonts w:cstheme="minorHAnsi"/>
          <w:sz w:val="24"/>
          <w:szCs w:val="24"/>
        </w:rPr>
        <w:t xml:space="preserve"> but also as </w:t>
      </w:r>
      <w:proofErr w:type="spellStart"/>
      <w:r w:rsidR="00C30857">
        <w:rPr>
          <w:rFonts w:cstheme="minorHAnsi"/>
          <w:sz w:val="24"/>
          <w:szCs w:val="24"/>
        </w:rPr>
        <w:t>mimeticised</w:t>
      </w:r>
      <w:proofErr w:type="spellEnd"/>
      <w:r w:rsidR="00C30857">
        <w:rPr>
          <w:rFonts w:cstheme="minorHAnsi"/>
          <w:sz w:val="24"/>
          <w:szCs w:val="24"/>
        </w:rPr>
        <w:t xml:space="preserve"> Other.</w:t>
      </w:r>
      <w:r w:rsidRPr="00CF72A8">
        <w:rPr>
          <w:rFonts w:cstheme="minorHAnsi"/>
          <w:sz w:val="24"/>
          <w:szCs w:val="24"/>
        </w:rPr>
        <w:t>…as both chanter and person chanted about, as demonstrator and demonstrated,” creating a “bridge between original and copy.”</w:t>
      </w:r>
      <w:r w:rsidRPr="00CF72A8">
        <w:rPr>
          <w:rStyle w:val="FootnoteReference"/>
          <w:rFonts w:cstheme="minorHAnsi"/>
          <w:sz w:val="24"/>
          <w:szCs w:val="24"/>
        </w:rPr>
        <w:footnoteReference w:id="66"/>
      </w:r>
      <w:r w:rsidRPr="00CF72A8">
        <w:rPr>
          <w:rFonts w:cstheme="minorHAnsi"/>
          <w:sz w:val="24"/>
          <w:szCs w:val="24"/>
        </w:rPr>
        <w:t xml:space="preserve"> Although Eric Lott does not specifically call the minstrel phenomenon mimesis, he describes it similarly, arguing that the p</w:t>
      </w:r>
      <w:r w:rsidR="00C30857">
        <w:rPr>
          <w:rFonts w:cstheme="minorHAnsi"/>
          <w:sz w:val="24"/>
          <w:szCs w:val="24"/>
        </w:rPr>
        <w:t>ower of blackface performers rests</w:t>
      </w:r>
      <w:r w:rsidRPr="00CF72A8">
        <w:rPr>
          <w:rFonts w:cstheme="minorHAnsi"/>
          <w:sz w:val="24"/>
          <w:szCs w:val="24"/>
        </w:rPr>
        <w:t xml:space="preserve"> in their ability to both “produce and disintegrate the body.”</w:t>
      </w:r>
      <w:r w:rsidRPr="00CF72A8">
        <w:rPr>
          <w:rStyle w:val="FootnoteReference"/>
          <w:rFonts w:cstheme="minorHAnsi"/>
          <w:sz w:val="24"/>
          <w:szCs w:val="24"/>
        </w:rPr>
        <w:footnoteReference w:id="67"/>
      </w:r>
      <w:r w:rsidRPr="00CF72A8">
        <w:rPr>
          <w:rFonts w:cstheme="minorHAnsi"/>
          <w:sz w:val="24"/>
          <w:szCs w:val="24"/>
        </w:rPr>
        <w:t xml:space="preserve"> For blackface performers, donning the “mask:”</w:t>
      </w:r>
    </w:p>
    <w:p w:rsidR="00D029BE" w:rsidRPr="00CF72A8" w:rsidRDefault="00D029BE" w:rsidP="00D029BE">
      <w:pPr>
        <w:spacing w:line="240" w:lineRule="auto"/>
        <w:ind w:left="720"/>
        <w:contextualSpacing/>
        <w:rPr>
          <w:rFonts w:cstheme="minorHAnsi"/>
          <w:sz w:val="24"/>
          <w:szCs w:val="24"/>
        </w:rPr>
      </w:pPr>
      <w:proofErr w:type="gramStart"/>
      <w:r w:rsidRPr="00CF72A8">
        <w:rPr>
          <w:rFonts w:cstheme="minorHAnsi"/>
          <w:sz w:val="24"/>
          <w:szCs w:val="24"/>
        </w:rPr>
        <w:t>may</w:t>
      </w:r>
      <w:proofErr w:type="gramEnd"/>
      <w:r w:rsidRPr="00CF72A8">
        <w:rPr>
          <w:rFonts w:cstheme="minorHAnsi"/>
          <w:sz w:val="24"/>
          <w:szCs w:val="24"/>
        </w:rPr>
        <w:t xml:space="preserve"> have been as much to maintain control over a potentially subversive act as to ridicule…</w:t>
      </w:r>
      <w:r w:rsidR="00C30857">
        <w:rPr>
          <w:rFonts w:cstheme="minorHAnsi"/>
          <w:sz w:val="24"/>
          <w:szCs w:val="24"/>
        </w:rPr>
        <w:t xml:space="preserve"> </w:t>
      </w:r>
      <w:r w:rsidRPr="00CF72A8">
        <w:rPr>
          <w:rFonts w:cstheme="minorHAnsi"/>
          <w:sz w:val="24"/>
          <w:szCs w:val="24"/>
        </w:rPr>
        <w:t>[</w:t>
      </w:r>
      <w:proofErr w:type="gramStart"/>
      <w:r w:rsidRPr="00CF72A8">
        <w:rPr>
          <w:rFonts w:cstheme="minorHAnsi"/>
          <w:sz w:val="24"/>
          <w:szCs w:val="24"/>
        </w:rPr>
        <w:t>though</w:t>
      </w:r>
      <w:proofErr w:type="gramEnd"/>
      <w:r w:rsidRPr="00CF72A8">
        <w:rPr>
          <w:rFonts w:cstheme="minorHAnsi"/>
          <w:sz w:val="24"/>
          <w:szCs w:val="24"/>
        </w:rPr>
        <w:t>] attempts at regulation were also capable of producing an aura of ‘blackness.’</w:t>
      </w:r>
      <w:r w:rsidRPr="00CF72A8">
        <w:rPr>
          <w:rStyle w:val="FootnoteReference"/>
          <w:rFonts w:cstheme="minorHAnsi"/>
          <w:sz w:val="24"/>
          <w:szCs w:val="24"/>
        </w:rPr>
        <w:footnoteReference w:id="68"/>
      </w:r>
    </w:p>
    <w:p w:rsidR="00D029BE" w:rsidRPr="00CF72A8" w:rsidRDefault="00D029BE" w:rsidP="00D029BE">
      <w:pPr>
        <w:spacing w:line="240" w:lineRule="auto"/>
        <w:ind w:left="720"/>
        <w:contextualSpacing/>
        <w:rPr>
          <w:rFonts w:cstheme="minorHAnsi"/>
          <w:sz w:val="24"/>
          <w:szCs w:val="24"/>
        </w:rPr>
      </w:pPr>
    </w:p>
    <w:p w:rsidR="00D029BE" w:rsidRPr="00CF72A8" w:rsidRDefault="00D029BE" w:rsidP="00D029BE">
      <w:pPr>
        <w:spacing w:line="480" w:lineRule="auto"/>
        <w:contextualSpacing/>
        <w:rPr>
          <w:rFonts w:cstheme="minorHAnsi"/>
          <w:sz w:val="24"/>
          <w:szCs w:val="24"/>
        </w:rPr>
      </w:pPr>
      <w:r w:rsidRPr="00CF72A8">
        <w:rPr>
          <w:rFonts w:cstheme="minorHAnsi"/>
          <w:sz w:val="24"/>
          <w:szCs w:val="24"/>
        </w:rPr>
        <w:t xml:space="preserve">Performing as the </w:t>
      </w:r>
      <w:proofErr w:type="gramStart"/>
      <w:r w:rsidRPr="00CF72A8">
        <w:rPr>
          <w:rFonts w:cstheme="minorHAnsi"/>
          <w:sz w:val="24"/>
          <w:szCs w:val="24"/>
        </w:rPr>
        <w:t>Other</w:t>
      </w:r>
      <w:proofErr w:type="gramEnd"/>
      <w:r w:rsidRPr="00CF72A8">
        <w:rPr>
          <w:rFonts w:cstheme="minorHAnsi"/>
          <w:sz w:val="24"/>
          <w:szCs w:val="24"/>
        </w:rPr>
        <w:t xml:space="preserve"> offered the opportunity to both separate oneself from a demonstrated identity and lose oneself in it.</w:t>
      </w:r>
    </w:p>
    <w:p w:rsidR="00D029BE" w:rsidRPr="000C0EBC" w:rsidRDefault="001B7D67" w:rsidP="001B7D67">
      <w:pPr>
        <w:spacing w:line="480" w:lineRule="auto"/>
        <w:ind w:firstLine="720"/>
        <w:contextualSpacing/>
        <w:rPr>
          <w:rFonts w:cstheme="minorHAnsi"/>
          <w:sz w:val="24"/>
          <w:szCs w:val="24"/>
        </w:rPr>
      </w:pPr>
      <w:r>
        <w:rPr>
          <w:rFonts w:cstheme="minorHAnsi"/>
          <w:sz w:val="24"/>
          <w:szCs w:val="24"/>
        </w:rPr>
        <w:lastRenderedPageBreak/>
        <w:t xml:space="preserve">White parlor performers frequently took on </w:t>
      </w:r>
      <w:proofErr w:type="spellStart"/>
      <w:r>
        <w:rPr>
          <w:rFonts w:cstheme="minorHAnsi"/>
          <w:sz w:val="24"/>
          <w:szCs w:val="24"/>
        </w:rPr>
        <w:t>Othered</w:t>
      </w:r>
      <w:proofErr w:type="spellEnd"/>
      <w:r>
        <w:rPr>
          <w:rFonts w:cstheme="minorHAnsi"/>
          <w:sz w:val="24"/>
          <w:szCs w:val="24"/>
        </w:rPr>
        <w:t xml:space="preserve"> African-American identities in song, asserting and subverting their own identities as they did so. Werner’s photograph guide to performing the minstrel song “Old Folks at Home</w:t>
      </w:r>
      <w:r w:rsidR="00D029BE" w:rsidRPr="00CF72A8">
        <w:rPr>
          <w:rFonts w:cstheme="minorHAnsi"/>
          <w:sz w:val="24"/>
          <w:szCs w:val="24"/>
        </w:rPr>
        <w:t xml:space="preserve">” </w:t>
      </w:r>
      <w:r>
        <w:rPr>
          <w:rFonts w:cstheme="minorHAnsi"/>
          <w:sz w:val="24"/>
          <w:szCs w:val="24"/>
        </w:rPr>
        <w:t>aided parlor musicians in creating</w:t>
      </w:r>
      <w:r w:rsidRPr="00CF72A8">
        <w:rPr>
          <w:rFonts w:cstheme="minorHAnsi"/>
          <w:sz w:val="24"/>
          <w:szCs w:val="24"/>
        </w:rPr>
        <w:t xml:space="preserve"> the appearance of the </w:t>
      </w:r>
      <w:proofErr w:type="gramStart"/>
      <w:r w:rsidRPr="00CF72A8">
        <w:rPr>
          <w:rFonts w:cstheme="minorHAnsi"/>
          <w:sz w:val="24"/>
          <w:szCs w:val="24"/>
        </w:rPr>
        <w:t>Other</w:t>
      </w:r>
      <w:proofErr w:type="gramEnd"/>
      <w:r w:rsidRPr="00CF72A8">
        <w:rPr>
          <w:rFonts w:cstheme="minorHAnsi"/>
          <w:sz w:val="24"/>
          <w:szCs w:val="24"/>
        </w:rPr>
        <w:t xml:space="preserve"> in </w:t>
      </w:r>
      <w:r>
        <w:rPr>
          <w:rFonts w:cstheme="minorHAnsi"/>
          <w:sz w:val="24"/>
          <w:szCs w:val="24"/>
        </w:rPr>
        <w:t>themselves.</w:t>
      </w:r>
      <w:r w:rsidRPr="00CF72A8">
        <w:rPr>
          <w:rFonts w:cstheme="minorHAnsi"/>
          <w:sz w:val="24"/>
          <w:szCs w:val="24"/>
        </w:rPr>
        <w:t xml:space="preserve"> </w:t>
      </w:r>
      <w:r w:rsidR="00C30857">
        <w:rPr>
          <w:rFonts w:cstheme="minorHAnsi"/>
          <w:sz w:val="24"/>
          <w:szCs w:val="24"/>
        </w:rPr>
        <w:t xml:space="preserve">The </w:t>
      </w:r>
      <w:r w:rsidR="00D029BE" w:rsidRPr="00CF72A8">
        <w:rPr>
          <w:rFonts w:cstheme="minorHAnsi"/>
          <w:sz w:val="24"/>
          <w:szCs w:val="24"/>
        </w:rPr>
        <w:t>pe</w:t>
      </w:r>
      <w:r>
        <w:rPr>
          <w:rFonts w:cstheme="minorHAnsi"/>
          <w:sz w:val="24"/>
          <w:szCs w:val="24"/>
        </w:rPr>
        <w:t>rformative actions</w:t>
      </w:r>
      <w:r w:rsidR="00C30857">
        <w:rPr>
          <w:rFonts w:cstheme="minorHAnsi"/>
          <w:sz w:val="24"/>
          <w:szCs w:val="24"/>
        </w:rPr>
        <w:t xml:space="preserve"> of the young woman in the photographs</w:t>
      </w:r>
      <w:r>
        <w:rPr>
          <w:rFonts w:cstheme="minorHAnsi"/>
          <w:sz w:val="24"/>
          <w:szCs w:val="24"/>
        </w:rPr>
        <w:t xml:space="preserve"> </w:t>
      </w:r>
      <w:r w:rsidR="00D029BE" w:rsidRPr="00CF72A8">
        <w:rPr>
          <w:rFonts w:cstheme="minorHAnsi"/>
          <w:sz w:val="24"/>
          <w:szCs w:val="24"/>
        </w:rPr>
        <w:t xml:space="preserve">mime a fictionalized </w:t>
      </w:r>
      <w:r>
        <w:rPr>
          <w:rFonts w:cstheme="minorHAnsi"/>
          <w:sz w:val="24"/>
          <w:szCs w:val="24"/>
        </w:rPr>
        <w:t xml:space="preserve">African-American slave identity. The song uses tropes such as banjo playing to </w:t>
      </w:r>
      <w:proofErr w:type="spellStart"/>
      <w:r>
        <w:rPr>
          <w:rFonts w:cstheme="minorHAnsi"/>
          <w:sz w:val="24"/>
          <w:szCs w:val="24"/>
        </w:rPr>
        <w:t>exoticize</w:t>
      </w:r>
      <w:proofErr w:type="spellEnd"/>
      <w:r>
        <w:rPr>
          <w:rFonts w:cstheme="minorHAnsi"/>
          <w:sz w:val="24"/>
          <w:szCs w:val="24"/>
        </w:rPr>
        <w:t xml:space="preserve"> this identity</w:t>
      </w:r>
      <w:r w:rsidR="003C2245">
        <w:rPr>
          <w:rFonts w:cstheme="minorHAnsi"/>
          <w:sz w:val="24"/>
          <w:szCs w:val="24"/>
        </w:rPr>
        <w:t xml:space="preserve"> and signify its Otherness</w:t>
      </w:r>
      <w:r>
        <w:rPr>
          <w:rFonts w:cstheme="minorHAnsi"/>
          <w:sz w:val="24"/>
          <w:szCs w:val="24"/>
        </w:rPr>
        <w:t xml:space="preserve">, but her embodiment of this action </w:t>
      </w:r>
      <w:r w:rsidR="003C2245">
        <w:rPr>
          <w:rFonts w:cstheme="minorHAnsi"/>
          <w:sz w:val="24"/>
          <w:szCs w:val="24"/>
        </w:rPr>
        <w:t>brings it into her Self</w:t>
      </w:r>
      <w:r w:rsidR="00D029BE" w:rsidRPr="00CF72A8">
        <w:rPr>
          <w:rFonts w:cstheme="minorHAnsi"/>
          <w:sz w:val="24"/>
          <w:szCs w:val="24"/>
        </w:rPr>
        <w:t>. This example does not represent an openly subversive act, as it treats a sentimental theme and Stephen Foster’s music</w:t>
      </w:r>
      <w:r w:rsidR="00D029BE" w:rsidRPr="000C0EBC">
        <w:rPr>
          <w:rFonts w:cstheme="minorHAnsi"/>
          <w:sz w:val="24"/>
          <w:szCs w:val="24"/>
        </w:rPr>
        <w:t xml:space="preserve"> holds a special place in Americana. Rather its challenge to the construction of the parlor aesthetic comes from the transplantation of the minstrel stage into the home. Other songs, such as the late nineteenth-century “coon songs,” that Karl Miller has analyzed, allowed white performers to embody “black protagonists” who “drank and ate too much…gambled and stole, and…regularly evaded authority.”</w:t>
      </w:r>
      <w:r w:rsidR="00D029BE" w:rsidRPr="000C0EBC">
        <w:rPr>
          <w:rStyle w:val="FootnoteReference"/>
          <w:rFonts w:cstheme="minorHAnsi"/>
          <w:sz w:val="24"/>
          <w:szCs w:val="24"/>
        </w:rPr>
        <w:footnoteReference w:id="69"/>
      </w:r>
      <w:r w:rsidR="00D029BE" w:rsidRPr="000C0EBC">
        <w:rPr>
          <w:rFonts w:cstheme="minorHAnsi"/>
          <w:sz w:val="24"/>
          <w:szCs w:val="24"/>
        </w:rPr>
        <w:t xml:space="preserve"> Miller sees these types of songs as allowing white performers to “commit all these sins through song,” and “revel in physical and expressive freedom”</w:t>
      </w:r>
      <w:r w:rsidR="00D029BE" w:rsidRPr="000C0EBC">
        <w:rPr>
          <w:rStyle w:val="FootnoteReference"/>
          <w:rFonts w:cstheme="minorHAnsi"/>
          <w:sz w:val="24"/>
          <w:szCs w:val="24"/>
        </w:rPr>
        <w:footnoteReference w:id="70"/>
      </w:r>
      <w:r w:rsidR="00D029BE" w:rsidRPr="000C0EBC">
        <w:rPr>
          <w:rFonts w:cstheme="minorHAnsi"/>
          <w:sz w:val="24"/>
          <w:szCs w:val="24"/>
        </w:rPr>
        <w:t xml:space="preserve"> themselves, while still identifying these traits with others. Not every performative act is subversive, and the dialogue of identity </w:t>
      </w:r>
      <w:r w:rsidR="00CF72A8">
        <w:rPr>
          <w:rFonts w:cstheme="minorHAnsi"/>
          <w:sz w:val="24"/>
          <w:szCs w:val="24"/>
        </w:rPr>
        <w:t>and the dialogue that formed</w:t>
      </w:r>
      <w:r w:rsidR="00D029BE" w:rsidRPr="000C0EBC">
        <w:rPr>
          <w:rFonts w:cstheme="minorHAnsi"/>
          <w:sz w:val="24"/>
          <w:szCs w:val="24"/>
        </w:rPr>
        <w:t xml:space="preserve"> nineteenth-century high and low distinc</w:t>
      </w:r>
      <w:r w:rsidR="00CF72A8">
        <w:rPr>
          <w:rFonts w:cstheme="minorHAnsi"/>
          <w:sz w:val="24"/>
          <w:szCs w:val="24"/>
        </w:rPr>
        <w:t>tions moved</w:t>
      </w:r>
      <w:r w:rsidR="00D029BE" w:rsidRPr="000C0EBC">
        <w:rPr>
          <w:rFonts w:cstheme="minorHAnsi"/>
          <w:sz w:val="24"/>
          <w:szCs w:val="24"/>
        </w:rPr>
        <w:t xml:space="preserve"> in both directions. Parlor song performers fabricated </w:t>
      </w:r>
      <w:r w:rsidR="00CF72A8">
        <w:rPr>
          <w:rFonts w:cstheme="minorHAnsi"/>
          <w:sz w:val="24"/>
          <w:szCs w:val="24"/>
        </w:rPr>
        <w:t>entirely new identities and</w:t>
      </w:r>
      <w:r w:rsidR="00D029BE" w:rsidRPr="000C0EBC">
        <w:rPr>
          <w:rFonts w:cstheme="minorHAnsi"/>
          <w:sz w:val="24"/>
          <w:szCs w:val="24"/>
        </w:rPr>
        <w:t xml:space="preserve"> entered them into a discourse with their own identities as they performed for their close friends and families. These were largely the desired genteel identities, but occasionally, and powerfully, subversive ones as well.</w:t>
      </w:r>
    </w:p>
    <w:p w:rsidR="00D029BE" w:rsidRDefault="00D029BE" w:rsidP="00642536">
      <w:pPr>
        <w:spacing w:line="480" w:lineRule="auto"/>
        <w:ind w:firstLine="720"/>
        <w:contextualSpacing/>
        <w:rPr>
          <w:rFonts w:cstheme="minorHAnsi"/>
          <w:sz w:val="24"/>
          <w:szCs w:val="24"/>
        </w:rPr>
      </w:pPr>
      <w:r w:rsidRPr="000C0EBC">
        <w:rPr>
          <w:rFonts w:cstheme="minorHAnsi"/>
          <w:sz w:val="24"/>
          <w:szCs w:val="24"/>
        </w:rPr>
        <w:t xml:space="preserve">Nineteenth-century song sheets were mass produced and consumed, but individual consumers had agency in this mass-mediated form, and acts of identification within this music </w:t>
      </w:r>
      <w:r w:rsidRPr="000C0EBC">
        <w:rPr>
          <w:rFonts w:cstheme="minorHAnsi"/>
          <w:sz w:val="24"/>
          <w:szCs w:val="24"/>
        </w:rPr>
        <w:lastRenderedPageBreak/>
        <w:t>generated meaningful discourses on their identity.</w:t>
      </w:r>
      <w:r w:rsidR="00CF72A8">
        <w:rPr>
          <w:rFonts w:cstheme="minorHAnsi"/>
          <w:sz w:val="24"/>
          <w:szCs w:val="24"/>
        </w:rPr>
        <w:t xml:space="preserve"> Similarly, i</w:t>
      </w:r>
      <w:r w:rsidRPr="000C0EBC">
        <w:rPr>
          <w:rFonts w:cstheme="minorHAnsi"/>
          <w:sz w:val="24"/>
          <w:szCs w:val="24"/>
        </w:rPr>
        <w:t xml:space="preserve">n </w:t>
      </w:r>
      <w:r w:rsidR="00CF72A8">
        <w:rPr>
          <w:rFonts w:cstheme="minorHAnsi"/>
          <w:sz w:val="24"/>
          <w:szCs w:val="24"/>
        </w:rPr>
        <w:t xml:space="preserve">the twentieth </w:t>
      </w:r>
      <w:r>
        <w:rPr>
          <w:rFonts w:cstheme="minorHAnsi"/>
          <w:sz w:val="24"/>
          <w:szCs w:val="24"/>
        </w:rPr>
        <w:t>century</w:t>
      </w:r>
      <w:r w:rsidRPr="000C0EBC">
        <w:rPr>
          <w:rFonts w:cstheme="minorHAnsi"/>
          <w:sz w:val="24"/>
          <w:szCs w:val="24"/>
        </w:rPr>
        <w:t>, Jason Lee Oakes argued in a study of Elvis impersonators that these performers “identify with” and make the music “their own,” asserting “their own agency in a mass-mediated form.”</w:t>
      </w:r>
      <w:r w:rsidRPr="000C0EBC">
        <w:rPr>
          <w:rStyle w:val="FootnoteReference"/>
          <w:rFonts w:cstheme="minorHAnsi"/>
          <w:sz w:val="24"/>
          <w:szCs w:val="24"/>
        </w:rPr>
        <w:footnoteReference w:id="71"/>
      </w:r>
      <w:r w:rsidRPr="000C0EBC">
        <w:rPr>
          <w:rFonts w:cstheme="minorHAnsi"/>
          <w:sz w:val="24"/>
          <w:szCs w:val="24"/>
        </w:rPr>
        <w:t xml:space="preserve"> The “identification” Oakes refers to “is something that must be </w:t>
      </w:r>
      <w:r w:rsidRPr="000C0EBC">
        <w:rPr>
          <w:rFonts w:cstheme="minorHAnsi"/>
          <w:i/>
          <w:sz w:val="24"/>
          <w:szCs w:val="24"/>
        </w:rPr>
        <w:t>made</w:t>
      </w:r>
      <w:r w:rsidR="00C30857">
        <w:rPr>
          <w:rFonts w:cstheme="minorHAnsi"/>
          <w:sz w:val="24"/>
          <w:szCs w:val="24"/>
        </w:rPr>
        <w:t>;</w:t>
      </w:r>
      <w:r w:rsidRPr="000C0EBC">
        <w:rPr>
          <w:rFonts w:cstheme="minorHAnsi"/>
          <w:sz w:val="24"/>
          <w:szCs w:val="24"/>
        </w:rPr>
        <w:t>” it is “an active verb” that represents someone “doing the identifying” and “something out there to identify with.”</w:t>
      </w:r>
      <w:r w:rsidRPr="000C0EBC">
        <w:rPr>
          <w:rStyle w:val="FootnoteReference"/>
          <w:rFonts w:cstheme="minorHAnsi"/>
          <w:sz w:val="24"/>
          <w:szCs w:val="24"/>
        </w:rPr>
        <w:footnoteReference w:id="72"/>
      </w:r>
      <w:r w:rsidRPr="000C0EBC">
        <w:rPr>
          <w:rFonts w:cstheme="minorHAnsi"/>
          <w:sz w:val="24"/>
          <w:szCs w:val="24"/>
        </w:rPr>
        <w:t xml:space="preserve"> Daniel </w:t>
      </w:r>
      <w:proofErr w:type="spellStart"/>
      <w:r w:rsidRPr="000C0EBC">
        <w:rPr>
          <w:rFonts w:cstheme="minorHAnsi"/>
          <w:sz w:val="24"/>
          <w:szCs w:val="24"/>
        </w:rPr>
        <w:t>Cavicchi</w:t>
      </w:r>
      <w:proofErr w:type="spellEnd"/>
      <w:r w:rsidRPr="000C0EBC">
        <w:rPr>
          <w:rFonts w:cstheme="minorHAnsi"/>
          <w:sz w:val="24"/>
          <w:szCs w:val="24"/>
        </w:rPr>
        <w:t xml:space="preserve"> observed a crucial process of identification in his ethnographic work among Bruce Springsteen fans, leading him to understand “their participation in the music as an act that ideally enables them to shape their sense of ‘me,’ to work through the complexities of </w:t>
      </w:r>
      <w:proofErr w:type="gramStart"/>
      <w:r w:rsidRPr="000C0EBC">
        <w:rPr>
          <w:rFonts w:cstheme="minorHAnsi"/>
          <w:sz w:val="24"/>
          <w:szCs w:val="24"/>
        </w:rPr>
        <w:t>who</w:t>
      </w:r>
      <w:proofErr w:type="gramEnd"/>
      <w:r w:rsidRPr="000C0EBC">
        <w:rPr>
          <w:rFonts w:cstheme="minorHAnsi"/>
          <w:sz w:val="24"/>
          <w:szCs w:val="24"/>
        </w:rPr>
        <w:t xml:space="preserve"> they are.”</w:t>
      </w:r>
      <w:r w:rsidRPr="000C0EBC">
        <w:rPr>
          <w:rStyle w:val="FootnoteReference"/>
          <w:rFonts w:cstheme="minorHAnsi"/>
          <w:sz w:val="24"/>
          <w:szCs w:val="24"/>
        </w:rPr>
        <w:footnoteReference w:id="73"/>
      </w:r>
      <w:r w:rsidRPr="000C0EBC">
        <w:rPr>
          <w:rFonts w:cstheme="minorHAnsi"/>
          <w:sz w:val="24"/>
          <w:szCs w:val="24"/>
        </w:rPr>
        <w:t xml:space="preserve"> The experience of creating an identity, as Aaron Fox found, “is defined by conflict.”</w:t>
      </w:r>
      <w:r w:rsidRPr="000C0EBC">
        <w:rPr>
          <w:rStyle w:val="FootnoteReference"/>
          <w:rFonts w:cstheme="minorHAnsi"/>
          <w:sz w:val="24"/>
          <w:szCs w:val="24"/>
        </w:rPr>
        <w:footnoteReference w:id="74"/>
      </w:r>
      <w:r w:rsidRPr="000C0EBC">
        <w:rPr>
          <w:rFonts w:cstheme="minorHAnsi"/>
          <w:sz w:val="24"/>
          <w:szCs w:val="24"/>
        </w:rPr>
        <w:t xml:space="preserve"> In Fox’s study of the music of </w:t>
      </w:r>
      <w:r>
        <w:rPr>
          <w:rFonts w:cstheme="minorHAnsi"/>
          <w:sz w:val="24"/>
          <w:szCs w:val="24"/>
        </w:rPr>
        <w:t>working-class</w:t>
      </w:r>
      <w:r w:rsidRPr="000C0EBC">
        <w:rPr>
          <w:rFonts w:cstheme="minorHAnsi"/>
          <w:sz w:val="24"/>
          <w:szCs w:val="24"/>
        </w:rPr>
        <w:t xml:space="preserve"> Texans, he found a culture “concerned with the dignity and agency of the subject in direct proportion to the lack of dignity and agency entailed in</w:t>
      </w:r>
      <w:proofErr w:type="gramStart"/>
      <w:r w:rsidRPr="000C0EBC">
        <w:rPr>
          <w:rFonts w:cstheme="minorHAnsi"/>
          <w:sz w:val="24"/>
          <w:szCs w:val="24"/>
        </w:rPr>
        <w:t>…[</w:t>
      </w:r>
      <w:proofErr w:type="gramEnd"/>
      <w:r w:rsidRPr="000C0EBC">
        <w:rPr>
          <w:rFonts w:cstheme="minorHAnsi"/>
          <w:sz w:val="24"/>
          <w:szCs w:val="24"/>
        </w:rPr>
        <w:t>their] experience.”</w:t>
      </w:r>
      <w:r w:rsidRPr="000C0EBC">
        <w:rPr>
          <w:rStyle w:val="FootnoteReference"/>
          <w:rFonts w:cstheme="minorHAnsi"/>
          <w:sz w:val="24"/>
          <w:szCs w:val="24"/>
        </w:rPr>
        <w:footnoteReference w:id="75"/>
      </w:r>
      <w:r w:rsidRPr="000C0EBC">
        <w:rPr>
          <w:rFonts w:cstheme="minorHAnsi"/>
          <w:sz w:val="24"/>
          <w:szCs w:val="24"/>
        </w:rPr>
        <w:t xml:space="preserve"> In the nineteen</w:t>
      </w:r>
      <w:r w:rsidR="00F3534B">
        <w:rPr>
          <w:rFonts w:cstheme="minorHAnsi"/>
          <w:sz w:val="24"/>
          <w:szCs w:val="24"/>
        </w:rPr>
        <w:t xml:space="preserve">th </w:t>
      </w:r>
      <w:r w:rsidRPr="000C0EBC">
        <w:rPr>
          <w:rFonts w:cstheme="minorHAnsi"/>
          <w:sz w:val="24"/>
          <w:szCs w:val="24"/>
        </w:rPr>
        <w:t>century, the concern with gentility equates to this same concern for “dignity.” The display of music in the parlor was a means to work through the construction of the performer’s identity, where acts of identification incorporated certain outside voices into one’s own.</w:t>
      </w:r>
    </w:p>
    <w:p w:rsidR="00C30857" w:rsidRDefault="00C30857" w:rsidP="00642536">
      <w:pPr>
        <w:spacing w:line="480" w:lineRule="auto"/>
        <w:ind w:firstLine="720"/>
        <w:contextualSpacing/>
        <w:rPr>
          <w:rFonts w:cstheme="minorHAnsi"/>
          <w:sz w:val="24"/>
          <w:szCs w:val="24"/>
        </w:rPr>
      </w:pPr>
    </w:p>
    <w:p w:rsidR="00C30857" w:rsidRPr="000C0EBC" w:rsidRDefault="00C30857" w:rsidP="00642536">
      <w:pPr>
        <w:spacing w:line="480" w:lineRule="auto"/>
        <w:ind w:firstLine="720"/>
        <w:contextualSpacing/>
        <w:rPr>
          <w:rFonts w:cstheme="minorHAnsi"/>
          <w:sz w:val="24"/>
          <w:szCs w:val="24"/>
        </w:rPr>
      </w:pPr>
    </w:p>
    <w:p w:rsidR="00D029BE" w:rsidRPr="007B1C43" w:rsidRDefault="00D029BE" w:rsidP="002566BD">
      <w:pPr>
        <w:pStyle w:val="Heading2"/>
        <w:jc w:val="center"/>
        <w:rPr>
          <w:rFonts w:asciiTheme="minorHAnsi" w:hAnsiTheme="minorHAnsi"/>
          <w:b w:val="0"/>
          <w:color w:val="auto"/>
          <w:sz w:val="24"/>
          <w:szCs w:val="24"/>
        </w:rPr>
      </w:pPr>
      <w:bookmarkStart w:id="10" w:name="_Toc356278694"/>
      <w:r w:rsidRPr="007B1C43">
        <w:rPr>
          <w:rFonts w:asciiTheme="minorHAnsi" w:hAnsiTheme="minorHAnsi"/>
          <w:b w:val="0"/>
          <w:color w:val="auto"/>
          <w:sz w:val="24"/>
          <w:szCs w:val="24"/>
        </w:rPr>
        <w:lastRenderedPageBreak/>
        <w:t>Historical Context</w:t>
      </w:r>
      <w:bookmarkEnd w:id="10"/>
    </w:p>
    <w:p w:rsidR="00642536" w:rsidRPr="00642536" w:rsidRDefault="00642536" w:rsidP="00642536"/>
    <w:p w:rsidR="00D029BE" w:rsidRPr="000C0EBC" w:rsidRDefault="00D029BE" w:rsidP="00D029BE">
      <w:pPr>
        <w:tabs>
          <w:tab w:val="left" w:pos="3000"/>
        </w:tabs>
        <w:spacing w:line="480" w:lineRule="auto"/>
        <w:ind w:firstLine="720"/>
        <w:contextualSpacing/>
        <w:rPr>
          <w:rFonts w:cstheme="minorHAnsi"/>
          <w:sz w:val="24"/>
          <w:szCs w:val="24"/>
        </w:rPr>
      </w:pPr>
      <w:r w:rsidRPr="000C0EBC">
        <w:rPr>
          <w:rFonts w:cstheme="minorHAnsi"/>
          <w:sz w:val="24"/>
          <w:szCs w:val="24"/>
        </w:rPr>
        <w:t xml:space="preserve">Though we distinguish between home and public, between amateur and professional music in America, the two are inexorably linked and the songs of </w:t>
      </w:r>
      <w:r>
        <w:rPr>
          <w:rFonts w:cstheme="minorHAnsi"/>
          <w:sz w:val="24"/>
          <w:szCs w:val="24"/>
        </w:rPr>
        <w:t xml:space="preserve">the </w:t>
      </w:r>
      <w:r w:rsidR="00F3534B">
        <w:rPr>
          <w:rFonts w:cstheme="minorHAnsi"/>
          <w:sz w:val="24"/>
          <w:szCs w:val="24"/>
        </w:rPr>
        <w:t xml:space="preserve">nineteenth </w:t>
      </w:r>
      <w:r w:rsidR="007231E4">
        <w:rPr>
          <w:rFonts w:cstheme="minorHAnsi"/>
          <w:sz w:val="24"/>
          <w:szCs w:val="24"/>
        </w:rPr>
        <w:t xml:space="preserve">century were </w:t>
      </w:r>
      <w:r w:rsidRPr="000C0EBC">
        <w:rPr>
          <w:rFonts w:cstheme="minorHAnsi"/>
          <w:sz w:val="24"/>
          <w:szCs w:val="24"/>
        </w:rPr>
        <w:t>performed both at home</w:t>
      </w:r>
      <w:r w:rsidR="00F47FF0">
        <w:rPr>
          <w:rFonts w:cstheme="minorHAnsi"/>
          <w:sz w:val="24"/>
          <w:szCs w:val="24"/>
        </w:rPr>
        <w:t xml:space="preserve"> and in public,</w:t>
      </w:r>
      <w:r w:rsidRPr="000C0EBC">
        <w:rPr>
          <w:rFonts w:cstheme="minorHAnsi"/>
          <w:sz w:val="24"/>
          <w:szCs w:val="24"/>
        </w:rPr>
        <w:t xml:space="preserve"> but they meant something different when performed in each space. The “era of public amusements” that David </w:t>
      </w:r>
      <w:proofErr w:type="spellStart"/>
      <w:r w:rsidRPr="000C0EBC">
        <w:rPr>
          <w:rFonts w:cstheme="minorHAnsi"/>
          <w:sz w:val="24"/>
          <w:szCs w:val="24"/>
        </w:rPr>
        <w:t>Nasaw</w:t>
      </w:r>
      <w:proofErr w:type="spellEnd"/>
      <w:r w:rsidRPr="000C0EBC">
        <w:rPr>
          <w:rFonts w:cstheme="minorHAnsi"/>
          <w:sz w:val="24"/>
          <w:szCs w:val="24"/>
        </w:rPr>
        <w:t xml:space="preserve"> has chronicled “was born in the latter de</w:t>
      </w:r>
      <w:r w:rsidR="00476C8C">
        <w:rPr>
          <w:rFonts w:cstheme="minorHAnsi"/>
          <w:sz w:val="24"/>
          <w:szCs w:val="24"/>
        </w:rPr>
        <w:t>cades of the nineteenth century.</w:t>
      </w:r>
      <w:r w:rsidRPr="000C0EBC">
        <w:rPr>
          <w:rFonts w:cstheme="minorHAnsi"/>
          <w:sz w:val="24"/>
          <w:szCs w:val="24"/>
        </w:rPr>
        <w:t>”</w:t>
      </w:r>
      <w:r w:rsidRPr="000C0EBC">
        <w:rPr>
          <w:rStyle w:val="FootnoteReference"/>
          <w:rFonts w:cstheme="minorHAnsi"/>
          <w:sz w:val="24"/>
          <w:szCs w:val="24"/>
        </w:rPr>
        <w:footnoteReference w:id="76"/>
      </w:r>
      <w:r w:rsidR="00476C8C">
        <w:rPr>
          <w:rFonts w:cstheme="minorHAnsi"/>
          <w:sz w:val="24"/>
          <w:szCs w:val="24"/>
        </w:rPr>
        <w:t xml:space="preserve"> While </w:t>
      </w:r>
      <w:proofErr w:type="spellStart"/>
      <w:r w:rsidR="00476C8C">
        <w:rPr>
          <w:rFonts w:cstheme="minorHAnsi"/>
          <w:sz w:val="24"/>
          <w:szCs w:val="24"/>
        </w:rPr>
        <w:t>Nasaw</w:t>
      </w:r>
      <w:proofErr w:type="spellEnd"/>
      <w:r w:rsidRPr="000C0EBC">
        <w:rPr>
          <w:rFonts w:cstheme="minorHAnsi"/>
          <w:sz w:val="24"/>
          <w:szCs w:val="24"/>
        </w:rPr>
        <w:t xml:space="preserve"> places “going out” and being part of a “crowd” in direct opposition to and replacing “the select circle of acquaintances as the setting in which one sought and found amusement,”</w:t>
      </w:r>
      <w:r w:rsidRPr="000C0EBC">
        <w:rPr>
          <w:rStyle w:val="FootnoteReference"/>
          <w:rFonts w:cstheme="minorHAnsi"/>
          <w:sz w:val="24"/>
          <w:szCs w:val="24"/>
        </w:rPr>
        <w:footnoteReference w:id="77"/>
      </w:r>
      <w:r w:rsidRPr="000C0EBC">
        <w:rPr>
          <w:rFonts w:cstheme="minorHAnsi"/>
          <w:sz w:val="24"/>
          <w:szCs w:val="24"/>
        </w:rPr>
        <w:t xml:space="preserve"> public amusements were also transported to the parlor and given life there. Donna R. Braden’s essay on “indoor amusements”</w:t>
      </w:r>
      <w:r w:rsidRPr="000C0EBC">
        <w:rPr>
          <w:rStyle w:val="FootnoteReference"/>
          <w:rFonts w:cstheme="minorHAnsi"/>
          <w:sz w:val="24"/>
          <w:szCs w:val="24"/>
        </w:rPr>
        <w:footnoteReference w:id="78"/>
      </w:r>
      <w:r w:rsidRPr="000C0EBC">
        <w:rPr>
          <w:rFonts w:cstheme="minorHAnsi"/>
          <w:sz w:val="24"/>
          <w:szCs w:val="24"/>
        </w:rPr>
        <w:t xml:space="preserve"> focuses on the same time period as </w:t>
      </w:r>
      <w:proofErr w:type="spellStart"/>
      <w:r w:rsidR="00F47FF0">
        <w:rPr>
          <w:rFonts w:cstheme="minorHAnsi"/>
          <w:sz w:val="24"/>
          <w:szCs w:val="24"/>
        </w:rPr>
        <w:t>Nasaw</w:t>
      </w:r>
      <w:proofErr w:type="spellEnd"/>
      <w:r w:rsidR="00F47FF0">
        <w:rPr>
          <w:rFonts w:cstheme="minorHAnsi"/>
          <w:sz w:val="24"/>
          <w:szCs w:val="24"/>
        </w:rPr>
        <w:t>, and demonstrates</w:t>
      </w:r>
      <w:r w:rsidRPr="000C0EBC">
        <w:rPr>
          <w:rFonts w:cstheme="minorHAnsi"/>
          <w:sz w:val="24"/>
          <w:szCs w:val="24"/>
        </w:rPr>
        <w:t xml:space="preserve"> a simultaneous “proliferation of home amusements.”</w:t>
      </w:r>
      <w:r w:rsidRPr="000C0EBC">
        <w:rPr>
          <w:rStyle w:val="FootnoteReference"/>
          <w:rFonts w:cstheme="minorHAnsi"/>
          <w:sz w:val="24"/>
          <w:szCs w:val="24"/>
        </w:rPr>
        <w:footnoteReference w:id="79"/>
      </w:r>
      <w:r w:rsidRPr="000C0EBC">
        <w:rPr>
          <w:rFonts w:cstheme="minorHAnsi"/>
          <w:sz w:val="24"/>
          <w:szCs w:val="24"/>
        </w:rPr>
        <w:t xml:space="preserve"> As evidenced on the covers of so many popular song sheets, both sentimental and comic, the printed songs of the parlor often existed first in the theatre. The two industries were connected by what Leslie Gay might call “</w:t>
      </w:r>
      <w:proofErr w:type="spellStart"/>
      <w:r w:rsidRPr="000C0EBC">
        <w:rPr>
          <w:rFonts w:cstheme="minorHAnsi"/>
          <w:sz w:val="24"/>
          <w:szCs w:val="24"/>
        </w:rPr>
        <w:t>transectorial</w:t>
      </w:r>
      <w:proofErr w:type="spellEnd"/>
      <w:r w:rsidRPr="000C0EBC">
        <w:rPr>
          <w:rFonts w:cstheme="minorHAnsi"/>
          <w:sz w:val="24"/>
          <w:szCs w:val="24"/>
        </w:rPr>
        <w:t xml:space="preserve"> interdependencies,”</w:t>
      </w:r>
      <w:r w:rsidRPr="000C0EBC">
        <w:rPr>
          <w:rStyle w:val="FootnoteReference"/>
          <w:rFonts w:cstheme="minorHAnsi"/>
          <w:sz w:val="24"/>
          <w:szCs w:val="24"/>
        </w:rPr>
        <w:footnoteReference w:id="80"/>
      </w:r>
      <w:r w:rsidRPr="000C0EBC">
        <w:rPr>
          <w:rFonts w:cstheme="minorHAnsi"/>
          <w:sz w:val="24"/>
          <w:szCs w:val="24"/>
        </w:rPr>
        <w:t xml:space="preserve"> where song performances and song sheets provide</w:t>
      </w:r>
      <w:r w:rsidR="00476C8C">
        <w:rPr>
          <w:rFonts w:cstheme="minorHAnsi"/>
          <w:sz w:val="24"/>
          <w:szCs w:val="24"/>
        </w:rPr>
        <w:t>d marketing for each other.</w:t>
      </w:r>
      <w:r w:rsidRPr="000C0EBC">
        <w:rPr>
          <w:rFonts w:cstheme="minorHAnsi"/>
          <w:sz w:val="24"/>
          <w:szCs w:val="24"/>
        </w:rPr>
        <w:t xml:space="preserve"> Miller even found that the popularity of sentimental song sales “brought the ideology and symbolism of the private home to the public stage.”</w:t>
      </w:r>
      <w:r w:rsidRPr="000C0EBC">
        <w:rPr>
          <w:rStyle w:val="FootnoteReference"/>
          <w:rFonts w:cstheme="minorHAnsi"/>
          <w:sz w:val="24"/>
          <w:szCs w:val="24"/>
        </w:rPr>
        <w:footnoteReference w:id="81"/>
      </w:r>
      <w:r w:rsidRPr="000C0EBC">
        <w:rPr>
          <w:rFonts w:cstheme="minorHAnsi"/>
          <w:sz w:val="24"/>
          <w:szCs w:val="24"/>
        </w:rPr>
        <w:t xml:space="preserve"> Since the stage was responsible for selling songs to the home, Miller observed “celebrations of virtue and domesticity”</w:t>
      </w:r>
      <w:r w:rsidRPr="000C0EBC">
        <w:rPr>
          <w:rStyle w:val="FootnoteReference"/>
          <w:rFonts w:cstheme="minorHAnsi"/>
          <w:sz w:val="24"/>
          <w:szCs w:val="24"/>
        </w:rPr>
        <w:footnoteReference w:id="82"/>
      </w:r>
      <w:r w:rsidRPr="000C0EBC">
        <w:rPr>
          <w:rFonts w:cstheme="minorHAnsi"/>
          <w:sz w:val="24"/>
          <w:szCs w:val="24"/>
        </w:rPr>
        <w:t xml:space="preserve"> appearing in the late nineteenth-century </w:t>
      </w:r>
      <w:r w:rsidRPr="000C0EBC">
        <w:rPr>
          <w:rFonts w:cstheme="minorHAnsi"/>
          <w:sz w:val="24"/>
          <w:szCs w:val="24"/>
        </w:rPr>
        <w:lastRenderedPageBreak/>
        <w:t>public theatre. The theatrical stage and the song sheet industry were tightly connected on multiple levels.</w:t>
      </w:r>
    </w:p>
    <w:p w:rsidR="00D029BE" w:rsidRPr="000C0EBC" w:rsidRDefault="00D029BE" w:rsidP="00D029BE">
      <w:pPr>
        <w:tabs>
          <w:tab w:val="left" w:pos="3000"/>
        </w:tabs>
        <w:spacing w:line="480" w:lineRule="auto"/>
        <w:ind w:firstLine="720"/>
        <w:contextualSpacing/>
        <w:rPr>
          <w:rFonts w:cstheme="minorHAnsi"/>
          <w:sz w:val="24"/>
          <w:szCs w:val="24"/>
        </w:rPr>
      </w:pPr>
      <w:r w:rsidRPr="000C0EBC">
        <w:rPr>
          <w:rFonts w:cstheme="minorHAnsi"/>
          <w:sz w:val="24"/>
          <w:szCs w:val="24"/>
        </w:rPr>
        <w:t>Whereas early American concerts featured wide mixtures of genres and performing forces</w:t>
      </w:r>
      <w:r w:rsidR="00F3534B">
        <w:rPr>
          <w:rFonts w:cstheme="minorHAnsi"/>
          <w:sz w:val="24"/>
          <w:szCs w:val="24"/>
        </w:rPr>
        <w:t xml:space="preserve">, the late nineteenth </w:t>
      </w:r>
      <w:r w:rsidRPr="000C0EBC">
        <w:rPr>
          <w:rFonts w:cstheme="minorHAnsi"/>
          <w:sz w:val="24"/>
          <w:szCs w:val="24"/>
        </w:rPr>
        <w:t>century saw emerging distinctions in music that separated what we would think of today as popular song into its own specific performance sp</w:t>
      </w:r>
      <w:r w:rsidR="00476C8C">
        <w:rPr>
          <w:rFonts w:cstheme="minorHAnsi"/>
          <w:sz w:val="24"/>
          <w:szCs w:val="24"/>
        </w:rPr>
        <w:t>aces. American notions of “highbrow” and “low</w:t>
      </w:r>
      <w:r w:rsidRPr="000C0EBC">
        <w:rPr>
          <w:rFonts w:cstheme="minorHAnsi"/>
          <w:sz w:val="24"/>
          <w:szCs w:val="24"/>
        </w:rPr>
        <w:t>brow” music were formu</w:t>
      </w:r>
      <w:r w:rsidR="00476C8C">
        <w:rPr>
          <w:rFonts w:cstheme="minorHAnsi"/>
          <w:sz w:val="24"/>
          <w:szCs w:val="24"/>
        </w:rPr>
        <w:t>lated at this time, and</w:t>
      </w:r>
      <w:r w:rsidRPr="000C0EBC">
        <w:rPr>
          <w:rFonts w:cstheme="minorHAnsi"/>
          <w:sz w:val="24"/>
          <w:szCs w:val="24"/>
        </w:rPr>
        <w:t xml:space="preserve"> Levine’s chronicling of this phenomenon in public spaces reveals that those listening to music began “to call into question the traditional practice of mixing musical genres.”</w:t>
      </w:r>
      <w:r w:rsidRPr="000C0EBC">
        <w:rPr>
          <w:rStyle w:val="FootnoteReference"/>
          <w:rFonts w:cstheme="minorHAnsi"/>
          <w:sz w:val="24"/>
          <w:szCs w:val="24"/>
        </w:rPr>
        <w:footnoteReference w:id="83"/>
      </w:r>
      <w:r w:rsidRPr="000C0EBC">
        <w:rPr>
          <w:rFonts w:cstheme="minorHAnsi"/>
          <w:sz w:val="24"/>
          <w:szCs w:val="24"/>
        </w:rPr>
        <w:t xml:space="preserve"> The public spaces where popula</w:t>
      </w:r>
      <w:r w:rsidR="00476C8C">
        <w:rPr>
          <w:rFonts w:cstheme="minorHAnsi"/>
          <w:sz w:val="24"/>
          <w:szCs w:val="24"/>
        </w:rPr>
        <w:t>r songs found their home were</w:t>
      </w:r>
      <w:r w:rsidRPr="000C0EBC">
        <w:rPr>
          <w:rFonts w:cstheme="minorHAnsi"/>
          <w:sz w:val="24"/>
          <w:szCs w:val="24"/>
        </w:rPr>
        <w:t xml:space="preserve"> the variety halls, concert saloons, and nearer the turn of the century, the vaudeville hall.</w:t>
      </w:r>
    </w:p>
    <w:p w:rsidR="00D029BE" w:rsidRPr="000C0EBC" w:rsidRDefault="00F3534B" w:rsidP="00D029BE">
      <w:pPr>
        <w:tabs>
          <w:tab w:val="left" w:pos="3000"/>
        </w:tabs>
        <w:spacing w:line="480" w:lineRule="auto"/>
        <w:ind w:firstLine="720"/>
        <w:contextualSpacing/>
        <w:rPr>
          <w:rFonts w:cstheme="minorHAnsi"/>
          <w:sz w:val="24"/>
          <w:szCs w:val="24"/>
        </w:rPr>
      </w:pPr>
      <w:r>
        <w:rPr>
          <w:rFonts w:cstheme="minorHAnsi"/>
          <w:sz w:val="24"/>
          <w:szCs w:val="24"/>
        </w:rPr>
        <w:t xml:space="preserve">The late </w:t>
      </w:r>
      <w:r w:rsidR="00D029BE" w:rsidRPr="000C0EBC">
        <w:rPr>
          <w:rFonts w:cstheme="minorHAnsi"/>
          <w:sz w:val="24"/>
          <w:szCs w:val="24"/>
        </w:rPr>
        <w:t xml:space="preserve">nineteenth-century variety hall and concert saloon offered a decidedly different aesthetic from the parlor. These halls and saloons were described by </w:t>
      </w:r>
      <w:proofErr w:type="spellStart"/>
      <w:r w:rsidR="00D029BE" w:rsidRPr="000C0EBC">
        <w:rPr>
          <w:rFonts w:cstheme="minorHAnsi"/>
          <w:sz w:val="24"/>
          <w:szCs w:val="24"/>
        </w:rPr>
        <w:t>Nasaw</w:t>
      </w:r>
      <w:proofErr w:type="spellEnd"/>
      <w:r w:rsidR="00D029BE" w:rsidRPr="000C0EBC">
        <w:rPr>
          <w:rFonts w:cstheme="minorHAnsi"/>
          <w:sz w:val="24"/>
          <w:szCs w:val="24"/>
        </w:rPr>
        <w:t xml:space="preserve"> as “barrooms with free or cheap entertainment offered in adjacent backrooms, halls, or theaters,” where “exclusively ma</w:t>
      </w:r>
      <w:r w:rsidR="00F47FF0">
        <w:rPr>
          <w:rFonts w:cstheme="minorHAnsi"/>
          <w:sz w:val="24"/>
          <w:szCs w:val="24"/>
        </w:rPr>
        <w:t>le audiences” gathered in smoke-</w:t>
      </w:r>
      <w:r w:rsidR="00D029BE" w:rsidRPr="000C0EBC">
        <w:rPr>
          <w:rFonts w:cstheme="minorHAnsi"/>
          <w:sz w:val="24"/>
          <w:szCs w:val="24"/>
        </w:rPr>
        <w:t>filled rooms with the “floor filled with peanut shells and spilt beer.”</w:t>
      </w:r>
      <w:r w:rsidR="00D029BE" w:rsidRPr="000C0EBC">
        <w:rPr>
          <w:rStyle w:val="FootnoteReference"/>
          <w:rFonts w:cstheme="minorHAnsi"/>
          <w:sz w:val="24"/>
          <w:szCs w:val="24"/>
        </w:rPr>
        <w:footnoteReference w:id="84"/>
      </w:r>
      <w:r w:rsidR="00D029BE" w:rsidRPr="000C0EBC">
        <w:rPr>
          <w:rFonts w:cstheme="minorHAnsi"/>
          <w:sz w:val="24"/>
          <w:szCs w:val="24"/>
        </w:rPr>
        <w:t xml:space="preserve"> Despi</w:t>
      </w:r>
      <w:r w:rsidR="007231E4">
        <w:rPr>
          <w:rFonts w:cstheme="minorHAnsi"/>
          <w:sz w:val="24"/>
          <w:szCs w:val="24"/>
        </w:rPr>
        <w:t xml:space="preserve">te this description, </w:t>
      </w:r>
      <w:proofErr w:type="spellStart"/>
      <w:r w:rsidR="007231E4">
        <w:rPr>
          <w:rFonts w:cstheme="minorHAnsi"/>
          <w:sz w:val="24"/>
          <w:szCs w:val="24"/>
        </w:rPr>
        <w:t>Nasaw</w:t>
      </w:r>
      <w:proofErr w:type="spellEnd"/>
      <w:r w:rsidR="007231E4">
        <w:rPr>
          <w:rFonts w:cstheme="minorHAnsi"/>
          <w:sz w:val="24"/>
          <w:szCs w:val="24"/>
        </w:rPr>
        <w:t xml:space="preserve"> </w:t>
      </w:r>
      <w:r w:rsidR="00D029BE" w:rsidRPr="000C0EBC">
        <w:rPr>
          <w:rFonts w:cstheme="minorHAnsi"/>
          <w:sz w:val="24"/>
          <w:szCs w:val="24"/>
        </w:rPr>
        <w:t>assert</w:t>
      </w:r>
      <w:r w:rsidR="007231E4">
        <w:rPr>
          <w:rFonts w:cstheme="minorHAnsi"/>
          <w:sz w:val="24"/>
          <w:szCs w:val="24"/>
        </w:rPr>
        <w:t>s</w:t>
      </w:r>
      <w:r w:rsidR="00D029BE" w:rsidRPr="000C0EBC">
        <w:rPr>
          <w:rFonts w:cstheme="minorHAnsi"/>
          <w:sz w:val="24"/>
          <w:szCs w:val="24"/>
        </w:rPr>
        <w:t xml:space="preserve"> that “the dividing line between those who patronized the variet</w:t>
      </w:r>
      <w:r w:rsidR="000B4CC5">
        <w:rPr>
          <w:rFonts w:cstheme="minorHAnsi"/>
          <w:sz w:val="24"/>
          <w:szCs w:val="24"/>
        </w:rPr>
        <w:t>y shows,” and those who did not</w:t>
      </w:r>
      <w:r w:rsidR="00D029BE" w:rsidRPr="000C0EBC">
        <w:rPr>
          <w:rFonts w:cstheme="minorHAnsi"/>
          <w:sz w:val="24"/>
          <w:szCs w:val="24"/>
        </w:rPr>
        <w:t xml:space="preserve"> “</w:t>
      </w:r>
      <w:proofErr w:type="gramStart"/>
      <w:r w:rsidR="00D029BE" w:rsidRPr="000C0EBC">
        <w:rPr>
          <w:rFonts w:cstheme="minorHAnsi"/>
          <w:sz w:val="24"/>
          <w:szCs w:val="24"/>
        </w:rPr>
        <w:t>was</w:t>
      </w:r>
      <w:proofErr w:type="gramEnd"/>
      <w:r w:rsidR="00D029BE" w:rsidRPr="000C0EBC">
        <w:rPr>
          <w:rFonts w:cstheme="minorHAnsi"/>
          <w:sz w:val="24"/>
          <w:szCs w:val="24"/>
        </w:rPr>
        <w:t xml:space="preserve"> not social class, but gender and ‘respectability.’”</w:t>
      </w:r>
      <w:r w:rsidR="00D029BE" w:rsidRPr="000C0EBC">
        <w:rPr>
          <w:rStyle w:val="FootnoteReference"/>
          <w:rFonts w:cstheme="minorHAnsi"/>
          <w:sz w:val="24"/>
          <w:szCs w:val="24"/>
        </w:rPr>
        <w:footnoteReference w:id="85"/>
      </w:r>
      <w:r w:rsidR="00D029BE" w:rsidRPr="000C0EBC">
        <w:rPr>
          <w:rFonts w:cstheme="minorHAnsi"/>
          <w:sz w:val="24"/>
          <w:szCs w:val="24"/>
        </w:rPr>
        <w:t xml:space="preserve"> The entertainment was frequently bawdy, but the crowd was made up of the emerging </w:t>
      </w:r>
      <w:r>
        <w:rPr>
          <w:rFonts w:cstheme="minorHAnsi"/>
          <w:sz w:val="24"/>
          <w:szCs w:val="24"/>
        </w:rPr>
        <w:t xml:space="preserve">middle class. As the nineteenth </w:t>
      </w:r>
      <w:r w:rsidR="00D029BE" w:rsidRPr="000C0EBC">
        <w:rPr>
          <w:rFonts w:cstheme="minorHAnsi"/>
          <w:sz w:val="24"/>
          <w:szCs w:val="24"/>
        </w:rPr>
        <w:t xml:space="preserve">century went on, the variety halls and vaudeville theaters </w:t>
      </w:r>
      <w:proofErr w:type="spellStart"/>
      <w:r w:rsidR="00D029BE" w:rsidRPr="000C0EBC">
        <w:rPr>
          <w:rFonts w:cstheme="minorHAnsi"/>
          <w:sz w:val="24"/>
          <w:szCs w:val="24"/>
        </w:rPr>
        <w:t>Nasaw</w:t>
      </w:r>
      <w:proofErr w:type="spellEnd"/>
      <w:r w:rsidR="00D029BE" w:rsidRPr="000C0EBC">
        <w:rPr>
          <w:rFonts w:cstheme="minorHAnsi"/>
          <w:sz w:val="24"/>
          <w:szCs w:val="24"/>
        </w:rPr>
        <w:t xml:space="preserve"> studied began seeking to “attrac</w:t>
      </w:r>
      <w:r w:rsidR="00476C8C">
        <w:rPr>
          <w:rFonts w:cstheme="minorHAnsi"/>
          <w:sz w:val="24"/>
          <w:szCs w:val="24"/>
        </w:rPr>
        <w:t>t women to their entertainments;</w:t>
      </w:r>
      <w:r w:rsidR="00D029BE" w:rsidRPr="000C0EBC">
        <w:rPr>
          <w:rFonts w:cstheme="minorHAnsi"/>
          <w:sz w:val="24"/>
          <w:szCs w:val="24"/>
        </w:rPr>
        <w:t xml:space="preserve">” </w:t>
      </w:r>
      <w:r w:rsidR="00476C8C">
        <w:rPr>
          <w:rFonts w:cstheme="minorHAnsi"/>
          <w:sz w:val="24"/>
          <w:szCs w:val="24"/>
        </w:rPr>
        <w:lastRenderedPageBreak/>
        <w:t>accordingly, they</w:t>
      </w:r>
      <w:r w:rsidR="00D029BE" w:rsidRPr="000C0EBC">
        <w:rPr>
          <w:rFonts w:cstheme="minorHAnsi"/>
          <w:sz w:val="24"/>
          <w:szCs w:val="24"/>
        </w:rPr>
        <w:t xml:space="preserve"> “had to remove the prostitutes…smoking</w:t>
      </w:r>
      <w:proofErr w:type="gramStart"/>
      <w:r w:rsidR="00D029BE" w:rsidRPr="000C0EBC">
        <w:rPr>
          <w:rFonts w:cstheme="minorHAnsi"/>
          <w:sz w:val="24"/>
          <w:szCs w:val="24"/>
        </w:rPr>
        <w:t>…[</w:t>
      </w:r>
      <w:proofErr w:type="gramEnd"/>
      <w:r w:rsidR="00D029BE" w:rsidRPr="000C0EBC">
        <w:rPr>
          <w:rFonts w:cstheme="minorHAnsi"/>
          <w:sz w:val="24"/>
          <w:szCs w:val="24"/>
        </w:rPr>
        <w:t>and] drinking,”</w:t>
      </w:r>
      <w:r w:rsidR="00D029BE" w:rsidRPr="000C0EBC">
        <w:rPr>
          <w:rStyle w:val="FootnoteReference"/>
          <w:rFonts w:cstheme="minorHAnsi"/>
          <w:sz w:val="24"/>
          <w:szCs w:val="24"/>
        </w:rPr>
        <w:footnoteReference w:id="86"/>
      </w:r>
      <w:r w:rsidR="00F47FF0">
        <w:rPr>
          <w:rFonts w:cstheme="minorHAnsi"/>
          <w:sz w:val="24"/>
          <w:szCs w:val="24"/>
        </w:rPr>
        <w:t xml:space="preserve"> and instead create</w:t>
      </w:r>
      <w:r w:rsidR="00D029BE" w:rsidRPr="000C0EBC">
        <w:rPr>
          <w:rFonts w:cstheme="minorHAnsi"/>
          <w:sz w:val="24"/>
          <w:szCs w:val="24"/>
        </w:rPr>
        <w:t xml:space="preserve"> entertainments that offered “something for everybody.”</w:t>
      </w:r>
      <w:r w:rsidR="00D029BE" w:rsidRPr="000C0EBC">
        <w:rPr>
          <w:rStyle w:val="FootnoteReference"/>
          <w:rFonts w:cstheme="minorHAnsi"/>
          <w:sz w:val="24"/>
          <w:szCs w:val="24"/>
        </w:rPr>
        <w:footnoteReference w:id="87"/>
      </w:r>
    </w:p>
    <w:p w:rsidR="00D029BE" w:rsidRPr="000C0EBC" w:rsidRDefault="00D029BE" w:rsidP="00D029BE">
      <w:pPr>
        <w:tabs>
          <w:tab w:val="left" w:pos="3000"/>
        </w:tabs>
        <w:spacing w:line="480" w:lineRule="auto"/>
        <w:ind w:firstLine="720"/>
        <w:contextualSpacing/>
        <w:rPr>
          <w:rFonts w:cstheme="minorHAnsi"/>
          <w:sz w:val="24"/>
          <w:szCs w:val="24"/>
        </w:rPr>
      </w:pPr>
      <w:r w:rsidRPr="000C0EBC">
        <w:rPr>
          <w:rFonts w:cstheme="minorHAnsi"/>
          <w:sz w:val="24"/>
          <w:szCs w:val="24"/>
        </w:rPr>
        <w:t>These spaces and public entertainment forms proliferated across the country. While studies of variety hall and vaudeville traditions usually focus</w:t>
      </w:r>
      <w:r w:rsidR="00476C8C">
        <w:rPr>
          <w:rFonts w:cstheme="minorHAnsi"/>
          <w:sz w:val="24"/>
          <w:szCs w:val="24"/>
        </w:rPr>
        <w:t xml:space="preserve"> on New York City, as in Rodger and</w:t>
      </w:r>
      <w:r w:rsidRPr="000C0EBC">
        <w:rPr>
          <w:rFonts w:cstheme="minorHAnsi"/>
          <w:sz w:val="24"/>
          <w:szCs w:val="24"/>
        </w:rPr>
        <w:t xml:space="preserve"> </w:t>
      </w:r>
      <w:proofErr w:type="spellStart"/>
      <w:r w:rsidRPr="000C0EBC">
        <w:rPr>
          <w:rFonts w:cstheme="minorHAnsi"/>
          <w:sz w:val="24"/>
          <w:szCs w:val="24"/>
        </w:rPr>
        <w:t>Nasaw’s</w:t>
      </w:r>
      <w:proofErr w:type="spellEnd"/>
      <w:r w:rsidRPr="000C0EBC">
        <w:rPr>
          <w:rFonts w:cstheme="minorHAnsi"/>
          <w:sz w:val="24"/>
          <w:szCs w:val="24"/>
        </w:rPr>
        <w:t xml:space="preserve"> monographs, performers and stage productions</w:t>
      </w:r>
      <w:r w:rsidR="00476C8C">
        <w:rPr>
          <w:rFonts w:cstheme="minorHAnsi"/>
          <w:sz w:val="24"/>
          <w:szCs w:val="24"/>
        </w:rPr>
        <w:t xml:space="preserve"> toured the entire nation. </w:t>
      </w:r>
      <w:r w:rsidRPr="000C0EBC">
        <w:rPr>
          <w:rFonts w:cstheme="minorHAnsi"/>
          <w:sz w:val="24"/>
          <w:szCs w:val="24"/>
        </w:rPr>
        <w:t xml:space="preserve">Miller noted that “the availability and cost of railroad </w:t>
      </w:r>
      <w:r w:rsidR="00F3534B">
        <w:rPr>
          <w:rFonts w:cstheme="minorHAnsi"/>
          <w:sz w:val="24"/>
          <w:szCs w:val="24"/>
        </w:rPr>
        <w:t xml:space="preserve">travel,” in the late nineteenth </w:t>
      </w:r>
      <w:r w:rsidR="00476C8C">
        <w:rPr>
          <w:rFonts w:cstheme="minorHAnsi"/>
          <w:sz w:val="24"/>
          <w:szCs w:val="24"/>
        </w:rPr>
        <w:t>century,</w:t>
      </w:r>
      <w:r w:rsidRPr="000C0EBC">
        <w:rPr>
          <w:rFonts w:cstheme="minorHAnsi"/>
          <w:sz w:val="24"/>
          <w:szCs w:val="24"/>
        </w:rPr>
        <w:t xml:space="preserve"> allowed touring shows to reach “into quite small towns across the country.”</w:t>
      </w:r>
      <w:r w:rsidRPr="000C0EBC">
        <w:rPr>
          <w:rStyle w:val="FootnoteReference"/>
          <w:rFonts w:cstheme="minorHAnsi"/>
          <w:sz w:val="24"/>
          <w:szCs w:val="24"/>
        </w:rPr>
        <w:footnoteReference w:id="88"/>
      </w:r>
      <w:r w:rsidRPr="000C0EBC">
        <w:rPr>
          <w:rFonts w:cstheme="minorHAnsi"/>
          <w:sz w:val="24"/>
          <w:szCs w:val="24"/>
        </w:rPr>
        <w:t xml:space="preserve"> As the century progressed</w:t>
      </w:r>
      <w:r w:rsidR="00F47FF0">
        <w:rPr>
          <w:rFonts w:cstheme="minorHAnsi"/>
          <w:sz w:val="24"/>
          <w:szCs w:val="24"/>
        </w:rPr>
        <w:t>,</w:t>
      </w:r>
      <w:r w:rsidRPr="000C0EBC">
        <w:rPr>
          <w:rFonts w:cstheme="minorHAnsi"/>
          <w:sz w:val="24"/>
          <w:szCs w:val="24"/>
        </w:rPr>
        <w:t xml:space="preserve"> the industry standardized these tours, which Miller saw as helping “funnel Tin Pan Alley songs into towns across the nation.”</w:t>
      </w:r>
      <w:r w:rsidRPr="000C0EBC">
        <w:rPr>
          <w:rStyle w:val="FootnoteReference"/>
          <w:rFonts w:cstheme="minorHAnsi"/>
          <w:sz w:val="24"/>
          <w:szCs w:val="24"/>
        </w:rPr>
        <w:footnoteReference w:id="89"/>
      </w:r>
    </w:p>
    <w:p w:rsidR="00B20988" w:rsidRDefault="00D029BE" w:rsidP="00D029BE">
      <w:pPr>
        <w:tabs>
          <w:tab w:val="left" w:pos="3000"/>
        </w:tabs>
        <w:spacing w:line="480" w:lineRule="auto"/>
        <w:ind w:firstLine="720"/>
        <w:contextualSpacing/>
        <w:rPr>
          <w:rFonts w:cstheme="minorHAnsi"/>
          <w:sz w:val="24"/>
          <w:szCs w:val="24"/>
        </w:rPr>
      </w:pPr>
      <w:proofErr w:type="spellStart"/>
      <w:r w:rsidRPr="000C0EBC">
        <w:rPr>
          <w:rFonts w:cstheme="minorHAnsi"/>
          <w:sz w:val="24"/>
          <w:szCs w:val="24"/>
        </w:rPr>
        <w:t>Stagings</w:t>
      </w:r>
      <w:proofErr w:type="spellEnd"/>
      <w:r w:rsidRPr="000C0EBC">
        <w:rPr>
          <w:rFonts w:cstheme="minorHAnsi"/>
          <w:sz w:val="24"/>
          <w:szCs w:val="24"/>
        </w:rPr>
        <w:t xml:space="preserve"> and audience members varied widely between halls, but standar</w:t>
      </w:r>
      <w:r w:rsidR="00476C8C">
        <w:rPr>
          <w:rFonts w:cstheme="minorHAnsi"/>
          <w:sz w:val="24"/>
          <w:szCs w:val="24"/>
        </w:rPr>
        <w:t>d entertainment forms persisted</w:t>
      </w:r>
      <w:r w:rsidRPr="000C0EBC">
        <w:rPr>
          <w:rFonts w:cstheme="minorHAnsi"/>
          <w:sz w:val="24"/>
          <w:szCs w:val="24"/>
        </w:rPr>
        <w:t xml:space="preserve"> and shaped the genres of comic songs that would be sold to home consumers. The “miscellaneous elements known as variety” were more precisely defined by Gillian Rodger as featuring “s</w:t>
      </w:r>
      <w:r w:rsidR="00476C8C">
        <w:rPr>
          <w:rFonts w:cstheme="minorHAnsi"/>
          <w:sz w:val="24"/>
          <w:szCs w:val="24"/>
        </w:rPr>
        <w:t>inging, dancing and novelty acts,</w:t>
      </w:r>
      <w:r w:rsidRPr="000C0EBC">
        <w:rPr>
          <w:rFonts w:cstheme="minorHAnsi"/>
          <w:sz w:val="24"/>
          <w:szCs w:val="24"/>
        </w:rPr>
        <w:t>” usually with “no overarching theme or narrative structure,”</w:t>
      </w:r>
      <w:r w:rsidRPr="000C0EBC">
        <w:rPr>
          <w:rStyle w:val="FootnoteReference"/>
          <w:rFonts w:cstheme="minorHAnsi"/>
          <w:sz w:val="24"/>
          <w:szCs w:val="24"/>
        </w:rPr>
        <w:footnoteReference w:id="90"/>
      </w:r>
      <w:r w:rsidRPr="000C0EBC">
        <w:rPr>
          <w:rFonts w:cstheme="minorHAnsi"/>
          <w:sz w:val="24"/>
          <w:szCs w:val="24"/>
        </w:rPr>
        <w:t xml:space="preserve"> but occasionally organized into “musical comedies and topical dramas” by “the flimsiest of narrative structures.”</w:t>
      </w:r>
      <w:r w:rsidRPr="000C0EBC">
        <w:rPr>
          <w:rStyle w:val="FootnoteReference"/>
          <w:rFonts w:cstheme="minorHAnsi"/>
          <w:sz w:val="24"/>
          <w:szCs w:val="24"/>
        </w:rPr>
        <w:footnoteReference w:id="91"/>
      </w:r>
    </w:p>
    <w:p w:rsidR="00D029BE" w:rsidRPr="000C0EBC" w:rsidRDefault="00B20988" w:rsidP="00D029BE">
      <w:pPr>
        <w:tabs>
          <w:tab w:val="left" w:pos="3000"/>
        </w:tabs>
        <w:spacing w:line="480" w:lineRule="auto"/>
        <w:ind w:firstLine="720"/>
        <w:contextualSpacing/>
        <w:rPr>
          <w:rFonts w:cstheme="minorHAnsi"/>
          <w:sz w:val="24"/>
          <w:szCs w:val="24"/>
        </w:rPr>
      </w:pPr>
      <w:r>
        <w:rPr>
          <w:rFonts w:cstheme="minorHAnsi"/>
          <w:sz w:val="24"/>
          <w:szCs w:val="24"/>
        </w:rPr>
        <w:t xml:space="preserve">Public comic performances </w:t>
      </w:r>
      <w:r w:rsidR="002C7DE7">
        <w:rPr>
          <w:rFonts w:cstheme="minorHAnsi"/>
          <w:sz w:val="24"/>
          <w:szCs w:val="24"/>
        </w:rPr>
        <w:t>reflected</w:t>
      </w:r>
      <w:r w:rsidR="000B4CC5">
        <w:rPr>
          <w:rFonts w:cstheme="minorHAnsi"/>
          <w:sz w:val="24"/>
          <w:szCs w:val="24"/>
        </w:rPr>
        <w:t xml:space="preserve"> the</w:t>
      </w:r>
      <w:r>
        <w:rPr>
          <w:rFonts w:cstheme="minorHAnsi"/>
          <w:sz w:val="24"/>
          <w:szCs w:val="24"/>
        </w:rPr>
        <w:t xml:space="preserve"> </w:t>
      </w:r>
      <w:r w:rsidR="002C7DE7">
        <w:rPr>
          <w:rFonts w:cstheme="minorHAnsi"/>
          <w:sz w:val="24"/>
          <w:szCs w:val="24"/>
        </w:rPr>
        <w:t>pre</w:t>
      </w:r>
      <w:r>
        <w:rPr>
          <w:rFonts w:cstheme="minorHAnsi"/>
          <w:sz w:val="24"/>
          <w:szCs w:val="24"/>
        </w:rPr>
        <w:t>domina</w:t>
      </w:r>
      <w:r w:rsidR="002C7DE7">
        <w:rPr>
          <w:rFonts w:cstheme="minorHAnsi"/>
          <w:sz w:val="24"/>
          <w:szCs w:val="24"/>
        </w:rPr>
        <w:t>nt social norms that reinforced the status of white, Christian males.</w:t>
      </w:r>
      <w:r>
        <w:rPr>
          <w:rFonts w:cstheme="minorHAnsi"/>
          <w:sz w:val="24"/>
          <w:szCs w:val="24"/>
        </w:rPr>
        <w:t xml:space="preserve"> </w:t>
      </w:r>
      <w:r w:rsidRPr="000C0EBC">
        <w:rPr>
          <w:rFonts w:cstheme="minorHAnsi"/>
          <w:sz w:val="24"/>
          <w:szCs w:val="24"/>
        </w:rPr>
        <w:t>Males made up the bulk of public comic singers, just as they made up the bulk of most music</w:t>
      </w:r>
      <w:r>
        <w:rPr>
          <w:rFonts w:cstheme="minorHAnsi"/>
          <w:sz w:val="24"/>
          <w:szCs w:val="24"/>
        </w:rPr>
        <w:t xml:space="preserve">al performers in the nineteenth </w:t>
      </w:r>
      <w:r w:rsidRPr="000C0EBC">
        <w:rPr>
          <w:rFonts w:cstheme="minorHAnsi"/>
          <w:sz w:val="24"/>
          <w:szCs w:val="24"/>
        </w:rPr>
        <w:t>century.</w:t>
      </w:r>
      <w:r>
        <w:rPr>
          <w:rFonts w:cstheme="minorHAnsi"/>
          <w:sz w:val="24"/>
          <w:szCs w:val="24"/>
        </w:rPr>
        <w:t xml:space="preserve"> </w:t>
      </w:r>
      <w:r w:rsidR="00D029BE" w:rsidRPr="000C0EBC">
        <w:rPr>
          <w:rFonts w:cstheme="minorHAnsi"/>
          <w:sz w:val="24"/>
          <w:szCs w:val="24"/>
        </w:rPr>
        <w:t>Rodger sums up</w:t>
      </w:r>
      <w:r>
        <w:rPr>
          <w:rFonts w:cstheme="minorHAnsi"/>
          <w:sz w:val="24"/>
          <w:szCs w:val="24"/>
        </w:rPr>
        <w:t xml:space="preserve"> the gendered roles of comic singers with</w:t>
      </w:r>
      <w:r w:rsidR="00D029BE" w:rsidRPr="000C0EBC">
        <w:rPr>
          <w:rFonts w:cstheme="minorHAnsi"/>
          <w:sz w:val="24"/>
          <w:szCs w:val="24"/>
        </w:rPr>
        <w:t xml:space="preserve"> her epigrammatic statement:</w:t>
      </w:r>
    </w:p>
    <w:p w:rsidR="00D029BE" w:rsidRPr="000C0EBC" w:rsidRDefault="00D029BE" w:rsidP="00D029BE">
      <w:pPr>
        <w:tabs>
          <w:tab w:val="left" w:pos="3000"/>
        </w:tabs>
        <w:spacing w:line="240" w:lineRule="auto"/>
        <w:ind w:left="720"/>
        <w:contextualSpacing/>
        <w:rPr>
          <w:rFonts w:cstheme="minorHAnsi"/>
          <w:sz w:val="24"/>
          <w:szCs w:val="24"/>
        </w:rPr>
      </w:pPr>
      <w:r w:rsidRPr="000C0EBC">
        <w:rPr>
          <w:rFonts w:cstheme="minorHAnsi"/>
          <w:sz w:val="24"/>
          <w:szCs w:val="24"/>
        </w:rPr>
        <w:lastRenderedPageBreak/>
        <w:t>If the primary role of women on the variety stage was to be pretty and tuneful, then the primary role for men was to be funny.</w:t>
      </w:r>
      <w:r w:rsidRPr="000C0EBC">
        <w:rPr>
          <w:rStyle w:val="FootnoteReference"/>
          <w:rFonts w:cstheme="minorHAnsi"/>
          <w:sz w:val="24"/>
          <w:szCs w:val="24"/>
        </w:rPr>
        <w:footnoteReference w:id="92"/>
      </w:r>
    </w:p>
    <w:p w:rsidR="00D029BE" w:rsidRPr="000C0EBC" w:rsidRDefault="00D029BE" w:rsidP="00D029BE">
      <w:pPr>
        <w:tabs>
          <w:tab w:val="left" w:pos="3000"/>
        </w:tabs>
        <w:spacing w:line="240" w:lineRule="auto"/>
        <w:contextualSpacing/>
        <w:rPr>
          <w:rFonts w:cstheme="minorHAnsi"/>
          <w:sz w:val="24"/>
          <w:szCs w:val="24"/>
        </w:rPr>
      </w:pPr>
    </w:p>
    <w:p w:rsidR="00D029BE" w:rsidRPr="000C0EBC" w:rsidRDefault="002C7DE7" w:rsidP="00D029BE">
      <w:pPr>
        <w:tabs>
          <w:tab w:val="left" w:pos="3000"/>
        </w:tabs>
        <w:spacing w:line="480" w:lineRule="auto"/>
        <w:contextualSpacing/>
        <w:rPr>
          <w:rFonts w:cstheme="minorHAnsi"/>
          <w:sz w:val="24"/>
          <w:szCs w:val="24"/>
        </w:rPr>
      </w:pPr>
      <w:r>
        <w:rPr>
          <w:rFonts w:cstheme="minorHAnsi"/>
          <w:sz w:val="24"/>
          <w:szCs w:val="24"/>
        </w:rPr>
        <w:t>These white male performers frequently sang songs</w:t>
      </w:r>
      <w:r w:rsidRPr="000C0EBC">
        <w:rPr>
          <w:rFonts w:cstheme="minorHAnsi"/>
          <w:sz w:val="24"/>
          <w:szCs w:val="24"/>
        </w:rPr>
        <w:t xml:space="preserve"> depicting various ethnic identities</w:t>
      </w:r>
      <w:r>
        <w:rPr>
          <w:rFonts w:cstheme="minorHAnsi"/>
          <w:sz w:val="24"/>
          <w:szCs w:val="24"/>
        </w:rPr>
        <w:t>.</w:t>
      </w:r>
      <w:r w:rsidRPr="000C0EBC">
        <w:rPr>
          <w:rFonts w:cstheme="minorHAnsi"/>
          <w:sz w:val="24"/>
          <w:szCs w:val="24"/>
        </w:rPr>
        <w:t xml:space="preserve"> </w:t>
      </w:r>
      <w:r w:rsidR="00D029BE" w:rsidRPr="000C0EBC">
        <w:rPr>
          <w:rFonts w:cstheme="minorHAnsi"/>
          <w:sz w:val="24"/>
          <w:szCs w:val="24"/>
        </w:rPr>
        <w:t>Comic singers, as Rodger explains,</w:t>
      </w:r>
      <w:r w:rsidR="00762BEE">
        <w:rPr>
          <w:rFonts w:cstheme="minorHAnsi"/>
          <w:sz w:val="24"/>
          <w:szCs w:val="24"/>
        </w:rPr>
        <w:t xml:space="preserve"> took on a “comic persona” that</w:t>
      </w:r>
      <w:r w:rsidR="00D029BE" w:rsidRPr="000C0EBC">
        <w:rPr>
          <w:rFonts w:cstheme="minorHAnsi"/>
          <w:sz w:val="24"/>
          <w:szCs w:val="24"/>
        </w:rPr>
        <w:t xml:space="preserve"> was often based on stereotyped “Irish, </w:t>
      </w:r>
      <w:r>
        <w:rPr>
          <w:rFonts w:cstheme="minorHAnsi"/>
          <w:sz w:val="24"/>
          <w:szCs w:val="24"/>
        </w:rPr>
        <w:t>Germans, and African Americans”—</w:t>
      </w:r>
      <w:r w:rsidR="00D029BE" w:rsidRPr="000C0EBC">
        <w:rPr>
          <w:rFonts w:cstheme="minorHAnsi"/>
          <w:sz w:val="24"/>
          <w:szCs w:val="24"/>
        </w:rPr>
        <w:t>or a more generic concept of “workingmen</w:t>
      </w:r>
      <w:r w:rsidR="00762BEE">
        <w:rPr>
          <w:rFonts w:cstheme="minorHAnsi"/>
          <w:sz w:val="24"/>
          <w:szCs w:val="24"/>
        </w:rPr>
        <w:t>,</w:t>
      </w:r>
      <w:r w:rsidR="00D029BE" w:rsidRPr="000C0EBC">
        <w:rPr>
          <w:rFonts w:cstheme="minorHAnsi"/>
          <w:sz w:val="24"/>
          <w:szCs w:val="24"/>
        </w:rPr>
        <w:t>”</w:t>
      </w:r>
      <w:r w:rsidR="00D029BE" w:rsidRPr="000C0EBC">
        <w:rPr>
          <w:rStyle w:val="FootnoteReference"/>
          <w:rFonts w:cstheme="minorHAnsi"/>
          <w:sz w:val="24"/>
          <w:szCs w:val="24"/>
        </w:rPr>
        <w:footnoteReference w:id="93"/>
      </w:r>
      <w:r w:rsidR="00762BEE">
        <w:rPr>
          <w:rFonts w:cstheme="minorHAnsi"/>
          <w:sz w:val="24"/>
          <w:szCs w:val="24"/>
        </w:rPr>
        <w:t xml:space="preserve"> which</w:t>
      </w:r>
      <w:r w:rsidR="00D029BE" w:rsidRPr="000C0EBC">
        <w:rPr>
          <w:rFonts w:cstheme="minorHAnsi"/>
          <w:sz w:val="24"/>
          <w:szCs w:val="24"/>
        </w:rPr>
        <w:t xml:space="preserve"> did not rely on ethnic humor.</w:t>
      </w:r>
      <w:r>
        <w:rPr>
          <w:rFonts w:cstheme="minorHAnsi"/>
          <w:sz w:val="24"/>
          <w:szCs w:val="24"/>
        </w:rPr>
        <w:t xml:space="preserve"> Songs based in ethnic stereotypes </w:t>
      </w:r>
      <w:r w:rsidRPr="000C0EBC">
        <w:rPr>
          <w:rFonts w:cstheme="minorHAnsi"/>
          <w:sz w:val="24"/>
          <w:szCs w:val="24"/>
        </w:rPr>
        <w:t>were immensely popular among nineteenth-century white Americans and they provided a powerful means of defining and coming to terms with these identities.</w:t>
      </w:r>
      <w:r w:rsidR="00D029BE" w:rsidRPr="000C0EBC">
        <w:rPr>
          <w:rFonts w:cstheme="minorHAnsi"/>
          <w:sz w:val="24"/>
          <w:szCs w:val="24"/>
        </w:rPr>
        <w:t xml:space="preserve"> Minstrelsy involved, in Lott’s terms, “a dialectical flickering of racial insult and racial envy, moments of domination and moments of liber</w:t>
      </w:r>
      <w:r w:rsidR="00762BEE">
        <w:rPr>
          <w:rFonts w:cstheme="minorHAnsi"/>
          <w:sz w:val="24"/>
          <w:szCs w:val="24"/>
        </w:rPr>
        <w:t>ation, counterfeit and currency.</w:t>
      </w:r>
      <w:r w:rsidR="00D029BE" w:rsidRPr="000C0EBC">
        <w:rPr>
          <w:rFonts w:cstheme="minorHAnsi"/>
          <w:sz w:val="24"/>
          <w:szCs w:val="24"/>
        </w:rPr>
        <w:t>”</w:t>
      </w:r>
      <w:r w:rsidR="00D029BE" w:rsidRPr="000C0EBC">
        <w:rPr>
          <w:rStyle w:val="FootnoteReference"/>
          <w:rFonts w:cstheme="minorHAnsi"/>
          <w:sz w:val="24"/>
          <w:szCs w:val="24"/>
        </w:rPr>
        <w:footnoteReference w:id="94"/>
      </w:r>
      <w:r w:rsidR="00762BEE">
        <w:rPr>
          <w:rFonts w:cstheme="minorHAnsi"/>
          <w:sz w:val="24"/>
          <w:szCs w:val="24"/>
        </w:rPr>
        <w:t xml:space="preserve"> A</w:t>
      </w:r>
      <w:r w:rsidR="00D029BE" w:rsidRPr="000C0EBC">
        <w:rPr>
          <w:rFonts w:cstheme="minorHAnsi"/>
          <w:sz w:val="24"/>
          <w:szCs w:val="24"/>
        </w:rPr>
        <w:t xml:space="preserve"> com</w:t>
      </w:r>
      <w:r w:rsidR="00F47FF0">
        <w:rPr>
          <w:rFonts w:cstheme="minorHAnsi"/>
          <w:sz w:val="24"/>
          <w:szCs w:val="24"/>
        </w:rPr>
        <w:t>plicated treatment of race that</w:t>
      </w:r>
      <w:r w:rsidR="00D029BE" w:rsidRPr="000C0EBC">
        <w:rPr>
          <w:rFonts w:cstheme="minorHAnsi"/>
          <w:sz w:val="24"/>
          <w:szCs w:val="24"/>
        </w:rPr>
        <w:t xml:space="preserve"> both invited in and pushed away the </w:t>
      </w:r>
      <w:proofErr w:type="gramStart"/>
      <w:r w:rsidR="00D029BE" w:rsidRPr="000C0EBC">
        <w:rPr>
          <w:rFonts w:cstheme="minorHAnsi"/>
          <w:sz w:val="24"/>
          <w:szCs w:val="24"/>
        </w:rPr>
        <w:t>Other</w:t>
      </w:r>
      <w:proofErr w:type="gramEnd"/>
      <w:r w:rsidR="00D029BE" w:rsidRPr="000C0EBC">
        <w:rPr>
          <w:rFonts w:cstheme="minorHAnsi"/>
          <w:sz w:val="24"/>
          <w:szCs w:val="24"/>
        </w:rPr>
        <w:t xml:space="preserve">. The same arguments can be extended to every racial group ridiculed by comic performers and songs, as well </w:t>
      </w:r>
      <w:r w:rsidR="00762BEE">
        <w:rPr>
          <w:rFonts w:cstheme="minorHAnsi"/>
          <w:sz w:val="24"/>
          <w:szCs w:val="24"/>
        </w:rPr>
        <w:t>as Lott’s</w:t>
      </w:r>
      <w:r w:rsidR="00D029BE" w:rsidRPr="000C0EBC">
        <w:rPr>
          <w:rFonts w:cstheme="minorHAnsi"/>
          <w:sz w:val="24"/>
          <w:szCs w:val="24"/>
        </w:rPr>
        <w:t xml:space="preserve"> </w:t>
      </w:r>
      <w:r w:rsidR="00F47FF0">
        <w:rPr>
          <w:rFonts w:cstheme="minorHAnsi"/>
          <w:sz w:val="24"/>
          <w:szCs w:val="24"/>
        </w:rPr>
        <w:t>entwinement</w:t>
      </w:r>
      <w:r w:rsidR="00D029BE" w:rsidRPr="000C0EBC">
        <w:rPr>
          <w:rFonts w:cstheme="minorHAnsi"/>
          <w:sz w:val="24"/>
          <w:szCs w:val="24"/>
        </w:rPr>
        <w:t xml:space="preserve"> of racial and class constructions. As Sherry </w:t>
      </w:r>
      <w:proofErr w:type="spellStart"/>
      <w:r w:rsidR="00D029BE" w:rsidRPr="000C0EBC">
        <w:rPr>
          <w:rFonts w:cstheme="minorHAnsi"/>
          <w:sz w:val="24"/>
          <w:szCs w:val="24"/>
        </w:rPr>
        <w:t>Ortner</w:t>
      </w:r>
      <w:proofErr w:type="spellEnd"/>
      <w:r w:rsidR="00D029BE" w:rsidRPr="000C0EBC">
        <w:rPr>
          <w:rFonts w:cstheme="minorHAnsi"/>
          <w:sz w:val="24"/>
          <w:szCs w:val="24"/>
        </w:rPr>
        <w:t xml:space="preserve"> has said “race and ethnicity have enormous cultural salience in the discourses of social difference in the United States.”</w:t>
      </w:r>
      <w:r w:rsidR="00D029BE" w:rsidRPr="000C0EBC">
        <w:rPr>
          <w:rStyle w:val="FootnoteReference"/>
          <w:rFonts w:cstheme="minorHAnsi"/>
          <w:sz w:val="24"/>
          <w:szCs w:val="24"/>
        </w:rPr>
        <w:footnoteReference w:id="95"/>
      </w:r>
      <w:r w:rsidR="00D029BE" w:rsidRPr="000C0EBC">
        <w:rPr>
          <w:rFonts w:cstheme="minorHAnsi"/>
          <w:sz w:val="24"/>
          <w:szCs w:val="24"/>
        </w:rPr>
        <w:t xml:space="preserve"> Performing these songs offered the opportunity to play with the interwoven construction of ethnic and class identities. </w:t>
      </w:r>
      <w:r w:rsidR="00762BEE">
        <w:rPr>
          <w:rFonts w:cstheme="minorHAnsi"/>
          <w:sz w:val="24"/>
          <w:szCs w:val="24"/>
        </w:rPr>
        <w:t>E</w:t>
      </w:r>
      <w:r w:rsidR="00917E80">
        <w:rPr>
          <w:rFonts w:cstheme="minorHAnsi"/>
          <w:sz w:val="24"/>
          <w:szCs w:val="24"/>
        </w:rPr>
        <w:t xml:space="preserve">ven though </w:t>
      </w:r>
      <w:r w:rsidR="00D029BE" w:rsidRPr="000C0EBC">
        <w:rPr>
          <w:rFonts w:cstheme="minorHAnsi"/>
          <w:sz w:val="24"/>
          <w:szCs w:val="24"/>
        </w:rPr>
        <w:t>Rodger’s discussion of male and female impersonators of the nineteenth-centur</w:t>
      </w:r>
      <w:r w:rsidR="00762BEE">
        <w:rPr>
          <w:rFonts w:cstheme="minorHAnsi"/>
          <w:sz w:val="24"/>
          <w:szCs w:val="24"/>
        </w:rPr>
        <w:t>y stage does not address how these performers</w:t>
      </w:r>
      <w:r w:rsidR="00F47FF0">
        <w:rPr>
          <w:rFonts w:cstheme="minorHAnsi"/>
          <w:sz w:val="24"/>
          <w:szCs w:val="24"/>
        </w:rPr>
        <w:t xml:space="preserve"> stepped</w:t>
      </w:r>
      <w:r w:rsidR="00D029BE" w:rsidRPr="000C0EBC">
        <w:rPr>
          <w:rFonts w:cstheme="minorHAnsi"/>
          <w:sz w:val="24"/>
          <w:szCs w:val="24"/>
        </w:rPr>
        <w:t xml:space="preserve"> into the Otherness o</w:t>
      </w:r>
      <w:r w:rsidR="00762BEE">
        <w:rPr>
          <w:rFonts w:cstheme="minorHAnsi"/>
          <w:sz w:val="24"/>
          <w:szCs w:val="24"/>
        </w:rPr>
        <w:t>f the opposite sex through</w:t>
      </w:r>
      <w:r w:rsidR="00D029BE" w:rsidRPr="000C0EBC">
        <w:rPr>
          <w:rFonts w:cstheme="minorHAnsi"/>
          <w:sz w:val="24"/>
          <w:szCs w:val="24"/>
        </w:rPr>
        <w:t xml:space="preserve"> comic exagge</w:t>
      </w:r>
      <w:r w:rsidR="00917E80">
        <w:rPr>
          <w:rFonts w:cstheme="minorHAnsi"/>
          <w:sz w:val="24"/>
          <w:szCs w:val="24"/>
        </w:rPr>
        <w:t>rations and critiques, understanding them through Butler’s conception of identity opens up this possibility</w:t>
      </w:r>
      <w:r w:rsidR="00D029BE" w:rsidRPr="000C0EBC">
        <w:rPr>
          <w:rFonts w:cstheme="minorHAnsi"/>
          <w:sz w:val="24"/>
          <w:szCs w:val="24"/>
        </w:rPr>
        <w:t xml:space="preserve">. As these stage performers created specific characters, they embodied these </w:t>
      </w:r>
      <w:proofErr w:type="gramStart"/>
      <w:r w:rsidR="00D029BE" w:rsidRPr="000C0EBC">
        <w:rPr>
          <w:rFonts w:cstheme="minorHAnsi"/>
          <w:sz w:val="24"/>
          <w:szCs w:val="24"/>
        </w:rPr>
        <w:t>Others</w:t>
      </w:r>
      <w:proofErr w:type="gramEnd"/>
      <w:r w:rsidR="00D029BE" w:rsidRPr="000C0EBC">
        <w:rPr>
          <w:rFonts w:cstheme="minorHAnsi"/>
          <w:sz w:val="24"/>
          <w:szCs w:val="24"/>
        </w:rPr>
        <w:t xml:space="preserve"> in their </w:t>
      </w:r>
      <w:r w:rsidR="00D029BE" w:rsidRPr="000C0EBC">
        <w:rPr>
          <w:rFonts w:cstheme="minorHAnsi"/>
          <w:sz w:val="24"/>
          <w:szCs w:val="24"/>
        </w:rPr>
        <w:lastRenderedPageBreak/>
        <w:t xml:space="preserve">performance. Transporting these genres to the parlor meant a wide number of individual consumers could embody </w:t>
      </w:r>
      <w:proofErr w:type="gramStart"/>
      <w:r w:rsidR="00D029BE" w:rsidRPr="000C0EBC">
        <w:rPr>
          <w:rFonts w:cstheme="minorHAnsi"/>
          <w:sz w:val="24"/>
          <w:szCs w:val="24"/>
        </w:rPr>
        <w:t>Others</w:t>
      </w:r>
      <w:proofErr w:type="gramEnd"/>
      <w:r w:rsidR="00D029BE" w:rsidRPr="000C0EBC">
        <w:rPr>
          <w:rFonts w:cstheme="minorHAnsi"/>
          <w:sz w:val="24"/>
          <w:szCs w:val="24"/>
        </w:rPr>
        <w:t>.</w:t>
      </w:r>
    </w:p>
    <w:p w:rsidR="00D029BE" w:rsidRPr="000C0EBC" w:rsidRDefault="00D029BE" w:rsidP="00D029BE">
      <w:pPr>
        <w:tabs>
          <w:tab w:val="left" w:pos="3000"/>
        </w:tabs>
        <w:spacing w:line="480" w:lineRule="auto"/>
        <w:ind w:firstLine="720"/>
        <w:contextualSpacing/>
        <w:rPr>
          <w:rFonts w:cstheme="minorHAnsi"/>
          <w:sz w:val="24"/>
          <w:szCs w:val="24"/>
        </w:rPr>
      </w:pPr>
      <w:r w:rsidRPr="000C0EBC">
        <w:rPr>
          <w:rFonts w:cstheme="minorHAnsi"/>
          <w:sz w:val="24"/>
          <w:szCs w:val="24"/>
        </w:rPr>
        <w:t>Whereas these types of public entertainments were meant purely for leisure, the activities in the nineteenth-century home space were meant for edification. Braden points out that “the strict conventions of Victorian society dictated appropriate home leisure pursuits for men, women, and children,” and that these activities “tended to be quite structured” and were “geared toward social advancement and</w:t>
      </w:r>
      <w:proofErr w:type="gramStart"/>
      <w:r w:rsidRPr="000C0EBC">
        <w:rPr>
          <w:rFonts w:cstheme="minorHAnsi"/>
          <w:sz w:val="24"/>
          <w:szCs w:val="24"/>
        </w:rPr>
        <w:t>…[</w:t>
      </w:r>
      <w:proofErr w:type="gramEnd"/>
      <w:r w:rsidRPr="000C0EBC">
        <w:rPr>
          <w:rFonts w:cstheme="minorHAnsi"/>
          <w:sz w:val="24"/>
          <w:szCs w:val="24"/>
        </w:rPr>
        <w:t>emphasized] educational or spiritual values over simple enjoyment.”</w:t>
      </w:r>
      <w:r w:rsidRPr="000C0EBC">
        <w:rPr>
          <w:rStyle w:val="FootnoteReference"/>
          <w:rFonts w:cstheme="minorHAnsi"/>
          <w:sz w:val="24"/>
          <w:szCs w:val="24"/>
        </w:rPr>
        <w:footnoteReference w:id="96"/>
      </w:r>
      <w:r w:rsidRPr="000C0EBC">
        <w:rPr>
          <w:rFonts w:cstheme="minorHAnsi"/>
          <w:sz w:val="24"/>
          <w:szCs w:val="24"/>
        </w:rPr>
        <w:t xml:space="preserve"> </w:t>
      </w:r>
      <w:r w:rsidR="00E5718E">
        <w:rPr>
          <w:rFonts w:cstheme="minorHAnsi"/>
          <w:sz w:val="24"/>
          <w:szCs w:val="24"/>
        </w:rPr>
        <w:t>Deeply tied to the prevailing Christian morals of the time, m</w:t>
      </w:r>
      <w:r w:rsidRPr="000C0EBC">
        <w:rPr>
          <w:rFonts w:cstheme="minorHAnsi"/>
          <w:sz w:val="24"/>
          <w:szCs w:val="24"/>
        </w:rPr>
        <w:t xml:space="preserve">usic was seen as a particularly powerful spiritual force capable of great edification. A contributor to the Cincinnati music education journal, </w:t>
      </w:r>
      <w:r w:rsidRPr="000C0EBC">
        <w:rPr>
          <w:rFonts w:cstheme="minorHAnsi"/>
          <w:i/>
          <w:sz w:val="24"/>
          <w:szCs w:val="24"/>
        </w:rPr>
        <w:t>Baldwin’s Musical Review</w:t>
      </w:r>
      <w:r w:rsidRPr="000C0EBC">
        <w:rPr>
          <w:rFonts w:cstheme="minorHAnsi"/>
          <w:sz w:val="24"/>
          <w:szCs w:val="24"/>
        </w:rPr>
        <w:t>, wrote in 1880 that:</w:t>
      </w:r>
    </w:p>
    <w:p w:rsidR="00D029BE" w:rsidRPr="000C0EBC" w:rsidRDefault="00D029BE" w:rsidP="00D029BE">
      <w:pPr>
        <w:tabs>
          <w:tab w:val="left" w:pos="3000"/>
        </w:tabs>
        <w:spacing w:line="240" w:lineRule="auto"/>
        <w:ind w:left="720"/>
        <w:contextualSpacing/>
        <w:rPr>
          <w:rFonts w:cstheme="minorHAnsi"/>
          <w:sz w:val="24"/>
          <w:szCs w:val="24"/>
        </w:rPr>
      </w:pPr>
      <w:r w:rsidRPr="000C0EBC">
        <w:rPr>
          <w:rFonts w:cstheme="minorHAnsi"/>
          <w:sz w:val="24"/>
          <w:szCs w:val="24"/>
        </w:rPr>
        <w:t>Everyman in this world, be he bootblack or emperor, is a complete instrument. He may be of greater or less compass, but he has all the harmonies—the entire diatonic scale—every chord every octave. In some way, the eternal grandeurs strike him, sounding the deep tones of faith and conscience; in some way the world touches the meaner and flatter keys. The great thing to be considered is what kind of music he habitually makes.</w:t>
      </w:r>
      <w:r w:rsidRPr="000C0EBC">
        <w:rPr>
          <w:rStyle w:val="FootnoteReference"/>
          <w:rFonts w:cstheme="minorHAnsi"/>
          <w:sz w:val="24"/>
          <w:szCs w:val="24"/>
        </w:rPr>
        <w:footnoteReference w:id="97"/>
      </w:r>
    </w:p>
    <w:p w:rsidR="00D029BE" w:rsidRPr="000C0EBC" w:rsidRDefault="00D029BE" w:rsidP="00D029BE">
      <w:pPr>
        <w:tabs>
          <w:tab w:val="left" w:pos="3000"/>
        </w:tabs>
        <w:spacing w:line="240" w:lineRule="auto"/>
        <w:ind w:left="720"/>
        <w:contextualSpacing/>
        <w:rPr>
          <w:rFonts w:cstheme="minorHAnsi"/>
          <w:sz w:val="24"/>
          <w:szCs w:val="24"/>
        </w:rPr>
      </w:pPr>
    </w:p>
    <w:p w:rsidR="007E094C" w:rsidRDefault="00D029BE" w:rsidP="00D029BE">
      <w:pPr>
        <w:tabs>
          <w:tab w:val="left" w:pos="3000"/>
        </w:tabs>
        <w:spacing w:line="480" w:lineRule="auto"/>
        <w:contextualSpacing/>
        <w:rPr>
          <w:rFonts w:cstheme="minorHAnsi"/>
          <w:sz w:val="24"/>
          <w:szCs w:val="24"/>
        </w:rPr>
      </w:pPr>
      <w:r w:rsidRPr="000C0EBC">
        <w:rPr>
          <w:rFonts w:cstheme="minorHAnsi"/>
          <w:sz w:val="24"/>
          <w:szCs w:val="24"/>
        </w:rPr>
        <w:t xml:space="preserve">This axiom is reminiscent of an almost </w:t>
      </w:r>
      <w:proofErr w:type="spellStart"/>
      <w:r w:rsidRPr="000C0EBC">
        <w:rPr>
          <w:rFonts w:cstheme="minorHAnsi"/>
          <w:sz w:val="24"/>
          <w:szCs w:val="24"/>
        </w:rPr>
        <w:t>Boethian</w:t>
      </w:r>
      <w:proofErr w:type="spellEnd"/>
      <w:r w:rsidRPr="000C0EBC">
        <w:rPr>
          <w:rFonts w:cstheme="minorHAnsi"/>
          <w:sz w:val="24"/>
          <w:szCs w:val="24"/>
        </w:rPr>
        <w:t xml:space="preserve"> understanding of music, linking musical harmony to social and moral harmony. Musically becoming a comical Other</w:t>
      </w:r>
      <w:r w:rsidR="00762BEE">
        <w:rPr>
          <w:rFonts w:cstheme="minorHAnsi"/>
          <w:sz w:val="24"/>
          <w:szCs w:val="24"/>
        </w:rPr>
        <w:t>,</w:t>
      </w:r>
      <w:r w:rsidRPr="000C0EBC">
        <w:rPr>
          <w:rFonts w:cstheme="minorHAnsi"/>
          <w:sz w:val="24"/>
          <w:szCs w:val="24"/>
        </w:rPr>
        <w:t xml:space="preserve"> </w:t>
      </w:r>
      <w:r w:rsidR="00762BEE">
        <w:rPr>
          <w:rFonts w:cstheme="minorHAnsi"/>
          <w:sz w:val="24"/>
          <w:szCs w:val="24"/>
        </w:rPr>
        <w:t>I suggest, parallels the</w:t>
      </w:r>
      <w:r w:rsidRPr="000C0EBC">
        <w:rPr>
          <w:rFonts w:cstheme="minorHAnsi"/>
          <w:sz w:val="24"/>
          <w:szCs w:val="24"/>
        </w:rPr>
        <w:t xml:space="preserve"> discordant act of touching “the meaner and flatter keys.”</w:t>
      </w:r>
      <w:r w:rsidRPr="000C0EBC">
        <w:rPr>
          <w:rStyle w:val="FootnoteReference"/>
          <w:rFonts w:cstheme="minorHAnsi"/>
          <w:sz w:val="24"/>
          <w:szCs w:val="24"/>
        </w:rPr>
        <w:footnoteReference w:id="98"/>
      </w:r>
    </w:p>
    <w:p w:rsidR="00D029BE" w:rsidRPr="000C0EBC" w:rsidRDefault="007E094C" w:rsidP="00E5718E">
      <w:pPr>
        <w:tabs>
          <w:tab w:val="left" w:pos="3000"/>
        </w:tabs>
        <w:spacing w:line="480" w:lineRule="auto"/>
        <w:ind w:firstLine="720"/>
        <w:contextualSpacing/>
        <w:rPr>
          <w:rFonts w:cstheme="minorHAnsi"/>
          <w:sz w:val="24"/>
          <w:szCs w:val="24"/>
        </w:rPr>
      </w:pPr>
      <w:r>
        <w:rPr>
          <w:rFonts w:cstheme="minorHAnsi"/>
          <w:sz w:val="24"/>
          <w:szCs w:val="24"/>
        </w:rPr>
        <w:t>Ideologically, the nineteenth-century home was a vastly different space than the variety hall, yet comic songs were still being performed there.</w:t>
      </w:r>
      <w:r w:rsidR="005A6C43">
        <w:rPr>
          <w:rFonts w:cstheme="minorHAnsi"/>
          <w:sz w:val="24"/>
          <w:szCs w:val="24"/>
        </w:rPr>
        <w:t xml:space="preserve"> In </w:t>
      </w:r>
      <w:r w:rsidR="004D46FE">
        <w:rPr>
          <w:rFonts w:cstheme="minorHAnsi"/>
          <w:sz w:val="24"/>
          <w:szCs w:val="24"/>
        </w:rPr>
        <w:t xml:space="preserve">studying </w:t>
      </w:r>
      <w:r w:rsidR="005A6C43">
        <w:rPr>
          <w:rFonts w:cstheme="minorHAnsi"/>
          <w:sz w:val="24"/>
          <w:szCs w:val="24"/>
        </w:rPr>
        <w:t xml:space="preserve">Christianity’s influence on shaping the nineteenth-century home, </w:t>
      </w:r>
      <w:proofErr w:type="spellStart"/>
      <w:r w:rsidR="004D46FE">
        <w:rPr>
          <w:rFonts w:cstheme="minorHAnsi"/>
          <w:sz w:val="24"/>
          <w:szCs w:val="24"/>
        </w:rPr>
        <w:t>McDannell</w:t>
      </w:r>
      <w:proofErr w:type="spellEnd"/>
      <w:r w:rsidR="004D46FE">
        <w:rPr>
          <w:rFonts w:cstheme="minorHAnsi"/>
          <w:sz w:val="24"/>
          <w:szCs w:val="24"/>
        </w:rPr>
        <w:t xml:space="preserve">, claimed </w:t>
      </w:r>
      <w:r w:rsidR="005A6C43">
        <w:rPr>
          <w:rFonts w:cstheme="minorHAnsi"/>
          <w:sz w:val="24"/>
          <w:szCs w:val="24"/>
        </w:rPr>
        <w:t>that the group she labeled as</w:t>
      </w:r>
      <w:r w:rsidR="005A6C43">
        <w:rPr>
          <w:rFonts w:ascii="Calibri" w:eastAsia="Times New Roman" w:hAnsi="Calibri" w:cs="Times New Roman"/>
          <w:color w:val="010101"/>
          <w:sz w:val="24"/>
          <w:szCs w:val="24"/>
        </w:rPr>
        <w:t xml:space="preserve"> </w:t>
      </w:r>
      <w:r w:rsidR="005A6C43">
        <w:rPr>
          <w:rFonts w:ascii="Calibri" w:eastAsia="Times New Roman" w:hAnsi="Calibri" w:cs="Times New Roman"/>
          <w:color w:val="010101"/>
          <w:sz w:val="24"/>
          <w:szCs w:val="24"/>
        </w:rPr>
        <w:lastRenderedPageBreak/>
        <w:t>“t</w:t>
      </w:r>
      <w:r w:rsidR="005A6C43" w:rsidRPr="005A6C43">
        <w:rPr>
          <w:rFonts w:ascii="Calibri" w:eastAsia="Times New Roman" w:hAnsi="Calibri" w:cs="Times New Roman"/>
          <w:color w:val="010101"/>
          <w:sz w:val="24"/>
          <w:szCs w:val="24"/>
        </w:rPr>
        <w:t>he creators of nineteenth century culture</w:t>
      </w:r>
      <w:r w:rsidR="005A6C43">
        <w:rPr>
          <w:rFonts w:ascii="Calibri" w:eastAsia="Times New Roman" w:hAnsi="Calibri" w:cs="Times New Roman"/>
          <w:color w:val="010101"/>
          <w:sz w:val="24"/>
          <w:szCs w:val="24"/>
        </w:rPr>
        <w:t>,” the “</w:t>
      </w:r>
      <w:r w:rsidR="005A6C43" w:rsidRPr="005A6C43">
        <w:rPr>
          <w:rFonts w:ascii="Calibri" w:eastAsia="Times New Roman" w:hAnsi="Calibri" w:cs="Times New Roman"/>
          <w:color w:val="010101"/>
          <w:sz w:val="24"/>
          <w:szCs w:val="24"/>
        </w:rPr>
        <w:t>ministers, priests, reformers, novelists,</w:t>
      </w:r>
      <w:r w:rsidR="005A6C43">
        <w:rPr>
          <w:rFonts w:ascii="Calibri" w:eastAsia="Times New Roman" w:hAnsi="Calibri" w:cs="Times New Roman"/>
          <w:color w:val="010101"/>
          <w:sz w:val="24"/>
          <w:szCs w:val="24"/>
        </w:rPr>
        <w:t xml:space="preserve"> [and] architects…</w:t>
      </w:r>
      <w:r w:rsidR="005A6C43" w:rsidRPr="005A6C43">
        <w:rPr>
          <w:rFonts w:ascii="Calibri" w:eastAsia="Times New Roman" w:hAnsi="Calibri" w:cs="Times New Roman"/>
          <w:color w:val="010101"/>
          <w:sz w:val="24"/>
          <w:szCs w:val="24"/>
        </w:rPr>
        <w:t>saw the home as a vehicle for the promotion of values</w:t>
      </w:r>
      <w:r w:rsidR="005A6C43">
        <w:rPr>
          <w:rFonts w:ascii="Calibri" w:eastAsia="Times New Roman" w:hAnsi="Calibri" w:cs="Times New Roman"/>
          <w:color w:val="010101"/>
          <w:sz w:val="24"/>
          <w:szCs w:val="24"/>
        </w:rPr>
        <w:t>.”</w:t>
      </w:r>
      <w:r w:rsidR="005A6C43">
        <w:rPr>
          <w:rStyle w:val="FootnoteReference"/>
          <w:rFonts w:ascii="Calibri" w:eastAsia="Times New Roman" w:hAnsi="Calibri" w:cs="Times New Roman"/>
          <w:color w:val="010101"/>
          <w:sz w:val="24"/>
          <w:szCs w:val="24"/>
        </w:rPr>
        <w:footnoteReference w:id="99"/>
      </w:r>
      <w:r w:rsidR="005A6C43">
        <w:rPr>
          <w:rFonts w:ascii="Calibri" w:eastAsia="Times New Roman" w:hAnsi="Calibri" w:cs="Times New Roman"/>
          <w:color w:val="010101"/>
          <w:sz w:val="24"/>
          <w:szCs w:val="24"/>
        </w:rPr>
        <w:t xml:space="preserve"> According to the popular Christian sources </w:t>
      </w:r>
      <w:proofErr w:type="spellStart"/>
      <w:r w:rsidR="005A6C43">
        <w:rPr>
          <w:rFonts w:ascii="Calibri" w:eastAsia="Times New Roman" w:hAnsi="Calibri" w:cs="Times New Roman"/>
          <w:color w:val="010101"/>
          <w:sz w:val="24"/>
          <w:szCs w:val="24"/>
        </w:rPr>
        <w:t>McDannell</w:t>
      </w:r>
      <w:proofErr w:type="spellEnd"/>
      <w:r w:rsidR="005A6C43">
        <w:rPr>
          <w:rFonts w:ascii="Calibri" w:eastAsia="Times New Roman" w:hAnsi="Calibri" w:cs="Times New Roman"/>
          <w:color w:val="010101"/>
          <w:sz w:val="24"/>
          <w:szCs w:val="24"/>
        </w:rPr>
        <w:t xml:space="preserve"> analyzed, the “proper” Victorian home was its own </w:t>
      </w:r>
      <w:proofErr w:type="spellStart"/>
      <w:r w:rsidR="005A6C43">
        <w:rPr>
          <w:rFonts w:ascii="Calibri" w:eastAsia="Times New Roman" w:hAnsi="Calibri" w:cs="Times New Roman"/>
          <w:color w:val="010101"/>
          <w:sz w:val="24"/>
          <w:szCs w:val="24"/>
        </w:rPr>
        <w:t>sacralized</w:t>
      </w:r>
      <w:proofErr w:type="spellEnd"/>
      <w:r w:rsidR="005A6C43">
        <w:rPr>
          <w:rFonts w:ascii="Calibri" w:eastAsia="Times New Roman" w:hAnsi="Calibri" w:cs="Times New Roman"/>
          <w:color w:val="010101"/>
          <w:sz w:val="24"/>
          <w:szCs w:val="24"/>
        </w:rPr>
        <w:t xml:space="preserve"> space, like a church, </w:t>
      </w:r>
      <w:r w:rsidR="005A6C43">
        <w:rPr>
          <w:rFonts w:cstheme="minorHAnsi"/>
          <w:sz w:val="24"/>
          <w:szCs w:val="24"/>
        </w:rPr>
        <w:t>that “</w:t>
      </w:r>
      <w:r w:rsidR="005A6C43">
        <w:rPr>
          <w:rFonts w:ascii="Calibri" w:eastAsia="Times New Roman" w:hAnsi="Calibri" w:cs="Times New Roman"/>
          <w:color w:val="010101"/>
          <w:sz w:val="24"/>
          <w:szCs w:val="24"/>
        </w:rPr>
        <w:t>encouraged all of the Victorian values: morality, piety, patriotism, order, stability, affection, intellectuality, education, purity, refinement, and discipline.”</w:t>
      </w:r>
      <w:r w:rsidR="005A6C43">
        <w:rPr>
          <w:rStyle w:val="FootnoteReference"/>
          <w:rFonts w:ascii="Calibri" w:eastAsia="Times New Roman" w:hAnsi="Calibri" w:cs="Times New Roman"/>
          <w:color w:val="010101"/>
          <w:sz w:val="24"/>
          <w:szCs w:val="24"/>
        </w:rPr>
        <w:footnoteReference w:id="100"/>
      </w:r>
      <w:r w:rsidR="00491105">
        <w:rPr>
          <w:rFonts w:cstheme="minorHAnsi"/>
          <w:sz w:val="24"/>
          <w:szCs w:val="24"/>
        </w:rPr>
        <w:t xml:space="preserve"> In the context of </w:t>
      </w:r>
      <w:r w:rsidR="005A6C43">
        <w:rPr>
          <w:rFonts w:cstheme="minorHAnsi"/>
          <w:sz w:val="24"/>
          <w:szCs w:val="24"/>
        </w:rPr>
        <w:t xml:space="preserve">white, patriarchal, Christian notions </w:t>
      </w:r>
      <w:r w:rsidR="00E5718E">
        <w:rPr>
          <w:rFonts w:cstheme="minorHAnsi"/>
          <w:sz w:val="24"/>
          <w:szCs w:val="24"/>
        </w:rPr>
        <w:t xml:space="preserve">of refinement, performing comic songs substantially disrupted the prevalent parlor aesthetic. </w:t>
      </w:r>
      <w:r w:rsidR="00D029BE" w:rsidRPr="000C0EBC">
        <w:rPr>
          <w:rFonts w:cstheme="minorHAnsi"/>
          <w:sz w:val="24"/>
          <w:szCs w:val="24"/>
        </w:rPr>
        <w:t xml:space="preserve">In fact, a noticed increase in “parlor theatricals” led one journalist to pen a 1869 article in </w:t>
      </w:r>
      <w:r w:rsidR="00D029BE" w:rsidRPr="000C0EBC">
        <w:rPr>
          <w:rFonts w:cstheme="minorHAnsi"/>
          <w:i/>
          <w:sz w:val="24"/>
          <w:szCs w:val="24"/>
        </w:rPr>
        <w:t>The Clipper</w:t>
      </w:r>
      <w:r w:rsidR="00D029BE" w:rsidRPr="000C0EBC">
        <w:rPr>
          <w:rFonts w:cstheme="minorHAnsi"/>
          <w:sz w:val="24"/>
          <w:szCs w:val="24"/>
        </w:rPr>
        <w:t xml:space="preserve"> that declared that “the more straight-laced” society members “snarl” at the practice of parlor theatricals “which strikes, they say, at the very foundation of the social fabric.”</w:t>
      </w:r>
      <w:r w:rsidR="00D029BE" w:rsidRPr="000C0EBC">
        <w:rPr>
          <w:rStyle w:val="FootnoteReference"/>
          <w:rFonts w:cstheme="minorHAnsi"/>
          <w:sz w:val="24"/>
          <w:szCs w:val="24"/>
        </w:rPr>
        <w:footnoteReference w:id="101"/>
      </w:r>
    </w:p>
    <w:p w:rsidR="00D029BE" w:rsidRPr="000C0EBC" w:rsidRDefault="00D029BE" w:rsidP="00642536">
      <w:pPr>
        <w:tabs>
          <w:tab w:val="left" w:pos="6960"/>
        </w:tabs>
        <w:spacing w:line="480" w:lineRule="auto"/>
        <w:ind w:firstLine="720"/>
        <w:contextualSpacing/>
        <w:rPr>
          <w:rFonts w:cstheme="minorHAnsi"/>
          <w:sz w:val="24"/>
          <w:szCs w:val="24"/>
        </w:rPr>
      </w:pPr>
      <w:r w:rsidRPr="000C0EBC">
        <w:rPr>
          <w:rFonts w:cstheme="minorHAnsi"/>
          <w:sz w:val="24"/>
          <w:szCs w:val="24"/>
        </w:rPr>
        <w:t>The comic parlor songs of this study existed at the crux of several crucial discourses in American history, on “high” and “lowbrow” culture, on ethnic identities, on class identities, and on the role of music in the home. In each instance, comic songs offered a powerful voice.</w:t>
      </w:r>
    </w:p>
    <w:p w:rsidR="00D029BE" w:rsidRPr="007B1C43" w:rsidRDefault="00D029BE" w:rsidP="002566BD">
      <w:pPr>
        <w:pStyle w:val="Heading2"/>
        <w:jc w:val="center"/>
        <w:rPr>
          <w:rFonts w:asciiTheme="minorHAnsi" w:hAnsiTheme="minorHAnsi"/>
          <w:b w:val="0"/>
          <w:color w:val="auto"/>
          <w:sz w:val="24"/>
          <w:szCs w:val="24"/>
        </w:rPr>
      </w:pPr>
      <w:bookmarkStart w:id="11" w:name="_Toc356278695"/>
      <w:r w:rsidRPr="007B1C43">
        <w:rPr>
          <w:rFonts w:asciiTheme="minorHAnsi" w:hAnsiTheme="minorHAnsi"/>
          <w:b w:val="0"/>
          <w:color w:val="auto"/>
          <w:sz w:val="24"/>
          <w:szCs w:val="24"/>
        </w:rPr>
        <w:t>Literature Review</w:t>
      </w:r>
      <w:bookmarkEnd w:id="11"/>
    </w:p>
    <w:p w:rsidR="00642536" w:rsidRPr="00642536" w:rsidRDefault="00642536" w:rsidP="00642536"/>
    <w:p w:rsidR="00D029BE" w:rsidRPr="000C0EBC" w:rsidRDefault="00D029BE" w:rsidP="00D029BE">
      <w:pPr>
        <w:tabs>
          <w:tab w:val="left" w:pos="2625"/>
        </w:tabs>
        <w:spacing w:line="480" w:lineRule="auto"/>
        <w:ind w:firstLine="720"/>
        <w:contextualSpacing/>
        <w:rPr>
          <w:rFonts w:cstheme="minorHAnsi"/>
          <w:sz w:val="24"/>
          <w:szCs w:val="24"/>
        </w:rPr>
      </w:pPr>
      <w:r w:rsidRPr="000C0EBC">
        <w:rPr>
          <w:rFonts w:cstheme="minorHAnsi"/>
          <w:sz w:val="24"/>
          <w:szCs w:val="24"/>
        </w:rPr>
        <w:t>Although much has been written on American popular song, most studies concentrate on specific composers and compositions, not the amateurs who were consuming t</w:t>
      </w:r>
      <w:r w:rsidR="006B07BE">
        <w:rPr>
          <w:rFonts w:cstheme="minorHAnsi"/>
          <w:sz w:val="24"/>
          <w:szCs w:val="24"/>
        </w:rPr>
        <w:t xml:space="preserve">his mass mediated form. </w:t>
      </w:r>
      <w:r w:rsidRPr="000C0EBC">
        <w:rPr>
          <w:rFonts w:cstheme="minorHAnsi"/>
          <w:sz w:val="24"/>
          <w:szCs w:val="24"/>
        </w:rPr>
        <w:t>Hamm’s works on American music provide exceptional background knowle</w:t>
      </w:r>
      <w:r w:rsidR="006B07BE">
        <w:rPr>
          <w:rFonts w:cstheme="minorHAnsi"/>
          <w:sz w:val="24"/>
          <w:szCs w:val="24"/>
        </w:rPr>
        <w:t>dge but are limited to a broad</w:t>
      </w:r>
      <w:r w:rsidRPr="000C0EBC">
        <w:rPr>
          <w:rFonts w:cstheme="minorHAnsi"/>
          <w:sz w:val="24"/>
          <w:szCs w:val="24"/>
        </w:rPr>
        <w:t xml:space="preserve"> stylistic history </w:t>
      </w:r>
      <w:r w:rsidR="003C2245">
        <w:rPr>
          <w:rFonts w:cstheme="minorHAnsi"/>
          <w:sz w:val="24"/>
          <w:szCs w:val="24"/>
        </w:rPr>
        <w:t xml:space="preserve">and to </w:t>
      </w:r>
      <w:r w:rsidRPr="000C0EBC">
        <w:rPr>
          <w:rFonts w:cstheme="minorHAnsi"/>
          <w:sz w:val="24"/>
          <w:szCs w:val="24"/>
        </w:rPr>
        <w:t xml:space="preserve">“those songs demonstrably the </w:t>
      </w:r>
      <w:r w:rsidRPr="000C0EBC">
        <w:rPr>
          <w:rFonts w:cstheme="minorHAnsi"/>
          <w:i/>
          <w:sz w:val="24"/>
          <w:szCs w:val="24"/>
        </w:rPr>
        <w:t>most</w:t>
      </w:r>
      <w:r w:rsidRPr="000C0EBC">
        <w:rPr>
          <w:rFonts w:cstheme="minorHAnsi"/>
          <w:sz w:val="24"/>
          <w:szCs w:val="24"/>
        </w:rPr>
        <w:t xml:space="preserve"> popular, the ones listened to, bought, and performed by the largest number of Americans.”</w:t>
      </w:r>
      <w:r w:rsidRPr="000C0EBC">
        <w:rPr>
          <w:rStyle w:val="FootnoteReference"/>
          <w:rFonts w:cstheme="minorHAnsi"/>
          <w:sz w:val="24"/>
          <w:szCs w:val="24"/>
        </w:rPr>
        <w:footnoteReference w:id="102"/>
      </w:r>
      <w:r w:rsidRPr="000C0EBC">
        <w:rPr>
          <w:rFonts w:cstheme="minorHAnsi"/>
          <w:sz w:val="24"/>
          <w:szCs w:val="24"/>
        </w:rPr>
        <w:t xml:space="preserve"> Heavily </w:t>
      </w:r>
      <w:r w:rsidRPr="000C0EBC">
        <w:rPr>
          <w:rFonts w:cstheme="minorHAnsi"/>
          <w:sz w:val="24"/>
          <w:szCs w:val="24"/>
        </w:rPr>
        <w:lastRenderedPageBreak/>
        <w:t>influ</w:t>
      </w:r>
      <w:r w:rsidR="006B07BE">
        <w:rPr>
          <w:rFonts w:cstheme="minorHAnsi"/>
          <w:sz w:val="24"/>
          <w:szCs w:val="24"/>
        </w:rPr>
        <w:t xml:space="preserve">enced by Hamm’s studies, </w:t>
      </w:r>
      <w:proofErr w:type="spellStart"/>
      <w:r w:rsidRPr="000C0EBC">
        <w:rPr>
          <w:rFonts w:cstheme="minorHAnsi"/>
          <w:sz w:val="24"/>
          <w:szCs w:val="24"/>
        </w:rPr>
        <w:t>Finson’s</w:t>
      </w:r>
      <w:proofErr w:type="spellEnd"/>
      <w:r w:rsidRPr="000C0EBC">
        <w:rPr>
          <w:rFonts w:cstheme="minorHAnsi"/>
          <w:sz w:val="24"/>
          <w:szCs w:val="24"/>
        </w:rPr>
        <w:t xml:space="preserve"> </w:t>
      </w:r>
      <w:r w:rsidRPr="000C0EBC">
        <w:rPr>
          <w:rFonts w:cstheme="minorHAnsi"/>
          <w:i/>
          <w:sz w:val="24"/>
          <w:szCs w:val="24"/>
        </w:rPr>
        <w:t>The Voices That Are Gone</w:t>
      </w:r>
      <w:r w:rsidRPr="000C0EBC">
        <w:rPr>
          <w:rFonts w:cstheme="minorHAnsi"/>
          <w:sz w:val="24"/>
          <w:szCs w:val="24"/>
        </w:rPr>
        <w:t xml:space="preserve"> complements Hamm’s </w:t>
      </w:r>
      <w:r w:rsidRPr="000C0EBC">
        <w:rPr>
          <w:rFonts w:cstheme="minorHAnsi"/>
          <w:i/>
          <w:sz w:val="24"/>
          <w:szCs w:val="24"/>
        </w:rPr>
        <w:t xml:space="preserve">Yesterdays </w:t>
      </w:r>
      <w:r w:rsidRPr="000C0EBC">
        <w:rPr>
          <w:rFonts w:cstheme="minorHAnsi"/>
          <w:sz w:val="24"/>
          <w:szCs w:val="24"/>
        </w:rPr>
        <w:t>by presenting not a survey but “a guided tour of selected songs</w:t>
      </w:r>
      <w:r w:rsidR="006B07BE">
        <w:rPr>
          <w:rFonts w:cstheme="minorHAnsi"/>
          <w:sz w:val="24"/>
          <w:szCs w:val="24"/>
        </w:rPr>
        <w:t>,</w:t>
      </w:r>
      <w:r w:rsidRPr="000C0EBC">
        <w:rPr>
          <w:rFonts w:cstheme="minorHAnsi"/>
          <w:sz w:val="24"/>
          <w:szCs w:val="24"/>
        </w:rPr>
        <w:t>” including “some of the lesser sights that provide color and context”</w:t>
      </w:r>
      <w:r w:rsidRPr="000C0EBC">
        <w:rPr>
          <w:rStyle w:val="FootnoteReference"/>
          <w:rFonts w:cstheme="minorHAnsi"/>
          <w:sz w:val="24"/>
          <w:szCs w:val="24"/>
        </w:rPr>
        <w:footnoteReference w:id="103"/>
      </w:r>
      <w:r w:rsidRPr="000C0EBC">
        <w:rPr>
          <w:rFonts w:cstheme="minorHAnsi"/>
          <w:sz w:val="24"/>
          <w:szCs w:val="24"/>
        </w:rPr>
        <w:t xml:space="preserve"> in order to arrive at a topically organized treatment of prevalent themes in</w:t>
      </w:r>
      <w:r w:rsidR="006B07BE">
        <w:rPr>
          <w:rFonts w:cstheme="minorHAnsi"/>
          <w:sz w:val="24"/>
          <w:szCs w:val="24"/>
        </w:rPr>
        <w:t xml:space="preserve"> American popular music.</w:t>
      </w:r>
      <w:r w:rsidRPr="000C0EBC">
        <w:rPr>
          <w:rFonts w:cstheme="minorHAnsi"/>
          <w:sz w:val="24"/>
          <w:szCs w:val="24"/>
        </w:rPr>
        <w:t xml:space="preserve"> </w:t>
      </w:r>
      <w:proofErr w:type="spellStart"/>
      <w:r w:rsidRPr="000C0EBC">
        <w:rPr>
          <w:rFonts w:cstheme="minorHAnsi"/>
          <w:sz w:val="24"/>
          <w:szCs w:val="24"/>
        </w:rPr>
        <w:t>Sanjek’s</w:t>
      </w:r>
      <w:proofErr w:type="spellEnd"/>
      <w:r w:rsidRPr="000C0EBC">
        <w:rPr>
          <w:rFonts w:cstheme="minorHAnsi"/>
          <w:sz w:val="24"/>
          <w:szCs w:val="24"/>
        </w:rPr>
        <w:t xml:space="preserve"> </w:t>
      </w:r>
      <w:r w:rsidR="000B4CC5">
        <w:rPr>
          <w:rFonts w:cstheme="minorHAnsi"/>
          <w:sz w:val="24"/>
          <w:szCs w:val="24"/>
        </w:rPr>
        <w:t>research</w:t>
      </w:r>
      <w:r w:rsidR="003C2245">
        <w:rPr>
          <w:rFonts w:cstheme="minorHAnsi"/>
          <w:sz w:val="24"/>
          <w:szCs w:val="24"/>
        </w:rPr>
        <w:t xml:space="preserve"> </w:t>
      </w:r>
      <w:r w:rsidRPr="000C0EBC">
        <w:rPr>
          <w:rFonts w:cstheme="minorHAnsi"/>
          <w:sz w:val="24"/>
          <w:szCs w:val="24"/>
        </w:rPr>
        <w:t>proves an equally rich so</w:t>
      </w:r>
      <w:r w:rsidR="003C2245">
        <w:rPr>
          <w:rFonts w:cstheme="minorHAnsi"/>
          <w:sz w:val="24"/>
          <w:szCs w:val="24"/>
        </w:rPr>
        <w:t>urce of broad context</w:t>
      </w:r>
      <w:r w:rsidR="000B4CC5">
        <w:rPr>
          <w:rFonts w:cstheme="minorHAnsi"/>
          <w:sz w:val="24"/>
          <w:szCs w:val="24"/>
        </w:rPr>
        <w:t xml:space="preserve"> and widens the scope further with an added focus</w:t>
      </w:r>
      <w:r w:rsidRPr="000C0EBC">
        <w:rPr>
          <w:rFonts w:cstheme="minorHAnsi"/>
          <w:sz w:val="24"/>
          <w:szCs w:val="24"/>
        </w:rPr>
        <w:t xml:space="preserve"> on the song industry, not just s</w:t>
      </w:r>
      <w:r>
        <w:rPr>
          <w:rFonts w:cstheme="minorHAnsi"/>
          <w:sz w:val="24"/>
          <w:szCs w:val="24"/>
        </w:rPr>
        <w:t>ignificant composers and works.</w:t>
      </w:r>
      <w:r w:rsidR="000B4CC5">
        <w:rPr>
          <w:rStyle w:val="FootnoteReference"/>
          <w:rFonts w:cstheme="minorHAnsi"/>
          <w:sz w:val="24"/>
          <w:szCs w:val="24"/>
        </w:rPr>
        <w:footnoteReference w:id="104"/>
      </w:r>
    </w:p>
    <w:p w:rsidR="00D029BE" w:rsidRPr="000C0EBC" w:rsidRDefault="00D029BE" w:rsidP="00D029BE">
      <w:pPr>
        <w:tabs>
          <w:tab w:val="left" w:pos="2625"/>
        </w:tabs>
        <w:spacing w:line="480" w:lineRule="auto"/>
        <w:ind w:firstLine="720"/>
        <w:contextualSpacing/>
        <w:rPr>
          <w:rFonts w:cstheme="minorHAnsi"/>
          <w:sz w:val="24"/>
          <w:szCs w:val="24"/>
        </w:rPr>
      </w:pPr>
      <w:r w:rsidRPr="000C0EBC">
        <w:rPr>
          <w:rFonts w:cstheme="minorHAnsi"/>
          <w:sz w:val="24"/>
          <w:szCs w:val="24"/>
        </w:rPr>
        <w:t>Nineteenth-century home performance practices are an elusive subject, but some works provide insight into contemporary theatric</w:t>
      </w:r>
      <w:r w:rsidR="006B07BE">
        <w:rPr>
          <w:rFonts w:cstheme="minorHAnsi"/>
          <w:sz w:val="24"/>
          <w:szCs w:val="24"/>
        </w:rPr>
        <w:t xml:space="preserve">al and concert performances, illuminating </w:t>
      </w:r>
      <w:r w:rsidRPr="000C0EBC">
        <w:rPr>
          <w:rFonts w:cstheme="minorHAnsi"/>
          <w:sz w:val="24"/>
          <w:szCs w:val="24"/>
        </w:rPr>
        <w:t>relevant cultural practices that would have at least played a role in perception if not shaped ideologies of h</w:t>
      </w:r>
      <w:r w:rsidR="006B07BE">
        <w:rPr>
          <w:rFonts w:cstheme="minorHAnsi"/>
          <w:sz w:val="24"/>
          <w:szCs w:val="24"/>
        </w:rPr>
        <w:t xml:space="preserve">ome performance. While </w:t>
      </w:r>
      <w:r w:rsidRPr="000C0EBC">
        <w:rPr>
          <w:rFonts w:cstheme="minorHAnsi"/>
          <w:sz w:val="24"/>
          <w:szCs w:val="24"/>
        </w:rPr>
        <w:t xml:space="preserve">Levine’s </w:t>
      </w:r>
      <w:r w:rsidRPr="000C0EBC">
        <w:rPr>
          <w:rFonts w:cstheme="minorHAnsi"/>
          <w:i/>
          <w:sz w:val="24"/>
          <w:szCs w:val="24"/>
        </w:rPr>
        <w:t>Highbrow/Lowbrow</w:t>
      </w:r>
      <w:r w:rsidRPr="006B07BE">
        <w:rPr>
          <w:rStyle w:val="FootnoteReference"/>
          <w:rFonts w:cstheme="minorHAnsi"/>
          <w:sz w:val="24"/>
          <w:szCs w:val="24"/>
        </w:rPr>
        <w:footnoteReference w:id="105"/>
      </w:r>
      <w:r w:rsidRPr="006B07BE">
        <w:rPr>
          <w:rFonts w:cstheme="minorHAnsi"/>
          <w:sz w:val="24"/>
          <w:szCs w:val="24"/>
        </w:rPr>
        <w:t xml:space="preserve"> </w:t>
      </w:r>
      <w:r w:rsidRPr="000C0EBC">
        <w:rPr>
          <w:rFonts w:cstheme="minorHAnsi"/>
          <w:sz w:val="24"/>
          <w:szCs w:val="24"/>
        </w:rPr>
        <w:t>comprises my central access point to broad late nin</w:t>
      </w:r>
      <w:r w:rsidR="006B07BE">
        <w:rPr>
          <w:rFonts w:cstheme="minorHAnsi"/>
          <w:sz w:val="24"/>
          <w:szCs w:val="24"/>
        </w:rPr>
        <w:t>eteenth-century cultural trends</w:t>
      </w:r>
      <w:r w:rsidRPr="000C0EBC">
        <w:rPr>
          <w:rFonts w:cstheme="minorHAnsi"/>
          <w:sz w:val="24"/>
          <w:szCs w:val="24"/>
        </w:rPr>
        <w:t xml:space="preserve"> and my frame for</w:t>
      </w:r>
      <w:r w:rsidR="006B07BE">
        <w:rPr>
          <w:rFonts w:cstheme="minorHAnsi"/>
          <w:sz w:val="24"/>
          <w:szCs w:val="24"/>
        </w:rPr>
        <w:t xml:space="preserve"> understanding</w:t>
      </w:r>
      <w:r w:rsidRPr="000C0EBC">
        <w:rPr>
          <w:rFonts w:cstheme="minorHAnsi"/>
          <w:sz w:val="24"/>
          <w:szCs w:val="24"/>
        </w:rPr>
        <w:t xml:space="preserve"> high and low musical performances, several other works elucidate more spec</w:t>
      </w:r>
      <w:r w:rsidR="006B07BE">
        <w:rPr>
          <w:rFonts w:cstheme="minorHAnsi"/>
          <w:sz w:val="24"/>
          <w:szCs w:val="24"/>
        </w:rPr>
        <w:t xml:space="preserve">ific theatrical practices. </w:t>
      </w:r>
      <w:r w:rsidRPr="000C0EBC">
        <w:rPr>
          <w:rFonts w:cstheme="minorHAnsi"/>
          <w:sz w:val="24"/>
          <w:szCs w:val="24"/>
        </w:rPr>
        <w:t>Lott</w:t>
      </w:r>
      <w:r w:rsidR="003C2245">
        <w:rPr>
          <w:rFonts w:cstheme="minorHAnsi"/>
          <w:sz w:val="24"/>
          <w:szCs w:val="24"/>
        </w:rPr>
        <w:t xml:space="preserve"> provides crucial context on</w:t>
      </w:r>
      <w:r w:rsidR="006B07BE">
        <w:rPr>
          <w:rFonts w:cstheme="minorHAnsi"/>
          <w:sz w:val="24"/>
          <w:szCs w:val="24"/>
        </w:rPr>
        <w:t xml:space="preserve"> not only</w:t>
      </w:r>
      <w:r w:rsidR="003C2245">
        <w:rPr>
          <w:rFonts w:cstheme="minorHAnsi"/>
          <w:sz w:val="24"/>
          <w:szCs w:val="24"/>
        </w:rPr>
        <w:t xml:space="preserve"> minstrelsy, one</w:t>
      </w:r>
      <w:r w:rsidRPr="000C0EBC">
        <w:rPr>
          <w:rFonts w:cstheme="minorHAnsi"/>
          <w:sz w:val="24"/>
          <w:szCs w:val="24"/>
        </w:rPr>
        <w:t xml:space="preserve"> of the most popular nineteenth-century American entertainment forms, but also how white performers embodied black </w:t>
      </w:r>
      <w:proofErr w:type="gramStart"/>
      <w:r w:rsidRPr="000C0EBC">
        <w:rPr>
          <w:rFonts w:cstheme="minorHAnsi"/>
          <w:sz w:val="24"/>
          <w:szCs w:val="24"/>
        </w:rPr>
        <w:t>Others</w:t>
      </w:r>
      <w:proofErr w:type="gramEnd"/>
      <w:r w:rsidRPr="000C0EBC">
        <w:rPr>
          <w:rFonts w:cstheme="minorHAnsi"/>
          <w:sz w:val="24"/>
          <w:szCs w:val="24"/>
        </w:rPr>
        <w:t>, and how working class audiences engaged with performances.</w:t>
      </w:r>
      <w:r w:rsidR="00117FAE">
        <w:rPr>
          <w:rStyle w:val="FootnoteReference"/>
          <w:rFonts w:cstheme="minorHAnsi"/>
          <w:sz w:val="24"/>
          <w:szCs w:val="24"/>
        </w:rPr>
        <w:footnoteReference w:id="106"/>
      </w:r>
      <w:r w:rsidRPr="000C0EBC">
        <w:rPr>
          <w:rFonts w:cstheme="minorHAnsi"/>
          <w:sz w:val="24"/>
          <w:szCs w:val="24"/>
        </w:rPr>
        <w:t xml:space="preserve"> Dale Cockrell’s</w:t>
      </w:r>
      <w:r w:rsidR="003C2245">
        <w:rPr>
          <w:rFonts w:cstheme="minorHAnsi"/>
          <w:sz w:val="24"/>
          <w:szCs w:val="24"/>
        </w:rPr>
        <w:t xml:space="preserve"> work on minstrelsy</w:t>
      </w:r>
      <w:r w:rsidRPr="000C0EBC">
        <w:rPr>
          <w:rFonts w:cstheme="minorHAnsi"/>
          <w:sz w:val="24"/>
          <w:szCs w:val="24"/>
        </w:rPr>
        <w:t xml:space="preserve"> provide</w:t>
      </w:r>
      <w:r>
        <w:rPr>
          <w:rFonts w:cstheme="minorHAnsi"/>
          <w:sz w:val="24"/>
          <w:szCs w:val="24"/>
        </w:rPr>
        <w:t>s</w:t>
      </w:r>
      <w:r w:rsidRPr="000C0EBC">
        <w:rPr>
          <w:rFonts w:cstheme="minorHAnsi"/>
          <w:sz w:val="24"/>
          <w:szCs w:val="24"/>
        </w:rPr>
        <w:t xml:space="preserve"> </w:t>
      </w:r>
      <w:r>
        <w:rPr>
          <w:rFonts w:cstheme="minorHAnsi"/>
          <w:sz w:val="24"/>
          <w:szCs w:val="24"/>
        </w:rPr>
        <w:t>further</w:t>
      </w:r>
      <w:r w:rsidRPr="000C0EBC">
        <w:rPr>
          <w:rFonts w:cstheme="minorHAnsi"/>
          <w:sz w:val="24"/>
          <w:szCs w:val="24"/>
        </w:rPr>
        <w:t xml:space="preserve"> insights and connection</w:t>
      </w:r>
      <w:r>
        <w:rPr>
          <w:rFonts w:cstheme="minorHAnsi"/>
          <w:sz w:val="24"/>
          <w:szCs w:val="24"/>
        </w:rPr>
        <w:t>s</w:t>
      </w:r>
      <w:r w:rsidRPr="000C0EBC">
        <w:rPr>
          <w:rFonts w:cstheme="minorHAnsi"/>
          <w:sz w:val="24"/>
          <w:szCs w:val="24"/>
        </w:rPr>
        <w:t>.</w:t>
      </w:r>
      <w:r w:rsidR="00117FAE">
        <w:rPr>
          <w:rStyle w:val="FootnoteReference"/>
          <w:rFonts w:cstheme="minorHAnsi"/>
          <w:sz w:val="24"/>
          <w:szCs w:val="24"/>
        </w:rPr>
        <w:footnoteReference w:id="107"/>
      </w:r>
      <w:r w:rsidRPr="000C0EBC">
        <w:rPr>
          <w:rFonts w:cstheme="minorHAnsi"/>
          <w:sz w:val="24"/>
          <w:szCs w:val="24"/>
        </w:rPr>
        <w:t xml:space="preserve"> Outside of the minstrel stage, in the variety hall and in what would beco</w:t>
      </w:r>
      <w:r w:rsidR="006B07BE">
        <w:rPr>
          <w:rFonts w:cstheme="minorHAnsi"/>
          <w:sz w:val="24"/>
          <w:szCs w:val="24"/>
        </w:rPr>
        <w:t xml:space="preserve">me vaudeville theatres, </w:t>
      </w:r>
      <w:r w:rsidRPr="000C0EBC">
        <w:rPr>
          <w:rFonts w:cstheme="minorHAnsi"/>
          <w:sz w:val="24"/>
          <w:szCs w:val="24"/>
        </w:rPr>
        <w:t>Rodger</w:t>
      </w:r>
      <w:r w:rsidR="003C2245">
        <w:rPr>
          <w:rFonts w:cstheme="minorHAnsi"/>
          <w:sz w:val="24"/>
          <w:szCs w:val="24"/>
        </w:rPr>
        <w:t>’s investigation of these</w:t>
      </w:r>
      <w:r w:rsidRPr="000C0EBC">
        <w:rPr>
          <w:rFonts w:cstheme="minorHAnsi"/>
          <w:sz w:val="24"/>
          <w:szCs w:val="24"/>
        </w:rPr>
        <w:t xml:space="preserve"> crucial performance mediums</w:t>
      </w:r>
      <w:r w:rsidR="003C2245">
        <w:rPr>
          <w:rFonts w:cstheme="minorHAnsi"/>
          <w:sz w:val="24"/>
          <w:szCs w:val="24"/>
        </w:rPr>
        <w:t xml:space="preserve"> proves the most useful.</w:t>
      </w:r>
      <w:r w:rsidR="00117FAE">
        <w:rPr>
          <w:rStyle w:val="FootnoteReference"/>
          <w:rFonts w:cstheme="minorHAnsi"/>
          <w:sz w:val="24"/>
          <w:szCs w:val="24"/>
        </w:rPr>
        <w:footnoteReference w:id="108"/>
      </w:r>
      <w:r w:rsidR="003C2245">
        <w:rPr>
          <w:rFonts w:cstheme="minorHAnsi"/>
          <w:sz w:val="24"/>
          <w:szCs w:val="24"/>
        </w:rPr>
        <w:t xml:space="preserve"> </w:t>
      </w:r>
      <w:r w:rsidRPr="000C0EBC">
        <w:rPr>
          <w:rFonts w:cstheme="minorHAnsi"/>
          <w:sz w:val="24"/>
          <w:szCs w:val="24"/>
        </w:rPr>
        <w:t xml:space="preserve">Besides her unparalleled depth into comic theatrical traditions and her focus on performers and audience members rather than </w:t>
      </w:r>
      <w:r w:rsidRPr="000C0EBC">
        <w:rPr>
          <w:rFonts w:cstheme="minorHAnsi"/>
          <w:sz w:val="24"/>
          <w:szCs w:val="24"/>
        </w:rPr>
        <w:lastRenderedPageBreak/>
        <w:t>composers, Rodger’s treatment of female comic performers and the feminine in the variety hall tradition provides an especially relevant and often overlooked perspective. Variety and theatrical traditions also make up a sizable amount o</w:t>
      </w:r>
      <w:r w:rsidR="006B07BE">
        <w:rPr>
          <w:rFonts w:cstheme="minorHAnsi"/>
          <w:sz w:val="24"/>
          <w:szCs w:val="24"/>
        </w:rPr>
        <w:t xml:space="preserve">f the material covered in </w:t>
      </w:r>
      <w:proofErr w:type="spellStart"/>
      <w:r w:rsidRPr="000C0EBC">
        <w:rPr>
          <w:rFonts w:cstheme="minorHAnsi"/>
          <w:sz w:val="24"/>
          <w:szCs w:val="24"/>
        </w:rPr>
        <w:t>Nasaw’s</w:t>
      </w:r>
      <w:proofErr w:type="spellEnd"/>
      <w:r w:rsidRPr="000C0EBC">
        <w:rPr>
          <w:rFonts w:cstheme="minorHAnsi"/>
          <w:sz w:val="24"/>
          <w:szCs w:val="24"/>
        </w:rPr>
        <w:t xml:space="preserve"> </w:t>
      </w:r>
      <w:r w:rsidR="003C2245">
        <w:rPr>
          <w:rFonts w:cstheme="minorHAnsi"/>
          <w:i/>
          <w:sz w:val="24"/>
          <w:szCs w:val="24"/>
        </w:rPr>
        <w:t>Going Out</w:t>
      </w:r>
      <w:r w:rsidR="006B07BE">
        <w:rPr>
          <w:rFonts w:cstheme="minorHAnsi"/>
          <w:sz w:val="24"/>
          <w:szCs w:val="24"/>
        </w:rPr>
        <w:t>,</w:t>
      </w:r>
      <w:r w:rsidRPr="000C0EBC">
        <w:rPr>
          <w:rStyle w:val="FootnoteReference"/>
          <w:rFonts w:cstheme="minorHAnsi"/>
          <w:sz w:val="24"/>
          <w:szCs w:val="24"/>
        </w:rPr>
        <w:footnoteReference w:id="109"/>
      </w:r>
      <w:r w:rsidRPr="000C0EBC">
        <w:rPr>
          <w:rFonts w:cstheme="minorHAnsi"/>
          <w:sz w:val="24"/>
          <w:szCs w:val="24"/>
        </w:rPr>
        <w:t xml:space="preserve"> which proves useful despite his central argument that public entertainment was replacing parlor entertainment. I see the two practices not in opposition to each other, but informing one another.</w:t>
      </w:r>
    </w:p>
    <w:p w:rsidR="00D029BE" w:rsidRPr="007B7225" w:rsidRDefault="00D029BE" w:rsidP="00D029BE">
      <w:pPr>
        <w:tabs>
          <w:tab w:val="left" w:pos="2625"/>
        </w:tabs>
        <w:spacing w:line="480" w:lineRule="auto"/>
        <w:ind w:firstLine="720"/>
        <w:contextualSpacing/>
        <w:rPr>
          <w:rFonts w:cstheme="minorHAnsi"/>
          <w:sz w:val="24"/>
          <w:szCs w:val="24"/>
        </w:rPr>
      </w:pPr>
      <w:r w:rsidRPr="000C0EBC">
        <w:rPr>
          <w:rFonts w:cstheme="minorHAnsi"/>
          <w:sz w:val="24"/>
          <w:szCs w:val="24"/>
        </w:rPr>
        <w:t>While none of the</w:t>
      </w:r>
      <w:r w:rsidR="006B07BE">
        <w:rPr>
          <w:rFonts w:cstheme="minorHAnsi"/>
          <w:sz w:val="24"/>
          <w:szCs w:val="24"/>
        </w:rPr>
        <w:t xml:space="preserve">se studies provides </w:t>
      </w:r>
      <w:r w:rsidRPr="000C0EBC">
        <w:rPr>
          <w:rFonts w:cstheme="minorHAnsi"/>
          <w:sz w:val="24"/>
          <w:szCs w:val="24"/>
        </w:rPr>
        <w:t xml:space="preserve">direct perspective on home music performance, other studies give insight into the home space. Grier’s essay </w:t>
      </w:r>
      <w:r w:rsidR="003C2245">
        <w:rPr>
          <w:rFonts w:cstheme="minorHAnsi"/>
          <w:sz w:val="24"/>
          <w:szCs w:val="24"/>
        </w:rPr>
        <w:t>on the decline of the parlor after the 1890s</w:t>
      </w:r>
      <w:r w:rsidRPr="000C0EBC">
        <w:rPr>
          <w:rFonts w:cstheme="minorHAnsi"/>
          <w:sz w:val="24"/>
          <w:szCs w:val="24"/>
        </w:rPr>
        <w:t xml:space="preserve"> provides the clearest definition of the parlor space and its cultural significance.</w:t>
      </w:r>
      <w:r w:rsidR="003C2245" w:rsidRPr="003C2245">
        <w:rPr>
          <w:rStyle w:val="FootnoteReference"/>
          <w:rFonts w:cstheme="minorHAnsi"/>
          <w:i/>
          <w:sz w:val="24"/>
          <w:szCs w:val="24"/>
        </w:rPr>
        <w:t xml:space="preserve"> </w:t>
      </w:r>
      <w:r w:rsidR="003C2245" w:rsidRPr="00117FAE">
        <w:rPr>
          <w:rStyle w:val="FootnoteReference"/>
          <w:rFonts w:cstheme="minorHAnsi"/>
          <w:sz w:val="24"/>
          <w:szCs w:val="24"/>
        </w:rPr>
        <w:footnoteReference w:id="110"/>
      </w:r>
      <w:r w:rsidRPr="000C0EBC">
        <w:rPr>
          <w:rFonts w:cstheme="minorHAnsi"/>
          <w:sz w:val="24"/>
          <w:szCs w:val="24"/>
        </w:rPr>
        <w:t xml:space="preserve"> While not fitting directly within the time period of this study, Wolfe’s</w:t>
      </w:r>
      <w:r w:rsidR="00BD039A">
        <w:rPr>
          <w:rFonts w:cstheme="minorHAnsi"/>
          <w:i/>
          <w:sz w:val="24"/>
          <w:szCs w:val="24"/>
        </w:rPr>
        <w:t xml:space="preserve"> </w:t>
      </w:r>
      <w:r w:rsidR="00BD039A">
        <w:rPr>
          <w:rFonts w:cstheme="minorHAnsi"/>
          <w:sz w:val="24"/>
          <w:szCs w:val="24"/>
        </w:rPr>
        <w:t>history of American song printing practices</w:t>
      </w:r>
      <w:r w:rsidR="006B07BE">
        <w:rPr>
          <w:rFonts w:cstheme="minorHAnsi"/>
          <w:sz w:val="24"/>
          <w:szCs w:val="24"/>
        </w:rPr>
        <w:t xml:space="preserve"> provides needed context regarding</w:t>
      </w:r>
      <w:r w:rsidRPr="000C0EBC">
        <w:rPr>
          <w:rFonts w:cstheme="minorHAnsi"/>
          <w:sz w:val="24"/>
          <w:szCs w:val="24"/>
        </w:rPr>
        <w:t xml:space="preserve"> the actual publication practices of the physical song sheets.</w:t>
      </w:r>
      <w:r w:rsidR="00BD039A" w:rsidRPr="00BD039A">
        <w:rPr>
          <w:rStyle w:val="FootnoteReference"/>
          <w:rFonts w:cstheme="minorHAnsi"/>
          <w:sz w:val="24"/>
          <w:szCs w:val="24"/>
        </w:rPr>
        <w:footnoteReference w:id="111"/>
      </w:r>
      <w:r w:rsidRPr="00BD039A">
        <w:rPr>
          <w:rFonts w:cstheme="minorHAnsi"/>
          <w:sz w:val="24"/>
          <w:szCs w:val="24"/>
        </w:rPr>
        <w:t xml:space="preserve"> </w:t>
      </w:r>
      <w:r w:rsidR="006B07BE">
        <w:rPr>
          <w:rFonts w:cstheme="minorHAnsi"/>
          <w:sz w:val="24"/>
          <w:szCs w:val="24"/>
        </w:rPr>
        <w:t xml:space="preserve">The first chapter of </w:t>
      </w:r>
      <w:r w:rsidRPr="000C0EBC">
        <w:rPr>
          <w:rFonts w:cstheme="minorHAnsi"/>
          <w:sz w:val="24"/>
          <w:szCs w:val="24"/>
        </w:rPr>
        <w:t xml:space="preserve">Miller’s </w:t>
      </w:r>
      <w:r w:rsidRPr="000C0EBC">
        <w:rPr>
          <w:rFonts w:cstheme="minorHAnsi"/>
          <w:i/>
          <w:sz w:val="24"/>
          <w:szCs w:val="24"/>
        </w:rPr>
        <w:t>Segregating Sound</w:t>
      </w:r>
      <w:r w:rsidRPr="00117FAE">
        <w:rPr>
          <w:rStyle w:val="FootnoteReference"/>
          <w:rFonts w:cstheme="minorHAnsi"/>
          <w:sz w:val="24"/>
          <w:szCs w:val="24"/>
        </w:rPr>
        <w:footnoteReference w:id="112"/>
      </w:r>
      <w:r w:rsidRPr="000C0EBC">
        <w:rPr>
          <w:rFonts w:cstheme="minorHAnsi"/>
          <w:sz w:val="24"/>
          <w:szCs w:val="24"/>
        </w:rPr>
        <w:t xml:space="preserve"> supplies a superb summary of how these commercial products reached homes across the United States, and their impact on consumers.</w:t>
      </w:r>
      <w:r>
        <w:rPr>
          <w:rFonts w:cstheme="minorHAnsi"/>
          <w:sz w:val="24"/>
          <w:szCs w:val="24"/>
        </w:rPr>
        <w:t xml:space="preserve"> I have also made use of several twentieth-century scholarly works to frame how consumers used</w:t>
      </w:r>
      <w:r w:rsidR="006B07BE">
        <w:rPr>
          <w:rFonts w:cstheme="minorHAnsi"/>
          <w:sz w:val="24"/>
          <w:szCs w:val="24"/>
        </w:rPr>
        <w:t xml:space="preserve"> commercially produced products; for instance</w:t>
      </w:r>
      <w:r>
        <w:rPr>
          <w:rFonts w:cstheme="minorHAnsi"/>
          <w:sz w:val="24"/>
          <w:szCs w:val="24"/>
        </w:rPr>
        <w:t xml:space="preserve"> as Richard Dyer</w:t>
      </w:r>
      <w:r w:rsidR="00BD039A">
        <w:rPr>
          <w:rFonts w:cstheme="minorHAnsi"/>
          <w:sz w:val="24"/>
          <w:szCs w:val="24"/>
        </w:rPr>
        <w:t xml:space="preserve"> proposed</w:t>
      </w:r>
      <w:r>
        <w:rPr>
          <w:rFonts w:cstheme="minorHAnsi"/>
          <w:sz w:val="24"/>
          <w:szCs w:val="24"/>
        </w:rPr>
        <w:t xml:space="preserve"> a model for understanding musical entertainment practices as escape.</w:t>
      </w:r>
      <w:r w:rsidR="00BD039A">
        <w:rPr>
          <w:rStyle w:val="FootnoteReference"/>
          <w:rFonts w:cstheme="minorHAnsi"/>
          <w:sz w:val="24"/>
          <w:szCs w:val="24"/>
        </w:rPr>
        <w:footnoteReference w:id="113"/>
      </w:r>
    </w:p>
    <w:p w:rsidR="00D029BE" w:rsidRPr="000C0EBC" w:rsidRDefault="00D029BE" w:rsidP="00D029BE">
      <w:pPr>
        <w:tabs>
          <w:tab w:val="left" w:pos="2625"/>
        </w:tabs>
        <w:spacing w:line="480" w:lineRule="auto"/>
        <w:ind w:firstLine="720"/>
        <w:contextualSpacing/>
        <w:rPr>
          <w:sz w:val="24"/>
          <w:szCs w:val="24"/>
        </w:rPr>
      </w:pPr>
      <w:r w:rsidRPr="000C0EBC">
        <w:rPr>
          <w:rFonts w:cstheme="minorHAnsi"/>
          <w:sz w:val="24"/>
          <w:szCs w:val="24"/>
        </w:rPr>
        <w:t xml:space="preserve">The concept of embodying music has been amply analyzed, and several texts prove extremely useful in my extension of this notion to parlor music. </w:t>
      </w:r>
      <w:r w:rsidR="00BD039A">
        <w:rPr>
          <w:rFonts w:cstheme="minorHAnsi"/>
          <w:sz w:val="24"/>
          <w:szCs w:val="24"/>
        </w:rPr>
        <w:t xml:space="preserve">The numerous writings of </w:t>
      </w:r>
      <w:proofErr w:type="spellStart"/>
      <w:r w:rsidRPr="000C0EBC">
        <w:rPr>
          <w:rFonts w:cstheme="minorHAnsi"/>
          <w:sz w:val="24"/>
          <w:szCs w:val="24"/>
        </w:rPr>
        <w:t>Frith</w:t>
      </w:r>
      <w:proofErr w:type="spellEnd"/>
      <w:r>
        <w:rPr>
          <w:rFonts w:cstheme="minorHAnsi"/>
          <w:sz w:val="24"/>
          <w:szCs w:val="24"/>
        </w:rPr>
        <w:t xml:space="preserve"> were</w:t>
      </w:r>
      <w:r w:rsidRPr="000C0EBC">
        <w:rPr>
          <w:rFonts w:cstheme="minorHAnsi"/>
          <w:sz w:val="24"/>
          <w:szCs w:val="24"/>
        </w:rPr>
        <w:t xml:space="preserve"> extremely influential in my understanding </w:t>
      </w:r>
      <w:r w:rsidR="006B07BE" w:rsidRPr="000C0EBC">
        <w:rPr>
          <w:rFonts w:cstheme="minorHAnsi"/>
          <w:sz w:val="24"/>
          <w:szCs w:val="24"/>
        </w:rPr>
        <w:t xml:space="preserve">not only </w:t>
      </w:r>
      <w:r w:rsidRPr="000C0EBC">
        <w:rPr>
          <w:rFonts w:cstheme="minorHAnsi"/>
          <w:sz w:val="24"/>
          <w:szCs w:val="24"/>
        </w:rPr>
        <w:t>of lyrics</w:t>
      </w:r>
      <w:r>
        <w:rPr>
          <w:rFonts w:cstheme="minorHAnsi"/>
          <w:sz w:val="24"/>
          <w:szCs w:val="24"/>
        </w:rPr>
        <w:t xml:space="preserve"> and the role of the voice in music</w:t>
      </w:r>
      <w:r w:rsidRPr="000C0EBC">
        <w:rPr>
          <w:rFonts w:cstheme="minorHAnsi"/>
          <w:sz w:val="24"/>
          <w:szCs w:val="24"/>
        </w:rPr>
        <w:t xml:space="preserve">, but also </w:t>
      </w:r>
      <w:r>
        <w:rPr>
          <w:rFonts w:cstheme="minorHAnsi"/>
          <w:sz w:val="24"/>
          <w:szCs w:val="24"/>
        </w:rPr>
        <w:t>how</w:t>
      </w:r>
      <w:r w:rsidRPr="000C0EBC">
        <w:rPr>
          <w:rFonts w:cstheme="minorHAnsi"/>
          <w:sz w:val="24"/>
          <w:szCs w:val="24"/>
        </w:rPr>
        <w:t xml:space="preserve"> sung words bear “meaning not just semantically, but also as structures of </w:t>
      </w:r>
      <w:r w:rsidRPr="000C0EBC">
        <w:rPr>
          <w:rFonts w:cstheme="minorHAnsi"/>
          <w:sz w:val="24"/>
          <w:szCs w:val="24"/>
        </w:rPr>
        <w:lastRenderedPageBreak/>
        <w:t>sound that are direct signs of emotion and marks of character.”</w:t>
      </w:r>
      <w:r w:rsidRPr="000C0EBC">
        <w:rPr>
          <w:rStyle w:val="FootnoteReference"/>
          <w:rFonts w:cstheme="minorHAnsi"/>
          <w:sz w:val="24"/>
          <w:szCs w:val="24"/>
        </w:rPr>
        <w:footnoteReference w:id="114"/>
      </w:r>
      <w:r w:rsidRPr="000C0EBC">
        <w:rPr>
          <w:rFonts w:cstheme="minorHAnsi"/>
          <w:sz w:val="24"/>
          <w:szCs w:val="24"/>
        </w:rPr>
        <w:t xml:space="preserve"> The gestures that accompany these so</w:t>
      </w:r>
      <w:r w:rsidR="0061333A">
        <w:rPr>
          <w:rFonts w:cstheme="minorHAnsi"/>
          <w:sz w:val="24"/>
          <w:szCs w:val="24"/>
        </w:rPr>
        <w:t>ngs, which I</w:t>
      </w:r>
      <w:r w:rsidRPr="000C0EBC">
        <w:rPr>
          <w:rFonts w:cstheme="minorHAnsi"/>
          <w:sz w:val="24"/>
          <w:szCs w:val="24"/>
        </w:rPr>
        <w:t xml:space="preserve"> address more fully in l</w:t>
      </w:r>
      <w:r w:rsidR="006B07BE">
        <w:rPr>
          <w:rFonts w:cstheme="minorHAnsi"/>
          <w:sz w:val="24"/>
          <w:szCs w:val="24"/>
        </w:rPr>
        <w:t xml:space="preserve">ater chapters, have been </w:t>
      </w:r>
      <w:proofErr w:type="spellStart"/>
      <w:r w:rsidR="006B07BE">
        <w:rPr>
          <w:rFonts w:cstheme="minorHAnsi"/>
          <w:sz w:val="24"/>
          <w:szCs w:val="24"/>
        </w:rPr>
        <w:t>discused</w:t>
      </w:r>
      <w:proofErr w:type="spellEnd"/>
      <w:r w:rsidRPr="000C0EBC">
        <w:rPr>
          <w:rFonts w:cstheme="minorHAnsi"/>
          <w:sz w:val="24"/>
          <w:szCs w:val="24"/>
        </w:rPr>
        <w:t xml:space="preserve"> on by Nancy </w:t>
      </w:r>
      <w:proofErr w:type="spellStart"/>
      <w:r w:rsidRPr="000C0EBC">
        <w:rPr>
          <w:rFonts w:cstheme="minorHAnsi"/>
          <w:sz w:val="24"/>
          <w:szCs w:val="24"/>
        </w:rPr>
        <w:t>Ruyter</w:t>
      </w:r>
      <w:proofErr w:type="spellEnd"/>
      <w:r w:rsidRPr="00BD039A">
        <w:rPr>
          <w:rStyle w:val="FootnoteReference"/>
          <w:rFonts w:cstheme="minorHAnsi"/>
          <w:sz w:val="24"/>
          <w:szCs w:val="24"/>
        </w:rPr>
        <w:footnoteReference w:id="115"/>
      </w:r>
      <w:r w:rsidRPr="000C0EBC">
        <w:rPr>
          <w:sz w:val="24"/>
          <w:szCs w:val="24"/>
        </w:rPr>
        <w:t xml:space="preserve"> and Carrie J. Preston</w:t>
      </w:r>
      <w:r w:rsidR="00BD039A">
        <w:rPr>
          <w:sz w:val="24"/>
          <w:szCs w:val="24"/>
        </w:rPr>
        <w:t>,</w:t>
      </w:r>
      <w:r w:rsidRPr="000C0EBC">
        <w:rPr>
          <w:rStyle w:val="FootnoteReference"/>
          <w:sz w:val="24"/>
          <w:szCs w:val="24"/>
        </w:rPr>
        <w:footnoteReference w:id="116"/>
      </w:r>
      <w:r w:rsidR="006B07BE">
        <w:rPr>
          <w:sz w:val="24"/>
          <w:szCs w:val="24"/>
        </w:rPr>
        <w:t xml:space="preserve"> who</w:t>
      </w:r>
      <w:r w:rsidRPr="000C0EBC">
        <w:rPr>
          <w:sz w:val="24"/>
          <w:szCs w:val="24"/>
        </w:rPr>
        <w:t xml:space="preserve"> deal with specific nineteenth-century practices of and beliefs on dance and gesture. While Elisabeth Le </w:t>
      </w:r>
      <w:proofErr w:type="spellStart"/>
      <w:r w:rsidRPr="000C0EBC">
        <w:rPr>
          <w:sz w:val="24"/>
          <w:szCs w:val="24"/>
        </w:rPr>
        <w:t>Guin’s</w:t>
      </w:r>
      <w:proofErr w:type="spellEnd"/>
      <w:r w:rsidRPr="000C0EBC">
        <w:rPr>
          <w:sz w:val="24"/>
          <w:szCs w:val="24"/>
        </w:rPr>
        <w:t xml:space="preserve"> </w:t>
      </w:r>
      <w:r w:rsidRPr="000C0EBC">
        <w:rPr>
          <w:i/>
          <w:sz w:val="24"/>
          <w:szCs w:val="24"/>
        </w:rPr>
        <w:t>Boccherini’s Body</w:t>
      </w:r>
      <w:r w:rsidRPr="00117FAE">
        <w:rPr>
          <w:rStyle w:val="FootnoteReference"/>
          <w:sz w:val="24"/>
          <w:szCs w:val="24"/>
        </w:rPr>
        <w:footnoteReference w:id="117"/>
      </w:r>
      <w:r w:rsidRPr="000C0EBC">
        <w:rPr>
          <w:sz w:val="24"/>
          <w:szCs w:val="24"/>
        </w:rPr>
        <w:t xml:space="preserve"> focuses on eighteenth-century European practices, it provides a useful language and framework for discussing the role of the body in performance.</w:t>
      </w:r>
    </w:p>
    <w:p w:rsidR="00D5170F" w:rsidRPr="002D2264" w:rsidRDefault="00D029BE" w:rsidP="00C77D0C">
      <w:pPr>
        <w:tabs>
          <w:tab w:val="left" w:pos="2625"/>
        </w:tabs>
        <w:spacing w:line="480" w:lineRule="auto"/>
        <w:ind w:firstLine="720"/>
        <w:contextualSpacing/>
        <w:rPr>
          <w:sz w:val="24"/>
          <w:szCs w:val="24"/>
        </w:rPr>
      </w:pPr>
      <w:r w:rsidRPr="000C0EBC">
        <w:rPr>
          <w:sz w:val="24"/>
          <w:szCs w:val="24"/>
        </w:rPr>
        <w:t xml:space="preserve">A range of texts have also covered music’s use in identity construction. </w:t>
      </w:r>
      <w:r w:rsidR="0076012B" w:rsidRPr="000C0EBC">
        <w:rPr>
          <w:sz w:val="24"/>
          <w:szCs w:val="24"/>
        </w:rPr>
        <w:t xml:space="preserve">Sherry </w:t>
      </w:r>
      <w:proofErr w:type="spellStart"/>
      <w:r w:rsidR="0076012B" w:rsidRPr="000C0EBC">
        <w:rPr>
          <w:sz w:val="24"/>
          <w:szCs w:val="24"/>
        </w:rPr>
        <w:t>Ortner</w:t>
      </w:r>
      <w:proofErr w:type="spellEnd"/>
      <w:r w:rsidR="0076012B" w:rsidRPr="000C0EBC">
        <w:rPr>
          <w:sz w:val="24"/>
          <w:szCs w:val="24"/>
        </w:rPr>
        <w:t xml:space="preserve"> </w:t>
      </w:r>
      <w:r w:rsidR="0076012B">
        <w:rPr>
          <w:sz w:val="24"/>
          <w:szCs w:val="24"/>
        </w:rPr>
        <w:t>demonstrate</w:t>
      </w:r>
      <w:r w:rsidR="00C77D0C">
        <w:rPr>
          <w:sz w:val="24"/>
          <w:szCs w:val="24"/>
        </w:rPr>
        <w:t>s</w:t>
      </w:r>
      <w:r w:rsidR="0076012B">
        <w:rPr>
          <w:sz w:val="24"/>
          <w:szCs w:val="24"/>
        </w:rPr>
        <w:t xml:space="preserve"> t</w:t>
      </w:r>
      <w:r w:rsidRPr="000C0EBC">
        <w:rPr>
          <w:sz w:val="24"/>
          <w:szCs w:val="24"/>
        </w:rPr>
        <w:t>he agency of individuals in constructing the social discourses on identities, specifically American class and raci</w:t>
      </w:r>
      <w:r w:rsidR="003F2A36">
        <w:rPr>
          <w:sz w:val="24"/>
          <w:szCs w:val="24"/>
        </w:rPr>
        <w:t>al identities</w:t>
      </w:r>
      <w:r w:rsidRPr="000C0EBC">
        <w:rPr>
          <w:sz w:val="24"/>
          <w:szCs w:val="24"/>
        </w:rPr>
        <w:t>.</w:t>
      </w:r>
      <w:r w:rsidRPr="000C0EBC">
        <w:rPr>
          <w:rStyle w:val="FootnoteReference"/>
          <w:sz w:val="24"/>
          <w:szCs w:val="24"/>
        </w:rPr>
        <w:footnoteReference w:id="118"/>
      </w:r>
      <w:r w:rsidRPr="000C0EBC">
        <w:rPr>
          <w:sz w:val="24"/>
          <w:szCs w:val="24"/>
        </w:rPr>
        <w:t xml:space="preserve"> Judith Butler’s </w:t>
      </w:r>
      <w:r w:rsidRPr="000C0EBC">
        <w:rPr>
          <w:i/>
          <w:sz w:val="24"/>
          <w:szCs w:val="24"/>
        </w:rPr>
        <w:t>Gender Trouble</w:t>
      </w:r>
      <w:r w:rsidR="00117FAE">
        <w:rPr>
          <w:sz w:val="24"/>
          <w:szCs w:val="24"/>
        </w:rPr>
        <w:t>,</w:t>
      </w:r>
      <w:r w:rsidRPr="000C0EBC">
        <w:rPr>
          <w:rStyle w:val="FootnoteReference"/>
          <w:sz w:val="24"/>
          <w:szCs w:val="24"/>
        </w:rPr>
        <w:footnoteReference w:id="119"/>
      </w:r>
      <w:r w:rsidRPr="000C0EBC">
        <w:rPr>
          <w:sz w:val="24"/>
          <w:szCs w:val="24"/>
        </w:rPr>
        <w:t xml:space="preserve"> as mentioned above, provides the basis for my argument that identities are enacted through </w:t>
      </w:r>
      <w:proofErr w:type="spellStart"/>
      <w:r w:rsidRPr="000C0EBC">
        <w:rPr>
          <w:sz w:val="24"/>
          <w:szCs w:val="24"/>
        </w:rPr>
        <w:t>performatives</w:t>
      </w:r>
      <w:proofErr w:type="spellEnd"/>
      <w:r w:rsidRPr="000C0EBC">
        <w:rPr>
          <w:sz w:val="24"/>
          <w:szCs w:val="24"/>
        </w:rPr>
        <w:t>. My definition and understanding of mimesis as</w:t>
      </w:r>
      <w:r w:rsidR="00C77D0C">
        <w:rPr>
          <w:sz w:val="24"/>
          <w:szCs w:val="24"/>
        </w:rPr>
        <w:t xml:space="preserve"> a powerful cultural force that</w:t>
      </w:r>
      <w:r w:rsidRPr="000C0EBC">
        <w:rPr>
          <w:sz w:val="24"/>
          <w:szCs w:val="24"/>
        </w:rPr>
        <w:t xml:space="preserve"> invites </w:t>
      </w:r>
      <w:proofErr w:type="gramStart"/>
      <w:r w:rsidRPr="000C0EBC">
        <w:rPr>
          <w:sz w:val="24"/>
          <w:szCs w:val="24"/>
        </w:rPr>
        <w:t>Other</w:t>
      </w:r>
      <w:proofErr w:type="gramEnd"/>
      <w:r w:rsidRPr="000C0EBC">
        <w:rPr>
          <w:sz w:val="24"/>
          <w:szCs w:val="24"/>
        </w:rPr>
        <w:t xml:space="preserve"> identities into the self comes from Michael </w:t>
      </w:r>
      <w:proofErr w:type="spellStart"/>
      <w:r w:rsidRPr="000C0EBC">
        <w:rPr>
          <w:sz w:val="24"/>
          <w:szCs w:val="24"/>
        </w:rPr>
        <w:t>Taussig</w:t>
      </w:r>
      <w:proofErr w:type="spellEnd"/>
      <w:r w:rsidRPr="000C0EBC">
        <w:rPr>
          <w:sz w:val="24"/>
          <w:szCs w:val="24"/>
        </w:rPr>
        <w:t>.</w:t>
      </w:r>
      <w:r w:rsidRPr="000C0EBC">
        <w:rPr>
          <w:rStyle w:val="FootnoteReference"/>
          <w:sz w:val="24"/>
          <w:szCs w:val="24"/>
        </w:rPr>
        <w:footnoteReference w:id="120"/>
      </w:r>
      <w:r w:rsidRPr="000C0EBC">
        <w:rPr>
          <w:sz w:val="24"/>
          <w:szCs w:val="24"/>
        </w:rPr>
        <w:t xml:space="preserve"> Further definitions of the processes of “identity” and “identification” have been pulled from Jason Lee Oakes’ dissertation, “Losers, Pu</w:t>
      </w:r>
      <w:r w:rsidR="00C77D0C">
        <w:rPr>
          <w:sz w:val="24"/>
          <w:szCs w:val="24"/>
        </w:rPr>
        <w:t xml:space="preserve">nks, and Queers (and </w:t>
      </w:r>
      <w:proofErr w:type="spellStart"/>
      <w:r w:rsidR="00C77D0C">
        <w:rPr>
          <w:sz w:val="24"/>
          <w:szCs w:val="24"/>
        </w:rPr>
        <w:t>Elvii</w:t>
      </w:r>
      <w:proofErr w:type="spellEnd"/>
      <w:r w:rsidR="00C77D0C">
        <w:rPr>
          <w:sz w:val="24"/>
          <w:szCs w:val="24"/>
        </w:rPr>
        <w:t xml:space="preserve"> too)</w:t>
      </w:r>
      <w:r w:rsidRPr="000C0EBC">
        <w:rPr>
          <w:sz w:val="24"/>
          <w:szCs w:val="24"/>
        </w:rPr>
        <w:t>.”</w:t>
      </w:r>
      <w:r w:rsidRPr="000C0EBC">
        <w:rPr>
          <w:rStyle w:val="FootnoteReference"/>
          <w:sz w:val="24"/>
          <w:szCs w:val="24"/>
        </w:rPr>
        <w:footnoteReference w:id="121"/>
      </w:r>
      <w:r w:rsidRPr="000C0EBC">
        <w:rPr>
          <w:sz w:val="24"/>
          <w:szCs w:val="24"/>
        </w:rPr>
        <w:t xml:space="preserve"> These works, along with</w:t>
      </w:r>
      <w:r w:rsidR="00C77D0C">
        <w:rPr>
          <w:sz w:val="24"/>
          <w:szCs w:val="24"/>
        </w:rPr>
        <w:t xml:space="preserve"> that of </w:t>
      </w:r>
      <w:r w:rsidRPr="000C0EBC">
        <w:rPr>
          <w:sz w:val="24"/>
          <w:szCs w:val="24"/>
        </w:rPr>
        <w:lastRenderedPageBreak/>
        <w:t>Fox’s</w:t>
      </w:r>
      <w:r w:rsidRPr="003F2A36">
        <w:rPr>
          <w:rStyle w:val="FootnoteReference"/>
          <w:sz w:val="24"/>
          <w:szCs w:val="24"/>
        </w:rPr>
        <w:footnoteReference w:id="122"/>
      </w:r>
      <w:r w:rsidRPr="003F2A36">
        <w:rPr>
          <w:sz w:val="24"/>
          <w:szCs w:val="24"/>
        </w:rPr>
        <w:t xml:space="preserve"> </w:t>
      </w:r>
      <w:r w:rsidRPr="000C0EBC">
        <w:rPr>
          <w:sz w:val="24"/>
          <w:szCs w:val="24"/>
        </w:rPr>
        <w:t>provide superb discussions of how the exaggerated and eccentric extremes of identity, the kinds of i</w:t>
      </w:r>
      <w:r w:rsidR="001520F3">
        <w:rPr>
          <w:sz w:val="24"/>
          <w:szCs w:val="24"/>
        </w:rPr>
        <w:t xml:space="preserve">dentities I </w:t>
      </w:r>
      <w:r w:rsidR="00C77D0C">
        <w:rPr>
          <w:sz w:val="24"/>
          <w:szCs w:val="24"/>
        </w:rPr>
        <w:t>find</w:t>
      </w:r>
      <w:r w:rsidRPr="000C0EBC">
        <w:rPr>
          <w:sz w:val="24"/>
          <w:szCs w:val="24"/>
        </w:rPr>
        <w:t xml:space="preserve"> in comic </w:t>
      </w:r>
      <w:proofErr w:type="gramStart"/>
      <w:r w:rsidRPr="000C0EBC">
        <w:rPr>
          <w:sz w:val="24"/>
          <w:szCs w:val="24"/>
        </w:rPr>
        <w:t>songs,</w:t>
      </w:r>
      <w:proofErr w:type="gramEnd"/>
      <w:r w:rsidRPr="000C0EBC">
        <w:rPr>
          <w:sz w:val="24"/>
          <w:szCs w:val="24"/>
        </w:rPr>
        <w:t xml:space="preserve"> can powerf</w:t>
      </w:r>
      <w:r w:rsidR="00117FAE">
        <w:rPr>
          <w:sz w:val="24"/>
          <w:szCs w:val="24"/>
        </w:rPr>
        <w:t>ully affect perceptions of the S</w:t>
      </w:r>
      <w:r w:rsidRPr="000C0EBC">
        <w:rPr>
          <w:sz w:val="24"/>
          <w:szCs w:val="24"/>
        </w:rPr>
        <w:t>elf.</w:t>
      </w:r>
    </w:p>
    <w:p w:rsidR="00D029BE" w:rsidRPr="007B1C43" w:rsidRDefault="00D029BE" w:rsidP="002566BD">
      <w:pPr>
        <w:pStyle w:val="Heading2"/>
        <w:jc w:val="center"/>
        <w:rPr>
          <w:rFonts w:asciiTheme="minorHAnsi" w:hAnsiTheme="minorHAnsi"/>
          <w:b w:val="0"/>
          <w:color w:val="auto"/>
          <w:sz w:val="24"/>
          <w:szCs w:val="24"/>
        </w:rPr>
      </w:pPr>
      <w:bookmarkStart w:id="12" w:name="_Toc356278696"/>
      <w:r w:rsidRPr="007B1C43">
        <w:rPr>
          <w:rFonts w:asciiTheme="minorHAnsi" w:hAnsiTheme="minorHAnsi"/>
          <w:b w:val="0"/>
          <w:color w:val="auto"/>
          <w:sz w:val="24"/>
          <w:szCs w:val="24"/>
        </w:rPr>
        <w:t>Conclusion</w:t>
      </w:r>
      <w:bookmarkEnd w:id="12"/>
    </w:p>
    <w:p w:rsidR="00642536" w:rsidRPr="00642536" w:rsidRDefault="00642536" w:rsidP="00642536"/>
    <w:p w:rsidR="00D029BE" w:rsidRPr="000C0EBC" w:rsidRDefault="00D029BE" w:rsidP="00D029BE">
      <w:pPr>
        <w:tabs>
          <w:tab w:val="left" w:pos="2625"/>
        </w:tabs>
        <w:spacing w:line="480" w:lineRule="auto"/>
        <w:ind w:firstLine="720"/>
        <w:rPr>
          <w:rFonts w:cstheme="minorHAnsi"/>
          <w:sz w:val="24"/>
          <w:szCs w:val="24"/>
        </w:rPr>
      </w:pPr>
      <w:r w:rsidRPr="000C0EBC">
        <w:rPr>
          <w:rFonts w:cstheme="minorHAnsi"/>
          <w:sz w:val="24"/>
          <w:szCs w:val="24"/>
        </w:rPr>
        <w:t>The dialectic classifications of “lowbrow</w:t>
      </w:r>
      <w:r w:rsidR="00C77D0C">
        <w:rPr>
          <w:rFonts w:cstheme="minorHAnsi"/>
          <w:sz w:val="24"/>
          <w:szCs w:val="24"/>
        </w:rPr>
        <w:t>” and “highbrow” integrally r</w:t>
      </w:r>
      <w:r w:rsidRPr="000C0EBC">
        <w:rPr>
          <w:rFonts w:cstheme="minorHAnsi"/>
          <w:sz w:val="24"/>
          <w:szCs w:val="24"/>
        </w:rPr>
        <w:t>e</w:t>
      </w:r>
      <w:r w:rsidR="00C77D0C">
        <w:rPr>
          <w:rFonts w:cstheme="minorHAnsi"/>
          <w:sz w:val="24"/>
          <w:szCs w:val="24"/>
        </w:rPr>
        <w:t>ly on each other</w:t>
      </w:r>
      <w:r w:rsidRPr="000C0EBC">
        <w:rPr>
          <w:rFonts w:cstheme="minorHAnsi"/>
          <w:sz w:val="24"/>
          <w:szCs w:val="24"/>
        </w:rPr>
        <w:t>, and indeed are only definable in relation to the other. Despite the ideological conception of the parlor as a solely “highbrow” space, the “lowbrow” must occasionally intrude in or</w:t>
      </w:r>
      <w:r w:rsidR="00C77D0C">
        <w:rPr>
          <w:rFonts w:cstheme="minorHAnsi"/>
          <w:sz w:val="24"/>
          <w:szCs w:val="24"/>
        </w:rPr>
        <w:t>der to give the parlor its power in</w:t>
      </w:r>
      <w:r w:rsidRPr="000C0EBC">
        <w:rPr>
          <w:rFonts w:cstheme="minorHAnsi"/>
          <w:sz w:val="24"/>
          <w:szCs w:val="24"/>
        </w:rPr>
        <w:t xml:space="preserve"> policing the discourse of desired identity. When the “lowbrow” voice does appear, its performance subverts the construction of the “highbrow” and even critiques its very existence. </w:t>
      </w:r>
      <w:r w:rsidR="00C77D0C">
        <w:rPr>
          <w:rFonts w:cstheme="minorHAnsi"/>
          <w:sz w:val="24"/>
          <w:szCs w:val="24"/>
        </w:rPr>
        <w:t xml:space="preserve">In the following </w:t>
      </w:r>
      <w:r w:rsidR="00545A37">
        <w:rPr>
          <w:rFonts w:cstheme="minorHAnsi"/>
          <w:sz w:val="24"/>
          <w:szCs w:val="24"/>
        </w:rPr>
        <w:t>chapters</w:t>
      </w:r>
      <w:r w:rsidR="00C77D0C">
        <w:rPr>
          <w:rFonts w:cstheme="minorHAnsi"/>
          <w:sz w:val="24"/>
          <w:szCs w:val="24"/>
        </w:rPr>
        <w:t xml:space="preserve"> I explore</w:t>
      </w:r>
      <w:r w:rsidR="00545A37">
        <w:rPr>
          <w:rFonts w:cstheme="minorHAnsi"/>
          <w:sz w:val="24"/>
          <w:szCs w:val="24"/>
        </w:rPr>
        <w:t xml:space="preserve"> key genr</w:t>
      </w:r>
      <w:r w:rsidR="00C77D0C">
        <w:rPr>
          <w:rFonts w:cstheme="minorHAnsi"/>
          <w:sz w:val="24"/>
          <w:szCs w:val="24"/>
        </w:rPr>
        <w:t xml:space="preserve">es and facets of comic songs from </w:t>
      </w:r>
      <w:r w:rsidR="00545A37">
        <w:rPr>
          <w:rFonts w:cstheme="minorHAnsi"/>
          <w:sz w:val="24"/>
          <w:szCs w:val="24"/>
        </w:rPr>
        <w:t>varying theoretical frames in order to explicate their r</w:t>
      </w:r>
      <w:r w:rsidR="007B29F5">
        <w:rPr>
          <w:rFonts w:cstheme="minorHAnsi"/>
          <w:sz w:val="24"/>
          <w:szCs w:val="24"/>
        </w:rPr>
        <w:t>ole in this discourse. Chapter T</w:t>
      </w:r>
      <w:r w:rsidR="00545A37">
        <w:rPr>
          <w:rFonts w:cstheme="minorHAnsi"/>
          <w:sz w:val="24"/>
          <w:szCs w:val="24"/>
        </w:rPr>
        <w:t>wo presents songs with explicit instructions on how to engage the body, and how this practice was likely impli</w:t>
      </w:r>
      <w:r w:rsidR="00C77D0C">
        <w:rPr>
          <w:rFonts w:cstheme="minorHAnsi"/>
          <w:sz w:val="24"/>
          <w:szCs w:val="24"/>
        </w:rPr>
        <w:t>citly extended beyond even my selected</w:t>
      </w:r>
      <w:r w:rsidR="00545A37">
        <w:rPr>
          <w:rFonts w:cstheme="minorHAnsi"/>
          <w:sz w:val="24"/>
          <w:szCs w:val="24"/>
        </w:rPr>
        <w:t xml:space="preserve"> examples. This chapter</w:t>
      </w:r>
      <w:r w:rsidRPr="000C0EBC">
        <w:rPr>
          <w:rFonts w:cstheme="minorHAnsi"/>
          <w:sz w:val="24"/>
          <w:szCs w:val="24"/>
        </w:rPr>
        <w:t xml:space="preserve"> fully detail</w:t>
      </w:r>
      <w:r w:rsidR="00C77D0C">
        <w:rPr>
          <w:rFonts w:cstheme="minorHAnsi"/>
          <w:sz w:val="24"/>
          <w:szCs w:val="24"/>
        </w:rPr>
        <w:t>s</w:t>
      </w:r>
      <w:r w:rsidRPr="000C0EBC">
        <w:rPr>
          <w:rFonts w:cstheme="minorHAnsi"/>
          <w:sz w:val="24"/>
          <w:szCs w:val="24"/>
        </w:rPr>
        <w:t xml:space="preserve"> how the role of pantomime, dance, and the engagement of the body cre</w:t>
      </w:r>
      <w:r w:rsidR="00C77D0C">
        <w:rPr>
          <w:rFonts w:cstheme="minorHAnsi"/>
          <w:sz w:val="24"/>
          <w:szCs w:val="24"/>
        </w:rPr>
        <w:t xml:space="preserve">ate physical </w:t>
      </w:r>
      <w:proofErr w:type="spellStart"/>
      <w:r w:rsidR="00C77D0C">
        <w:rPr>
          <w:rFonts w:cstheme="minorHAnsi"/>
          <w:sz w:val="24"/>
          <w:szCs w:val="24"/>
        </w:rPr>
        <w:t>performatives</w:t>
      </w:r>
      <w:proofErr w:type="spellEnd"/>
      <w:r w:rsidR="00C77D0C">
        <w:rPr>
          <w:rFonts w:cstheme="minorHAnsi"/>
          <w:sz w:val="24"/>
          <w:szCs w:val="24"/>
        </w:rPr>
        <w:t xml:space="preserve"> that</w:t>
      </w:r>
      <w:r w:rsidRPr="000C0EBC">
        <w:rPr>
          <w:rFonts w:cstheme="minorHAnsi"/>
          <w:sz w:val="24"/>
          <w:szCs w:val="24"/>
        </w:rPr>
        <w:t xml:space="preserve"> add the comic “lowbrow” to the construction of the performer’s identity. </w:t>
      </w:r>
      <w:r w:rsidR="000D3243">
        <w:rPr>
          <w:rFonts w:cstheme="minorHAnsi"/>
          <w:sz w:val="24"/>
          <w:szCs w:val="24"/>
        </w:rPr>
        <w:t>The instructions provided on s</w:t>
      </w:r>
      <w:r w:rsidRPr="000C0EBC">
        <w:rPr>
          <w:rFonts w:cstheme="minorHAnsi"/>
          <w:sz w:val="24"/>
          <w:szCs w:val="24"/>
        </w:rPr>
        <w:t>ong sh</w:t>
      </w:r>
      <w:r w:rsidR="000D3243">
        <w:rPr>
          <w:rFonts w:cstheme="minorHAnsi"/>
          <w:sz w:val="24"/>
          <w:szCs w:val="24"/>
        </w:rPr>
        <w:t>eets,</w:t>
      </w:r>
      <w:r w:rsidRPr="000C0EBC">
        <w:rPr>
          <w:rFonts w:cstheme="minorHAnsi"/>
          <w:sz w:val="24"/>
          <w:szCs w:val="24"/>
        </w:rPr>
        <w:t xml:space="preserve"> and sources like Edgar S. Werner’s writings on </w:t>
      </w:r>
      <w:proofErr w:type="spellStart"/>
      <w:r w:rsidRPr="000C0EBC">
        <w:rPr>
          <w:rFonts w:cstheme="minorHAnsi"/>
          <w:sz w:val="24"/>
          <w:szCs w:val="24"/>
        </w:rPr>
        <w:t>Delsartism</w:t>
      </w:r>
      <w:proofErr w:type="spellEnd"/>
      <w:r w:rsidRPr="000C0EBC">
        <w:rPr>
          <w:rFonts w:cstheme="minorHAnsi"/>
          <w:sz w:val="24"/>
          <w:szCs w:val="24"/>
        </w:rPr>
        <w:t xml:space="preserve">, detail the nineteenth-century emphasis on the meaningful use of gestures and their place in parlor music. By showing how singers fully engaged their bodies and altered their outward appearance, I argue that their mimetic embodiments of </w:t>
      </w:r>
      <w:proofErr w:type="gramStart"/>
      <w:r w:rsidRPr="000C0EBC">
        <w:rPr>
          <w:rFonts w:cstheme="minorHAnsi"/>
          <w:sz w:val="24"/>
          <w:szCs w:val="24"/>
        </w:rPr>
        <w:t>Others</w:t>
      </w:r>
      <w:proofErr w:type="gramEnd"/>
      <w:r w:rsidRPr="000C0EBC">
        <w:rPr>
          <w:rFonts w:cstheme="minorHAnsi"/>
          <w:sz w:val="24"/>
          <w:szCs w:val="24"/>
        </w:rPr>
        <w:t xml:space="preserve"> entered alternate identities into constructions of their own. </w:t>
      </w:r>
      <w:r w:rsidR="007B29F5">
        <w:rPr>
          <w:rFonts w:cstheme="minorHAnsi"/>
          <w:sz w:val="24"/>
          <w:szCs w:val="24"/>
        </w:rPr>
        <w:t>Chapter T</w:t>
      </w:r>
      <w:r w:rsidR="00C77D0C">
        <w:rPr>
          <w:rFonts w:cstheme="minorHAnsi"/>
          <w:sz w:val="24"/>
          <w:szCs w:val="24"/>
        </w:rPr>
        <w:t>hree focuses s</w:t>
      </w:r>
      <w:r w:rsidR="000D3243">
        <w:rPr>
          <w:rFonts w:cstheme="minorHAnsi"/>
          <w:sz w:val="24"/>
          <w:szCs w:val="24"/>
        </w:rPr>
        <w:t>pecifically</w:t>
      </w:r>
      <w:r w:rsidR="00C77D0C">
        <w:rPr>
          <w:rFonts w:cstheme="minorHAnsi"/>
          <w:sz w:val="24"/>
          <w:szCs w:val="24"/>
        </w:rPr>
        <w:t xml:space="preserve"> on</w:t>
      </w:r>
      <w:r w:rsidR="000D3243">
        <w:rPr>
          <w:rFonts w:cstheme="minorHAnsi"/>
          <w:sz w:val="24"/>
          <w:szCs w:val="24"/>
        </w:rPr>
        <w:t xml:space="preserve"> comic cha</w:t>
      </w:r>
      <w:r w:rsidR="00C77D0C">
        <w:rPr>
          <w:rFonts w:cstheme="minorHAnsi"/>
          <w:sz w:val="24"/>
          <w:szCs w:val="24"/>
        </w:rPr>
        <w:t>racter pieces, a sub-genre that</w:t>
      </w:r>
      <w:r w:rsidR="000D3243">
        <w:rPr>
          <w:rFonts w:cstheme="minorHAnsi"/>
          <w:sz w:val="24"/>
          <w:szCs w:val="24"/>
        </w:rPr>
        <w:t xml:space="preserve"> utilizes first-person narratives to create a</w:t>
      </w:r>
      <w:r w:rsidR="007B29F5">
        <w:rPr>
          <w:rFonts w:cstheme="minorHAnsi"/>
          <w:sz w:val="24"/>
          <w:szCs w:val="24"/>
        </w:rPr>
        <w:t xml:space="preserve"> comic persona. Theoretically, Chapter T</w:t>
      </w:r>
      <w:r w:rsidR="000D3243">
        <w:rPr>
          <w:rFonts w:cstheme="minorHAnsi"/>
          <w:sz w:val="24"/>
          <w:szCs w:val="24"/>
        </w:rPr>
        <w:t>hree</w:t>
      </w:r>
      <w:r w:rsidRPr="000C0EBC">
        <w:rPr>
          <w:rFonts w:cstheme="minorHAnsi"/>
          <w:sz w:val="24"/>
          <w:szCs w:val="24"/>
        </w:rPr>
        <w:t xml:space="preserve"> extends </w:t>
      </w:r>
      <w:r w:rsidRPr="000C0EBC">
        <w:rPr>
          <w:rFonts w:cstheme="minorHAnsi"/>
          <w:sz w:val="24"/>
          <w:szCs w:val="24"/>
        </w:rPr>
        <w:lastRenderedPageBreak/>
        <w:t xml:space="preserve">beyond gesture and bodily </w:t>
      </w:r>
      <w:proofErr w:type="spellStart"/>
      <w:r w:rsidRPr="000C0EBC">
        <w:rPr>
          <w:rFonts w:cstheme="minorHAnsi"/>
          <w:sz w:val="24"/>
          <w:szCs w:val="24"/>
        </w:rPr>
        <w:t>performatives</w:t>
      </w:r>
      <w:proofErr w:type="spellEnd"/>
      <w:r w:rsidRPr="000C0EBC">
        <w:rPr>
          <w:rFonts w:cstheme="minorHAnsi"/>
          <w:sz w:val="24"/>
          <w:szCs w:val="24"/>
        </w:rPr>
        <w:t xml:space="preserve"> to add in verbal </w:t>
      </w:r>
      <w:proofErr w:type="spellStart"/>
      <w:r w:rsidRPr="000C0EBC">
        <w:rPr>
          <w:rFonts w:cstheme="minorHAnsi"/>
          <w:sz w:val="24"/>
          <w:szCs w:val="24"/>
        </w:rPr>
        <w:t>performatives</w:t>
      </w:r>
      <w:proofErr w:type="spellEnd"/>
      <w:r w:rsidRPr="000C0EBC">
        <w:rPr>
          <w:rFonts w:cstheme="minorHAnsi"/>
          <w:sz w:val="24"/>
          <w:szCs w:val="24"/>
        </w:rPr>
        <w:t xml:space="preserve"> for a fuller discussion of how performance i</w:t>
      </w:r>
      <w:r w:rsidR="000D3243">
        <w:rPr>
          <w:rFonts w:cstheme="minorHAnsi"/>
          <w:sz w:val="24"/>
          <w:szCs w:val="24"/>
        </w:rPr>
        <w:t xml:space="preserve">nvites the </w:t>
      </w:r>
      <w:proofErr w:type="gramStart"/>
      <w:r w:rsidR="000D3243">
        <w:rPr>
          <w:rFonts w:cstheme="minorHAnsi"/>
          <w:sz w:val="24"/>
          <w:szCs w:val="24"/>
        </w:rPr>
        <w:t>Other</w:t>
      </w:r>
      <w:proofErr w:type="gramEnd"/>
      <w:r w:rsidR="000D3243">
        <w:rPr>
          <w:rFonts w:cstheme="minorHAnsi"/>
          <w:sz w:val="24"/>
          <w:szCs w:val="24"/>
        </w:rPr>
        <w:t xml:space="preserve"> into the body. </w:t>
      </w:r>
      <w:r w:rsidR="00994D76">
        <w:rPr>
          <w:rFonts w:cstheme="minorHAnsi"/>
          <w:sz w:val="24"/>
          <w:szCs w:val="24"/>
        </w:rPr>
        <w:t>I argue that singing from the first-person perspect</w:t>
      </w:r>
      <w:r w:rsidR="00C61CDC">
        <w:rPr>
          <w:rFonts w:cstheme="minorHAnsi"/>
          <w:sz w:val="24"/>
          <w:szCs w:val="24"/>
        </w:rPr>
        <w:t xml:space="preserve">ive of an </w:t>
      </w:r>
      <w:proofErr w:type="gramStart"/>
      <w:r w:rsidR="00C61CDC">
        <w:rPr>
          <w:rFonts w:cstheme="minorHAnsi"/>
          <w:sz w:val="24"/>
          <w:szCs w:val="24"/>
        </w:rPr>
        <w:t>Other</w:t>
      </w:r>
      <w:proofErr w:type="gramEnd"/>
      <w:r w:rsidR="00C61CDC">
        <w:rPr>
          <w:rFonts w:cstheme="minorHAnsi"/>
          <w:sz w:val="24"/>
          <w:szCs w:val="24"/>
        </w:rPr>
        <w:t xml:space="preserve"> entered their voice</w:t>
      </w:r>
      <w:r w:rsidR="00994D76">
        <w:rPr>
          <w:rFonts w:cstheme="minorHAnsi"/>
          <w:sz w:val="24"/>
          <w:szCs w:val="24"/>
        </w:rPr>
        <w:t xml:space="preserve"> into the mouth of the performer, and ultimately</w:t>
      </w:r>
      <w:r w:rsidR="00C77D0C">
        <w:rPr>
          <w:rFonts w:cstheme="minorHAnsi"/>
          <w:sz w:val="24"/>
          <w:szCs w:val="24"/>
        </w:rPr>
        <w:t xml:space="preserve"> into</w:t>
      </w:r>
      <w:r w:rsidR="00994D76">
        <w:rPr>
          <w:rFonts w:cstheme="minorHAnsi"/>
          <w:sz w:val="24"/>
          <w:szCs w:val="24"/>
        </w:rPr>
        <w:t xml:space="preserve"> their process of identity construction. </w:t>
      </w:r>
      <w:r w:rsidR="00E07C10">
        <w:rPr>
          <w:rFonts w:cstheme="minorHAnsi"/>
          <w:sz w:val="24"/>
          <w:szCs w:val="24"/>
        </w:rPr>
        <w:t xml:space="preserve">The language and vocal intonations singer’s utilized gave </w:t>
      </w:r>
      <w:r w:rsidR="00C61CDC">
        <w:rPr>
          <w:rFonts w:cstheme="minorHAnsi"/>
          <w:sz w:val="24"/>
          <w:szCs w:val="24"/>
        </w:rPr>
        <w:t>disruptive weight to song sheet</w:t>
      </w:r>
      <w:r w:rsidR="00E07C10">
        <w:rPr>
          <w:rFonts w:cstheme="minorHAnsi"/>
          <w:sz w:val="24"/>
          <w:szCs w:val="24"/>
        </w:rPr>
        <w:t>s that offered the</w:t>
      </w:r>
      <w:r w:rsidR="00C61CDC">
        <w:rPr>
          <w:rFonts w:cstheme="minorHAnsi"/>
          <w:sz w:val="24"/>
          <w:szCs w:val="24"/>
        </w:rPr>
        <w:t xml:space="preserve"> first-</w:t>
      </w:r>
      <w:r w:rsidRPr="000C0EBC">
        <w:rPr>
          <w:rFonts w:cstheme="minorHAnsi"/>
          <w:sz w:val="24"/>
          <w:szCs w:val="24"/>
        </w:rPr>
        <w:t>person portrayal of comic characters that cross class, ethnic, ge</w:t>
      </w:r>
      <w:r w:rsidR="00994D76">
        <w:rPr>
          <w:rFonts w:cstheme="minorHAnsi"/>
          <w:sz w:val="24"/>
          <w:szCs w:val="24"/>
        </w:rPr>
        <w:t>nder, and species line</w:t>
      </w:r>
      <w:r w:rsidR="00E07C10">
        <w:rPr>
          <w:rFonts w:cstheme="minorHAnsi"/>
          <w:sz w:val="24"/>
          <w:szCs w:val="24"/>
        </w:rPr>
        <w:t>s</w:t>
      </w:r>
      <w:r w:rsidR="007B29F5">
        <w:rPr>
          <w:rFonts w:cstheme="minorHAnsi"/>
          <w:sz w:val="24"/>
          <w:szCs w:val="24"/>
        </w:rPr>
        <w:t>. Finally, Chapter F</w:t>
      </w:r>
      <w:r w:rsidRPr="000C0EBC">
        <w:rPr>
          <w:rFonts w:cstheme="minorHAnsi"/>
          <w:sz w:val="24"/>
          <w:szCs w:val="24"/>
        </w:rPr>
        <w:t xml:space="preserve">our addresses the topical and </w:t>
      </w:r>
      <w:proofErr w:type="spellStart"/>
      <w:r w:rsidRPr="000C0EBC">
        <w:rPr>
          <w:rFonts w:cstheme="minorHAnsi"/>
          <w:sz w:val="24"/>
          <w:szCs w:val="24"/>
        </w:rPr>
        <w:t>parodic</w:t>
      </w:r>
      <w:proofErr w:type="spellEnd"/>
      <w:r w:rsidRPr="000C0EBC">
        <w:rPr>
          <w:rFonts w:cstheme="minorHAnsi"/>
          <w:sz w:val="24"/>
          <w:szCs w:val="24"/>
        </w:rPr>
        <w:t xml:space="preserve"> elements of comic songs, which </w:t>
      </w:r>
      <w:r w:rsidR="00E07C10">
        <w:rPr>
          <w:rFonts w:cstheme="minorHAnsi"/>
          <w:sz w:val="24"/>
          <w:szCs w:val="24"/>
        </w:rPr>
        <w:t xml:space="preserve">subvert </w:t>
      </w:r>
      <w:r w:rsidRPr="000C0EBC">
        <w:rPr>
          <w:rFonts w:cstheme="minorHAnsi"/>
          <w:sz w:val="24"/>
          <w:szCs w:val="24"/>
        </w:rPr>
        <w:t>parlor ideals</w:t>
      </w:r>
      <w:r w:rsidR="00E07C10">
        <w:rPr>
          <w:rFonts w:cstheme="minorHAnsi"/>
          <w:sz w:val="24"/>
          <w:szCs w:val="24"/>
        </w:rPr>
        <w:t xml:space="preserve"> and aesthetics and critique the genteel utopia that the supposed</w:t>
      </w:r>
      <w:r w:rsidR="00C61CDC">
        <w:rPr>
          <w:rFonts w:cstheme="minorHAnsi"/>
          <w:sz w:val="24"/>
          <w:szCs w:val="24"/>
        </w:rPr>
        <w:t>ly</w:t>
      </w:r>
      <w:r w:rsidR="00E07C10">
        <w:rPr>
          <w:rFonts w:cstheme="minorHAnsi"/>
          <w:sz w:val="24"/>
          <w:szCs w:val="24"/>
        </w:rPr>
        <w:t xml:space="preserve"> edifying movements of the late nineteenth century promised</w:t>
      </w:r>
      <w:r w:rsidRPr="000C0EBC">
        <w:rPr>
          <w:rFonts w:cstheme="minorHAnsi"/>
          <w:sz w:val="24"/>
          <w:szCs w:val="24"/>
        </w:rPr>
        <w:t>. This chapter focuses on the songs that do not construct an explicit comic character, but those that use bawdy, sexualized lyrics and pointed topical social critique. These songs do not necessarily create entirely new identities for the performers, but allow performers to e</w:t>
      </w:r>
      <w:r w:rsidR="00C61CDC">
        <w:rPr>
          <w:rFonts w:cstheme="minorHAnsi"/>
          <w:sz w:val="24"/>
          <w:szCs w:val="24"/>
        </w:rPr>
        <w:t>xpress opinions and transgress</w:t>
      </w:r>
      <w:r w:rsidRPr="000C0EBC">
        <w:rPr>
          <w:rFonts w:cstheme="minorHAnsi"/>
          <w:sz w:val="24"/>
          <w:szCs w:val="24"/>
        </w:rPr>
        <w:t xml:space="preserve"> expected genteel ideals</w:t>
      </w:r>
      <w:r w:rsidR="00E07C10">
        <w:rPr>
          <w:rFonts w:cstheme="minorHAnsi"/>
          <w:sz w:val="24"/>
          <w:szCs w:val="24"/>
        </w:rPr>
        <w:t>. They lifted the veil on the guise of the highbrow utopia that so many nineteenth-century Americans were attempting to construct</w:t>
      </w:r>
      <w:r w:rsidRPr="000C0EBC">
        <w:rPr>
          <w:rFonts w:cstheme="minorHAnsi"/>
          <w:sz w:val="24"/>
          <w:szCs w:val="24"/>
        </w:rPr>
        <w:t xml:space="preserve">. </w:t>
      </w:r>
      <w:r w:rsidR="00E4002F">
        <w:rPr>
          <w:rFonts w:cstheme="minorHAnsi"/>
          <w:sz w:val="24"/>
          <w:szCs w:val="24"/>
        </w:rPr>
        <w:t xml:space="preserve">Overall I </w:t>
      </w:r>
      <w:r w:rsidRPr="000C0EBC">
        <w:rPr>
          <w:rFonts w:cstheme="minorHAnsi"/>
          <w:sz w:val="24"/>
          <w:szCs w:val="24"/>
        </w:rPr>
        <w:t>demonstrate the deep social power of the marginalized nineteenth-century comic song, and</w:t>
      </w:r>
      <w:r w:rsidR="00E4002F">
        <w:rPr>
          <w:rFonts w:cstheme="minorHAnsi"/>
          <w:sz w:val="24"/>
          <w:szCs w:val="24"/>
        </w:rPr>
        <w:t>,</w:t>
      </w:r>
      <w:r w:rsidRPr="000C0EBC">
        <w:rPr>
          <w:rFonts w:cstheme="minorHAnsi"/>
          <w:sz w:val="24"/>
          <w:szCs w:val="24"/>
        </w:rPr>
        <w:t xml:space="preserve"> perhaps</w:t>
      </w:r>
      <w:r w:rsidR="00E4002F">
        <w:rPr>
          <w:rFonts w:cstheme="minorHAnsi"/>
          <w:sz w:val="24"/>
          <w:szCs w:val="24"/>
        </w:rPr>
        <w:t>,</w:t>
      </w:r>
      <w:r w:rsidRPr="000C0EBC">
        <w:rPr>
          <w:rFonts w:cstheme="minorHAnsi"/>
          <w:sz w:val="24"/>
          <w:szCs w:val="24"/>
        </w:rPr>
        <w:t xml:space="preserve"> as one 1892 song states:</w:t>
      </w:r>
    </w:p>
    <w:p w:rsidR="00D029BE" w:rsidRPr="000C0EBC" w:rsidRDefault="00D029BE" w:rsidP="00D029BE">
      <w:pPr>
        <w:tabs>
          <w:tab w:val="left" w:pos="2625"/>
        </w:tabs>
        <w:spacing w:line="240" w:lineRule="auto"/>
        <w:ind w:left="720" w:right="720" w:hanging="720"/>
        <w:contextualSpacing/>
        <w:rPr>
          <w:rFonts w:cstheme="minorHAnsi"/>
          <w:sz w:val="24"/>
          <w:szCs w:val="24"/>
        </w:rPr>
      </w:pPr>
      <w:r w:rsidRPr="000C0EBC">
        <w:rPr>
          <w:rFonts w:cstheme="minorHAnsi"/>
          <w:sz w:val="24"/>
          <w:szCs w:val="24"/>
        </w:rPr>
        <w:tab/>
        <w:t>O blessed actors, who forego, the tragic mimicry of woe,</w:t>
      </w:r>
    </w:p>
    <w:p w:rsidR="00D029BE" w:rsidRPr="000C0EBC" w:rsidRDefault="00D029BE" w:rsidP="00D029BE">
      <w:pPr>
        <w:tabs>
          <w:tab w:val="left" w:pos="2625"/>
        </w:tabs>
        <w:spacing w:line="240" w:lineRule="auto"/>
        <w:ind w:left="720" w:right="720" w:hanging="720"/>
        <w:contextualSpacing/>
        <w:rPr>
          <w:rFonts w:cstheme="minorHAnsi"/>
          <w:sz w:val="24"/>
          <w:szCs w:val="24"/>
        </w:rPr>
      </w:pPr>
      <w:r w:rsidRPr="000C0EBC">
        <w:rPr>
          <w:rFonts w:cstheme="minorHAnsi"/>
          <w:sz w:val="24"/>
          <w:szCs w:val="24"/>
        </w:rPr>
        <w:tab/>
        <w:t>And never hint that life has pain, but crack their jokes and make it plain,</w:t>
      </w:r>
    </w:p>
    <w:p w:rsidR="00D029BE" w:rsidRPr="000C0EBC" w:rsidRDefault="00D029BE" w:rsidP="00D029BE">
      <w:pPr>
        <w:tabs>
          <w:tab w:val="left" w:pos="2625"/>
        </w:tabs>
        <w:spacing w:line="240" w:lineRule="auto"/>
        <w:ind w:left="720" w:right="720" w:hanging="720"/>
        <w:contextualSpacing/>
        <w:rPr>
          <w:rFonts w:cstheme="minorHAnsi"/>
          <w:i/>
          <w:sz w:val="24"/>
          <w:szCs w:val="24"/>
        </w:rPr>
      </w:pPr>
      <w:r w:rsidRPr="000C0EBC">
        <w:rPr>
          <w:rFonts w:cstheme="minorHAnsi"/>
          <w:sz w:val="24"/>
          <w:szCs w:val="24"/>
        </w:rPr>
        <w:tab/>
      </w:r>
      <w:proofErr w:type="gramStart"/>
      <w:r w:rsidRPr="000C0EBC">
        <w:rPr>
          <w:rFonts w:cstheme="minorHAnsi"/>
          <w:sz w:val="24"/>
          <w:szCs w:val="24"/>
        </w:rPr>
        <w:t xml:space="preserve">That in this world of wheat and chaff, </w:t>
      </w:r>
      <w:r w:rsidRPr="000C0EBC">
        <w:rPr>
          <w:rFonts w:cstheme="minorHAnsi"/>
          <w:i/>
          <w:sz w:val="24"/>
          <w:szCs w:val="24"/>
        </w:rPr>
        <w:t>the wisest men are</w:t>
      </w:r>
      <w:proofErr w:type="gramEnd"/>
      <w:r w:rsidRPr="000C0EBC">
        <w:rPr>
          <w:rFonts w:cstheme="minorHAnsi"/>
          <w:i/>
          <w:sz w:val="24"/>
          <w:szCs w:val="24"/>
        </w:rPr>
        <w:t xml:space="preserve"> those who laugh.</w:t>
      </w:r>
      <w:r w:rsidRPr="000C0EBC">
        <w:rPr>
          <w:rStyle w:val="FootnoteReference"/>
          <w:rFonts w:cstheme="minorHAnsi"/>
          <w:i/>
          <w:sz w:val="24"/>
          <w:szCs w:val="24"/>
        </w:rPr>
        <w:footnoteReference w:id="123"/>
      </w:r>
    </w:p>
    <w:p w:rsidR="00E23B8F" w:rsidRPr="00D029BE" w:rsidRDefault="00E23B8F" w:rsidP="00D029BE">
      <w:pPr>
        <w:tabs>
          <w:tab w:val="left" w:pos="2625"/>
        </w:tabs>
        <w:spacing w:line="240" w:lineRule="auto"/>
        <w:ind w:right="720"/>
        <w:contextualSpacing/>
        <w:rPr>
          <w:rFonts w:cstheme="minorHAnsi"/>
          <w:sz w:val="24"/>
          <w:szCs w:val="24"/>
        </w:rPr>
      </w:pPr>
    </w:p>
    <w:p w:rsidR="00E23B8F" w:rsidRPr="00D029BE" w:rsidRDefault="00E23B8F" w:rsidP="00E23B8F">
      <w:pPr>
        <w:tabs>
          <w:tab w:val="left" w:pos="2625"/>
        </w:tabs>
        <w:spacing w:line="240" w:lineRule="auto"/>
        <w:ind w:left="720" w:right="720" w:hanging="720"/>
        <w:contextualSpacing/>
        <w:rPr>
          <w:rFonts w:cstheme="minorHAnsi"/>
          <w:sz w:val="24"/>
          <w:szCs w:val="24"/>
        </w:rPr>
      </w:pPr>
    </w:p>
    <w:p w:rsidR="00E23B8F" w:rsidRDefault="00E23B8F" w:rsidP="00E23B8F">
      <w:pPr>
        <w:tabs>
          <w:tab w:val="left" w:pos="2625"/>
        </w:tabs>
        <w:spacing w:line="240" w:lineRule="auto"/>
        <w:ind w:left="720" w:right="720" w:hanging="720"/>
        <w:contextualSpacing/>
        <w:rPr>
          <w:rFonts w:cstheme="minorHAnsi"/>
          <w:sz w:val="24"/>
          <w:szCs w:val="24"/>
        </w:rPr>
      </w:pPr>
    </w:p>
    <w:p w:rsidR="00D029BE" w:rsidRDefault="00D029BE" w:rsidP="00E23B8F">
      <w:pPr>
        <w:tabs>
          <w:tab w:val="left" w:pos="2625"/>
        </w:tabs>
        <w:spacing w:line="240" w:lineRule="auto"/>
        <w:ind w:left="720" w:right="720" w:hanging="720"/>
        <w:contextualSpacing/>
        <w:rPr>
          <w:rFonts w:cstheme="minorHAnsi"/>
          <w:sz w:val="24"/>
          <w:szCs w:val="24"/>
        </w:rPr>
      </w:pPr>
    </w:p>
    <w:p w:rsidR="00D029BE" w:rsidRDefault="00D029BE" w:rsidP="00E23B8F">
      <w:pPr>
        <w:tabs>
          <w:tab w:val="left" w:pos="2625"/>
        </w:tabs>
        <w:spacing w:line="240" w:lineRule="auto"/>
        <w:ind w:left="720" w:right="720" w:hanging="720"/>
        <w:contextualSpacing/>
        <w:rPr>
          <w:rFonts w:cstheme="minorHAnsi"/>
          <w:sz w:val="24"/>
          <w:szCs w:val="24"/>
        </w:rPr>
      </w:pPr>
    </w:p>
    <w:p w:rsidR="00D029BE" w:rsidRDefault="00D029BE" w:rsidP="00E23B8F">
      <w:pPr>
        <w:tabs>
          <w:tab w:val="left" w:pos="2625"/>
        </w:tabs>
        <w:spacing w:line="240" w:lineRule="auto"/>
        <w:ind w:left="720" w:right="720" w:hanging="720"/>
        <w:contextualSpacing/>
        <w:rPr>
          <w:rFonts w:cstheme="minorHAnsi"/>
          <w:sz w:val="24"/>
          <w:szCs w:val="24"/>
        </w:rPr>
      </w:pPr>
    </w:p>
    <w:p w:rsidR="008E7202" w:rsidRDefault="008E7202" w:rsidP="008E7202">
      <w:pPr>
        <w:spacing w:line="480" w:lineRule="auto"/>
        <w:rPr>
          <w:sz w:val="24"/>
          <w:szCs w:val="24"/>
        </w:rPr>
      </w:pPr>
    </w:p>
    <w:p w:rsidR="00C27A3E" w:rsidRPr="007B1C43" w:rsidRDefault="003E6056" w:rsidP="002566BD">
      <w:pPr>
        <w:pStyle w:val="Heading1"/>
        <w:jc w:val="center"/>
        <w:rPr>
          <w:rFonts w:asciiTheme="minorHAnsi" w:hAnsiTheme="minorHAnsi"/>
          <w:sz w:val="24"/>
          <w:szCs w:val="24"/>
        </w:rPr>
      </w:pPr>
      <w:bookmarkStart w:id="13" w:name="_Toc356278697"/>
      <w:r w:rsidRPr="007B1C43">
        <w:rPr>
          <w:rFonts w:asciiTheme="minorHAnsi" w:hAnsiTheme="minorHAnsi"/>
          <w:sz w:val="24"/>
          <w:szCs w:val="24"/>
        </w:rPr>
        <w:lastRenderedPageBreak/>
        <w:t xml:space="preserve">: </w:t>
      </w:r>
      <w:r w:rsidRPr="007B1C43">
        <w:rPr>
          <w:rFonts w:asciiTheme="minorHAnsi" w:hAnsiTheme="minorHAnsi"/>
          <w:color w:val="auto"/>
          <w:sz w:val="24"/>
          <w:szCs w:val="24"/>
        </w:rPr>
        <w:t xml:space="preserve">Physical </w:t>
      </w:r>
      <w:proofErr w:type="spellStart"/>
      <w:r w:rsidRPr="007B1C43">
        <w:rPr>
          <w:rFonts w:asciiTheme="minorHAnsi" w:hAnsiTheme="minorHAnsi"/>
          <w:color w:val="auto"/>
          <w:sz w:val="24"/>
          <w:szCs w:val="24"/>
        </w:rPr>
        <w:t>Performatives</w:t>
      </w:r>
      <w:proofErr w:type="spellEnd"/>
      <w:r w:rsidRPr="007B1C43">
        <w:rPr>
          <w:rFonts w:asciiTheme="minorHAnsi" w:hAnsiTheme="minorHAnsi"/>
          <w:color w:val="auto"/>
          <w:sz w:val="24"/>
          <w:szCs w:val="24"/>
        </w:rPr>
        <w:t xml:space="preserve"> in Parlor Performance</w:t>
      </w:r>
      <w:bookmarkEnd w:id="13"/>
    </w:p>
    <w:p w:rsidR="00642536" w:rsidRPr="00642536" w:rsidRDefault="00642536" w:rsidP="00642536"/>
    <w:p w:rsidR="00C27A3E" w:rsidRPr="00C53883" w:rsidRDefault="00F3534B" w:rsidP="00C27A3E">
      <w:pPr>
        <w:spacing w:line="480" w:lineRule="auto"/>
        <w:ind w:firstLine="720"/>
        <w:rPr>
          <w:sz w:val="24"/>
          <w:szCs w:val="24"/>
        </w:rPr>
      </w:pPr>
      <w:r>
        <w:rPr>
          <w:sz w:val="24"/>
          <w:szCs w:val="24"/>
        </w:rPr>
        <w:t>In late-</w:t>
      </w:r>
      <w:r w:rsidR="00C27A3E" w:rsidRPr="00C53883">
        <w:rPr>
          <w:sz w:val="24"/>
          <w:szCs w:val="24"/>
        </w:rPr>
        <w:t>nineteenth-century America, song sheets offered more than just notes, and performances involved more than just sound. Parlor song performances were a bodily activity, and contemporary accounts attest to this. Richard Wells, the author of an 1894 etiquette manual complained of the unseemly physical exertions that occasionally accompanied parlor musical production, writing:</w:t>
      </w:r>
    </w:p>
    <w:p w:rsidR="00C27A3E" w:rsidRPr="00C53883" w:rsidRDefault="00C27A3E" w:rsidP="00C27A3E">
      <w:pPr>
        <w:ind w:firstLine="720"/>
        <w:rPr>
          <w:sz w:val="24"/>
          <w:szCs w:val="24"/>
        </w:rPr>
      </w:pPr>
      <w:r w:rsidRPr="00C53883">
        <w:rPr>
          <w:sz w:val="24"/>
          <w:szCs w:val="24"/>
        </w:rPr>
        <w:t>there are many young women, who, when they sit down to the piano to sing, twist</w:t>
      </w:r>
      <w:r w:rsidRPr="00C53883">
        <w:rPr>
          <w:sz w:val="24"/>
          <w:szCs w:val="24"/>
        </w:rPr>
        <w:tab/>
        <w:t>themselves into so many contortions, and writhe their bodies and faces about into such</w:t>
      </w:r>
      <w:r w:rsidRPr="00C53883">
        <w:rPr>
          <w:sz w:val="24"/>
          <w:szCs w:val="24"/>
        </w:rPr>
        <w:tab/>
        <w:t>actions and grimaces…Their bosoms heave, their shoulders shrug, their heads swing to</w:t>
      </w:r>
      <w:r w:rsidRPr="00C53883">
        <w:rPr>
          <w:sz w:val="24"/>
          <w:szCs w:val="24"/>
        </w:rPr>
        <w:tab/>
        <w:t>the right and left, their lips quiver, their eyes roll; they sigh, they pant, they seem ready</w:t>
      </w:r>
      <w:r w:rsidRPr="00C53883">
        <w:rPr>
          <w:sz w:val="24"/>
          <w:szCs w:val="24"/>
        </w:rPr>
        <w:tab/>
        <w:t>to expire!</w:t>
      </w:r>
      <w:r w:rsidRPr="00C53883">
        <w:rPr>
          <w:rStyle w:val="FootnoteReference"/>
          <w:sz w:val="24"/>
          <w:szCs w:val="24"/>
        </w:rPr>
        <w:footnoteReference w:id="124"/>
      </w:r>
    </w:p>
    <w:p w:rsidR="00C27A3E" w:rsidRPr="00C53883" w:rsidRDefault="00C27A3E" w:rsidP="00C27A3E">
      <w:pPr>
        <w:spacing w:line="480" w:lineRule="auto"/>
        <w:rPr>
          <w:sz w:val="24"/>
          <w:szCs w:val="24"/>
        </w:rPr>
      </w:pPr>
      <w:r w:rsidRPr="00C53883">
        <w:rPr>
          <w:sz w:val="24"/>
          <w:szCs w:val="24"/>
        </w:rPr>
        <w:t>Bodily actions were a con</w:t>
      </w:r>
      <w:r w:rsidR="003C078E">
        <w:rPr>
          <w:sz w:val="24"/>
          <w:szCs w:val="24"/>
        </w:rPr>
        <w:t>sistent part of performance, and consistently affected</w:t>
      </w:r>
      <w:r w:rsidRPr="00C53883">
        <w:rPr>
          <w:sz w:val="24"/>
          <w:szCs w:val="24"/>
        </w:rPr>
        <w:t xml:space="preserve"> the audiences’ reception and perception of the performers. Wells’ manual sought to correct what he saw as excess, for “such a [physical] echo of the words and music” would damage the image of “any young woman who would wish to be thought of as pure in heart as in person.”</w:t>
      </w:r>
      <w:r w:rsidRPr="00C53883">
        <w:rPr>
          <w:rStyle w:val="FootnoteReference"/>
          <w:sz w:val="24"/>
          <w:szCs w:val="24"/>
        </w:rPr>
        <w:footnoteReference w:id="125"/>
      </w:r>
      <w:r w:rsidRPr="00C53883">
        <w:rPr>
          <w:sz w:val="24"/>
          <w:szCs w:val="24"/>
        </w:rPr>
        <w:t xml:space="preserve"> The nineteenth-century body was a performative site, and surface actions were seen as deeply informative of internal substance.</w:t>
      </w:r>
    </w:p>
    <w:p w:rsidR="00C27A3E" w:rsidRPr="00C53883" w:rsidRDefault="00C27A3E" w:rsidP="00C27A3E">
      <w:pPr>
        <w:spacing w:line="480" w:lineRule="auto"/>
        <w:ind w:firstLine="720"/>
        <w:rPr>
          <w:sz w:val="24"/>
          <w:szCs w:val="24"/>
        </w:rPr>
      </w:pPr>
      <w:r w:rsidRPr="00C53883">
        <w:rPr>
          <w:sz w:val="24"/>
          <w:szCs w:val="24"/>
        </w:rPr>
        <w:t xml:space="preserve">The behaviors of parlor performance vitally informed the American discourse of high and lowbrow identities. These constructions engendered specific behaviors and beliefs about the control of the body. In lamenting over the “improper” actions seen in parlor performances, Wells decreed that “if ladies…would rather consult the statues of fine sculptors, and the figures </w:t>
      </w:r>
      <w:r w:rsidRPr="00C53883">
        <w:rPr>
          <w:sz w:val="24"/>
          <w:szCs w:val="24"/>
        </w:rPr>
        <w:lastRenderedPageBreak/>
        <w:t>of excellent painters,” when “meditating” on their physical carriage, they would portray “a thousand ineffable graces” rather than “absurdity and conceit.”</w:t>
      </w:r>
      <w:r w:rsidRPr="00C53883">
        <w:rPr>
          <w:rStyle w:val="FootnoteReference"/>
          <w:sz w:val="24"/>
          <w:szCs w:val="24"/>
        </w:rPr>
        <w:footnoteReference w:id="126"/>
      </w:r>
      <w:r w:rsidRPr="00C53883">
        <w:rPr>
          <w:sz w:val="24"/>
          <w:szCs w:val="24"/>
        </w:rPr>
        <w:t xml:space="preserve"> His suggestion was a common one in late-ninete</w:t>
      </w:r>
      <w:r w:rsidR="006C4408">
        <w:rPr>
          <w:sz w:val="24"/>
          <w:szCs w:val="24"/>
        </w:rPr>
        <w:t>enth-</w:t>
      </w:r>
      <w:r>
        <w:rPr>
          <w:sz w:val="24"/>
          <w:szCs w:val="24"/>
        </w:rPr>
        <w:t>century America; accepted “highbrow”</w:t>
      </w:r>
      <w:r w:rsidRPr="00C53883">
        <w:rPr>
          <w:sz w:val="24"/>
          <w:szCs w:val="24"/>
        </w:rPr>
        <w:t xml:space="preserve"> visual arts, especially ancient statuary, guided contemporary beliefs about the body and its communicative power. Within this highly controlled realm of physical performance behaviors, however, the presence of comic songs and the embodiment of</w:t>
      </w:r>
      <w:r w:rsidR="002923C5">
        <w:rPr>
          <w:sz w:val="24"/>
          <w:szCs w:val="24"/>
        </w:rPr>
        <w:t xml:space="preserve"> exaggerated, uncouth behaviors</w:t>
      </w:r>
      <w:r w:rsidRPr="00C53883">
        <w:rPr>
          <w:sz w:val="24"/>
          <w:szCs w:val="24"/>
        </w:rPr>
        <w:t xml:space="preserve"> offered a significant disruption to the construction of a highbrow identity. These performances were an enactment of the larger ninet</w:t>
      </w:r>
      <w:r>
        <w:rPr>
          <w:sz w:val="24"/>
          <w:szCs w:val="24"/>
        </w:rPr>
        <w:t>eenth-century discourse on high</w:t>
      </w:r>
      <w:r w:rsidRPr="00C53883">
        <w:rPr>
          <w:sz w:val="24"/>
          <w:szCs w:val="24"/>
        </w:rPr>
        <w:t xml:space="preserve"> and lowbrow identities</w:t>
      </w:r>
      <w:r>
        <w:rPr>
          <w:sz w:val="24"/>
          <w:szCs w:val="24"/>
        </w:rPr>
        <w:t xml:space="preserve"> examined by Lawrence Levine,</w:t>
      </w:r>
      <w:r w:rsidR="006C4408">
        <w:rPr>
          <w:rStyle w:val="FootnoteReference"/>
          <w:sz w:val="24"/>
          <w:szCs w:val="24"/>
        </w:rPr>
        <w:footnoteReference w:id="127"/>
      </w:r>
      <w:r w:rsidR="002923C5">
        <w:rPr>
          <w:sz w:val="24"/>
          <w:szCs w:val="24"/>
        </w:rPr>
        <w:t xml:space="preserve"> allowing performers to engage with,</w:t>
      </w:r>
      <w:r w:rsidRPr="00C53883">
        <w:rPr>
          <w:sz w:val="24"/>
          <w:szCs w:val="24"/>
        </w:rPr>
        <w:t xml:space="preserve"> embody</w:t>
      </w:r>
      <w:r w:rsidR="002923C5">
        <w:rPr>
          <w:sz w:val="24"/>
          <w:szCs w:val="24"/>
        </w:rPr>
        <w:t>, and exert control over</w:t>
      </w:r>
      <w:r w:rsidRPr="00C53883">
        <w:rPr>
          <w:sz w:val="24"/>
          <w:szCs w:val="24"/>
        </w:rPr>
        <w:t xml:space="preserve"> “improper” lowbrow identit</w:t>
      </w:r>
      <w:r w:rsidR="002923C5">
        <w:rPr>
          <w:sz w:val="24"/>
          <w:szCs w:val="24"/>
        </w:rPr>
        <w:t>ies</w:t>
      </w:r>
      <w:r w:rsidRPr="00C53883">
        <w:rPr>
          <w:sz w:val="24"/>
          <w:szCs w:val="24"/>
        </w:rPr>
        <w:t>.</w:t>
      </w:r>
    </w:p>
    <w:p w:rsidR="00C27A3E" w:rsidRPr="00C53883" w:rsidRDefault="00C27A3E" w:rsidP="00C27A3E">
      <w:pPr>
        <w:spacing w:line="480" w:lineRule="auto"/>
        <w:ind w:firstLine="720"/>
        <w:rPr>
          <w:sz w:val="24"/>
          <w:szCs w:val="24"/>
        </w:rPr>
      </w:pPr>
      <w:r w:rsidRPr="00C53883">
        <w:rPr>
          <w:sz w:val="24"/>
          <w:szCs w:val="24"/>
        </w:rPr>
        <w:t>As the above example demonstrates, the reception and production of parlor songs depended on more than musical forces, but a variety of specific behaviors. Situating parlor song performances within their total soundscape elucidates how song performances entered into the late-nineteenth-century American identity discourse. Composer R. Murray Schafer conceived of a soundscape as the whole of “the sonic environment,” referring to both “actual environments” and “abstract constructions such as musical compositions.”</w:t>
      </w:r>
      <w:r w:rsidRPr="00C53883">
        <w:rPr>
          <w:rStyle w:val="FootnoteReference"/>
          <w:sz w:val="24"/>
          <w:szCs w:val="24"/>
        </w:rPr>
        <w:footnoteReference w:id="128"/>
      </w:r>
      <w:r w:rsidRPr="00C53883">
        <w:rPr>
          <w:sz w:val="24"/>
          <w:szCs w:val="24"/>
        </w:rPr>
        <w:t xml:space="preserve"> Sonic research, in Schafer’s system, is not just concerned with what was heard, but also “with changes in perception and behavior.”</w:t>
      </w:r>
      <w:r w:rsidRPr="00C53883">
        <w:rPr>
          <w:rStyle w:val="FootnoteReference"/>
          <w:sz w:val="24"/>
          <w:szCs w:val="24"/>
        </w:rPr>
        <w:footnoteReference w:id="129"/>
      </w:r>
      <w:r w:rsidRPr="00C53883">
        <w:rPr>
          <w:sz w:val="24"/>
          <w:szCs w:val="24"/>
        </w:rPr>
        <w:t xml:space="preserve"> The parlor was not just the literal location of sonic activities; it was </w:t>
      </w:r>
      <w:r w:rsidRPr="00C53883">
        <w:rPr>
          <w:sz w:val="24"/>
          <w:szCs w:val="24"/>
        </w:rPr>
        <w:lastRenderedPageBreak/>
        <w:t>an abstract space that engendered certain behaviors and modes of perception. The space created and perpetuated certain expectations of highbrow behavior.</w:t>
      </w:r>
    </w:p>
    <w:p w:rsidR="00C27A3E" w:rsidRPr="00C53883" w:rsidRDefault="002923C5" w:rsidP="00C27A3E">
      <w:pPr>
        <w:spacing w:line="480" w:lineRule="auto"/>
        <w:ind w:firstLine="720"/>
        <w:rPr>
          <w:sz w:val="24"/>
          <w:szCs w:val="24"/>
        </w:rPr>
      </w:pPr>
      <w:r>
        <w:rPr>
          <w:sz w:val="24"/>
          <w:szCs w:val="24"/>
        </w:rPr>
        <w:t>P</w:t>
      </w:r>
      <w:r w:rsidRPr="00C53883">
        <w:rPr>
          <w:sz w:val="24"/>
          <w:szCs w:val="24"/>
        </w:rPr>
        <w:t xml:space="preserve">articular ideals </w:t>
      </w:r>
      <w:r>
        <w:rPr>
          <w:sz w:val="24"/>
          <w:szCs w:val="24"/>
        </w:rPr>
        <w:t>organized t</w:t>
      </w:r>
      <w:r w:rsidR="00C27A3E" w:rsidRPr="00C53883">
        <w:rPr>
          <w:sz w:val="24"/>
          <w:szCs w:val="24"/>
        </w:rPr>
        <w:t>he items of physical culture, the sounds, and the physical behavi</w:t>
      </w:r>
      <w:r>
        <w:rPr>
          <w:sz w:val="24"/>
          <w:szCs w:val="24"/>
        </w:rPr>
        <w:t>ors of the parlor</w:t>
      </w:r>
      <w:r w:rsidR="00C27A3E" w:rsidRPr="00C53883">
        <w:rPr>
          <w:sz w:val="24"/>
          <w:szCs w:val="24"/>
        </w:rPr>
        <w:t xml:space="preserve">. </w:t>
      </w:r>
      <w:r w:rsidR="006C4408">
        <w:rPr>
          <w:sz w:val="24"/>
          <w:szCs w:val="24"/>
        </w:rPr>
        <w:t>Of paramount importance was</w:t>
      </w:r>
      <w:r w:rsidR="00656A1E">
        <w:rPr>
          <w:sz w:val="24"/>
          <w:szCs w:val="24"/>
        </w:rPr>
        <w:t xml:space="preserve"> a</w:t>
      </w:r>
      <w:r w:rsidR="00C27A3E" w:rsidRPr="00C53883">
        <w:rPr>
          <w:sz w:val="24"/>
          <w:szCs w:val="24"/>
        </w:rPr>
        <w:t>n elegant and refined app</w:t>
      </w:r>
      <w:r w:rsidR="00656A1E">
        <w:rPr>
          <w:sz w:val="24"/>
          <w:szCs w:val="24"/>
        </w:rPr>
        <w:t>earance</w:t>
      </w:r>
      <w:r w:rsidR="00C27A3E" w:rsidRPr="00C53883">
        <w:rPr>
          <w:sz w:val="24"/>
          <w:szCs w:val="24"/>
        </w:rPr>
        <w:t>. As Katherine C. Grier has argued, “setting aside space and furnishing a parlor gave certain characteristically Victorian values and aspirations physical presence in the world.”</w:t>
      </w:r>
      <w:r w:rsidR="00C27A3E" w:rsidRPr="00C53883">
        <w:rPr>
          <w:rStyle w:val="FootnoteReference"/>
          <w:sz w:val="24"/>
          <w:szCs w:val="24"/>
        </w:rPr>
        <w:footnoteReference w:id="130"/>
      </w:r>
      <w:r w:rsidR="00C27A3E" w:rsidRPr="00C53883">
        <w:rPr>
          <w:sz w:val="24"/>
          <w:szCs w:val="24"/>
        </w:rPr>
        <w:t xml:space="preserve"> The </w:t>
      </w:r>
      <w:r w:rsidR="00656A1E">
        <w:rPr>
          <w:sz w:val="24"/>
          <w:szCs w:val="24"/>
        </w:rPr>
        <w:t>highbrow/lowbrow discourse occurred</w:t>
      </w:r>
      <w:r w:rsidR="00C27A3E" w:rsidRPr="00C53883">
        <w:rPr>
          <w:sz w:val="24"/>
          <w:szCs w:val="24"/>
        </w:rPr>
        <w:t xml:space="preserve"> visual</w:t>
      </w:r>
      <w:r w:rsidR="00656A1E">
        <w:rPr>
          <w:sz w:val="24"/>
          <w:szCs w:val="24"/>
        </w:rPr>
        <w:t>ly</w:t>
      </w:r>
      <w:r w:rsidR="00C27A3E" w:rsidRPr="00C53883">
        <w:rPr>
          <w:sz w:val="24"/>
          <w:szCs w:val="24"/>
        </w:rPr>
        <w:t>, and the physical embodiment of Victorian values can be found throughout</w:t>
      </w:r>
      <w:r w:rsidR="00656A1E">
        <w:rPr>
          <w:sz w:val="24"/>
          <w:szCs w:val="24"/>
        </w:rPr>
        <w:t xml:space="preserve"> the parlor soundscape. The space </w:t>
      </w:r>
      <w:r w:rsidR="00C27A3E" w:rsidRPr="00C53883">
        <w:rPr>
          <w:sz w:val="24"/>
          <w:szCs w:val="24"/>
        </w:rPr>
        <w:t>propounded the idea of refinement, and Wells believed “the parlor should be the room of all others in which good taste should be every-where apparent.”</w:t>
      </w:r>
      <w:r w:rsidR="00C27A3E" w:rsidRPr="00C53883">
        <w:rPr>
          <w:rStyle w:val="FootnoteReference"/>
          <w:sz w:val="24"/>
          <w:szCs w:val="24"/>
        </w:rPr>
        <w:footnoteReference w:id="131"/>
      </w:r>
      <w:r w:rsidR="00C27A3E" w:rsidRPr="00C53883">
        <w:rPr>
          <w:sz w:val="24"/>
          <w:szCs w:val="24"/>
        </w:rPr>
        <w:t xml:space="preserve"> A May 1881 ad</w:t>
      </w:r>
      <w:r w:rsidR="006C4408">
        <w:rPr>
          <w:sz w:val="24"/>
          <w:szCs w:val="24"/>
        </w:rPr>
        <w:t>vertisement</w:t>
      </w:r>
      <w:r w:rsidR="00C27A3E" w:rsidRPr="00C53883">
        <w:rPr>
          <w:sz w:val="24"/>
          <w:szCs w:val="24"/>
        </w:rPr>
        <w:t xml:space="preserve"> for “Beatty’s Cabinet or Parlor Organ” in </w:t>
      </w:r>
      <w:r w:rsidR="00C27A3E" w:rsidRPr="00C53883">
        <w:rPr>
          <w:i/>
          <w:sz w:val="24"/>
          <w:szCs w:val="24"/>
        </w:rPr>
        <w:t>The Clipper</w:t>
      </w:r>
      <w:r w:rsidR="00C27A3E" w:rsidRPr="00C53883">
        <w:rPr>
          <w:sz w:val="24"/>
          <w:szCs w:val="24"/>
        </w:rPr>
        <w:t xml:space="preserve"> not only features a lithograph of the elaborate and ornate instrument,</w:t>
      </w:r>
      <w:r w:rsidR="006C4408">
        <w:rPr>
          <w:sz w:val="24"/>
          <w:szCs w:val="24"/>
        </w:rPr>
        <w:t xml:space="preserve"> but </w:t>
      </w:r>
      <w:r w:rsidR="00C27A3E" w:rsidRPr="00C53883">
        <w:rPr>
          <w:sz w:val="24"/>
          <w:szCs w:val="24"/>
        </w:rPr>
        <w:t>the advertiser</w:t>
      </w:r>
      <w:r w:rsidR="006C4408">
        <w:rPr>
          <w:sz w:val="24"/>
          <w:szCs w:val="24"/>
        </w:rPr>
        <w:t xml:space="preserve"> also</w:t>
      </w:r>
      <w:r w:rsidR="00C27A3E" w:rsidRPr="00C53883">
        <w:rPr>
          <w:sz w:val="24"/>
          <w:szCs w:val="24"/>
        </w:rPr>
        <w:t xml:space="preserve"> deliberately highlights the “elegant exterior,” claiming the “design [is] of rare beauty,” and has “reached the highest state of perfection.”</w:t>
      </w:r>
      <w:r w:rsidR="00C27A3E" w:rsidRPr="00C53883">
        <w:rPr>
          <w:rStyle w:val="FootnoteReference"/>
          <w:sz w:val="24"/>
          <w:szCs w:val="24"/>
        </w:rPr>
        <w:footnoteReference w:id="132"/>
      </w:r>
      <w:r w:rsidR="00C27A3E" w:rsidRPr="00C53883">
        <w:rPr>
          <w:sz w:val="24"/>
          <w:szCs w:val="24"/>
        </w:rPr>
        <w:t xml:space="preserve"> Alongside descriptions of the instrume</w:t>
      </w:r>
      <w:r w:rsidR="006C4408">
        <w:rPr>
          <w:sz w:val="24"/>
          <w:szCs w:val="24"/>
        </w:rPr>
        <w:t>nt’s sound, the ad</w:t>
      </w:r>
      <w:r w:rsidR="00C27A3E" w:rsidRPr="00C53883">
        <w:rPr>
          <w:sz w:val="24"/>
          <w:szCs w:val="24"/>
        </w:rPr>
        <w:t xml:space="preserve"> emphasize</w:t>
      </w:r>
      <w:r w:rsidR="006C4408">
        <w:rPr>
          <w:sz w:val="24"/>
          <w:szCs w:val="24"/>
        </w:rPr>
        <w:t>s</w:t>
      </w:r>
      <w:r w:rsidR="00C27A3E" w:rsidRPr="00C53883">
        <w:rPr>
          <w:sz w:val="24"/>
          <w:szCs w:val="24"/>
        </w:rPr>
        <w:t xml:space="preserve"> that the design featured a place for a “beautiful lamp stand at night or vase of flowers by day,” and an “extra large fancy top decorated with original designs.”</w:t>
      </w:r>
      <w:r w:rsidR="00C27A3E" w:rsidRPr="00C53883">
        <w:rPr>
          <w:rStyle w:val="FootnoteReference"/>
          <w:sz w:val="24"/>
          <w:szCs w:val="24"/>
        </w:rPr>
        <w:footnoteReference w:id="133"/>
      </w:r>
      <w:r w:rsidR="00F3534B">
        <w:rPr>
          <w:sz w:val="24"/>
          <w:szCs w:val="24"/>
        </w:rPr>
        <w:t xml:space="preserve"> </w:t>
      </w:r>
      <w:r w:rsidR="00656A1E">
        <w:rPr>
          <w:sz w:val="24"/>
          <w:szCs w:val="24"/>
        </w:rPr>
        <w:t xml:space="preserve">Expectations similarly demanded </w:t>
      </w:r>
      <w:r w:rsidR="00414DBC">
        <w:rPr>
          <w:sz w:val="24"/>
          <w:szCs w:val="24"/>
        </w:rPr>
        <w:t>that people in the parlor craft</w:t>
      </w:r>
      <w:r w:rsidR="00656A1E">
        <w:rPr>
          <w:sz w:val="24"/>
          <w:szCs w:val="24"/>
        </w:rPr>
        <w:t xml:space="preserve"> the</w:t>
      </w:r>
      <w:r w:rsidR="00414DBC">
        <w:rPr>
          <w:sz w:val="24"/>
          <w:szCs w:val="24"/>
        </w:rPr>
        <w:t>ir</w:t>
      </w:r>
      <w:r w:rsidR="00C27A3E" w:rsidRPr="00C53883">
        <w:rPr>
          <w:sz w:val="24"/>
          <w:szCs w:val="24"/>
        </w:rPr>
        <w:t xml:space="preserve"> </w:t>
      </w:r>
      <w:r w:rsidR="00414DBC">
        <w:rPr>
          <w:sz w:val="24"/>
          <w:szCs w:val="24"/>
        </w:rPr>
        <w:t>own</w:t>
      </w:r>
      <w:r w:rsidR="00C27A3E">
        <w:rPr>
          <w:sz w:val="24"/>
          <w:szCs w:val="24"/>
        </w:rPr>
        <w:t xml:space="preserve"> </w:t>
      </w:r>
      <w:r w:rsidR="00414DBC">
        <w:rPr>
          <w:sz w:val="24"/>
          <w:szCs w:val="24"/>
        </w:rPr>
        <w:t>bodies</w:t>
      </w:r>
      <w:r w:rsidR="00C27A3E" w:rsidRPr="00C53883">
        <w:rPr>
          <w:sz w:val="24"/>
          <w:szCs w:val="24"/>
        </w:rPr>
        <w:t xml:space="preserve"> to a “state of perfection.”</w:t>
      </w:r>
      <w:r w:rsidR="00C27A3E" w:rsidRPr="00C53883">
        <w:rPr>
          <w:rStyle w:val="FootnoteReference"/>
          <w:sz w:val="24"/>
          <w:szCs w:val="24"/>
        </w:rPr>
        <w:footnoteReference w:id="134"/>
      </w:r>
      <w:r w:rsidR="00414DBC">
        <w:rPr>
          <w:sz w:val="24"/>
          <w:szCs w:val="24"/>
        </w:rPr>
        <w:t xml:space="preserve"> As </w:t>
      </w:r>
      <w:r w:rsidR="00C27A3E" w:rsidRPr="00C53883">
        <w:rPr>
          <w:sz w:val="24"/>
          <w:szCs w:val="24"/>
        </w:rPr>
        <w:t>Wells warned his readers, “first impressions are apt to b</w:t>
      </w:r>
      <w:r w:rsidR="00656A1E">
        <w:rPr>
          <w:sz w:val="24"/>
          <w:szCs w:val="24"/>
        </w:rPr>
        <w:t>e permanent,” and if people desired being</w:t>
      </w:r>
      <w:r w:rsidR="00C27A3E" w:rsidRPr="00C53883">
        <w:rPr>
          <w:sz w:val="24"/>
          <w:szCs w:val="24"/>
        </w:rPr>
        <w:t xml:space="preserve"> perceived as “well-bred” they should “give careful </w:t>
      </w:r>
      <w:r w:rsidR="00C27A3E" w:rsidRPr="00C53883">
        <w:rPr>
          <w:sz w:val="24"/>
          <w:szCs w:val="24"/>
        </w:rPr>
        <w:lastRenderedPageBreak/>
        <w:t>attention to their personal appearance.”</w:t>
      </w:r>
      <w:r w:rsidR="00C27A3E" w:rsidRPr="00C53883">
        <w:rPr>
          <w:rStyle w:val="FootnoteReference"/>
          <w:sz w:val="24"/>
          <w:szCs w:val="24"/>
        </w:rPr>
        <w:footnoteReference w:id="135"/>
      </w:r>
      <w:r w:rsidR="00C27A3E" w:rsidRPr="00C53883">
        <w:rPr>
          <w:sz w:val="24"/>
          <w:szCs w:val="24"/>
        </w:rPr>
        <w:t xml:space="preserve"> Every image and activity of the parlor performance played int</w:t>
      </w:r>
      <w:r w:rsidR="00C27A3E">
        <w:rPr>
          <w:sz w:val="24"/>
          <w:szCs w:val="24"/>
        </w:rPr>
        <w:t>o the construction of identity.</w:t>
      </w:r>
    </w:p>
    <w:p w:rsidR="00C27A3E" w:rsidRPr="00C53883" w:rsidRDefault="00C27A3E" w:rsidP="00C27A3E">
      <w:pPr>
        <w:spacing w:line="480" w:lineRule="auto"/>
        <w:ind w:firstLine="720"/>
        <w:rPr>
          <w:sz w:val="24"/>
          <w:szCs w:val="24"/>
        </w:rPr>
      </w:pPr>
      <w:r w:rsidRPr="00C53883">
        <w:rPr>
          <w:sz w:val="24"/>
          <w:szCs w:val="24"/>
        </w:rPr>
        <w:t>The parlor soundscape was also inextricably linked with the nineteenth-century stage. A</w:t>
      </w:r>
      <w:r w:rsidR="0059337C">
        <w:rPr>
          <w:sz w:val="24"/>
          <w:szCs w:val="24"/>
        </w:rPr>
        <w:t xml:space="preserve">lthough the excess of the stage occasionally presented </w:t>
      </w:r>
      <w:r w:rsidRPr="00C53883">
        <w:rPr>
          <w:sz w:val="24"/>
          <w:szCs w:val="24"/>
        </w:rPr>
        <w:t>the antithesis of the level of control and propriety d</w:t>
      </w:r>
      <w:r w:rsidR="0059337C">
        <w:rPr>
          <w:sz w:val="24"/>
          <w:szCs w:val="24"/>
        </w:rPr>
        <w:t>esired in the home, the two</w:t>
      </w:r>
      <w:r w:rsidRPr="00C53883">
        <w:rPr>
          <w:sz w:val="24"/>
          <w:szCs w:val="24"/>
        </w:rPr>
        <w:t xml:space="preserve"> mutually inf</w:t>
      </w:r>
      <w:r w:rsidR="0059337C">
        <w:rPr>
          <w:sz w:val="24"/>
          <w:szCs w:val="24"/>
        </w:rPr>
        <w:t>ormed one another</w:t>
      </w:r>
      <w:r w:rsidRPr="00C53883">
        <w:rPr>
          <w:sz w:val="24"/>
          <w:szCs w:val="24"/>
        </w:rPr>
        <w:t>. Stage performances informed the phys</w:t>
      </w:r>
      <w:r w:rsidR="00414DBC">
        <w:rPr>
          <w:sz w:val="24"/>
          <w:szCs w:val="24"/>
        </w:rPr>
        <w:t>icality of parlor performances. To return</w:t>
      </w:r>
      <w:r w:rsidRPr="00C53883">
        <w:rPr>
          <w:sz w:val="24"/>
          <w:szCs w:val="24"/>
        </w:rPr>
        <w:t xml:space="preserve"> to Wells’ writings on etiquette, he bemoans that what some parlor performers “call expression in singing, at the rate they would show it, is only fit to be exhibited on the stage.”</w:t>
      </w:r>
      <w:r w:rsidRPr="00C53883">
        <w:rPr>
          <w:rStyle w:val="FootnoteReference"/>
          <w:sz w:val="24"/>
          <w:szCs w:val="24"/>
        </w:rPr>
        <w:footnoteReference w:id="136"/>
      </w:r>
      <w:r w:rsidRPr="00C53883">
        <w:rPr>
          <w:sz w:val="24"/>
          <w:szCs w:val="24"/>
        </w:rPr>
        <w:t xml:space="preserve"> Performing at home with all the excessive expression of a stage performer offered an opportunity to slip out of the normal limits of bodily expression. From this, Karl Miller has argued that performing Tin Pan Alley songs “enabled young women to revel in the freedom associated with public popular culture” and “for the time of the performance, be as sensual and free as the performer who made the song famous.”</w:t>
      </w:r>
      <w:r w:rsidRPr="00C53883">
        <w:rPr>
          <w:rStyle w:val="FootnoteReference"/>
          <w:sz w:val="24"/>
          <w:szCs w:val="24"/>
        </w:rPr>
        <w:footnoteReference w:id="137"/>
      </w:r>
      <w:r w:rsidRPr="00C53883">
        <w:rPr>
          <w:sz w:val="24"/>
          <w:szCs w:val="24"/>
        </w:rPr>
        <w:t xml:space="preserve"> These actions subverted </w:t>
      </w:r>
      <w:r w:rsidR="00414DBC">
        <w:rPr>
          <w:sz w:val="24"/>
          <w:szCs w:val="24"/>
        </w:rPr>
        <w:t>Victorian ideas of propriety, and, according to</w:t>
      </w:r>
      <w:r w:rsidRPr="00C53883">
        <w:rPr>
          <w:sz w:val="24"/>
          <w:szCs w:val="24"/>
        </w:rPr>
        <w:t xml:space="preserve"> Miller</w:t>
      </w:r>
      <w:r w:rsidR="00414DBC">
        <w:rPr>
          <w:sz w:val="24"/>
          <w:szCs w:val="24"/>
        </w:rPr>
        <w:t>, “</w:t>
      </w:r>
      <w:r w:rsidRPr="00C53883">
        <w:rPr>
          <w:sz w:val="24"/>
          <w:szCs w:val="24"/>
        </w:rPr>
        <w:t>brought the freedom and danger associated with the public stage into the private home.”</w:t>
      </w:r>
      <w:r w:rsidRPr="00C53883">
        <w:rPr>
          <w:rStyle w:val="FootnoteReference"/>
          <w:sz w:val="24"/>
          <w:szCs w:val="24"/>
        </w:rPr>
        <w:footnoteReference w:id="138"/>
      </w:r>
    </w:p>
    <w:p w:rsidR="00C27A3E" w:rsidRPr="00C53883" w:rsidRDefault="00C27A3E" w:rsidP="00C27A3E">
      <w:pPr>
        <w:spacing w:line="480" w:lineRule="auto"/>
        <w:rPr>
          <w:sz w:val="24"/>
          <w:szCs w:val="24"/>
        </w:rPr>
      </w:pPr>
      <w:r w:rsidRPr="00C53883">
        <w:rPr>
          <w:sz w:val="24"/>
          <w:szCs w:val="24"/>
        </w:rPr>
        <w:tab/>
        <w:t xml:space="preserve">The philosophy behind nineteenth-century physical acting methods also added significant weight to </w:t>
      </w:r>
      <w:r w:rsidR="0059337C">
        <w:rPr>
          <w:sz w:val="24"/>
          <w:szCs w:val="24"/>
        </w:rPr>
        <w:t>how a performance could</w:t>
      </w:r>
      <w:r w:rsidRPr="00C53883">
        <w:rPr>
          <w:sz w:val="24"/>
          <w:szCs w:val="24"/>
        </w:rPr>
        <w:t xml:space="preserve"> either construct or disrupt a highbrow identity. Although time has relinquished it to obscurity, the system of expression propounded by François </w:t>
      </w:r>
      <w:proofErr w:type="spellStart"/>
      <w:r w:rsidRPr="00C53883">
        <w:rPr>
          <w:sz w:val="24"/>
          <w:szCs w:val="24"/>
        </w:rPr>
        <w:t>Delsarte</w:t>
      </w:r>
      <w:proofErr w:type="spellEnd"/>
      <w:r w:rsidRPr="00C53883">
        <w:rPr>
          <w:sz w:val="24"/>
          <w:szCs w:val="24"/>
        </w:rPr>
        <w:t xml:space="preserve"> (1811-1871) played a major role in shaping the nature of</w:t>
      </w:r>
      <w:r w:rsidR="0059337C">
        <w:rPr>
          <w:sz w:val="24"/>
          <w:szCs w:val="24"/>
        </w:rPr>
        <w:t>,</w:t>
      </w:r>
      <w:r w:rsidRPr="00C53883">
        <w:rPr>
          <w:sz w:val="24"/>
          <w:szCs w:val="24"/>
        </w:rPr>
        <w:t xml:space="preserve"> and philosophical thought surrounding </w:t>
      </w:r>
      <w:r>
        <w:rPr>
          <w:sz w:val="24"/>
          <w:szCs w:val="24"/>
        </w:rPr>
        <w:t xml:space="preserve">physical expression </w:t>
      </w:r>
      <w:r w:rsidRPr="00C53883">
        <w:rPr>
          <w:sz w:val="24"/>
          <w:szCs w:val="24"/>
        </w:rPr>
        <w:t xml:space="preserve">at this time. </w:t>
      </w:r>
      <w:r>
        <w:rPr>
          <w:sz w:val="24"/>
          <w:szCs w:val="24"/>
        </w:rPr>
        <w:t>While studying music at the</w:t>
      </w:r>
      <w:r w:rsidRPr="00C53883">
        <w:rPr>
          <w:sz w:val="24"/>
          <w:szCs w:val="24"/>
        </w:rPr>
        <w:t xml:space="preserve"> Paris </w:t>
      </w:r>
      <w:r w:rsidRPr="00C53883">
        <w:rPr>
          <w:sz w:val="24"/>
          <w:szCs w:val="24"/>
        </w:rPr>
        <w:lastRenderedPageBreak/>
        <w:t xml:space="preserve">Conservatory, </w:t>
      </w:r>
      <w:proofErr w:type="spellStart"/>
      <w:r w:rsidRPr="00C53883">
        <w:rPr>
          <w:sz w:val="24"/>
          <w:szCs w:val="24"/>
        </w:rPr>
        <w:t>Delsarte</w:t>
      </w:r>
      <w:proofErr w:type="spellEnd"/>
      <w:r w:rsidRPr="00C53883">
        <w:rPr>
          <w:sz w:val="24"/>
          <w:szCs w:val="24"/>
        </w:rPr>
        <w:t xml:space="preserve"> reportedly</w:t>
      </w:r>
      <w:r>
        <w:rPr>
          <w:sz w:val="24"/>
          <w:szCs w:val="24"/>
        </w:rPr>
        <w:t xml:space="preserve"> ruined his voice</w:t>
      </w:r>
      <w:r w:rsidRPr="00C53883">
        <w:rPr>
          <w:sz w:val="24"/>
          <w:szCs w:val="24"/>
        </w:rPr>
        <w:t>, compelling him</w:t>
      </w:r>
      <w:r>
        <w:rPr>
          <w:sz w:val="24"/>
          <w:szCs w:val="24"/>
        </w:rPr>
        <w:t xml:space="preserve"> to</w:t>
      </w:r>
      <w:r w:rsidRPr="00C53883">
        <w:rPr>
          <w:sz w:val="24"/>
          <w:szCs w:val="24"/>
        </w:rPr>
        <w:t xml:space="preserve"> research new methods of si</w:t>
      </w:r>
      <w:r w:rsidR="00FD77CA">
        <w:rPr>
          <w:sz w:val="24"/>
          <w:szCs w:val="24"/>
        </w:rPr>
        <w:t>nging and acting</w:t>
      </w:r>
      <w:r w:rsidRPr="00C53883">
        <w:rPr>
          <w:sz w:val="24"/>
          <w:szCs w:val="24"/>
        </w:rPr>
        <w:t xml:space="preserve"> and</w:t>
      </w:r>
      <w:r>
        <w:rPr>
          <w:sz w:val="24"/>
          <w:szCs w:val="24"/>
        </w:rPr>
        <w:t xml:space="preserve"> to become</w:t>
      </w:r>
      <w:r w:rsidRPr="00C53883">
        <w:rPr>
          <w:sz w:val="24"/>
          <w:szCs w:val="24"/>
        </w:rPr>
        <w:t xml:space="preserve"> a teacher himself. He soon became renowned for his system of gesture and expression, one that even went on to influence </w:t>
      </w:r>
      <w:proofErr w:type="spellStart"/>
      <w:r w:rsidRPr="00C53883">
        <w:rPr>
          <w:sz w:val="24"/>
          <w:szCs w:val="24"/>
        </w:rPr>
        <w:t>Constantin</w:t>
      </w:r>
      <w:proofErr w:type="spellEnd"/>
      <w:r w:rsidRPr="00C53883">
        <w:rPr>
          <w:sz w:val="24"/>
          <w:szCs w:val="24"/>
        </w:rPr>
        <w:t xml:space="preserve"> Stanislavsky’s</w:t>
      </w:r>
      <w:r w:rsidR="0059337C">
        <w:rPr>
          <w:sz w:val="24"/>
          <w:szCs w:val="24"/>
        </w:rPr>
        <w:t xml:space="preserve"> acting method in the twentieth </w:t>
      </w:r>
      <w:r w:rsidRPr="00C53883">
        <w:rPr>
          <w:sz w:val="24"/>
          <w:szCs w:val="24"/>
        </w:rPr>
        <w:t>century.</w:t>
      </w:r>
      <w:r w:rsidRPr="00C53883">
        <w:rPr>
          <w:rStyle w:val="FootnoteReference"/>
          <w:sz w:val="24"/>
          <w:szCs w:val="24"/>
        </w:rPr>
        <w:footnoteReference w:id="139"/>
      </w:r>
      <w:r w:rsidRPr="00C53883">
        <w:rPr>
          <w:color w:val="FF0000"/>
          <w:sz w:val="24"/>
          <w:szCs w:val="24"/>
        </w:rPr>
        <w:t xml:space="preserve"> </w:t>
      </w:r>
      <w:r w:rsidRPr="00C53883">
        <w:rPr>
          <w:sz w:val="24"/>
          <w:szCs w:val="24"/>
        </w:rPr>
        <w:t xml:space="preserve">Nancy Lee </w:t>
      </w:r>
      <w:proofErr w:type="spellStart"/>
      <w:r w:rsidRPr="00C53883">
        <w:rPr>
          <w:sz w:val="24"/>
          <w:szCs w:val="24"/>
        </w:rPr>
        <w:t>Chalfa</w:t>
      </w:r>
      <w:proofErr w:type="spellEnd"/>
      <w:r w:rsidRPr="00C53883">
        <w:rPr>
          <w:sz w:val="24"/>
          <w:szCs w:val="24"/>
        </w:rPr>
        <w:t xml:space="preserve"> </w:t>
      </w:r>
      <w:proofErr w:type="spellStart"/>
      <w:r w:rsidRPr="00C53883">
        <w:rPr>
          <w:sz w:val="24"/>
          <w:szCs w:val="24"/>
        </w:rPr>
        <w:t>Ruyter’s</w:t>
      </w:r>
      <w:proofErr w:type="spellEnd"/>
      <w:r w:rsidRPr="00C53883">
        <w:rPr>
          <w:sz w:val="24"/>
          <w:szCs w:val="24"/>
        </w:rPr>
        <w:t xml:space="preserve"> research into American </w:t>
      </w:r>
      <w:proofErr w:type="spellStart"/>
      <w:r w:rsidRPr="00C53883">
        <w:rPr>
          <w:sz w:val="24"/>
          <w:szCs w:val="24"/>
        </w:rPr>
        <w:t>Delsartism</w:t>
      </w:r>
      <w:proofErr w:type="spellEnd"/>
      <w:r w:rsidRPr="00C53883">
        <w:rPr>
          <w:sz w:val="24"/>
          <w:szCs w:val="24"/>
        </w:rPr>
        <w:t xml:space="preserve"> has shown that although it originated “as a professional art endeavor” in France, when it was transplanted the United States, </w:t>
      </w:r>
      <w:proofErr w:type="spellStart"/>
      <w:r w:rsidRPr="00C53883">
        <w:rPr>
          <w:sz w:val="24"/>
          <w:szCs w:val="24"/>
        </w:rPr>
        <w:t>Delsartism</w:t>
      </w:r>
      <w:proofErr w:type="spellEnd"/>
      <w:r w:rsidRPr="00C53883">
        <w:rPr>
          <w:sz w:val="24"/>
          <w:szCs w:val="24"/>
        </w:rPr>
        <w:t xml:space="preserve"> became “a broad-based social phenomenon.”</w:t>
      </w:r>
      <w:r w:rsidRPr="00C53883">
        <w:rPr>
          <w:rStyle w:val="FootnoteReference"/>
          <w:sz w:val="24"/>
          <w:szCs w:val="24"/>
        </w:rPr>
        <w:footnoteReference w:id="140"/>
      </w:r>
      <w:r w:rsidRPr="00C53883">
        <w:rPr>
          <w:sz w:val="24"/>
          <w:szCs w:val="24"/>
        </w:rPr>
        <w:t xml:space="preserve"> American </w:t>
      </w:r>
      <w:proofErr w:type="spellStart"/>
      <w:r w:rsidRPr="00C53883">
        <w:rPr>
          <w:sz w:val="24"/>
          <w:szCs w:val="24"/>
        </w:rPr>
        <w:t>Delsartism</w:t>
      </w:r>
      <w:proofErr w:type="spellEnd"/>
      <w:r w:rsidRPr="00C53883">
        <w:rPr>
          <w:sz w:val="24"/>
          <w:szCs w:val="24"/>
        </w:rPr>
        <w:t xml:space="preserve">, according to </w:t>
      </w:r>
      <w:proofErr w:type="spellStart"/>
      <w:r w:rsidRPr="00C53883">
        <w:rPr>
          <w:sz w:val="24"/>
          <w:szCs w:val="24"/>
        </w:rPr>
        <w:t>Ruyter</w:t>
      </w:r>
      <w:proofErr w:type="spellEnd"/>
      <w:r w:rsidRPr="00C53883">
        <w:rPr>
          <w:sz w:val="24"/>
          <w:szCs w:val="24"/>
        </w:rPr>
        <w:t>, fit into the preexistent discipline of elocution training, which had been growing in popularity and “had been developing on a national scale from the 1820s.”</w:t>
      </w:r>
      <w:r w:rsidRPr="00C53883">
        <w:rPr>
          <w:rStyle w:val="FootnoteReference"/>
          <w:sz w:val="24"/>
          <w:szCs w:val="24"/>
        </w:rPr>
        <w:footnoteReference w:id="141"/>
      </w:r>
      <w:r w:rsidRPr="00C53883">
        <w:rPr>
          <w:sz w:val="24"/>
          <w:szCs w:val="24"/>
        </w:rPr>
        <w:t xml:space="preserve"> </w:t>
      </w:r>
      <w:proofErr w:type="spellStart"/>
      <w:r w:rsidRPr="00C53883">
        <w:rPr>
          <w:sz w:val="24"/>
          <w:szCs w:val="24"/>
        </w:rPr>
        <w:t>De</w:t>
      </w:r>
      <w:r w:rsidR="0059337C">
        <w:rPr>
          <w:sz w:val="24"/>
          <w:szCs w:val="24"/>
        </w:rPr>
        <w:t>lsartism</w:t>
      </w:r>
      <w:proofErr w:type="spellEnd"/>
      <w:r w:rsidR="0059337C">
        <w:rPr>
          <w:sz w:val="24"/>
          <w:szCs w:val="24"/>
        </w:rPr>
        <w:t xml:space="preserve"> reached its height of popularity in </w:t>
      </w:r>
      <w:r w:rsidR="00FD77CA">
        <w:rPr>
          <w:sz w:val="24"/>
          <w:szCs w:val="24"/>
        </w:rPr>
        <w:t xml:space="preserve">the </w:t>
      </w:r>
      <w:r w:rsidRPr="00C53883">
        <w:rPr>
          <w:sz w:val="24"/>
          <w:szCs w:val="24"/>
        </w:rPr>
        <w:t xml:space="preserve">1880s and 1890s, as part of a trend </w:t>
      </w:r>
      <w:proofErr w:type="spellStart"/>
      <w:r w:rsidRPr="00C53883">
        <w:rPr>
          <w:sz w:val="24"/>
          <w:szCs w:val="24"/>
        </w:rPr>
        <w:t>Ruyter</w:t>
      </w:r>
      <w:proofErr w:type="spellEnd"/>
      <w:r w:rsidRPr="00C53883">
        <w:rPr>
          <w:sz w:val="24"/>
          <w:szCs w:val="24"/>
        </w:rPr>
        <w:t xml:space="preserve"> noticed among elocution instructors who “increasingly emphasized gesture and bodily motion” in systems of “expression,” ultimately making the </w:t>
      </w:r>
      <w:proofErr w:type="spellStart"/>
      <w:r w:rsidRPr="00C53883">
        <w:rPr>
          <w:sz w:val="24"/>
          <w:szCs w:val="24"/>
        </w:rPr>
        <w:t>Delsarte</w:t>
      </w:r>
      <w:proofErr w:type="spellEnd"/>
      <w:r w:rsidRPr="00C53883">
        <w:rPr>
          <w:sz w:val="24"/>
          <w:szCs w:val="24"/>
        </w:rPr>
        <w:t xml:space="preserve"> system “the best known and…the broadest application.”</w:t>
      </w:r>
      <w:r w:rsidRPr="00C53883">
        <w:rPr>
          <w:rStyle w:val="FootnoteReference"/>
          <w:sz w:val="24"/>
          <w:szCs w:val="24"/>
        </w:rPr>
        <w:footnoteReference w:id="142"/>
      </w:r>
      <w:r w:rsidRPr="00C53883">
        <w:rPr>
          <w:sz w:val="24"/>
          <w:szCs w:val="24"/>
        </w:rPr>
        <w:t xml:space="preserve"> Through </w:t>
      </w:r>
      <w:proofErr w:type="spellStart"/>
      <w:r w:rsidRPr="00C53883">
        <w:rPr>
          <w:sz w:val="24"/>
          <w:szCs w:val="24"/>
        </w:rPr>
        <w:t>Delsartean</w:t>
      </w:r>
      <w:proofErr w:type="spellEnd"/>
      <w:r w:rsidRPr="00C53883">
        <w:rPr>
          <w:sz w:val="24"/>
          <w:szCs w:val="24"/>
        </w:rPr>
        <w:t xml:space="preserve"> training, </w:t>
      </w:r>
      <w:proofErr w:type="spellStart"/>
      <w:r w:rsidRPr="00C53883">
        <w:rPr>
          <w:sz w:val="24"/>
          <w:szCs w:val="24"/>
        </w:rPr>
        <w:t>Ruyter</w:t>
      </w:r>
      <w:proofErr w:type="spellEnd"/>
      <w:r w:rsidRPr="00C53883">
        <w:rPr>
          <w:sz w:val="24"/>
          <w:szCs w:val="24"/>
        </w:rPr>
        <w:t xml:space="preserve"> found that “a considerable number of late-nineteenth-century white middle- and upper-class American women and children were able to pay attention to their bodies in a socially acceptable manner,” as they trained themselves in “physical and expressive techniques,” and presented “themselves to selected audiences in public performances.”</w:t>
      </w:r>
      <w:r w:rsidRPr="00C53883">
        <w:rPr>
          <w:rStyle w:val="FootnoteReference"/>
          <w:sz w:val="24"/>
          <w:szCs w:val="24"/>
        </w:rPr>
        <w:footnoteReference w:id="143"/>
      </w:r>
      <w:r w:rsidRPr="00C53883">
        <w:rPr>
          <w:sz w:val="24"/>
          <w:szCs w:val="24"/>
        </w:rPr>
        <w:t xml:space="preserve"> Physical culture and expression became a major part of parlor entertainment, and Wells believed that “tableaux </w:t>
      </w:r>
      <w:proofErr w:type="spellStart"/>
      <w:r w:rsidRPr="00C53883">
        <w:rPr>
          <w:sz w:val="24"/>
          <w:szCs w:val="24"/>
        </w:rPr>
        <w:t>vivants</w:t>
      </w:r>
      <w:proofErr w:type="spellEnd"/>
      <w:r w:rsidRPr="00C53883">
        <w:rPr>
          <w:sz w:val="24"/>
          <w:szCs w:val="24"/>
        </w:rPr>
        <w:t xml:space="preserve">, as commonly represented,” were nearly ubiquitous in the </w:t>
      </w:r>
      <w:r w:rsidRPr="00C53883">
        <w:rPr>
          <w:sz w:val="24"/>
          <w:szCs w:val="24"/>
        </w:rPr>
        <w:lastRenderedPageBreak/>
        <w:t>parlor, and “so well understood that no directions [were] necessary”</w:t>
      </w:r>
      <w:r w:rsidRPr="00C53883">
        <w:rPr>
          <w:rStyle w:val="FootnoteReference"/>
          <w:sz w:val="24"/>
          <w:szCs w:val="24"/>
        </w:rPr>
        <w:footnoteReference w:id="144"/>
      </w:r>
      <w:r w:rsidRPr="00C53883">
        <w:rPr>
          <w:sz w:val="24"/>
          <w:szCs w:val="24"/>
        </w:rPr>
        <w:t xml:space="preserve"> in his etiquette manual. The practice of imitating statuary, </w:t>
      </w:r>
      <w:proofErr w:type="spellStart"/>
      <w:r w:rsidRPr="00C53883">
        <w:rPr>
          <w:sz w:val="24"/>
          <w:szCs w:val="24"/>
        </w:rPr>
        <w:t>Delsartean</w:t>
      </w:r>
      <w:proofErr w:type="spellEnd"/>
      <w:r w:rsidRPr="00C53883">
        <w:rPr>
          <w:sz w:val="24"/>
          <w:szCs w:val="24"/>
        </w:rPr>
        <w:t xml:space="preserve"> or otherwise, impacted musical practices, and Wells does detail the way tableaux </w:t>
      </w:r>
      <w:proofErr w:type="spellStart"/>
      <w:r w:rsidRPr="00C53883">
        <w:rPr>
          <w:sz w:val="24"/>
          <w:szCs w:val="24"/>
        </w:rPr>
        <w:t>vivants</w:t>
      </w:r>
      <w:proofErr w:type="spellEnd"/>
      <w:r w:rsidRPr="00C53883">
        <w:rPr>
          <w:sz w:val="24"/>
          <w:szCs w:val="24"/>
        </w:rPr>
        <w:t xml:space="preserve"> could “represent the different verses and scenes in a song in pantomime”</w:t>
      </w:r>
      <w:r w:rsidRPr="00C53883">
        <w:rPr>
          <w:rStyle w:val="FootnoteReference"/>
          <w:sz w:val="24"/>
          <w:szCs w:val="24"/>
        </w:rPr>
        <w:footnoteReference w:id="145"/>
      </w:r>
    </w:p>
    <w:p w:rsidR="00C27A3E" w:rsidRPr="00C53883" w:rsidRDefault="00C27A3E" w:rsidP="00C27A3E">
      <w:pPr>
        <w:spacing w:line="480" w:lineRule="auto"/>
        <w:ind w:firstLine="720"/>
        <w:rPr>
          <w:sz w:val="24"/>
          <w:szCs w:val="24"/>
        </w:rPr>
      </w:pPr>
      <w:proofErr w:type="spellStart"/>
      <w:r w:rsidRPr="00C53883">
        <w:rPr>
          <w:sz w:val="24"/>
          <w:szCs w:val="24"/>
        </w:rPr>
        <w:t>Delsarte’s</w:t>
      </w:r>
      <w:proofErr w:type="spellEnd"/>
      <w:r w:rsidRPr="00C53883">
        <w:rPr>
          <w:sz w:val="24"/>
          <w:szCs w:val="24"/>
        </w:rPr>
        <w:t xml:space="preserve"> methods were propagated through the United States by several</w:t>
      </w:r>
      <w:r w:rsidR="00FD77CA">
        <w:rPr>
          <w:sz w:val="24"/>
          <w:szCs w:val="24"/>
        </w:rPr>
        <w:t xml:space="preserve"> influential figures. The first</w:t>
      </w:r>
      <w:r w:rsidRPr="00C53883">
        <w:rPr>
          <w:sz w:val="24"/>
          <w:szCs w:val="24"/>
        </w:rPr>
        <w:t xml:space="preserve"> and only American </w:t>
      </w:r>
      <w:r w:rsidR="00FD77CA">
        <w:rPr>
          <w:sz w:val="24"/>
          <w:szCs w:val="24"/>
        </w:rPr>
        <w:t xml:space="preserve">to study directly with </w:t>
      </w:r>
      <w:proofErr w:type="spellStart"/>
      <w:r w:rsidR="00FD77CA">
        <w:rPr>
          <w:sz w:val="24"/>
          <w:szCs w:val="24"/>
        </w:rPr>
        <w:t>Delsarte</w:t>
      </w:r>
      <w:proofErr w:type="spellEnd"/>
      <w:r w:rsidRPr="00C53883">
        <w:rPr>
          <w:sz w:val="24"/>
          <w:szCs w:val="24"/>
        </w:rPr>
        <w:t xml:space="preserve"> was actor Steele </w:t>
      </w:r>
      <w:proofErr w:type="spellStart"/>
      <w:r w:rsidRPr="00C53883">
        <w:rPr>
          <w:sz w:val="24"/>
          <w:szCs w:val="24"/>
        </w:rPr>
        <w:t>Mackaye</w:t>
      </w:r>
      <w:proofErr w:type="spellEnd"/>
      <w:r w:rsidRPr="00C53883">
        <w:rPr>
          <w:sz w:val="24"/>
          <w:szCs w:val="24"/>
        </w:rPr>
        <w:t>, who went on to found the first American acting school in 1872.</w:t>
      </w:r>
      <w:r w:rsidRPr="00C53883">
        <w:rPr>
          <w:rStyle w:val="FootnoteReference"/>
          <w:sz w:val="24"/>
          <w:szCs w:val="24"/>
        </w:rPr>
        <w:footnoteReference w:id="146"/>
      </w:r>
      <w:r w:rsidRPr="00C53883">
        <w:rPr>
          <w:sz w:val="24"/>
          <w:szCs w:val="24"/>
        </w:rPr>
        <w:t xml:space="preserve"> </w:t>
      </w:r>
      <w:proofErr w:type="spellStart"/>
      <w:r w:rsidRPr="00C53883">
        <w:rPr>
          <w:sz w:val="24"/>
          <w:szCs w:val="24"/>
        </w:rPr>
        <w:t>Mackaye’s</w:t>
      </w:r>
      <w:proofErr w:type="spellEnd"/>
      <w:r w:rsidRPr="00C53883">
        <w:rPr>
          <w:sz w:val="24"/>
          <w:szCs w:val="24"/>
        </w:rPr>
        <w:t xml:space="preserve"> students, the first wave of American </w:t>
      </w:r>
      <w:proofErr w:type="spellStart"/>
      <w:r w:rsidRPr="00C53883">
        <w:rPr>
          <w:sz w:val="24"/>
          <w:szCs w:val="24"/>
        </w:rPr>
        <w:t>Delsarteans</w:t>
      </w:r>
      <w:proofErr w:type="spellEnd"/>
      <w:r w:rsidRPr="00C53883">
        <w:rPr>
          <w:sz w:val="24"/>
          <w:szCs w:val="24"/>
        </w:rPr>
        <w:t xml:space="preserve">, were largely male professionals, but, when Henrietta Hovey and Genevieve Stebbins began advocating the </w:t>
      </w:r>
      <w:proofErr w:type="spellStart"/>
      <w:r w:rsidRPr="00C53883">
        <w:rPr>
          <w:sz w:val="24"/>
          <w:szCs w:val="24"/>
        </w:rPr>
        <w:t>Delsarte</w:t>
      </w:r>
      <w:proofErr w:type="spellEnd"/>
      <w:r w:rsidRPr="00C53883">
        <w:rPr>
          <w:sz w:val="24"/>
          <w:szCs w:val="24"/>
        </w:rPr>
        <w:t xml:space="preserve"> system in the 1880s and 1890s, </w:t>
      </w:r>
      <w:proofErr w:type="spellStart"/>
      <w:r w:rsidRPr="00C53883">
        <w:rPr>
          <w:sz w:val="24"/>
          <w:szCs w:val="24"/>
        </w:rPr>
        <w:t>Ruyter</w:t>
      </w:r>
      <w:proofErr w:type="spellEnd"/>
      <w:r w:rsidRPr="00C53883">
        <w:rPr>
          <w:sz w:val="24"/>
          <w:szCs w:val="24"/>
        </w:rPr>
        <w:t xml:space="preserve"> </w:t>
      </w:r>
      <w:proofErr w:type="gramStart"/>
      <w:r w:rsidRPr="00C53883">
        <w:rPr>
          <w:sz w:val="24"/>
          <w:szCs w:val="24"/>
        </w:rPr>
        <w:t>reveals</w:t>
      </w:r>
      <w:r w:rsidR="0059337C">
        <w:rPr>
          <w:sz w:val="24"/>
          <w:szCs w:val="24"/>
        </w:rPr>
        <w:t>,</w:t>
      </w:r>
      <w:proofErr w:type="gramEnd"/>
      <w:r w:rsidRPr="00C53883">
        <w:rPr>
          <w:sz w:val="24"/>
          <w:szCs w:val="24"/>
        </w:rPr>
        <w:t xml:space="preserve"> it shifted to an “amateur performance activity for women.”</w:t>
      </w:r>
      <w:r w:rsidRPr="00C53883">
        <w:rPr>
          <w:rStyle w:val="FootnoteReference"/>
          <w:sz w:val="24"/>
          <w:szCs w:val="24"/>
        </w:rPr>
        <w:footnoteReference w:id="147"/>
      </w:r>
      <w:r w:rsidRPr="00C53883">
        <w:rPr>
          <w:sz w:val="24"/>
          <w:szCs w:val="24"/>
        </w:rPr>
        <w:t xml:space="preserve"> Hovey was a student of </w:t>
      </w:r>
      <w:proofErr w:type="spellStart"/>
      <w:r w:rsidRPr="00C53883">
        <w:rPr>
          <w:sz w:val="24"/>
          <w:szCs w:val="24"/>
        </w:rPr>
        <w:t>Mackaye’s</w:t>
      </w:r>
      <w:proofErr w:type="spellEnd"/>
      <w:r w:rsidRPr="00C53883">
        <w:rPr>
          <w:sz w:val="24"/>
          <w:szCs w:val="24"/>
        </w:rPr>
        <w:t xml:space="preserve"> school before touring and presenting on the </w:t>
      </w:r>
      <w:proofErr w:type="spellStart"/>
      <w:r w:rsidRPr="00C53883">
        <w:rPr>
          <w:sz w:val="24"/>
          <w:szCs w:val="24"/>
        </w:rPr>
        <w:t>Delsarte</w:t>
      </w:r>
      <w:proofErr w:type="spellEnd"/>
      <w:r w:rsidRPr="00C53883">
        <w:rPr>
          <w:sz w:val="24"/>
          <w:szCs w:val="24"/>
        </w:rPr>
        <w:t xml:space="preserve"> system herself, and </w:t>
      </w:r>
      <w:proofErr w:type="spellStart"/>
      <w:r w:rsidRPr="00C53883">
        <w:rPr>
          <w:sz w:val="24"/>
          <w:szCs w:val="24"/>
        </w:rPr>
        <w:t>Ruyter</w:t>
      </w:r>
      <w:proofErr w:type="spellEnd"/>
      <w:r w:rsidRPr="00C53883">
        <w:rPr>
          <w:sz w:val="24"/>
          <w:szCs w:val="24"/>
        </w:rPr>
        <w:t xml:space="preserve"> has chronicled how she became a media darling and received “broad pre</w:t>
      </w:r>
      <w:r w:rsidR="00FD77CA">
        <w:rPr>
          <w:sz w:val="24"/>
          <w:szCs w:val="24"/>
        </w:rPr>
        <w:t>ss coverage” for her work in</w:t>
      </w:r>
      <w:r w:rsidRPr="00C53883">
        <w:rPr>
          <w:sz w:val="24"/>
          <w:szCs w:val="24"/>
        </w:rPr>
        <w:t xml:space="preserve"> the “high social and fashionable circles”</w:t>
      </w:r>
      <w:r w:rsidRPr="00C53883">
        <w:rPr>
          <w:rStyle w:val="FootnoteReference"/>
          <w:sz w:val="24"/>
          <w:szCs w:val="24"/>
        </w:rPr>
        <w:footnoteReference w:id="148"/>
      </w:r>
      <w:r w:rsidRPr="00C53883">
        <w:rPr>
          <w:sz w:val="24"/>
          <w:szCs w:val="24"/>
        </w:rPr>
        <w:t xml:space="preserve"> of nineteenth-century </w:t>
      </w:r>
      <w:r>
        <w:rPr>
          <w:sz w:val="24"/>
          <w:szCs w:val="24"/>
        </w:rPr>
        <w:t>America and London. She was</w:t>
      </w:r>
      <w:r w:rsidRPr="00C53883">
        <w:rPr>
          <w:sz w:val="24"/>
          <w:szCs w:val="24"/>
        </w:rPr>
        <w:t xml:space="preserve"> asked to speak at the 1893 World’s Columbian Exposition,</w:t>
      </w:r>
      <w:r w:rsidRPr="00C53883">
        <w:rPr>
          <w:rStyle w:val="FootnoteReference"/>
          <w:sz w:val="24"/>
          <w:szCs w:val="24"/>
        </w:rPr>
        <w:footnoteReference w:id="149"/>
      </w:r>
      <w:r w:rsidRPr="00C53883">
        <w:rPr>
          <w:sz w:val="24"/>
          <w:szCs w:val="24"/>
        </w:rPr>
        <w:t xml:space="preserve"> an incredibly visible position in American culture.</w:t>
      </w:r>
      <w:r w:rsidR="00FD77CA">
        <w:rPr>
          <w:sz w:val="24"/>
          <w:szCs w:val="24"/>
        </w:rPr>
        <w:t xml:space="preserve"> Even</w:t>
      </w:r>
      <w:r w:rsidRPr="00C53883">
        <w:rPr>
          <w:sz w:val="24"/>
          <w:szCs w:val="24"/>
        </w:rPr>
        <w:t xml:space="preserve"> Hovey’s influence, however, was outshined by Genevieve Stebbins. After briefly studying with </w:t>
      </w:r>
      <w:proofErr w:type="spellStart"/>
      <w:r w:rsidRPr="00C53883">
        <w:rPr>
          <w:sz w:val="24"/>
          <w:szCs w:val="24"/>
        </w:rPr>
        <w:t>Mackaye</w:t>
      </w:r>
      <w:proofErr w:type="spellEnd"/>
      <w:r w:rsidRPr="00C53883">
        <w:rPr>
          <w:sz w:val="24"/>
          <w:szCs w:val="24"/>
        </w:rPr>
        <w:t xml:space="preserve">, Stebbins started a regular series of public readings of and instruction on </w:t>
      </w:r>
      <w:proofErr w:type="spellStart"/>
      <w:r w:rsidRPr="00C53883">
        <w:rPr>
          <w:sz w:val="24"/>
          <w:szCs w:val="24"/>
        </w:rPr>
        <w:t>Delsarte</w:t>
      </w:r>
      <w:proofErr w:type="spellEnd"/>
      <w:r w:rsidRPr="00C53883">
        <w:rPr>
          <w:sz w:val="24"/>
          <w:szCs w:val="24"/>
        </w:rPr>
        <w:t xml:space="preserve"> techni</w:t>
      </w:r>
      <w:r>
        <w:rPr>
          <w:sz w:val="24"/>
          <w:szCs w:val="24"/>
        </w:rPr>
        <w:t>que in 1880 that</w:t>
      </w:r>
      <w:r w:rsidRPr="00C53883">
        <w:rPr>
          <w:sz w:val="24"/>
          <w:szCs w:val="24"/>
        </w:rPr>
        <w:t xml:space="preserve"> </w:t>
      </w:r>
      <w:proofErr w:type="spellStart"/>
      <w:r w:rsidRPr="00C53883">
        <w:rPr>
          <w:sz w:val="24"/>
          <w:szCs w:val="24"/>
        </w:rPr>
        <w:t>Ruyter</w:t>
      </w:r>
      <w:proofErr w:type="spellEnd"/>
      <w:r w:rsidRPr="00C53883">
        <w:rPr>
          <w:sz w:val="24"/>
          <w:szCs w:val="24"/>
        </w:rPr>
        <w:t xml:space="preserve"> believes popularized the method for the broadest audience “outside the fields of acting and oratory.”</w:t>
      </w:r>
      <w:r w:rsidRPr="00C53883">
        <w:rPr>
          <w:rStyle w:val="FootnoteReference"/>
          <w:sz w:val="24"/>
          <w:szCs w:val="24"/>
        </w:rPr>
        <w:footnoteReference w:id="150"/>
      </w:r>
      <w:r w:rsidRPr="00C53883">
        <w:rPr>
          <w:sz w:val="24"/>
          <w:szCs w:val="24"/>
        </w:rPr>
        <w:t xml:space="preserve"> She also became the most </w:t>
      </w:r>
      <w:r w:rsidRPr="00C53883">
        <w:rPr>
          <w:sz w:val="24"/>
          <w:szCs w:val="24"/>
        </w:rPr>
        <w:lastRenderedPageBreak/>
        <w:t>proli</w:t>
      </w:r>
      <w:r w:rsidR="0059337C">
        <w:rPr>
          <w:sz w:val="24"/>
          <w:szCs w:val="24"/>
        </w:rPr>
        <w:t>fic writer on the method</w:t>
      </w:r>
      <w:r w:rsidRPr="00C53883">
        <w:rPr>
          <w:sz w:val="24"/>
          <w:szCs w:val="24"/>
        </w:rPr>
        <w:t>, publishing several articles and books, and the seminal 1885 instructional text</w:t>
      </w:r>
      <w:r w:rsidR="00FD77CA">
        <w:rPr>
          <w:sz w:val="24"/>
          <w:szCs w:val="24"/>
        </w:rPr>
        <w:t>,</w:t>
      </w:r>
      <w:r w:rsidRPr="00C53883">
        <w:rPr>
          <w:sz w:val="24"/>
          <w:szCs w:val="24"/>
        </w:rPr>
        <w:t xml:space="preserve"> </w:t>
      </w:r>
      <w:proofErr w:type="spellStart"/>
      <w:r w:rsidRPr="00C53883">
        <w:rPr>
          <w:i/>
          <w:sz w:val="24"/>
          <w:szCs w:val="24"/>
        </w:rPr>
        <w:t>Delsarte</w:t>
      </w:r>
      <w:proofErr w:type="spellEnd"/>
      <w:r w:rsidRPr="00C53883">
        <w:rPr>
          <w:i/>
          <w:sz w:val="24"/>
          <w:szCs w:val="24"/>
        </w:rPr>
        <w:t xml:space="preserve"> System of Expression</w:t>
      </w:r>
      <w:r w:rsidRPr="00C53883">
        <w:rPr>
          <w:sz w:val="24"/>
          <w:szCs w:val="24"/>
        </w:rPr>
        <w:t>.</w:t>
      </w:r>
      <w:r>
        <w:rPr>
          <w:rStyle w:val="FootnoteReference"/>
          <w:sz w:val="24"/>
          <w:szCs w:val="24"/>
        </w:rPr>
        <w:footnoteReference w:id="151"/>
      </w:r>
      <w:r w:rsidR="00FD77CA">
        <w:rPr>
          <w:sz w:val="24"/>
          <w:szCs w:val="24"/>
        </w:rPr>
        <w:t xml:space="preserve"> Many of Stebbin</w:t>
      </w:r>
      <w:r w:rsidRPr="00C53883">
        <w:rPr>
          <w:sz w:val="24"/>
          <w:szCs w:val="24"/>
        </w:rPr>
        <w:t>s</w:t>
      </w:r>
      <w:r w:rsidR="00FD77CA">
        <w:rPr>
          <w:sz w:val="24"/>
          <w:szCs w:val="24"/>
        </w:rPr>
        <w:t>’</w:t>
      </w:r>
      <w:r w:rsidRPr="00C53883">
        <w:rPr>
          <w:sz w:val="24"/>
          <w:szCs w:val="24"/>
        </w:rPr>
        <w:t xml:space="preserve"> articles were published by E.S. Werner, a New York printer and </w:t>
      </w:r>
      <w:proofErr w:type="spellStart"/>
      <w:r w:rsidRPr="00C53883">
        <w:rPr>
          <w:sz w:val="24"/>
          <w:szCs w:val="24"/>
        </w:rPr>
        <w:t>Delsarte</w:t>
      </w:r>
      <w:proofErr w:type="spellEnd"/>
      <w:r w:rsidRPr="00C53883">
        <w:rPr>
          <w:sz w:val="24"/>
          <w:szCs w:val="24"/>
        </w:rPr>
        <w:t xml:space="preserve"> advocate, whose magazine, </w:t>
      </w:r>
      <w:r w:rsidRPr="00C53883">
        <w:rPr>
          <w:i/>
          <w:sz w:val="24"/>
          <w:szCs w:val="24"/>
        </w:rPr>
        <w:t>Werner’s Voice Magazine</w:t>
      </w:r>
      <w:r w:rsidRPr="00C53883">
        <w:rPr>
          <w:sz w:val="24"/>
          <w:szCs w:val="24"/>
        </w:rPr>
        <w:t xml:space="preserve">, became the primary forum for </w:t>
      </w:r>
      <w:proofErr w:type="spellStart"/>
      <w:r w:rsidRPr="00C53883">
        <w:rPr>
          <w:sz w:val="24"/>
          <w:szCs w:val="24"/>
        </w:rPr>
        <w:t>Delsarte</w:t>
      </w:r>
      <w:proofErr w:type="spellEnd"/>
      <w:r w:rsidRPr="00C53883">
        <w:rPr>
          <w:sz w:val="24"/>
          <w:szCs w:val="24"/>
        </w:rPr>
        <w:t xml:space="preserve"> publications.</w:t>
      </w:r>
    </w:p>
    <w:p w:rsidR="00C27A3E" w:rsidRPr="00C53883" w:rsidRDefault="00C27A3E" w:rsidP="00C27A3E">
      <w:pPr>
        <w:spacing w:line="480" w:lineRule="auto"/>
        <w:rPr>
          <w:sz w:val="24"/>
          <w:szCs w:val="24"/>
        </w:rPr>
      </w:pPr>
      <w:r w:rsidRPr="00C53883">
        <w:rPr>
          <w:sz w:val="24"/>
          <w:szCs w:val="24"/>
        </w:rPr>
        <w:tab/>
        <w:t>Edgar S. Werner defined “the art of oratory,” as “expressing mental phenomena by the play of the physical organs.”</w:t>
      </w:r>
      <w:r w:rsidRPr="00C53883">
        <w:rPr>
          <w:rStyle w:val="FootnoteReference"/>
          <w:sz w:val="24"/>
          <w:szCs w:val="24"/>
        </w:rPr>
        <w:footnoteReference w:id="152"/>
      </w:r>
      <w:r w:rsidRPr="00C53883">
        <w:rPr>
          <w:sz w:val="24"/>
          <w:szCs w:val="24"/>
        </w:rPr>
        <w:t xml:space="preserve"> Within the </w:t>
      </w:r>
      <w:proofErr w:type="spellStart"/>
      <w:r w:rsidRPr="00C53883">
        <w:rPr>
          <w:sz w:val="24"/>
          <w:szCs w:val="24"/>
        </w:rPr>
        <w:t>Delsarte</w:t>
      </w:r>
      <w:proofErr w:type="spellEnd"/>
      <w:r w:rsidRPr="00C53883">
        <w:rPr>
          <w:sz w:val="24"/>
          <w:szCs w:val="24"/>
        </w:rPr>
        <w:t xml:space="preserve"> system </w:t>
      </w:r>
      <w:r w:rsidR="0059337C">
        <w:rPr>
          <w:sz w:val="24"/>
          <w:szCs w:val="24"/>
        </w:rPr>
        <w:t xml:space="preserve">that </w:t>
      </w:r>
      <w:r w:rsidRPr="00C53883">
        <w:rPr>
          <w:sz w:val="24"/>
          <w:szCs w:val="24"/>
        </w:rPr>
        <w:t>Werner advocated</w:t>
      </w:r>
      <w:r>
        <w:rPr>
          <w:sz w:val="24"/>
          <w:szCs w:val="24"/>
        </w:rPr>
        <w:t>,</w:t>
      </w:r>
      <w:r w:rsidRPr="00C53883">
        <w:rPr>
          <w:sz w:val="24"/>
          <w:szCs w:val="24"/>
        </w:rPr>
        <w:t xml:space="preserve"> physical expression was not something detached from internal mental processes. Internal and external processes were inclusive. In what little of </w:t>
      </w:r>
      <w:proofErr w:type="spellStart"/>
      <w:r w:rsidRPr="00C53883">
        <w:rPr>
          <w:sz w:val="24"/>
          <w:szCs w:val="24"/>
        </w:rPr>
        <w:t>Delsarte’s</w:t>
      </w:r>
      <w:proofErr w:type="spellEnd"/>
      <w:r w:rsidRPr="00C53883">
        <w:rPr>
          <w:sz w:val="24"/>
          <w:szCs w:val="24"/>
        </w:rPr>
        <w:t xml:space="preserve"> writings that did survive, he strongly p</w:t>
      </w:r>
      <w:r w:rsidR="0059337C">
        <w:rPr>
          <w:sz w:val="24"/>
          <w:szCs w:val="24"/>
        </w:rPr>
        <w:t>urports a two-</w:t>
      </w:r>
      <w:r w:rsidRPr="00C53883">
        <w:rPr>
          <w:sz w:val="24"/>
          <w:szCs w:val="24"/>
        </w:rPr>
        <w:t xml:space="preserve">way connection. </w:t>
      </w:r>
      <w:r w:rsidR="00FB39B4">
        <w:rPr>
          <w:sz w:val="24"/>
          <w:szCs w:val="24"/>
        </w:rPr>
        <w:t>Heavily influe</w:t>
      </w:r>
      <w:r w:rsidR="00FD77CA">
        <w:rPr>
          <w:sz w:val="24"/>
          <w:szCs w:val="24"/>
        </w:rPr>
        <w:t xml:space="preserve">nced by Christian doctrine and </w:t>
      </w:r>
      <w:proofErr w:type="spellStart"/>
      <w:r w:rsidR="00FD77CA">
        <w:rPr>
          <w:sz w:val="24"/>
          <w:szCs w:val="24"/>
        </w:rPr>
        <w:t>T</w:t>
      </w:r>
      <w:r w:rsidR="00FB39B4">
        <w:rPr>
          <w:sz w:val="24"/>
          <w:szCs w:val="24"/>
        </w:rPr>
        <w:t>rinitarianism</w:t>
      </w:r>
      <w:proofErr w:type="spellEnd"/>
      <w:r w:rsidR="00FB39B4">
        <w:rPr>
          <w:sz w:val="24"/>
          <w:szCs w:val="24"/>
        </w:rPr>
        <w:t>, h</w:t>
      </w:r>
      <w:r w:rsidRPr="00C53883">
        <w:rPr>
          <w:sz w:val="24"/>
          <w:szCs w:val="24"/>
        </w:rPr>
        <w:t>e believed that “to each spiritual function responds a function of the body,” and that “to each grand function of the body, corresponds a spiritual act.”</w:t>
      </w:r>
      <w:r w:rsidRPr="00C53883">
        <w:rPr>
          <w:rStyle w:val="FootnoteReference"/>
          <w:sz w:val="24"/>
          <w:szCs w:val="24"/>
        </w:rPr>
        <w:footnoteReference w:id="153"/>
      </w:r>
      <w:r w:rsidRPr="00C53883">
        <w:rPr>
          <w:sz w:val="24"/>
          <w:szCs w:val="24"/>
        </w:rPr>
        <w:t xml:space="preserve"> </w:t>
      </w:r>
      <w:proofErr w:type="spellStart"/>
      <w:r w:rsidRPr="00C53883">
        <w:rPr>
          <w:sz w:val="24"/>
          <w:szCs w:val="24"/>
        </w:rPr>
        <w:t>Ruyter</w:t>
      </w:r>
      <w:proofErr w:type="spellEnd"/>
      <w:r w:rsidRPr="00C53883">
        <w:rPr>
          <w:sz w:val="24"/>
          <w:szCs w:val="24"/>
        </w:rPr>
        <w:t xml:space="preserve"> translated “spiritual function” as “any thought, intention, psychological state, character trait, or emotion,” meaning that each “will have bodily manifestations,” and that similarly, functions of the body, i.e.</w:t>
      </w:r>
      <w:r>
        <w:rPr>
          <w:sz w:val="24"/>
          <w:szCs w:val="24"/>
        </w:rPr>
        <w:t>,</w:t>
      </w:r>
      <w:r w:rsidRPr="00C53883">
        <w:rPr>
          <w:sz w:val="24"/>
          <w:szCs w:val="24"/>
        </w:rPr>
        <w:t xml:space="preserve"> “gesture, facial expression, voice, carriage, physical mannerism, bodily rhythm, and breathing,”</w:t>
      </w:r>
      <w:r w:rsidRPr="00C53883">
        <w:rPr>
          <w:rStyle w:val="FootnoteReference"/>
          <w:sz w:val="24"/>
          <w:szCs w:val="24"/>
        </w:rPr>
        <w:footnoteReference w:id="154"/>
      </w:r>
      <w:r w:rsidRPr="00C53883">
        <w:rPr>
          <w:sz w:val="24"/>
          <w:szCs w:val="24"/>
        </w:rPr>
        <w:t xml:space="preserve"> not only reflect but engender interna</w:t>
      </w:r>
      <w:r>
        <w:rPr>
          <w:sz w:val="24"/>
          <w:szCs w:val="24"/>
        </w:rPr>
        <w:t xml:space="preserve">l spiritual functions. </w:t>
      </w:r>
      <w:proofErr w:type="spellStart"/>
      <w:r>
        <w:rPr>
          <w:sz w:val="24"/>
          <w:szCs w:val="24"/>
        </w:rPr>
        <w:t>Delsarte</w:t>
      </w:r>
      <w:proofErr w:type="spellEnd"/>
      <w:r>
        <w:rPr>
          <w:sz w:val="24"/>
          <w:szCs w:val="24"/>
        </w:rPr>
        <w:t xml:space="preserve"> and his followers</w:t>
      </w:r>
      <w:r w:rsidRPr="00C53883">
        <w:rPr>
          <w:sz w:val="24"/>
          <w:szCs w:val="24"/>
        </w:rPr>
        <w:t xml:space="preserve"> called this the “Law of Correspondence,” and posited a “concept of the body” as “a worthy whole that includes the mental, emotional, and spiritual aspects of existence.”</w:t>
      </w:r>
      <w:r w:rsidRPr="00C53883">
        <w:rPr>
          <w:rStyle w:val="FootnoteReference"/>
          <w:sz w:val="24"/>
          <w:szCs w:val="24"/>
        </w:rPr>
        <w:footnoteReference w:id="155"/>
      </w:r>
      <w:r w:rsidRPr="00C53883">
        <w:rPr>
          <w:sz w:val="24"/>
          <w:szCs w:val="24"/>
        </w:rPr>
        <w:t xml:space="preserve"> </w:t>
      </w:r>
      <w:proofErr w:type="spellStart"/>
      <w:r w:rsidRPr="00C53883">
        <w:rPr>
          <w:sz w:val="24"/>
          <w:szCs w:val="24"/>
        </w:rPr>
        <w:t>Delsarteans</w:t>
      </w:r>
      <w:proofErr w:type="spellEnd"/>
      <w:r w:rsidRPr="00C53883">
        <w:rPr>
          <w:sz w:val="24"/>
          <w:szCs w:val="24"/>
        </w:rPr>
        <w:t xml:space="preserve"> and other nineteenth-century writers on physical culture rejected the Cartesian duality in favor of a unified inner and outer experience. </w:t>
      </w:r>
      <w:proofErr w:type="spellStart"/>
      <w:r w:rsidRPr="00C53883">
        <w:rPr>
          <w:sz w:val="24"/>
          <w:szCs w:val="24"/>
        </w:rPr>
        <w:t>Ruyter</w:t>
      </w:r>
      <w:proofErr w:type="spellEnd"/>
      <w:r w:rsidRPr="00C53883">
        <w:rPr>
          <w:sz w:val="24"/>
          <w:szCs w:val="24"/>
        </w:rPr>
        <w:t xml:space="preserve"> also found that the </w:t>
      </w:r>
      <w:proofErr w:type="spellStart"/>
      <w:r w:rsidRPr="00C53883">
        <w:rPr>
          <w:sz w:val="24"/>
          <w:szCs w:val="24"/>
        </w:rPr>
        <w:t>Delsartean</w:t>
      </w:r>
      <w:proofErr w:type="spellEnd"/>
      <w:r w:rsidRPr="00C53883">
        <w:rPr>
          <w:sz w:val="24"/>
          <w:szCs w:val="24"/>
        </w:rPr>
        <w:t xml:space="preserve"> </w:t>
      </w:r>
      <w:r w:rsidRPr="00C53883">
        <w:rPr>
          <w:sz w:val="24"/>
          <w:szCs w:val="24"/>
        </w:rPr>
        <w:lastRenderedPageBreak/>
        <w:t>idea of correspondence “between the physical and nonphysical realms”</w:t>
      </w:r>
      <w:r w:rsidRPr="00C53883">
        <w:rPr>
          <w:rStyle w:val="FootnoteReference"/>
          <w:sz w:val="24"/>
          <w:szCs w:val="24"/>
        </w:rPr>
        <w:footnoteReference w:id="156"/>
      </w:r>
      <w:r w:rsidRPr="00C53883">
        <w:rPr>
          <w:sz w:val="24"/>
          <w:szCs w:val="24"/>
        </w:rPr>
        <w:t xml:space="preserve"> </w:t>
      </w:r>
      <w:r w:rsidR="00FD77CA">
        <w:rPr>
          <w:sz w:val="24"/>
          <w:szCs w:val="24"/>
        </w:rPr>
        <w:t xml:space="preserve">was </w:t>
      </w:r>
      <w:r w:rsidRPr="00C53883">
        <w:rPr>
          <w:sz w:val="24"/>
          <w:szCs w:val="24"/>
        </w:rPr>
        <w:t xml:space="preserve">common among numerous nineteenth-century writings. To support </w:t>
      </w:r>
      <w:proofErr w:type="spellStart"/>
      <w:r w:rsidRPr="00C53883">
        <w:rPr>
          <w:sz w:val="24"/>
          <w:szCs w:val="24"/>
        </w:rPr>
        <w:t>Delsarte’s</w:t>
      </w:r>
      <w:proofErr w:type="spellEnd"/>
      <w:r w:rsidRPr="00C53883">
        <w:rPr>
          <w:sz w:val="24"/>
          <w:szCs w:val="24"/>
        </w:rPr>
        <w:t xml:space="preserve"> “law of correspondence,” Genevieve Stebbins cited the work of another orator, Moses True Brown, who similarly posited that “man expresses his psychic states in terms of his environment.”</w:t>
      </w:r>
      <w:r w:rsidRPr="00C53883">
        <w:rPr>
          <w:rStyle w:val="FootnoteReference"/>
          <w:sz w:val="24"/>
          <w:szCs w:val="24"/>
        </w:rPr>
        <w:footnoteReference w:id="157"/>
      </w:r>
      <w:r w:rsidRPr="00C53883">
        <w:rPr>
          <w:sz w:val="24"/>
          <w:szCs w:val="24"/>
        </w:rPr>
        <w:t xml:space="preserve"> Werner explained this mutual inclusion to his American readers</w:t>
      </w:r>
      <w:r w:rsidR="00F2435B">
        <w:rPr>
          <w:sz w:val="24"/>
          <w:szCs w:val="24"/>
        </w:rPr>
        <w:t>, stating</w:t>
      </w:r>
      <w:r w:rsidRPr="00C53883">
        <w:rPr>
          <w:sz w:val="24"/>
          <w:szCs w:val="24"/>
        </w:rPr>
        <w:t xml:space="preserve"> “the soul being the form of the body, the body is made in the image of the soul.”</w:t>
      </w:r>
      <w:r w:rsidRPr="00C53883">
        <w:rPr>
          <w:rStyle w:val="FootnoteReference"/>
          <w:sz w:val="24"/>
          <w:szCs w:val="24"/>
        </w:rPr>
        <w:footnoteReference w:id="158"/>
      </w:r>
      <w:r w:rsidRPr="00C53883">
        <w:rPr>
          <w:sz w:val="24"/>
          <w:szCs w:val="24"/>
        </w:rPr>
        <w:t xml:space="preserve"> </w:t>
      </w:r>
      <w:r w:rsidR="00FB39B4">
        <w:rPr>
          <w:sz w:val="24"/>
          <w:szCs w:val="24"/>
        </w:rPr>
        <w:t xml:space="preserve">In the </w:t>
      </w:r>
      <w:r w:rsidR="00073523">
        <w:rPr>
          <w:sz w:val="24"/>
          <w:szCs w:val="24"/>
        </w:rPr>
        <w:t>context of the Christian norms of nineteenth-century America, s</w:t>
      </w:r>
      <w:r w:rsidRPr="00C53883">
        <w:rPr>
          <w:sz w:val="24"/>
          <w:szCs w:val="24"/>
        </w:rPr>
        <w:t xml:space="preserve">uch beliefs give the physical gestures of performance </w:t>
      </w:r>
      <w:r w:rsidR="00073523">
        <w:rPr>
          <w:sz w:val="24"/>
          <w:szCs w:val="24"/>
        </w:rPr>
        <w:t>the potential to refine the soul</w:t>
      </w:r>
      <w:r w:rsidR="00F2435B">
        <w:rPr>
          <w:sz w:val="24"/>
          <w:szCs w:val="24"/>
        </w:rPr>
        <w:t>. Gestures were</w:t>
      </w:r>
      <w:r w:rsidR="00073523">
        <w:rPr>
          <w:sz w:val="24"/>
          <w:szCs w:val="24"/>
        </w:rPr>
        <w:t xml:space="preserve"> </w:t>
      </w:r>
      <w:r w:rsidR="00F2435B">
        <w:rPr>
          <w:sz w:val="24"/>
          <w:szCs w:val="24"/>
        </w:rPr>
        <w:t>incredibly</w:t>
      </w:r>
      <w:r w:rsidRPr="00C53883">
        <w:rPr>
          <w:sz w:val="24"/>
          <w:szCs w:val="24"/>
        </w:rPr>
        <w:t xml:space="preserve"> power</w:t>
      </w:r>
      <w:r w:rsidR="00F2435B">
        <w:rPr>
          <w:sz w:val="24"/>
          <w:szCs w:val="24"/>
        </w:rPr>
        <w:t>ful</w:t>
      </w:r>
      <w:r w:rsidRPr="00C53883">
        <w:rPr>
          <w:sz w:val="24"/>
          <w:szCs w:val="24"/>
        </w:rPr>
        <w:t xml:space="preserve"> in the formation of identity.</w:t>
      </w:r>
    </w:p>
    <w:p w:rsidR="00C27A3E" w:rsidRPr="00C53883" w:rsidRDefault="00C27A3E" w:rsidP="00C27A3E">
      <w:pPr>
        <w:spacing w:line="480" w:lineRule="auto"/>
        <w:rPr>
          <w:sz w:val="24"/>
          <w:szCs w:val="24"/>
        </w:rPr>
      </w:pPr>
      <w:r w:rsidRPr="00C53883">
        <w:rPr>
          <w:sz w:val="24"/>
          <w:szCs w:val="24"/>
        </w:rPr>
        <w:tab/>
        <w:t>Gestures were not just deeply meaningful, they formed a specific language.</w:t>
      </w:r>
      <w:r w:rsidR="00514C90">
        <w:rPr>
          <w:sz w:val="24"/>
          <w:szCs w:val="24"/>
        </w:rPr>
        <w:t xml:space="preserve"> Although the </w:t>
      </w:r>
      <w:proofErr w:type="spellStart"/>
      <w:r w:rsidR="00514C90">
        <w:rPr>
          <w:sz w:val="24"/>
          <w:szCs w:val="24"/>
        </w:rPr>
        <w:t>Delsarte</w:t>
      </w:r>
      <w:proofErr w:type="spellEnd"/>
      <w:r w:rsidR="00514C90">
        <w:rPr>
          <w:sz w:val="24"/>
          <w:szCs w:val="24"/>
        </w:rPr>
        <w:t xml:space="preserve"> system trained its practitioners in the specific meanings of gestures, t</w:t>
      </w:r>
      <w:r w:rsidRPr="00C53883">
        <w:rPr>
          <w:sz w:val="24"/>
          <w:szCs w:val="24"/>
        </w:rPr>
        <w:t>he</w:t>
      </w:r>
      <w:r w:rsidR="00514C90">
        <w:rPr>
          <w:sz w:val="24"/>
          <w:szCs w:val="24"/>
        </w:rPr>
        <w:t>y believed everyone could understand the</w:t>
      </w:r>
      <w:r w:rsidRPr="00C53883">
        <w:rPr>
          <w:sz w:val="24"/>
          <w:szCs w:val="24"/>
        </w:rPr>
        <w:t xml:space="preserve"> </w:t>
      </w:r>
      <w:r w:rsidR="00514C90">
        <w:rPr>
          <w:sz w:val="24"/>
          <w:szCs w:val="24"/>
        </w:rPr>
        <w:t>semantics of this language</w:t>
      </w:r>
      <w:r w:rsidRPr="00C53883">
        <w:rPr>
          <w:sz w:val="24"/>
          <w:szCs w:val="24"/>
        </w:rPr>
        <w:t xml:space="preserve">. </w:t>
      </w:r>
      <w:proofErr w:type="spellStart"/>
      <w:r w:rsidRPr="00C53883">
        <w:rPr>
          <w:sz w:val="24"/>
          <w:szCs w:val="24"/>
        </w:rPr>
        <w:t>Delsarte</w:t>
      </w:r>
      <w:proofErr w:type="spellEnd"/>
      <w:r w:rsidRPr="00C53883">
        <w:rPr>
          <w:sz w:val="24"/>
          <w:szCs w:val="24"/>
        </w:rPr>
        <w:t xml:space="preserve"> attempted to arrive at a system of gestures that he believed to be universally meaningful. Carrie J. Preston inferred that </w:t>
      </w:r>
      <w:proofErr w:type="spellStart"/>
      <w:r w:rsidRPr="00C53883">
        <w:rPr>
          <w:sz w:val="24"/>
          <w:szCs w:val="24"/>
        </w:rPr>
        <w:t>Delsarte’s</w:t>
      </w:r>
      <w:proofErr w:type="spellEnd"/>
      <w:r w:rsidRPr="00C53883">
        <w:rPr>
          <w:sz w:val="24"/>
          <w:szCs w:val="24"/>
        </w:rPr>
        <w:t xml:space="preserve"> own use of the term “semeiotics,” which he defined as “the science of the organic signs</w:t>
      </w:r>
      <w:r w:rsidR="00AE63B4">
        <w:rPr>
          <w:sz w:val="24"/>
          <w:szCs w:val="24"/>
        </w:rPr>
        <w:t>,</w:t>
      </w:r>
      <w:r w:rsidRPr="00C53883">
        <w:rPr>
          <w:sz w:val="24"/>
          <w:szCs w:val="24"/>
        </w:rPr>
        <w:t>”</w:t>
      </w:r>
      <w:r w:rsidRPr="00C53883">
        <w:rPr>
          <w:rStyle w:val="FootnoteReference"/>
          <w:sz w:val="24"/>
          <w:szCs w:val="24"/>
        </w:rPr>
        <w:footnoteReference w:id="159"/>
      </w:r>
      <w:r w:rsidR="00514C90">
        <w:rPr>
          <w:sz w:val="24"/>
          <w:szCs w:val="24"/>
        </w:rPr>
        <w:t xml:space="preserve"> was similar to its la</w:t>
      </w:r>
      <w:r w:rsidRPr="00C53883">
        <w:rPr>
          <w:sz w:val="24"/>
          <w:szCs w:val="24"/>
        </w:rPr>
        <w:t xml:space="preserve">ter use in the field of structural linguistics. The system, according to Preston, was based on </w:t>
      </w:r>
      <w:proofErr w:type="spellStart"/>
      <w:r w:rsidRPr="00C53883">
        <w:rPr>
          <w:sz w:val="24"/>
          <w:szCs w:val="24"/>
        </w:rPr>
        <w:t>Delsarte’s</w:t>
      </w:r>
      <w:proofErr w:type="spellEnd"/>
      <w:r w:rsidRPr="00C53883">
        <w:rPr>
          <w:sz w:val="24"/>
          <w:szCs w:val="24"/>
        </w:rPr>
        <w:t xml:space="preserve"> own research into “the codification of gestures seen in attitudes, classical sculpture, and melodramatic acting styles.”</w:t>
      </w:r>
      <w:r w:rsidRPr="00C53883">
        <w:rPr>
          <w:rStyle w:val="FootnoteReference"/>
          <w:sz w:val="24"/>
          <w:szCs w:val="24"/>
        </w:rPr>
        <w:footnoteReference w:id="160"/>
      </w:r>
      <w:r w:rsidRPr="00C53883">
        <w:rPr>
          <w:sz w:val="24"/>
          <w:szCs w:val="24"/>
        </w:rPr>
        <w:t xml:space="preserve"> </w:t>
      </w:r>
      <w:proofErr w:type="spellStart"/>
      <w:r w:rsidRPr="00C53883">
        <w:rPr>
          <w:sz w:val="24"/>
          <w:szCs w:val="24"/>
        </w:rPr>
        <w:t>Delsarte</w:t>
      </w:r>
      <w:proofErr w:type="spellEnd"/>
      <w:r w:rsidRPr="00C53883">
        <w:rPr>
          <w:sz w:val="24"/>
          <w:szCs w:val="24"/>
        </w:rPr>
        <w:t xml:space="preserve"> took existent</w:t>
      </w:r>
      <w:r w:rsidR="00AE63B4">
        <w:rPr>
          <w:sz w:val="24"/>
          <w:szCs w:val="24"/>
        </w:rPr>
        <w:t>,</w:t>
      </w:r>
      <w:r w:rsidRPr="00C53883">
        <w:rPr>
          <w:sz w:val="24"/>
          <w:szCs w:val="24"/>
        </w:rPr>
        <w:t xml:space="preserve"> codified gestures and further standardized them, making their ascribed meanings </w:t>
      </w:r>
      <w:proofErr w:type="gramStart"/>
      <w:r w:rsidRPr="00C53883">
        <w:rPr>
          <w:sz w:val="24"/>
          <w:szCs w:val="24"/>
        </w:rPr>
        <w:lastRenderedPageBreak/>
        <w:t>unambiguous</w:t>
      </w:r>
      <w:proofErr w:type="gramEnd"/>
      <w:r w:rsidRPr="00C53883">
        <w:rPr>
          <w:sz w:val="24"/>
          <w:szCs w:val="24"/>
        </w:rPr>
        <w:t xml:space="preserve">. For, in </w:t>
      </w:r>
      <w:proofErr w:type="spellStart"/>
      <w:r w:rsidRPr="00C53883">
        <w:rPr>
          <w:sz w:val="24"/>
          <w:szCs w:val="24"/>
        </w:rPr>
        <w:t>Delsarte’s</w:t>
      </w:r>
      <w:proofErr w:type="spellEnd"/>
      <w:r w:rsidRPr="00C53883">
        <w:rPr>
          <w:sz w:val="24"/>
          <w:szCs w:val="24"/>
        </w:rPr>
        <w:t xml:space="preserve"> words, “to attain the Beautiful, one cannot do without a formula—that is, a fixed principle.”</w:t>
      </w:r>
      <w:r w:rsidRPr="00C53883">
        <w:rPr>
          <w:rStyle w:val="FootnoteReference"/>
          <w:sz w:val="24"/>
          <w:szCs w:val="24"/>
        </w:rPr>
        <w:footnoteReference w:id="161"/>
      </w:r>
    </w:p>
    <w:p w:rsidR="00C27A3E" w:rsidRPr="00C53883" w:rsidRDefault="00C27A3E" w:rsidP="00C27A3E">
      <w:pPr>
        <w:spacing w:line="480" w:lineRule="auto"/>
        <w:ind w:firstLine="720"/>
        <w:rPr>
          <w:sz w:val="24"/>
          <w:szCs w:val="24"/>
        </w:rPr>
      </w:pPr>
      <w:r w:rsidRPr="00C53883">
        <w:rPr>
          <w:sz w:val="24"/>
          <w:szCs w:val="24"/>
        </w:rPr>
        <w:t xml:space="preserve">The main inspiration and foundation for </w:t>
      </w:r>
      <w:proofErr w:type="spellStart"/>
      <w:r w:rsidRPr="00C53883">
        <w:rPr>
          <w:sz w:val="24"/>
          <w:szCs w:val="24"/>
        </w:rPr>
        <w:t>Delsarte’s</w:t>
      </w:r>
      <w:proofErr w:type="spellEnd"/>
      <w:r w:rsidRPr="00C53883">
        <w:rPr>
          <w:sz w:val="24"/>
          <w:szCs w:val="24"/>
        </w:rPr>
        <w:t xml:space="preserve"> belief in the universality of gesture came from ancient Greco-Roman statues. </w:t>
      </w:r>
      <w:proofErr w:type="spellStart"/>
      <w:r w:rsidRPr="00C53883">
        <w:rPr>
          <w:sz w:val="24"/>
          <w:szCs w:val="24"/>
        </w:rPr>
        <w:t>Delsarte’s</w:t>
      </w:r>
      <w:proofErr w:type="spellEnd"/>
      <w:r w:rsidRPr="00C53883">
        <w:rPr>
          <w:sz w:val="24"/>
          <w:szCs w:val="24"/>
        </w:rPr>
        <w:t xml:space="preserve"> co</w:t>
      </w:r>
      <w:r w:rsidR="00AE63B4">
        <w:rPr>
          <w:sz w:val="24"/>
          <w:szCs w:val="24"/>
        </w:rPr>
        <w:t>nception of “the Beautiful” derived</w:t>
      </w:r>
      <w:r w:rsidRPr="00C53883">
        <w:rPr>
          <w:sz w:val="24"/>
          <w:szCs w:val="24"/>
        </w:rPr>
        <w:t xml:space="preserve"> “exclusively from antiquity” and he believed “everything produced outside of that is miserable.”</w:t>
      </w:r>
      <w:r w:rsidRPr="00C53883">
        <w:rPr>
          <w:rStyle w:val="FootnoteReference"/>
          <w:sz w:val="24"/>
          <w:szCs w:val="24"/>
        </w:rPr>
        <w:footnoteReference w:id="162"/>
      </w:r>
      <w:r w:rsidRPr="00C53883">
        <w:rPr>
          <w:sz w:val="24"/>
          <w:szCs w:val="24"/>
        </w:rPr>
        <w:t xml:space="preserve"> These beliefs were similarly extolled by his American successors. Stebbins challenged “any one to point to a single modern work really beautiful and intrinsically artistic,” that was “not a copy of antique marbles.”</w:t>
      </w:r>
      <w:r w:rsidRPr="00C53883">
        <w:rPr>
          <w:rStyle w:val="FootnoteReference"/>
          <w:sz w:val="24"/>
          <w:szCs w:val="24"/>
        </w:rPr>
        <w:footnoteReference w:id="163"/>
      </w:r>
      <w:r w:rsidRPr="00C53883">
        <w:rPr>
          <w:sz w:val="24"/>
          <w:szCs w:val="24"/>
        </w:rPr>
        <w:t xml:space="preserve"> For Stebbins, the ideas portrayed in classical statuary were “eternal” and constituted “the only divine part of the human soul,”</w:t>
      </w:r>
      <w:r w:rsidRPr="00C53883">
        <w:rPr>
          <w:rStyle w:val="FootnoteReference"/>
          <w:sz w:val="24"/>
          <w:szCs w:val="24"/>
        </w:rPr>
        <w:footnoteReference w:id="164"/>
      </w:r>
      <w:r w:rsidRPr="00C53883">
        <w:rPr>
          <w:sz w:val="24"/>
          <w:szCs w:val="24"/>
        </w:rPr>
        <w:t xml:space="preserve"> which</w:t>
      </w:r>
      <w:r w:rsidR="00AE63B4">
        <w:rPr>
          <w:sz w:val="24"/>
          <w:szCs w:val="24"/>
        </w:rPr>
        <w:t xml:space="preserve"> served as further proof to her</w:t>
      </w:r>
      <w:r w:rsidRPr="00C53883">
        <w:rPr>
          <w:sz w:val="24"/>
          <w:szCs w:val="24"/>
        </w:rPr>
        <w:t xml:space="preserve"> “that between mental states corresponding to ideas and their physical expression there is perfect correspondence.”</w:t>
      </w:r>
      <w:r w:rsidRPr="00C53883">
        <w:rPr>
          <w:rStyle w:val="FootnoteReference"/>
          <w:sz w:val="24"/>
          <w:szCs w:val="24"/>
        </w:rPr>
        <w:footnoteReference w:id="165"/>
      </w:r>
    </w:p>
    <w:p w:rsidR="00C27A3E" w:rsidRPr="00C53883" w:rsidRDefault="00C27A3E" w:rsidP="00C27A3E">
      <w:pPr>
        <w:spacing w:line="480" w:lineRule="auto"/>
        <w:ind w:firstLine="720"/>
        <w:rPr>
          <w:sz w:val="24"/>
          <w:szCs w:val="24"/>
        </w:rPr>
      </w:pPr>
      <w:r w:rsidRPr="00C53883">
        <w:rPr>
          <w:sz w:val="24"/>
          <w:szCs w:val="24"/>
        </w:rPr>
        <w:t>For audiences then, external significations were the defining features of identity. Several twentieth-century scholarly works clarify the power of corporeal signification in sha</w:t>
      </w:r>
      <w:r w:rsidR="00514C90">
        <w:rPr>
          <w:sz w:val="24"/>
          <w:szCs w:val="24"/>
        </w:rPr>
        <w:t>ping and conveying an identity. F</w:t>
      </w:r>
      <w:r w:rsidRPr="00C53883">
        <w:rPr>
          <w:sz w:val="24"/>
          <w:szCs w:val="24"/>
        </w:rPr>
        <w:t>rom these, I argue that not only did nineteenth-century audiences perceive bodily actions and external appearances as</w:t>
      </w:r>
      <w:r w:rsidR="00514C90">
        <w:rPr>
          <w:sz w:val="24"/>
          <w:szCs w:val="24"/>
        </w:rPr>
        <w:t xml:space="preserve"> informative of others, but also</w:t>
      </w:r>
      <w:r w:rsidRPr="00C53883">
        <w:rPr>
          <w:sz w:val="24"/>
          <w:szCs w:val="24"/>
        </w:rPr>
        <w:t xml:space="preserve"> that fabrica</w:t>
      </w:r>
      <w:r>
        <w:rPr>
          <w:sz w:val="24"/>
          <w:szCs w:val="24"/>
        </w:rPr>
        <w:t>ted, performative appearance</w:t>
      </w:r>
      <w:r w:rsidR="00514C90">
        <w:rPr>
          <w:sz w:val="24"/>
          <w:szCs w:val="24"/>
        </w:rPr>
        <w:t>s</w:t>
      </w:r>
      <w:r>
        <w:rPr>
          <w:sz w:val="24"/>
          <w:szCs w:val="24"/>
        </w:rPr>
        <w:t xml:space="preserve"> were</w:t>
      </w:r>
      <w:r w:rsidRPr="00C53883">
        <w:rPr>
          <w:sz w:val="24"/>
          <w:szCs w:val="24"/>
        </w:rPr>
        <w:t xml:space="preserve"> incorporated into the Self. The knowledge of another i</w:t>
      </w:r>
      <w:r w:rsidR="00AE63B4">
        <w:rPr>
          <w:sz w:val="24"/>
          <w:szCs w:val="24"/>
        </w:rPr>
        <w:t>s primarily gained through her or his</w:t>
      </w:r>
      <w:r w:rsidRPr="00C53883">
        <w:rPr>
          <w:sz w:val="24"/>
          <w:szCs w:val="24"/>
        </w:rPr>
        <w:t xml:space="preserve"> appearance and actions</w:t>
      </w:r>
      <w:r w:rsidR="00514C90">
        <w:rPr>
          <w:sz w:val="24"/>
          <w:szCs w:val="24"/>
        </w:rPr>
        <w:t>.</w:t>
      </w:r>
      <w:r w:rsidRPr="00C53883">
        <w:rPr>
          <w:sz w:val="24"/>
          <w:szCs w:val="24"/>
        </w:rPr>
        <w:t xml:space="preserve"> Michael </w:t>
      </w:r>
      <w:proofErr w:type="spellStart"/>
      <w:r w:rsidRPr="00C53883">
        <w:rPr>
          <w:sz w:val="24"/>
          <w:szCs w:val="24"/>
        </w:rPr>
        <w:t>Taussig</w:t>
      </w:r>
      <w:proofErr w:type="spellEnd"/>
      <w:r w:rsidRPr="00C53883">
        <w:rPr>
          <w:sz w:val="24"/>
          <w:szCs w:val="24"/>
        </w:rPr>
        <w:t xml:space="preserve"> addresses the </w:t>
      </w:r>
      <w:proofErr w:type="spellStart"/>
      <w:r w:rsidRPr="00C53883">
        <w:rPr>
          <w:sz w:val="24"/>
          <w:szCs w:val="24"/>
        </w:rPr>
        <w:t>epistemes</w:t>
      </w:r>
      <w:proofErr w:type="spellEnd"/>
      <w:r w:rsidRPr="00C53883">
        <w:rPr>
          <w:sz w:val="24"/>
          <w:szCs w:val="24"/>
        </w:rPr>
        <w:t xml:space="preserve"> built on “the notion that truth always lies behind (mere) appearance” with the aphorism that scientism misses the obvious: “daily life, however, proceeds </w:t>
      </w:r>
      <w:r w:rsidRPr="00C53883">
        <w:rPr>
          <w:sz w:val="24"/>
          <w:szCs w:val="24"/>
        </w:rPr>
        <w:lastRenderedPageBreak/>
        <w:t>otherwise.”</w:t>
      </w:r>
      <w:r w:rsidRPr="00C53883">
        <w:rPr>
          <w:rStyle w:val="FootnoteReference"/>
          <w:sz w:val="24"/>
          <w:szCs w:val="24"/>
        </w:rPr>
        <w:footnoteReference w:id="166"/>
      </w:r>
      <w:r w:rsidRPr="00C53883">
        <w:rPr>
          <w:sz w:val="24"/>
          <w:szCs w:val="24"/>
        </w:rPr>
        <w:t xml:space="preserve"> Observing appearances, as </w:t>
      </w:r>
      <w:proofErr w:type="spellStart"/>
      <w:r w:rsidRPr="00C53883">
        <w:rPr>
          <w:sz w:val="24"/>
          <w:szCs w:val="24"/>
        </w:rPr>
        <w:t>Taussig</w:t>
      </w:r>
      <w:proofErr w:type="spellEnd"/>
      <w:r w:rsidRPr="00C53883">
        <w:rPr>
          <w:sz w:val="24"/>
          <w:szCs w:val="24"/>
        </w:rPr>
        <w:t xml:space="preserve"> notes, is “an everyday art.”</w:t>
      </w:r>
      <w:r w:rsidRPr="00C53883">
        <w:rPr>
          <w:rStyle w:val="FootnoteReference"/>
          <w:sz w:val="24"/>
          <w:szCs w:val="24"/>
        </w:rPr>
        <w:footnoteReference w:id="167"/>
      </w:r>
      <w:r w:rsidRPr="00C53883">
        <w:rPr>
          <w:sz w:val="24"/>
          <w:szCs w:val="24"/>
        </w:rPr>
        <w:t xml:space="preserve"> Elisabeth Le </w:t>
      </w:r>
      <w:proofErr w:type="spellStart"/>
      <w:r w:rsidRPr="00C53883">
        <w:rPr>
          <w:sz w:val="24"/>
          <w:szCs w:val="24"/>
        </w:rPr>
        <w:t>Guin’s</w:t>
      </w:r>
      <w:proofErr w:type="spellEnd"/>
      <w:r w:rsidRPr="00C53883">
        <w:rPr>
          <w:sz w:val="24"/>
          <w:szCs w:val="24"/>
        </w:rPr>
        <w:t xml:space="preserve"> innovative work on the bodily pe</w:t>
      </w:r>
      <w:r w:rsidR="00AE63B4">
        <w:rPr>
          <w:sz w:val="24"/>
          <w:szCs w:val="24"/>
        </w:rPr>
        <w:t>rformance of Boccherini’s music</w:t>
      </w:r>
      <w:r w:rsidRPr="00C53883">
        <w:rPr>
          <w:sz w:val="24"/>
          <w:szCs w:val="24"/>
        </w:rPr>
        <w:t xml:space="preserve"> has similarly posited that “to a very great degree, Westerners experience self within the representational frameworks of what is seen.”</w:t>
      </w:r>
      <w:r w:rsidRPr="00C53883">
        <w:rPr>
          <w:rStyle w:val="FootnoteReference"/>
          <w:sz w:val="24"/>
          <w:szCs w:val="24"/>
        </w:rPr>
        <w:footnoteReference w:id="168"/>
      </w:r>
      <w:r w:rsidRPr="00C53883">
        <w:rPr>
          <w:sz w:val="24"/>
          <w:szCs w:val="24"/>
        </w:rPr>
        <w:t xml:space="preserve"> Thus, not only is sight informative of others, notions of </w:t>
      </w:r>
      <w:proofErr w:type="gramStart"/>
      <w:r w:rsidRPr="00C53883">
        <w:rPr>
          <w:sz w:val="24"/>
          <w:szCs w:val="24"/>
        </w:rPr>
        <w:t>Self</w:t>
      </w:r>
      <w:proofErr w:type="gramEnd"/>
      <w:r w:rsidRPr="00C53883">
        <w:rPr>
          <w:sz w:val="24"/>
          <w:szCs w:val="24"/>
        </w:rPr>
        <w:t xml:space="preserve"> are constructed in reference to what is seen. Le </w:t>
      </w:r>
      <w:proofErr w:type="spellStart"/>
      <w:r w:rsidRPr="00C53883">
        <w:rPr>
          <w:sz w:val="24"/>
          <w:szCs w:val="24"/>
        </w:rPr>
        <w:t>Guin</w:t>
      </w:r>
      <w:proofErr w:type="spellEnd"/>
      <w:r w:rsidRPr="00C53883">
        <w:rPr>
          <w:sz w:val="24"/>
          <w:szCs w:val="24"/>
        </w:rPr>
        <w:t xml:space="preserve"> also connects sight to the “kinesthetic experience of selfhood,”</w:t>
      </w:r>
      <w:r w:rsidRPr="00C53883">
        <w:rPr>
          <w:rStyle w:val="FootnoteReference"/>
          <w:sz w:val="24"/>
          <w:szCs w:val="24"/>
        </w:rPr>
        <w:footnoteReference w:id="169"/>
      </w:r>
      <w:r w:rsidRPr="00C53883">
        <w:rPr>
          <w:sz w:val="24"/>
          <w:szCs w:val="24"/>
        </w:rPr>
        <w:t xml:space="preserve"> where kinesthesia is defined as an “individual’s sense of himself </w:t>
      </w:r>
      <w:r w:rsidRPr="00C53883">
        <w:rPr>
          <w:i/>
          <w:sz w:val="24"/>
          <w:szCs w:val="24"/>
        </w:rPr>
        <w:t>as sensing</w:t>
      </w:r>
      <w:r w:rsidRPr="00C53883">
        <w:rPr>
          <w:sz w:val="24"/>
          <w:szCs w:val="24"/>
        </w:rPr>
        <w:t>”</w:t>
      </w:r>
      <w:r w:rsidRPr="00C53883">
        <w:rPr>
          <w:rStyle w:val="FootnoteReference"/>
          <w:sz w:val="24"/>
          <w:szCs w:val="24"/>
        </w:rPr>
        <w:footnoteReference w:id="170"/>
      </w:r>
      <w:r w:rsidRPr="00C53883">
        <w:rPr>
          <w:sz w:val="24"/>
          <w:szCs w:val="24"/>
        </w:rPr>
        <w:t>—incorporating corporeal experience in the formation of th</w:t>
      </w:r>
      <w:r w:rsidR="00514C90">
        <w:rPr>
          <w:sz w:val="24"/>
          <w:szCs w:val="24"/>
        </w:rPr>
        <w:t>e S</w:t>
      </w:r>
      <w:r w:rsidRPr="00C53883">
        <w:rPr>
          <w:sz w:val="24"/>
          <w:szCs w:val="24"/>
        </w:rPr>
        <w:t>elf. Furthermore, since performative surface actions define the body, Judith Butler argues that the ontological status of the body cannot be separated from “the various acts which constitute its reality</w:t>
      </w:r>
      <w:r w:rsidR="00AE63B4">
        <w:rPr>
          <w:sz w:val="24"/>
          <w:szCs w:val="24"/>
        </w:rPr>
        <w:t>.”</w:t>
      </w:r>
      <w:r w:rsidR="00AE63B4" w:rsidRPr="00C53883">
        <w:rPr>
          <w:rStyle w:val="FootnoteReference"/>
          <w:sz w:val="24"/>
          <w:szCs w:val="24"/>
        </w:rPr>
        <w:footnoteReference w:id="171"/>
      </w:r>
      <w:r w:rsidR="00AE63B4">
        <w:rPr>
          <w:sz w:val="24"/>
          <w:szCs w:val="24"/>
        </w:rPr>
        <w:t xml:space="preserve"> Consequently, t</w:t>
      </w:r>
      <w:r w:rsidRPr="00C53883">
        <w:rPr>
          <w:sz w:val="24"/>
          <w:szCs w:val="24"/>
        </w:rPr>
        <w:t>he interior</w:t>
      </w:r>
      <w:r w:rsidR="00AE63B4">
        <w:rPr>
          <w:sz w:val="24"/>
          <w:szCs w:val="24"/>
        </w:rPr>
        <w:t>, according to Butler,</w:t>
      </w:r>
      <w:r w:rsidRPr="00C53883">
        <w:rPr>
          <w:sz w:val="24"/>
          <w:szCs w:val="24"/>
        </w:rPr>
        <w:t xml:space="preserve"> “is an effect and function of a decidedly public and social discourse.”</w:t>
      </w:r>
      <w:r w:rsidR="00AE63B4">
        <w:rPr>
          <w:rStyle w:val="FootnoteReference"/>
          <w:sz w:val="24"/>
          <w:szCs w:val="24"/>
        </w:rPr>
        <w:footnoteReference w:id="172"/>
      </w:r>
      <w:r w:rsidRPr="00C53883">
        <w:rPr>
          <w:sz w:val="24"/>
          <w:szCs w:val="24"/>
        </w:rPr>
        <w:t xml:space="preserve"> Viewing others and being seen by others becomes a discursive process that informs</w:t>
      </w:r>
      <w:r w:rsidR="00F3534B">
        <w:rPr>
          <w:sz w:val="24"/>
          <w:szCs w:val="24"/>
        </w:rPr>
        <w:t xml:space="preserve"> the Self. </w:t>
      </w:r>
      <w:r w:rsidRPr="00C53883">
        <w:rPr>
          <w:sz w:val="24"/>
          <w:szCs w:val="24"/>
        </w:rPr>
        <w:t xml:space="preserve">Thus, as performers mime an alternate identity and alter their body, this outward expression not only conveys meaning to viewers, it incorporates this sensation into their own experiential self-formation. This is where </w:t>
      </w:r>
      <w:proofErr w:type="spellStart"/>
      <w:r w:rsidRPr="00C53883">
        <w:rPr>
          <w:sz w:val="24"/>
          <w:szCs w:val="24"/>
        </w:rPr>
        <w:t>Taussig</w:t>
      </w:r>
      <w:proofErr w:type="spellEnd"/>
      <w:r w:rsidRPr="00C53883">
        <w:rPr>
          <w:sz w:val="24"/>
          <w:szCs w:val="24"/>
        </w:rPr>
        <w:t xml:space="preserve"> sees mimesis as able to transform images into “matter.”</w:t>
      </w:r>
      <w:r w:rsidRPr="00C53883">
        <w:rPr>
          <w:rStyle w:val="FootnoteReference"/>
          <w:sz w:val="24"/>
          <w:szCs w:val="24"/>
        </w:rPr>
        <w:footnoteReference w:id="173"/>
      </w:r>
    </w:p>
    <w:p w:rsidR="00C27A3E" w:rsidRPr="00C53883" w:rsidRDefault="00C27A3E" w:rsidP="00C27A3E">
      <w:pPr>
        <w:spacing w:line="480" w:lineRule="auto"/>
        <w:ind w:firstLine="720"/>
        <w:rPr>
          <w:sz w:val="24"/>
          <w:szCs w:val="24"/>
        </w:rPr>
      </w:pPr>
      <w:r w:rsidRPr="00C53883">
        <w:rPr>
          <w:sz w:val="24"/>
          <w:szCs w:val="24"/>
        </w:rPr>
        <w:t xml:space="preserve">The process of embodying an </w:t>
      </w:r>
      <w:proofErr w:type="gramStart"/>
      <w:r w:rsidRPr="00C53883">
        <w:rPr>
          <w:sz w:val="24"/>
          <w:szCs w:val="24"/>
        </w:rPr>
        <w:t>Other</w:t>
      </w:r>
      <w:proofErr w:type="gramEnd"/>
      <w:r w:rsidRPr="00C53883">
        <w:rPr>
          <w:sz w:val="24"/>
          <w:szCs w:val="24"/>
        </w:rPr>
        <w:t xml:space="preserve"> is discursive, and this discourse both defines the Self and the Other. Inviting the </w:t>
      </w:r>
      <w:proofErr w:type="gramStart"/>
      <w:r w:rsidRPr="00C53883">
        <w:rPr>
          <w:sz w:val="24"/>
          <w:szCs w:val="24"/>
        </w:rPr>
        <w:t>Othe</w:t>
      </w:r>
      <w:r w:rsidR="00AE63B4">
        <w:rPr>
          <w:sz w:val="24"/>
          <w:szCs w:val="24"/>
        </w:rPr>
        <w:t>r</w:t>
      </w:r>
      <w:proofErr w:type="gramEnd"/>
      <w:r w:rsidR="00AE63B4">
        <w:rPr>
          <w:sz w:val="24"/>
          <w:szCs w:val="24"/>
        </w:rPr>
        <w:t xml:space="preserve"> in through mimesis makes the Other</w:t>
      </w:r>
      <w:r w:rsidRPr="00C53883">
        <w:rPr>
          <w:sz w:val="24"/>
          <w:szCs w:val="24"/>
        </w:rPr>
        <w:t xml:space="preserve"> a part of the Self but </w:t>
      </w:r>
      <w:r w:rsidR="00AE63B4">
        <w:rPr>
          <w:sz w:val="24"/>
          <w:szCs w:val="24"/>
        </w:rPr>
        <w:lastRenderedPageBreak/>
        <w:t>also distinguishes it from the Self</w:t>
      </w:r>
      <w:r w:rsidRPr="00C53883">
        <w:rPr>
          <w:sz w:val="24"/>
          <w:szCs w:val="24"/>
        </w:rPr>
        <w:t xml:space="preserve">. Mimesis, according to </w:t>
      </w:r>
      <w:proofErr w:type="spellStart"/>
      <w:r w:rsidRPr="00C53883">
        <w:rPr>
          <w:sz w:val="24"/>
          <w:szCs w:val="24"/>
        </w:rPr>
        <w:t>Taussig</w:t>
      </w:r>
      <w:proofErr w:type="spellEnd"/>
      <w:r w:rsidRPr="00C53883">
        <w:rPr>
          <w:sz w:val="24"/>
          <w:szCs w:val="24"/>
        </w:rPr>
        <w:t xml:space="preserve"> is capable of “dancing between the very same and the very different,”</w:t>
      </w:r>
      <w:r w:rsidRPr="00C53883">
        <w:rPr>
          <w:rStyle w:val="FootnoteReference"/>
          <w:sz w:val="24"/>
          <w:szCs w:val="24"/>
        </w:rPr>
        <w:footnoteReference w:id="174"/>
      </w:r>
      <w:r w:rsidRPr="00C53883">
        <w:rPr>
          <w:sz w:val="24"/>
          <w:szCs w:val="24"/>
        </w:rPr>
        <w:t xml:space="preserve"> registering both as it does so. In this way, late-nineteenth-century parlor performers could both become and distance themselves from undesirable </w:t>
      </w:r>
      <w:r w:rsidR="007A5BD4">
        <w:rPr>
          <w:sz w:val="24"/>
          <w:szCs w:val="24"/>
        </w:rPr>
        <w:t>alternate identities,</w:t>
      </w:r>
      <w:r w:rsidR="00514C90">
        <w:rPr>
          <w:sz w:val="24"/>
          <w:szCs w:val="24"/>
        </w:rPr>
        <w:t xml:space="preserve"> t</w:t>
      </w:r>
      <w:r w:rsidRPr="00C53883">
        <w:rPr>
          <w:sz w:val="24"/>
          <w:szCs w:val="24"/>
        </w:rPr>
        <w:t>rying these identities on for size and holding control over them.</w:t>
      </w:r>
      <w:r w:rsidR="00AE63B4">
        <w:rPr>
          <w:sz w:val="24"/>
          <w:szCs w:val="24"/>
        </w:rPr>
        <w:t xml:space="preserve"> </w:t>
      </w:r>
      <w:r w:rsidR="007A5BD4">
        <w:rPr>
          <w:sz w:val="24"/>
          <w:szCs w:val="24"/>
        </w:rPr>
        <w:t>Accordingly, c</w:t>
      </w:r>
      <w:r w:rsidRPr="00C53883">
        <w:rPr>
          <w:sz w:val="24"/>
          <w:szCs w:val="24"/>
        </w:rPr>
        <w:t>omic songs helped form the emerging high and low distinctions, and played on both sides of them. Aaron Fox found a similar process of discursive social control in his study of a working-class Texas culture. He found a variety of strategies in play for controlling the “foolishness” of others that presented “a challenge to sociability.”</w:t>
      </w:r>
      <w:r w:rsidRPr="00C53883">
        <w:rPr>
          <w:rStyle w:val="FootnoteReference"/>
          <w:sz w:val="24"/>
          <w:szCs w:val="24"/>
        </w:rPr>
        <w:footnoteReference w:id="175"/>
      </w:r>
      <w:r w:rsidR="00CE16CE">
        <w:rPr>
          <w:sz w:val="24"/>
          <w:szCs w:val="24"/>
        </w:rPr>
        <w:t xml:space="preserve"> Here</w:t>
      </w:r>
      <w:r w:rsidRPr="00C53883">
        <w:rPr>
          <w:sz w:val="24"/>
          <w:szCs w:val="24"/>
        </w:rPr>
        <w:t xml:space="preserve"> he saw the role of “local ‘comedians’” as “artful clowns” whose “ironic self-presentations”</w:t>
      </w:r>
      <w:r w:rsidRPr="00C53883">
        <w:rPr>
          <w:rStyle w:val="FootnoteReference"/>
          <w:sz w:val="24"/>
          <w:szCs w:val="24"/>
        </w:rPr>
        <w:footnoteReference w:id="176"/>
      </w:r>
      <w:r w:rsidRPr="00C53883">
        <w:rPr>
          <w:sz w:val="24"/>
          <w:szCs w:val="24"/>
        </w:rPr>
        <w:t xml:space="preserve"> presented esta</w:t>
      </w:r>
      <w:r w:rsidR="007A5BD4">
        <w:rPr>
          <w:sz w:val="24"/>
          <w:szCs w:val="24"/>
        </w:rPr>
        <w:t xml:space="preserve">blished </w:t>
      </w:r>
      <w:proofErr w:type="spellStart"/>
      <w:r w:rsidR="007A5BD4">
        <w:rPr>
          <w:sz w:val="24"/>
          <w:szCs w:val="24"/>
        </w:rPr>
        <w:t>transgressive</w:t>
      </w:r>
      <w:proofErr w:type="spellEnd"/>
      <w:r w:rsidR="007A5BD4">
        <w:rPr>
          <w:sz w:val="24"/>
          <w:szCs w:val="24"/>
        </w:rPr>
        <w:t xml:space="preserve"> behaviors. This ironic presentation of the “foolish” acted as a method of controlling</w:t>
      </w:r>
      <w:r w:rsidRPr="00C53883">
        <w:rPr>
          <w:sz w:val="24"/>
          <w:szCs w:val="24"/>
        </w:rPr>
        <w:t xml:space="preserve"> and maintaining normative social expression. This discursive process can be seen in the nineteenth-century parlor as well. By ironic</w:t>
      </w:r>
      <w:r w:rsidR="007A5BD4">
        <w:rPr>
          <w:sz w:val="24"/>
          <w:szCs w:val="24"/>
        </w:rPr>
        <w:t>ally becoming a “foolish” O</w:t>
      </w:r>
      <w:r w:rsidR="00CE16CE">
        <w:rPr>
          <w:sz w:val="24"/>
          <w:szCs w:val="24"/>
        </w:rPr>
        <w:t>ther</w:t>
      </w:r>
      <w:r w:rsidRPr="00C53883">
        <w:rPr>
          <w:sz w:val="24"/>
          <w:szCs w:val="24"/>
        </w:rPr>
        <w:t xml:space="preserve"> and bringing </w:t>
      </w:r>
      <w:r w:rsidR="007A5BD4">
        <w:rPr>
          <w:sz w:val="24"/>
          <w:szCs w:val="24"/>
        </w:rPr>
        <w:t>this</w:t>
      </w:r>
      <w:r w:rsidRPr="00C53883">
        <w:rPr>
          <w:sz w:val="24"/>
          <w:szCs w:val="24"/>
        </w:rPr>
        <w:t xml:space="preserve"> pers</w:t>
      </w:r>
      <w:r w:rsidR="00CE16CE">
        <w:rPr>
          <w:sz w:val="24"/>
          <w:szCs w:val="24"/>
        </w:rPr>
        <w:t>ona into the parlor via mimesis</w:t>
      </w:r>
      <w:r w:rsidRPr="00C53883">
        <w:rPr>
          <w:sz w:val="24"/>
          <w:szCs w:val="24"/>
        </w:rPr>
        <w:t xml:space="preserve"> performers furthered the </w:t>
      </w:r>
      <w:r w:rsidR="00CE16CE">
        <w:rPr>
          <w:sz w:val="24"/>
          <w:szCs w:val="24"/>
        </w:rPr>
        <w:t>discourse by delineating particular behaviors as</w:t>
      </w:r>
      <w:r w:rsidRPr="00C53883">
        <w:rPr>
          <w:sz w:val="24"/>
          <w:szCs w:val="24"/>
        </w:rPr>
        <w:t xml:space="preserve"> “lowbrow.”</w:t>
      </w:r>
    </w:p>
    <w:p w:rsidR="00C27A3E" w:rsidRPr="00C53883" w:rsidRDefault="00C27A3E" w:rsidP="00C27A3E">
      <w:pPr>
        <w:spacing w:line="480" w:lineRule="auto"/>
        <w:ind w:firstLine="720"/>
        <w:rPr>
          <w:sz w:val="24"/>
          <w:szCs w:val="24"/>
        </w:rPr>
      </w:pPr>
      <w:r w:rsidRPr="00C53883">
        <w:rPr>
          <w:sz w:val="24"/>
          <w:szCs w:val="24"/>
        </w:rPr>
        <w:t xml:space="preserve">Within this understanding of the body’s signifying ability and the role of kinesthetic experience in defining the Self, the physical actions of performing comic songs held great potential for disrupting the dominant discourse. Evidence of </w:t>
      </w:r>
      <w:r>
        <w:rPr>
          <w:sz w:val="24"/>
          <w:szCs w:val="24"/>
        </w:rPr>
        <w:t xml:space="preserve">this process can be found in </w:t>
      </w:r>
      <w:r w:rsidR="001212F2">
        <w:rPr>
          <w:sz w:val="24"/>
          <w:szCs w:val="24"/>
        </w:rPr>
        <w:t xml:space="preserve">nineteenth-century </w:t>
      </w:r>
      <w:r w:rsidR="00782073">
        <w:rPr>
          <w:sz w:val="24"/>
          <w:szCs w:val="24"/>
        </w:rPr>
        <w:t>song sheet</w:t>
      </w:r>
      <w:r w:rsidRPr="00C53883">
        <w:rPr>
          <w:sz w:val="24"/>
          <w:szCs w:val="24"/>
        </w:rPr>
        <w:t>s that encouraged embodiment. Werner’s photograph guide to performing “Old Fol</w:t>
      </w:r>
      <w:r w:rsidR="001212F2">
        <w:rPr>
          <w:sz w:val="24"/>
          <w:szCs w:val="24"/>
        </w:rPr>
        <w:t>ks at Home</w:t>
      </w:r>
      <w:r w:rsidRPr="00C53883">
        <w:rPr>
          <w:sz w:val="24"/>
          <w:szCs w:val="24"/>
        </w:rPr>
        <w:t>” provide</w:t>
      </w:r>
      <w:r>
        <w:rPr>
          <w:sz w:val="24"/>
          <w:szCs w:val="24"/>
        </w:rPr>
        <w:t>s</w:t>
      </w:r>
      <w:r w:rsidRPr="00C53883">
        <w:rPr>
          <w:sz w:val="24"/>
          <w:szCs w:val="24"/>
        </w:rPr>
        <w:t xml:space="preserve"> some of the best evidence of mimet</w:t>
      </w:r>
      <w:r w:rsidR="00CE16CE">
        <w:rPr>
          <w:sz w:val="24"/>
          <w:szCs w:val="24"/>
        </w:rPr>
        <w:t>ic practices</w:t>
      </w:r>
      <w:r w:rsidRPr="00C53883">
        <w:rPr>
          <w:sz w:val="24"/>
          <w:szCs w:val="24"/>
        </w:rPr>
        <w:t xml:space="preserve">, but instructions for bodily engagement </w:t>
      </w:r>
      <w:r w:rsidR="00CE16CE">
        <w:rPr>
          <w:sz w:val="24"/>
          <w:szCs w:val="24"/>
        </w:rPr>
        <w:t>came in a variety of forms. If</w:t>
      </w:r>
      <w:r w:rsidRPr="00C53883">
        <w:rPr>
          <w:sz w:val="24"/>
          <w:szCs w:val="24"/>
        </w:rPr>
        <w:t xml:space="preserve"> </w:t>
      </w:r>
      <w:r w:rsidR="00782073">
        <w:rPr>
          <w:sz w:val="24"/>
          <w:szCs w:val="24"/>
        </w:rPr>
        <w:t>song sheet</w:t>
      </w:r>
      <w:r w:rsidRPr="00C53883">
        <w:rPr>
          <w:sz w:val="24"/>
          <w:szCs w:val="24"/>
        </w:rPr>
        <w:t xml:space="preserve"> consumer</w:t>
      </w:r>
      <w:r w:rsidR="00CE16CE">
        <w:rPr>
          <w:sz w:val="24"/>
          <w:szCs w:val="24"/>
        </w:rPr>
        <w:t>s</w:t>
      </w:r>
      <w:r w:rsidRPr="00C53883">
        <w:rPr>
          <w:sz w:val="24"/>
          <w:szCs w:val="24"/>
        </w:rPr>
        <w:t xml:space="preserve"> saw the </w:t>
      </w:r>
      <w:r w:rsidRPr="00C53883">
        <w:rPr>
          <w:sz w:val="24"/>
          <w:szCs w:val="24"/>
        </w:rPr>
        <w:lastRenderedPageBreak/>
        <w:t>song performed on stage or in another parlor, this would certainly influence their future performance. To</w:t>
      </w:r>
      <w:r w:rsidR="00F3534B">
        <w:rPr>
          <w:sz w:val="24"/>
          <w:szCs w:val="24"/>
        </w:rPr>
        <w:t xml:space="preserve">wards the end of the nineteenth </w:t>
      </w:r>
      <w:r w:rsidRPr="00C53883">
        <w:rPr>
          <w:sz w:val="24"/>
          <w:szCs w:val="24"/>
        </w:rPr>
        <w:t xml:space="preserve">century, song sheets nearly ubiquitously included elaborate cover designs, often illustrating the narrative thrust of the song, and possibly informing consumers </w:t>
      </w:r>
      <w:r w:rsidR="001212F2">
        <w:rPr>
          <w:sz w:val="24"/>
          <w:szCs w:val="24"/>
        </w:rPr>
        <w:t xml:space="preserve">about </w:t>
      </w:r>
      <w:r w:rsidRPr="00C53883">
        <w:rPr>
          <w:sz w:val="24"/>
          <w:szCs w:val="24"/>
        </w:rPr>
        <w:t>how the characters they were portraying carried themselves. Another practice, as evidenced by a January 1895 ad</w:t>
      </w:r>
      <w:r w:rsidR="001212F2">
        <w:rPr>
          <w:sz w:val="24"/>
          <w:szCs w:val="24"/>
        </w:rPr>
        <w:t>vertisement</w:t>
      </w:r>
      <w:r w:rsidRPr="00C53883">
        <w:rPr>
          <w:sz w:val="24"/>
          <w:szCs w:val="24"/>
        </w:rPr>
        <w:t xml:space="preserve"> in </w:t>
      </w:r>
      <w:r w:rsidRPr="00C53883">
        <w:rPr>
          <w:i/>
          <w:sz w:val="24"/>
          <w:szCs w:val="24"/>
        </w:rPr>
        <w:t>The Clipper,</w:t>
      </w:r>
      <w:r w:rsidRPr="00C53883">
        <w:rPr>
          <w:sz w:val="24"/>
          <w:szCs w:val="24"/>
        </w:rPr>
        <w:t xml:space="preserve"> was to include a set of “stereopticon</w:t>
      </w:r>
      <w:r w:rsidRPr="00C53883">
        <w:rPr>
          <w:rStyle w:val="FootnoteReference"/>
          <w:sz w:val="24"/>
          <w:szCs w:val="24"/>
        </w:rPr>
        <w:footnoteReference w:id="177"/>
      </w:r>
      <w:r w:rsidRPr="00C53883">
        <w:rPr>
          <w:sz w:val="24"/>
          <w:szCs w:val="24"/>
        </w:rPr>
        <w:t xml:space="preserve"> pictures…taken especially for the song.”</w:t>
      </w:r>
      <w:r w:rsidRPr="00C53883">
        <w:rPr>
          <w:rStyle w:val="FootnoteReference"/>
          <w:sz w:val="24"/>
          <w:szCs w:val="24"/>
        </w:rPr>
        <w:footnoteReference w:id="178"/>
      </w:r>
      <w:r w:rsidRPr="00C53883">
        <w:rPr>
          <w:sz w:val="24"/>
          <w:szCs w:val="24"/>
        </w:rPr>
        <w:t xml:space="preserve"> A sizeable amount of songs from this time even include written directions </w:t>
      </w:r>
      <w:r w:rsidR="001212F2">
        <w:rPr>
          <w:sz w:val="24"/>
          <w:szCs w:val="24"/>
        </w:rPr>
        <w:t>indicating</w:t>
      </w:r>
      <w:r>
        <w:rPr>
          <w:sz w:val="24"/>
          <w:szCs w:val="24"/>
        </w:rPr>
        <w:t xml:space="preserve"> exactly how to perform them.</w:t>
      </w:r>
    </w:p>
    <w:p w:rsidR="000D2963" w:rsidRDefault="00C27A3E" w:rsidP="004001C8">
      <w:pPr>
        <w:spacing w:line="480" w:lineRule="auto"/>
        <w:ind w:firstLine="720"/>
        <w:rPr>
          <w:sz w:val="24"/>
          <w:szCs w:val="24"/>
        </w:rPr>
      </w:pPr>
      <w:r w:rsidRPr="00C53883">
        <w:rPr>
          <w:sz w:val="24"/>
          <w:szCs w:val="24"/>
        </w:rPr>
        <w:t>More than notes</w:t>
      </w:r>
      <w:r w:rsidR="00CE16CE">
        <w:rPr>
          <w:sz w:val="24"/>
          <w:szCs w:val="24"/>
        </w:rPr>
        <w:t xml:space="preserve"> on a page</w:t>
      </w:r>
      <w:r w:rsidR="001212F2">
        <w:rPr>
          <w:sz w:val="24"/>
          <w:szCs w:val="24"/>
        </w:rPr>
        <w:t>, late-nineteenth-</w:t>
      </w:r>
      <w:r w:rsidRPr="00C53883">
        <w:rPr>
          <w:sz w:val="24"/>
          <w:szCs w:val="24"/>
        </w:rPr>
        <w:t>century song sheets offered guides for embodiment. The 1898 song “The Owl, Parrot, Duck and Crow,” written for “comic quartet,” is so concerned with specifying appearances that it even dictates costuming, advising that: “The quartet rendering this should as nearly as possible dress in the color of the birds they represent.”</w:t>
      </w:r>
      <w:r w:rsidRPr="00C53883">
        <w:rPr>
          <w:rStyle w:val="FootnoteReference"/>
          <w:sz w:val="24"/>
          <w:szCs w:val="24"/>
        </w:rPr>
        <w:footnoteReference w:id="179"/>
      </w:r>
      <w:r w:rsidRPr="00C53883">
        <w:rPr>
          <w:sz w:val="24"/>
          <w:szCs w:val="24"/>
        </w:rPr>
        <w:t xml:space="preserve"> Printed notes just above the staff direct the different voice parts when to face the audience and when to turn and face each other, including a moment when “Soprano, Alto and Bass [turn] t</w:t>
      </w:r>
      <w:r w:rsidR="00726EDE">
        <w:rPr>
          <w:sz w:val="24"/>
          <w:szCs w:val="24"/>
        </w:rPr>
        <w:t>o Tenor with a look of surprise</w:t>
      </w:r>
      <w:r w:rsidRPr="00C53883">
        <w:rPr>
          <w:sz w:val="24"/>
          <w:szCs w:val="24"/>
        </w:rPr>
        <w:t>”</w:t>
      </w:r>
      <w:r w:rsidR="00726EDE" w:rsidRPr="00C53883">
        <w:rPr>
          <w:rStyle w:val="FootnoteReference"/>
          <w:sz w:val="24"/>
          <w:szCs w:val="24"/>
        </w:rPr>
        <w:footnoteReference w:id="180"/>
      </w:r>
      <w:r w:rsidR="001212F2">
        <w:rPr>
          <w:sz w:val="24"/>
          <w:szCs w:val="24"/>
        </w:rPr>
        <w:t xml:space="preserve"> (see F</w:t>
      </w:r>
      <w:r w:rsidR="00B56E76">
        <w:rPr>
          <w:sz w:val="24"/>
          <w:szCs w:val="24"/>
        </w:rPr>
        <w:t>igure 2</w:t>
      </w:r>
      <w:r w:rsidR="003E6056">
        <w:rPr>
          <w:sz w:val="24"/>
          <w:szCs w:val="24"/>
        </w:rPr>
        <w:t>.1</w:t>
      </w:r>
      <w:r w:rsidR="00726EDE">
        <w:rPr>
          <w:sz w:val="24"/>
          <w:szCs w:val="24"/>
        </w:rPr>
        <w:t>).</w:t>
      </w:r>
      <w:r w:rsidRPr="00C53883">
        <w:rPr>
          <w:sz w:val="24"/>
          <w:szCs w:val="24"/>
        </w:rPr>
        <w:t xml:space="preserve"> These guided actions not only further the narrative structure, but signify emotions and moments of realization to the audience.</w:t>
      </w:r>
    </w:p>
    <w:p w:rsidR="00DB0515" w:rsidRDefault="000D2963" w:rsidP="00DB0515">
      <w:pPr>
        <w:keepNext/>
        <w:spacing w:line="480" w:lineRule="auto"/>
        <w:jc w:val="center"/>
      </w:pPr>
      <w:r w:rsidRPr="000D2963">
        <w:rPr>
          <w:noProof/>
          <w:sz w:val="24"/>
          <w:szCs w:val="24"/>
        </w:rPr>
        <w:lastRenderedPageBreak/>
        <w:drawing>
          <wp:inline distT="0" distB="0" distL="0" distR="0">
            <wp:extent cx="5943600" cy="3432175"/>
            <wp:effectExtent l="19050" t="0" r="0" b="0"/>
            <wp:docPr id="7" name="Picture 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9" cstate="print"/>
                    <a:srcRect/>
                    <a:stretch>
                      <a:fillRect/>
                    </a:stretch>
                  </pic:blipFill>
                  <pic:spPr bwMode="auto">
                    <a:xfrm>
                      <a:off x="0" y="0"/>
                      <a:ext cx="5943600" cy="3432175"/>
                    </a:xfrm>
                    <a:prstGeom prst="rect">
                      <a:avLst/>
                    </a:prstGeom>
                    <a:noFill/>
                    <a:ln w="9525">
                      <a:noFill/>
                      <a:miter lim="800000"/>
                      <a:headEnd/>
                      <a:tailEnd/>
                    </a:ln>
                  </pic:spPr>
                </pic:pic>
              </a:graphicData>
            </a:graphic>
          </wp:inline>
        </w:drawing>
      </w:r>
    </w:p>
    <w:p w:rsidR="000D2963" w:rsidRPr="00DB0515" w:rsidRDefault="00DB0515" w:rsidP="00DB0515">
      <w:pPr>
        <w:pStyle w:val="Caption"/>
        <w:jc w:val="center"/>
        <w:rPr>
          <w:b w:val="0"/>
          <w:color w:val="auto"/>
          <w:sz w:val="24"/>
          <w:szCs w:val="24"/>
        </w:rPr>
      </w:pPr>
      <w:bookmarkStart w:id="14" w:name="_Toc356413236"/>
      <w:proofErr w:type="gramStart"/>
      <w:r w:rsidRPr="00DB0515">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1</w:t>
      </w:r>
      <w:r w:rsidR="00734461">
        <w:rPr>
          <w:b w:val="0"/>
          <w:color w:val="auto"/>
          <w:sz w:val="24"/>
          <w:szCs w:val="24"/>
        </w:rPr>
        <w:fldChar w:fldCharType="end"/>
      </w:r>
      <w:bookmarkStart w:id="15" w:name="_Toc354114586"/>
      <w:r w:rsidRPr="00DB0515">
        <w:rPr>
          <w:b w:val="0"/>
          <w:color w:val="auto"/>
          <w:sz w:val="24"/>
          <w:szCs w:val="24"/>
        </w:rPr>
        <w:t xml:space="preserve"> </w:t>
      </w:r>
      <w:r w:rsidR="00CD5B36" w:rsidRPr="00DB0515">
        <w:rPr>
          <w:b w:val="0"/>
          <w:color w:val="auto"/>
          <w:sz w:val="24"/>
          <w:szCs w:val="24"/>
        </w:rPr>
        <w:t>Performance Directions in “The Owl, Parrot, Duck and Crow”</w:t>
      </w:r>
      <w:bookmarkEnd w:id="15"/>
      <w:r w:rsidR="002566BD">
        <w:rPr>
          <w:rStyle w:val="FootnoteReference"/>
          <w:b w:val="0"/>
          <w:color w:val="auto"/>
          <w:sz w:val="24"/>
          <w:szCs w:val="24"/>
        </w:rPr>
        <w:footnoteReference w:id="181"/>
      </w:r>
      <w:bookmarkEnd w:id="14"/>
    </w:p>
    <w:p w:rsidR="00CD5B36" w:rsidRPr="000D2963" w:rsidRDefault="00CD5B36" w:rsidP="00CD5B36">
      <w:pPr>
        <w:spacing w:line="240" w:lineRule="auto"/>
        <w:ind w:firstLine="720"/>
        <w:jc w:val="center"/>
        <w:rPr>
          <w:b/>
          <w:sz w:val="24"/>
          <w:szCs w:val="24"/>
        </w:rPr>
      </w:pPr>
    </w:p>
    <w:p w:rsidR="00C27A3E" w:rsidRPr="00C53883" w:rsidRDefault="00C27A3E" w:rsidP="00C27A3E">
      <w:pPr>
        <w:spacing w:line="480" w:lineRule="auto"/>
        <w:ind w:firstLine="720"/>
        <w:rPr>
          <w:sz w:val="24"/>
          <w:szCs w:val="24"/>
        </w:rPr>
      </w:pPr>
      <w:r w:rsidRPr="00C53883">
        <w:rPr>
          <w:sz w:val="24"/>
          <w:szCs w:val="24"/>
        </w:rPr>
        <w:t>Embodying the characters in these songs substantially disrupted the Victorian emphasis on the controlled, highbrow body. The comic body was frequently clumsy, grotesque, or operating outside of the law. Taking in an uncontrolled body via mimesis allowed performers a great deal of expressive freedom, giving surface to desires and actions outside accepted late-nineteenth-century societal norms. The singers of “</w:t>
      </w:r>
      <w:r w:rsidR="004001C8">
        <w:rPr>
          <w:sz w:val="24"/>
          <w:szCs w:val="24"/>
        </w:rPr>
        <w:t>The Owl, Parrot, Duck, and Crow</w:t>
      </w:r>
      <w:r w:rsidRPr="00C53883">
        <w:rPr>
          <w:sz w:val="24"/>
          <w:szCs w:val="24"/>
        </w:rPr>
        <w:t>” all express the desire to leave their bodies and live as birds, taking on their characteristics. The tenor proclaims that:</w:t>
      </w:r>
    </w:p>
    <w:p w:rsidR="00C27A3E" w:rsidRPr="00C53883" w:rsidRDefault="00C27A3E" w:rsidP="00C27A3E">
      <w:pPr>
        <w:ind w:firstLine="720"/>
        <w:contextualSpacing/>
        <w:rPr>
          <w:sz w:val="24"/>
          <w:szCs w:val="24"/>
        </w:rPr>
      </w:pPr>
      <w:r w:rsidRPr="00C53883">
        <w:rPr>
          <w:sz w:val="24"/>
          <w:szCs w:val="24"/>
        </w:rPr>
        <w:t xml:space="preserve">A crow I would be and the farmers defy, </w:t>
      </w:r>
      <w:proofErr w:type="gramStart"/>
      <w:r w:rsidRPr="00C53883">
        <w:rPr>
          <w:sz w:val="24"/>
          <w:szCs w:val="24"/>
        </w:rPr>
        <w:t>In</w:t>
      </w:r>
      <w:proofErr w:type="gramEnd"/>
      <w:r w:rsidRPr="00C53883">
        <w:rPr>
          <w:sz w:val="24"/>
          <w:szCs w:val="24"/>
        </w:rPr>
        <w:t xml:space="preserve"> corn planting time in the spring….</w:t>
      </w:r>
    </w:p>
    <w:p w:rsidR="00C27A3E" w:rsidRPr="00C53883" w:rsidRDefault="00C27A3E" w:rsidP="00C27A3E">
      <w:pPr>
        <w:ind w:firstLine="720"/>
        <w:contextualSpacing/>
        <w:rPr>
          <w:sz w:val="24"/>
          <w:szCs w:val="24"/>
        </w:rPr>
      </w:pPr>
      <w:r w:rsidRPr="00C53883">
        <w:rPr>
          <w:sz w:val="24"/>
          <w:szCs w:val="24"/>
        </w:rPr>
        <w:t>Their fields I would rob, then away I would fly, and high in some tree top sing.</w:t>
      </w:r>
      <w:r w:rsidRPr="00C53883">
        <w:rPr>
          <w:rStyle w:val="FootnoteReference"/>
          <w:sz w:val="24"/>
          <w:szCs w:val="24"/>
        </w:rPr>
        <w:footnoteReference w:id="182"/>
      </w:r>
    </w:p>
    <w:p w:rsidR="00C27A3E" w:rsidRPr="00C53883" w:rsidRDefault="00C27A3E" w:rsidP="00C27A3E">
      <w:pPr>
        <w:contextualSpacing/>
        <w:rPr>
          <w:sz w:val="24"/>
          <w:szCs w:val="24"/>
        </w:rPr>
      </w:pPr>
    </w:p>
    <w:p w:rsidR="00C27A3E" w:rsidRDefault="00C27A3E" w:rsidP="00C27A3E">
      <w:pPr>
        <w:spacing w:line="480" w:lineRule="auto"/>
        <w:contextualSpacing/>
        <w:rPr>
          <w:sz w:val="24"/>
          <w:szCs w:val="24"/>
        </w:rPr>
      </w:pPr>
      <w:r w:rsidRPr="00C53883">
        <w:rPr>
          <w:sz w:val="24"/>
          <w:szCs w:val="24"/>
        </w:rPr>
        <w:lastRenderedPageBreak/>
        <w:t>At the end of the piece, the cross-species identification reaches a zenith as the singers erupt into a chorus of mimed bird calls</w:t>
      </w:r>
      <w:r w:rsidR="001212F2">
        <w:rPr>
          <w:sz w:val="24"/>
          <w:szCs w:val="24"/>
        </w:rPr>
        <w:t xml:space="preserve"> (see F</w:t>
      </w:r>
      <w:r w:rsidR="003E6056">
        <w:rPr>
          <w:sz w:val="24"/>
          <w:szCs w:val="24"/>
        </w:rPr>
        <w:t>igure 2.2)</w:t>
      </w:r>
      <w:r w:rsidRPr="00C53883">
        <w:rPr>
          <w:sz w:val="24"/>
          <w:szCs w:val="24"/>
        </w:rPr>
        <w:t>. This comical cacophony does not embody a desired genteel identity or display refinement.</w:t>
      </w:r>
      <w:r w:rsidR="004001C8">
        <w:rPr>
          <w:sz w:val="24"/>
          <w:szCs w:val="24"/>
        </w:rPr>
        <w:t xml:space="preserve"> Instead, i</w:t>
      </w:r>
      <w:r w:rsidRPr="00C53883">
        <w:rPr>
          <w:sz w:val="24"/>
          <w:szCs w:val="24"/>
        </w:rPr>
        <w:t xml:space="preserve">t disrupts this discourse as it brings </w:t>
      </w:r>
      <w:r>
        <w:rPr>
          <w:sz w:val="24"/>
          <w:szCs w:val="24"/>
        </w:rPr>
        <w:t xml:space="preserve">the </w:t>
      </w:r>
      <w:r w:rsidRPr="00C53883">
        <w:rPr>
          <w:sz w:val="24"/>
          <w:szCs w:val="24"/>
        </w:rPr>
        <w:t xml:space="preserve">uncouth </w:t>
      </w:r>
      <w:proofErr w:type="gramStart"/>
      <w:r w:rsidRPr="00C53883">
        <w:rPr>
          <w:sz w:val="24"/>
          <w:szCs w:val="24"/>
        </w:rPr>
        <w:t>Other</w:t>
      </w:r>
      <w:proofErr w:type="gramEnd"/>
      <w:r w:rsidRPr="00C53883">
        <w:rPr>
          <w:sz w:val="24"/>
          <w:szCs w:val="24"/>
        </w:rPr>
        <w:t xml:space="preserve"> into the Self.</w:t>
      </w:r>
    </w:p>
    <w:p w:rsidR="00DB0515" w:rsidRDefault="00DB0515" w:rsidP="00C27A3E">
      <w:pPr>
        <w:spacing w:line="480" w:lineRule="auto"/>
        <w:contextualSpacing/>
        <w:rPr>
          <w:sz w:val="24"/>
          <w:szCs w:val="24"/>
        </w:rPr>
      </w:pPr>
    </w:p>
    <w:p w:rsidR="00DB0515" w:rsidRDefault="00DB0515" w:rsidP="00DB0515">
      <w:pPr>
        <w:keepNext/>
        <w:spacing w:line="480" w:lineRule="auto"/>
        <w:contextualSpacing/>
        <w:jc w:val="center"/>
      </w:pPr>
      <w:r w:rsidRPr="00DB0515">
        <w:rPr>
          <w:noProof/>
          <w:sz w:val="24"/>
          <w:szCs w:val="24"/>
        </w:rPr>
        <w:drawing>
          <wp:inline distT="0" distB="0" distL="0" distR="0">
            <wp:extent cx="5943600" cy="3552825"/>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35843" name="Picture 3"/>
                    <pic:cNvPicPr>
                      <a:picLocks noChangeAspect="1" noChangeArrowheads="1"/>
                    </pic:cNvPicPr>
                  </pic:nvPicPr>
                  <pic:blipFill>
                    <a:blip r:embed="rId10" cstate="print"/>
                    <a:srcRect/>
                    <a:stretch>
                      <a:fillRect/>
                    </a:stretch>
                  </pic:blipFill>
                  <pic:spPr bwMode="auto">
                    <a:xfrm>
                      <a:off x="0" y="0"/>
                      <a:ext cx="5943600" cy="3552825"/>
                    </a:xfrm>
                    <a:prstGeom prst="rect">
                      <a:avLst/>
                    </a:prstGeom>
                    <a:noFill/>
                    <a:ln w="9525">
                      <a:noFill/>
                      <a:miter lim="800000"/>
                      <a:headEnd/>
                      <a:tailEnd/>
                    </a:ln>
                  </pic:spPr>
                </pic:pic>
              </a:graphicData>
            </a:graphic>
          </wp:inline>
        </w:drawing>
      </w:r>
    </w:p>
    <w:p w:rsidR="00DB0515" w:rsidRPr="00DB0515" w:rsidRDefault="00DB0515" w:rsidP="00DB0515">
      <w:pPr>
        <w:pStyle w:val="Caption"/>
        <w:jc w:val="center"/>
        <w:rPr>
          <w:b w:val="0"/>
          <w:color w:val="auto"/>
          <w:sz w:val="24"/>
          <w:szCs w:val="24"/>
        </w:rPr>
      </w:pPr>
      <w:bookmarkStart w:id="16" w:name="_Toc356413237"/>
      <w:proofErr w:type="gramStart"/>
      <w:r w:rsidRPr="00DB0515">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Pr="00DB0515">
        <w:rPr>
          <w:b w:val="0"/>
          <w:color w:val="auto"/>
          <w:sz w:val="24"/>
          <w:szCs w:val="24"/>
        </w:rPr>
        <w:t xml:space="preserve"> Mimed Bird Calls</w:t>
      </w:r>
      <w:r>
        <w:rPr>
          <w:b w:val="0"/>
          <w:color w:val="auto"/>
          <w:sz w:val="24"/>
          <w:szCs w:val="24"/>
        </w:rPr>
        <w:t xml:space="preserve"> in </w:t>
      </w:r>
      <w:r w:rsidR="004001C8">
        <w:rPr>
          <w:b w:val="0"/>
          <w:color w:val="auto"/>
          <w:sz w:val="24"/>
          <w:szCs w:val="24"/>
        </w:rPr>
        <w:t>“The Owl, Parrot, Duck and Crow</w:t>
      </w:r>
      <w:r w:rsidRPr="00DB0515">
        <w:rPr>
          <w:b w:val="0"/>
          <w:color w:val="auto"/>
          <w:sz w:val="24"/>
          <w:szCs w:val="24"/>
        </w:rPr>
        <w:t>”</w:t>
      </w:r>
      <w:r w:rsidR="003E6056">
        <w:rPr>
          <w:rStyle w:val="FootnoteReference"/>
          <w:b w:val="0"/>
          <w:color w:val="auto"/>
          <w:sz w:val="24"/>
          <w:szCs w:val="24"/>
        </w:rPr>
        <w:footnoteReference w:id="183"/>
      </w:r>
      <w:bookmarkEnd w:id="16"/>
    </w:p>
    <w:p w:rsidR="00DB0515" w:rsidRDefault="00DB0515" w:rsidP="00C27A3E">
      <w:pPr>
        <w:spacing w:line="480" w:lineRule="auto"/>
        <w:contextualSpacing/>
        <w:rPr>
          <w:sz w:val="24"/>
          <w:szCs w:val="24"/>
        </w:rPr>
      </w:pPr>
    </w:p>
    <w:p w:rsidR="00C27A3E" w:rsidRPr="00C53883" w:rsidRDefault="00C27A3E" w:rsidP="00C27A3E">
      <w:pPr>
        <w:spacing w:line="480" w:lineRule="auto"/>
        <w:ind w:firstLine="720"/>
        <w:rPr>
          <w:sz w:val="24"/>
          <w:szCs w:val="24"/>
        </w:rPr>
      </w:pPr>
      <w:r w:rsidRPr="00C53883">
        <w:rPr>
          <w:sz w:val="24"/>
          <w:szCs w:val="24"/>
        </w:rPr>
        <w:t>The explicit instructions found in co</w:t>
      </w:r>
      <w:r>
        <w:rPr>
          <w:sz w:val="24"/>
          <w:szCs w:val="24"/>
        </w:rPr>
        <w:t>mic songs</w:t>
      </w:r>
      <w:r w:rsidRPr="00C53883">
        <w:rPr>
          <w:sz w:val="24"/>
          <w:szCs w:val="24"/>
        </w:rPr>
        <w:t xml:space="preserve"> operate discursively, and as performers take</w:t>
      </w:r>
      <w:r>
        <w:rPr>
          <w:sz w:val="24"/>
          <w:szCs w:val="24"/>
        </w:rPr>
        <w:t xml:space="preserve"> in</w:t>
      </w:r>
      <w:r w:rsidRPr="00C53883">
        <w:rPr>
          <w:sz w:val="24"/>
          <w:szCs w:val="24"/>
        </w:rPr>
        <w:t xml:space="preserve"> the characteristics of an uncontrolled, socially free body, they simultaneously reinforce the emphasis on the control of the body. Indeed, much of the humor of nineteenth-century comic songs came from their presentation and mocking of the usually undesirable or imperfect. </w:t>
      </w:r>
      <w:r w:rsidRPr="00C53883">
        <w:rPr>
          <w:sz w:val="24"/>
          <w:szCs w:val="24"/>
        </w:rPr>
        <w:lastRenderedPageBreak/>
        <w:t>For example, the central joke o</w:t>
      </w:r>
      <w:r w:rsidR="004001C8">
        <w:rPr>
          <w:sz w:val="24"/>
          <w:szCs w:val="24"/>
        </w:rPr>
        <w:t>f the 1885 song, “Old King Joel:</w:t>
      </w:r>
      <w:r w:rsidRPr="00C53883">
        <w:rPr>
          <w:sz w:val="24"/>
          <w:szCs w:val="24"/>
        </w:rPr>
        <w:t xml:space="preserve"> The </w:t>
      </w:r>
      <w:r w:rsidR="004001C8">
        <w:rPr>
          <w:sz w:val="24"/>
          <w:szCs w:val="24"/>
        </w:rPr>
        <w:t>Comic Gaping Song</w:t>
      </w:r>
      <w:r>
        <w:rPr>
          <w:sz w:val="24"/>
          <w:szCs w:val="24"/>
        </w:rPr>
        <w:t>” comes</w:t>
      </w:r>
      <w:r w:rsidRPr="00C53883">
        <w:rPr>
          <w:sz w:val="24"/>
          <w:szCs w:val="24"/>
        </w:rPr>
        <w:t xml:space="preserve"> from the title character constantly letting his mouth hang agape. During the chorus, the performer mimes this behavior, as the song sheet</w:t>
      </w:r>
      <w:r>
        <w:rPr>
          <w:sz w:val="24"/>
          <w:szCs w:val="24"/>
        </w:rPr>
        <w:t xml:space="preserve"> explicitly instructs them to “Gape</w:t>
      </w:r>
      <w:r w:rsidRPr="00C53883">
        <w:rPr>
          <w:sz w:val="24"/>
          <w:szCs w:val="24"/>
        </w:rPr>
        <w:t>”</w:t>
      </w:r>
      <w:r w:rsidRPr="00C53883">
        <w:rPr>
          <w:rStyle w:val="FootnoteReference"/>
          <w:sz w:val="24"/>
          <w:szCs w:val="24"/>
        </w:rPr>
        <w:footnoteReference w:id="184"/>
      </w:r>
      <w:r w:rsidRPr="00C53883">
        <w:rPr>
          <w:sz w:val="24"/>
          <w:szCs w:val="24"/>
        </w:rPr>
        <w:t xml:space="preserve"> after every couplet. By embodying this behavior, and putting it on display as a subject of ridicule, parlor performers gained control over </w:t>
      </w:r>
      <w:r w:rsidR="004001C8">
        <w:rPr>
          <w:sz w:val="24"/>
          <w:szCs w:val="24"/>
        </w:rPr>
        <w:t>this behavior, potentially censu</w:t>
      </w:r>
      <w:r w:rsidRPr="00C53883">
        <w:rPr>
          <w:sz w:val="24"/>
          <w:szCs w:val="24"/>
        </w:rPr>
        <w:t>ring it.</w:t>
      </w:r>
    </w:p>
    <w:p w:rsidR="00726EDE" w:rsidRDefault="00C27A3E" w:rsidP="00C27A3E">
      <w:pPr>
        <w:spacing w:line="480" w:lineRule="auto"/>
        <w:contextualSpacing/>
        <w:rPr>
          <w:sz w:val="24"/>
          <w:szCs w:val="24"/>
        </w:rPr>
      </w:pPr>
      <w:r>
        <w:rPr>
          <w:sz w:val="24"/>
          <w:szCs w:val="24"/>
        </w:rPr>
        <w:tab/>
        <w:t xml:space="preserve">Comic songs did not just address abnormal bodies, but abnormal, </w:t>
      </w:r>
      <w:r w:rsidR="00782073">
        <w:rPr>
          <w:sz w:val="24"/>
          <w:szCs w:val="24"/>
        </w:rPr>
        <w:t>lowbrow</w:t>
      </w:r>
      <w:r>
        <w:rPr>
          <w:sz w:val="24"/>
          <w:szCs w:val="24"/>
        </w:rPr>
        <w:t xml:space="preserve"> behaviors. </w:t>
      </w:r>
      <w:r w:rsidRPr="00C53883">
        <w:rPr>
          <w:sz w:val="24"/>
          <w:szCs w:val="24"/>
        </w:rPr>
        <w:t>A prime example of the explicit instruction to embody a lowbrow identity comes from F. Belasco’s 1886 song, “He’s the Picture of His Daddy in a 1000 Different Wa</w:t>
      </w:r>
      <w:r w:rsidR="004001C8">
        <w:rPr>
          <w:sz w:val="24"/>
          <w:szCs w:val="24"/>
        </w:rPr>
        <w:t xml:space="preserve">ys!” wherein a child imitates </w:t>
      </w:r>
      <w:r>
        <w:rPr>
          <w:sz w:val="24"/>
          <w:szCs w:val="24"/>
        </w:rPr>
        <w:t>e</w:t>
      </w:r>
      <w:r w:rsidR="004001C8">
        <w:rPr>
          <w:sz w:val="24"/>
          <w:szCs w:val="24"/>
        </w:rPr>
        <w:t>very behavior of his father. The</w:t>
      </w:r>
      <w:r>
        <w:rPr>
          <w:sz w:val="24"/>
          <w:szCs w:val="24"/>
        </w:rPr>
        <w:t xml:space="preserve">se behaviors include such transgressions as smoking </w:t>
      </w:r>
      <w:r w:rsidR="00CE16CE">
        <w:rPr>
          <w:sz w:val="24"/>
          <w:szCs w:val="24"/>
        </w:rPr>
        <w:t>his “best cigar,” drinking his rum, stealing his chickens,</w:t>
      </w:r>
      <w:r>
        <w:rPr>
          <w:sz w:val="24"/>
          <w:szCs w:val="24"/>
        </w:rPr>
        <w:t xml:space="preserve"> and pawning his watch to buy “whiskey Scotch.”</w:t>
      </w:r>
      <w:r>
        <w:rPr>
          <w:rStyle w:val="FootnoteReference"/>
          <w:sz w:val="24"/>
          <w:szCs w:val="24"/>
        </w:rPr>
        <w:footnoteReference w:id="185"/>
      </w:r>
      <w:r>
        <w:rPr>
          <w:sz w:val="24"/>
          <w:szCs w:val="24"/>
        </w:rPr>
        <w:t xml:space="preserve"> </w:t>
      </w:r>
      <w:r w:rsidRPr="00C53883">
        <w:rPr>
          <w:sz w:val="24"/>
          <w:szCs w:val="24"/>
        </w:rPr>
        <w:t>The explicit physical instructions of this example come in</w:t>
      </w:r>
      <w:r w:rsidR="004001C8">
        <w:rPr>
          <w:sz w:val="24"/>
          <w:szCs w:val="24"/>
        </w:rPr>
        <w:t xml:space="preserve"> the form of parenthetical asides</w:t>
      </w:r>
      <w:r w:rsidRPr="00C53883">
        <w:rPr>
          <w:sz w:val="24"/>
          <w:szCs w:val="24"/>
        </w:rPr>
        <w:t xml:space="preserve"> given during rests in the vocal line. In the third verse, after singing the line “and here’s the way he tries to walk,” the performer is told </w:t>
      </w:r>
      <w:r w:rsidR="004001C8">
        <w:rPr>
          <w:sz w:val="24"/>
          <w:szCs w:val="24"/>
        </w:rPr>
        <w:t>during</w:t>
      </w:r>
      <w:r>
        <w:rPr>
          <w:sz w:val="24"/>
          <w:szCs w:val="24"/>
        </w:rPr>
        <w:t xml:space="preserve"> two bars of rest to “Hop and Skip</w:t>
      </w:r>
      <w:r w:rsidRPr="00C53883">
        <w:rPr>
          <w:sz w:val="24"/>
          <w:szCs w:val="24"/>
        </w:rPr>
        <w:t>”</w:t>
      </w:r>
      <w:r w:rsidRPr="00C53883">
        <w:rPr>
          <w:rStyle w:val="FootnoteReference"/>
          <w:sz w:val="24"/>
          <w:szCs w:val="24"/>
        </w:rPr>
        <w:footnoteReference w:id="186"/>
      </w:r>
      <w:r w:rsidR="001212F2">
        <w:rPr>
          <w:sz w:val="24"/>
          <w:szCs w:val="24"/>
        </w:rPr>
        <w:t xml:space="preserve"> (see F</w:t>
      </w:r>
      <w:r w:rsidR="003E6056">
        <w:rPr>
          <w:sz w:val="24"/>
          <w:szCs w:val="24"/>
        </w:rPr>
        <w:t>igure 2.3</w:t>
      </w:r>
      <w:r w:rsidR="00296604">
        <w:rPr>
          <w:sz w:val="24"/>
          <w:szCs w:val="24"/>
        </w:rPr>
        <w:t>).</w:t>
      </w:r>
      <w:r w:rsidRPr="00C53883">
        <w:rPr>
          <w:sz w:val="24"/>
          <w:szCs w:val="24"/>
        </w:rPr>
        <w:t xml:space="preserve"> The comic nature of the song, and that it is meant to be an impression of the “way he </w:t>
      </w:r>
      <w:r w:rsidRPr="00C53883">
        <w:rPr>
          <w:i/>
          <w:sz w:val="24"/>
          <w:szCs w:val="24"/>
        </w:rPr>
        <w:t xml:space="preserve">tries </w:t>
      </w:r>
      <w:r w:rsidRPr="00C53883">
        <w:rPr>
          <w:sz w:val="24"/>
          <w:szCs w:val="24"/>
        </w:rPr>
        <w:t>to walk</w:t>
      </w:r>
      <w:r w:rsidR="004001C8">
        <w:rPr>
          <w:sz w:val="24"/>
          <w:szCs w:val="24"/>
        </w:rPr>
        <w:t>,</w:t>
      </w:r>
      <w:r w:rsidRPr="00C53883">
        <w:rPr>
          <w:sz w:val="24"/>
          <w:szCs w:val="24"/>
        </w:rPr>
        <w:t>”</w:t>
      </w:r>
      <w:r w:rsidRPr="00C53883">
        <w:rPr>
          <w:rStyle w:val="FootnoteReference"/>
          <w:sz w:val="24"/>
          <w:szCs w:val="24"/>
        </w:rPr>
        <w:footnoteReference w:id="187"/>
      </w:r>
      <w:r w:rsidRPr="00C53883">
        <w:rPr>
          <w:sz w:val="24"/>
          <w:szCs w:val="24"/>
        </w:rPr>
        <w:t xml:space="preserve"> suggests that the hopping and skipping would likely be exaggerated</w:t>
      </w:r>
      <w:r w:rsidR="00F3534B">
        <w:rPr>
          <w:sz w:val="24"/>
          <w:szCs w:val="24"/>
        </w:rPr>
        <w:t>ly inelegant.</w:t>
      </w:r>
      <w:r w:rsidRPr="00C53883">
        <w:rPr>
          <w:sz w:val="24"/>
          <w:szCs w:val="24"/>
        </w:rPr>
        <w:t xml:space="preserve"> A few lines later, after singing “and here’s the way he tries to talk,” the performer is instructed to speak “</w:t>
      </w:r>
      <w:proofErr w:type="spellStart"/>
      <w:r w:rsidRPr="00C53883">
        <w:rPr>
          <w:sz w:val="24"/>
          <w:szCs w:val="24"/>
        </w:rPr>
        <w:t>th-th-thay</w:t>
      </w:r>
      <w:proofErr w:type="spellEnd"/>
      <w:r w:rsidRPr="00C53883">
        <w:rPr>
          <w:sz w:val="24"/>
          <w:szCs w:val="24"/>
        </w:rPr>
        <w:t xml:space="preserve"> girls, </w:t>
      </w:r>
      <w:proofErr w:type="spellStart"/>
      <w:r w:rsidRPr="00C53883">
        <w:rPr>
          <w:sz w:val="24"/>
          <w:szCs w:val="24"/>
        </w:rPr>
        <w:t>aint</w:t>
      </w:r>
      <w:proofErr w:type="spellEnd"/>
      <w:r w:rsidRPr="00C53883">
        <w:rPr>
          <w:sz w:val="24"/>
          <w:szCs w:val="24"/>
        </w:rPr>
        <w:t xml:space="preserve"> I t-</w:t>
      </w:r>
      <w:proofErr w:type="spellStart"/>
      <w:r w:rsidRPr="00C53883">
        <w:rPr>
          <w:sz w:val="24"/>
          <w:szCs w:val="24"/>
        </w:rPr>
        <w:t>t’hweet</w:t>
      </w:r>
      <w:proofErr w:type="spellEnd"/>
      <w:r w:rsidRPr="00C53883">
        <w:rPr>
          <w:sz w:val="24"/>
          <w:szCs w:val="24"/>
        </w:rPr>
        <w:t>,”</w:t>
      </w:r>
      <w:r w:rsidRPr="00C53883">
        <w:rPr>
          <w:rStyle w:val="FootnoteReference"/>
          <w:sz w:val="24"/>
          <w:szCs w:val="24"/>
        </w:rPr>
        <w:footnoteReference w:id="188"/>
      </w:r>
      <w:r w:rsidRPr="00C53883">
        <w:rPr>
          <w:sz w:val="24"/>
          <w:szCs w:val="24"/>
        </w:rPr>
        <w:t xml:space="preserve"> with an exaggerated stutter and lisp</w:t>
      </w:r>
      <w:r w:rsidR="00F3534B">
        <w:rPr>
          <w:sz w:val="24"/>
          <w:szCs w:val="24"/>
        </w:rPr>
        <w:t xml:space="preserve">. </w:t>
      </w:r>
      <w:r w:rsidRPr="00C53883">
        <w:rPr>
          <w:sz w:val="24"/>
          <w:szCs w:val="24"/>
        </w:rPr>
        <w:t>By outwardly manifesting such behaviors as stumbling and stuttering</w:t>
      </w:r>
      <w:r w:rsidR="004001C8">
        <w:rPr>
          <w:sz w:val="24"/>
          <w:szCs w:val="24"/>
        </w:rPr>
        <w:t>,</w:t>
      </w:r>
      <w:r w:rsidRPr="00C53883">
        <w:rPr>
          <w:sz w:val="24"/>
          <w:szCs w:val="24"/>
        </w:rPr>
        <w:t xml:space="preserve"> the performer embodies </w:t>
      </w:r>
      <w:r w:rsidRPr="00C53883">
        <w:rPr>
          <w:sz w:val="24"/>
          <w:szCs w:val="24"/>
        </w:rPr>
        <w:lastRenderedPageBreak/>
        <w:t>the clumsy characteristics of an</w:t>
      </w:r>
      <w:r w:rsidR="004001C8">
        <w:rPr>
          <w:sz w:val="24"/>
          <w:szCs w:val="24"/>
        </w:rPr>
        <w:t xml:space="preserve"> uncontrolled body. E</w:t>
      </w:r>
      <w:r w:rsidRPr="00C53883">
        <w:rPr>
          <w:sz w:val="24"/>
          <w:szCs w:val="24"/>
        </w:rPr>
        <w:t>mbodying this character disrupts the Victorian emphasis on the control of the body, which in turn signified a highbrow identity.</w:t>
      </w:r>
    </w:p>
    <w:p w:rsidR="00F20DD4" w:rsidRDefault="00F20DD4" w:rsidP="00C27A3E">
      <w:pPr>
        <w:spacing w:line="480" w:lineRule="auto"/>
        <w:contextualSpacing/>
        <w:rPr>
          <w:sz w:val="24"/>
          <w:szCs w:val="24"/>
        </w:rPr>
      </w:pPr>
    </w:p>
    <w:p w:rsidR="00F20DD4" w:rsidRDefault="00F20DD4" w:rsidP="00C27A3E">
      <w:pPr>
        <w:spacing w:line="480" w:lineRule="auto"/>
        <w:contextualSpacing/>
        <w:rPr>
          <w:sz w:val="24"/>
          <w:szCs w:val="24"/>
        </w:rPr>
      </w:pPr>
    </w:p>
    <w:p w:rsidR="00DB0515" w:rsidRDefault="00726EDE" w:rsidP="00DB0515">
      <w:pPr>
        <w:keepNext/>
        <w:spacing w:line="480" w:lineRule="auto"/>
      </w:pPr>
      <w:r>
        <w:rPr>
          <w:noProof/>
          <w:sz w:val="24"/>
          <w:szCs w:val="24"/>
        </w:rPr>
        <w:drawing>
          <wp:inline distT="0" distB="0" distL="0" distR="0">
            <wp:extent cx="5857875" cy="2332175"/>
            <wp:effectExtent l="19050" t="0" r="9525"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857875" cy="2332175"/>
                    </a:xfrm>
                    <a:prstGeom prst="rect">
                      <a:avLst/>
                    </a:prstGeom>
                    <a:noFill/>
                    <a:ln w="9525">
                      <a:noFill/>
                      <a:miter lim="800000"/>
                      <a:headEnd/>
                      <a:tailEnd/>
                    </a:ln>
                  </pic:spPr>
                </pic:pic>
              </a:graphicData>
            </a:graphic>
          </wp:inline>
        </w:drawing>
      </w:r>
    </w:p>
    <w:p w:rsidR="000D2963" w:rsidRPr="00DB0515" w:rsidRDefault="00DB0515" w:rsidP="00DB0515">
      <w:pPr>
        <w:pStyle w:val="Caption"/>
        <w:jc w:val="center"/>
        <w:rPr>
          <w:b w:val="0"/>
          <w:color w:val="auto"/>
          <w:sz w:val="24"/>
          <w:szCs w:val="24"/>
        </w:rPr>
      </w:pPr>
      <w:bookmarkStart w:id="17" w:name="_Toc356413238"/>
      <w:proofErr w:type="gramStart"/>
      <w:r w:rsidRPr="00DB0515">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bookmarkStart w:id="18" w:name="_Toc354114587"/>
      <w:r w:rsidRPr="00DB0515">
        <w:rPr>
          <w:b w:val="0"/>
          <w:color w:val="auto"/>
          <w:sz w:val="24"/>
          <w:szCs w:val="24"/>
        </w:rPr>
        <w:t xml:space="preserve"> </w:t>
      </w:r>
      <w:r w:rsidR="00CD5B36" w:rsidRPr="00DB0515">
        <w:rPr>
          <w:b w:val="0"/>
          <w:color w:val="auto"/>
          <w:sz w:val="24"/>
          <w:szCs w:val="24"/>
        </w:rPr>
        <w:t>Examples of Mimesis in “He’s the Picture of His Daddy in 1000 Different Ways!”</w:t>
      </w:r>
      <w:bookmarkEnd w:id="18"/>
      <w:r w:rsidR="003E6056">
        <w:rPr>
          <w:rStyle w:val="FootnoteReference"/>
          <w:b w:val="0"/>
          <w:color w:val="auto"/>
          <w:sz w:val="24"/>
          <w:szCs w:val="24"/>
        </w:rPr>
        <w:footnoteReference w:id="189"/>
      </w:r>
      <w:bookmarkEnd w:id="17"/>
    </w:p>
    <w:p w:rsidR="000D2963" w:rsidRPr="00726EDE" w:rsidRDefault="000D2963" w:rsidP="00726EDE">
      <w:pPr>
        <w:spacing w:line="480" w:lineRule="auto"/>
        <w:jc w:val="center"/>
        <w:rPr>
          <w:b/>
          <w:sz w:val="24"/>
          <w:szCs w:val="24"/>
        </w:rPr>
      </w:pPr>
    </w:p>
    <w:p w:rsidR="00C27A3E" w:rsidRPr="00C53883" w:rsidRDefault="00C27A3E" w:rsidP="00726EDE">
      <w:pPr>
        <w:spacing w:line="480" w:lineRule="auto"/>
        <w:ind w:firstLine="720"/>
        <w:rPr>
          <w:sz w:val="24"/>
          <w:szCs w:val="24"/>
        </w:rPr>
      </w:pPr>
      <w:r w:rsidRPr="00C53883">
        <w:rPr>
          <w:sz w:val="24"/>
          <w:szCs w:val="24"/>
        </w:rPr>
        <w:t>Taking on an uncontrolled body via mimesis allowed a great deal of expressive freedom. Performers could give surface to desires and actions outside accepted late-ninete</w:t>
      </w:r>
      <w:r w:rsidR="00296604">
        <w:rPr>
          <w:sz w:val="24"/>
          <w:szCs w:val="24"/>
        </w:rPr>
        <w:t>enth-century soci</w:t>
      </w:r>
      <w:r w:rsidRPr="00C53883">
        <w:rPr>
          <w:sz w:val="24"/>
          <w:szCs w:val="24"/>
        </w:rPr>
        <w:t>al norms. The explicit instructions in Belasco’s son</w:t>
      </w:r>
      <w:r>
        <w:rPr>
          <w:sz w:val="24"/>
          <w:szCs w:val="24"/>
        </w:rPr>
        <w:t>g</w:t>
      </w:r>
      <w:r w:rsidRPr="00C53883">
        <w:rPr>
          <w:sz w:val="24"/>
          <w:szCs w:val="24"/>
        </w:rPr>
        <w:t xml:space="preserve"> offer the opportunity </w:t>
      </w:r>
      <w:r w:rsidR="00C32F13">
        <w:rPr>
          <w:sz w:val="24"/>
          <w:szCs w:val="24"/>
        </w:rPr>
        <w:t xml:space="preserve">for performers </w:t>
      </w:r>
      <w:r w:rsidRPr="00C53883">
        <w:rPr>
          <w:sz w:val="24"/>
          <w:szCs w:val="24"/>
        </w:rPr>
        <w:t xml:space="preserve">to enact elements of courtship and even physically engage with another. In the final verse, the line “Oh, Daddy dear, I want a </w:t>
      </w:r>
      <w:proofErr w:type="spellStart"/>
      <w:r w:rsidRPr="00C53883">
        <w:rPr>
          <w:sz w:val="24"/>
          <w:szCs w:val="24"/>
        </w:rPr>
        <w:t>ma</w:t>
      </w:r>
      <w:proofErr w:type="spellEnd"/>
      <w:r w:rsidRPr="00C53883">
        <w:rPr>
          <w:sz w:val="24"/>
          <w:szCs w:val="24"/>
        </w:rPr>
        <w:t>!” is accompanied with the action of “Selecting lady from audience.”</w:t>
      </w:r>
      <w:r w:rsidRPr="00C53883">
        <w:rPr>
          <w:rStyle w:val="FootnoteReference"/>
          <w:sz w:val="24"/>
          <w:szCs w:val="24"/>
        </w:rPr>
        <w:footnoteReference w:id="190"/>
      </w:r>
      <w:r w:rsidRPr="00C53883">
        <w:rPr>
          <w:sz w:val="24"/>
          <w:szCs w:val="24"/>
        </w:rPr>
        <w:t xml:space="preserve"> Following the instructions and </w:t>
      </w:r>
      <w:r w:rsidR="000821D7">
        <w:rPr>
          <w:sz w:val="24"/>
          <w:szCs w:val="24"/>
        </w:rPr>
        <w:t>embodying the character gave</w:t>
      </w:r>
      <w:r w:rsidRPr="00C53883">
        <w:rPr>
          <w:sz w:val="24"/>
          <w:szCs w:val="24"/>
        </w:rPr>
        <w:t xml:space="preserve"> performer</w:t>
      </w:r>
      <w:r w:rsidR="000821D7">
        <w:rPr>
          <w:sz w:val="24"/>
          <w:szCs w:val="24"/>
        </w:rPr>
        <w:t>s</w:t>
      </w:r>
      <w:r w:rsidRPr="00C53883">
        <w:rPr>
          <w:sz w:val="24"/>
          <w:szCs w:val="24"/>
        </w:rPr>
        <w:t xml:space="preserve"> the opportunity to express their desire for another as they pulled them from the role of spectator and into their performance. </w:t>
      </w:r>
      <w:r w:rsidR="005A3428">
        <w:rPr>
          <w:sz w:val="24"/>
          <w:szCs w:val="24"/>
        </w:rPr>
        <w:t>Common to most</w:t>
      </w:r>
      <w:r w:rsidRPr="00C53883">
        <w:rPr>
          <w:sz w:val="24"/>
          <w:szCs w:val="24"/>
        </w:rPr>
        <w:t xml:space="preserve"> songs of the time, the chorus closes with eight </w:t>
      </w:r>
      <w:r w:rsidRPr="00C53883">
        <w:rPr>
          <w:sz w:val="24"/>
          <w:szCs w:val="24"/>
        </w:rPr>
        <w:lastRenderedPageBreak/>
        <w:t>bars of “Dance,”</w:t>
      </w:r>
      <w:r w:rsidRPr="00C53883">
        <w:rPr>
          <w:rStyle w:val="FootnoteReference"/>
          <w:sz w:val="24"/>
          <w:szCs w:val="24"/>
        </w:rPr>
        <w:footnoteReference w:id="191"/>
      </w:r>
      <w:r w:rsidRPr="00C53883">
        <w:rPr>
          <w:sz w:val="24"/>
          <w:szCs w:val="24"/>
        </w:rPr>
        <w:t xml:space="preserve"> providing further opportunities for a perfor</w:t>
      </w:r>
      <w:r w:rsidR="00C32F13">
        <w:rPr>
          <w:sz w:val="24"/>
          <w:szCs w:val="24"/>
        </w:rPr>
        <w:t>mer to perhaps physically interact with his or her</w:t>
      </w:r>
      <w:r w:rsidRPr="00C53883">
        <w:rPr>
          <w:sz w:val="24"/>
          <w:szCs w:val="24"/>
        </w:rPr>
        <w:t xml:space="preserve"> chosen partner, or put on a solo physical display</w:t>
      </w:r>
      <w:r>
        <w:rPr>
          <w:sz w:val="24"/>
          <w:szCs w:val="24"/>
        </w:rPr>
        <w:t>.</w:t>
      </w:r>
    </w:p>
    <w:p w:rsidR="00C27A3E" w:rsidRPr="00C53883" w:rsidRDefault="00C27A3E" w:rsidP="00C27A3E">
      <w:pPr>
        <w:spacing w:line="480" w:lineRule="auto"/>
        <w:ind w:firstLine="720"/>
        <w:rPr>
          <w:color w:val="FF0000"/>
          <w:sz w:val="24"/>
          <w:szCs w:val="24"/>
        </w:rPr>
      </w:pPr>
      <w:r>
        <w:rPr>
          <w:sz w:val="24"/>
          <w:szCs w:val="24"/>
        </w:rPr>
        <w:t>The melodic and harmonic material of comic songs encour</w:t>
      </w:r>
      <w:r w:rsidR="000821D7">
        <w:rPr>
          <w:sz w:val="24"/>
          <w:szCs w:val="24"/>
        </w:rPr>
        <w:t>aged possible</w:t>
      </w:r>
      <w:r>
        <w:rPr>
          <w:sz w:val="24"/>
          <w:szCs w:val="24"/>
        </w:rPr>
        <w:t xml:space="preserve"> mimetic actions as well. </w:t>
      </w:r>
      <w:r w:rsidRPr="00C53883">
        <w:rPr>
          <w:sz w:val="24"/>
          <w:szCs w:val="24"/>
        </w:rPr>
        <w:t xml:space="preserve">F. Belasco’s “He’s the Picture of His Daddy </w:t>
      </w:r>
      <w:r w:rsidR="005450F5">
        <w:rPr>
          <w:sz w:val="24"/>
          <w:szCs w:val="24"/>
        </w:rPr>
        <w:t>in a 1000 Different Ways!” contains</w:t>
      </w:r>
      <w:r w:rsidRPr="00C53883">
        <w:rPr>
          <w:sz w:val="24"/>
          <w:szCs w:val="24"/>
        </w:rPr>
        <w:t xml:space="preserve"> several instances of interaction between the vocal and piano lines that utilize sonic, and perhaps implicit physical, mimesis. The first time through the verse, after the line “his ways are cute, he plays the flute,”</w:t>
      </w:r>
      <w:r w:rsidRPr="00C53883">
        <w:rPr>
          <w:rStyle w:val="FootnoteReference"/>
          <w:sz w:val="24"/>
          <w:szCs w:val="24"/>
        </w:rPr>
        <w:footnoteReference w:id="192"/>
      </w:r>
      <w:r w:rsidRPr="00C53883">
        <w:rPr>
          <w:sz w:val="24"/>
          <w:szCs w:val="24"/>
        </w:rPr>
        <w:t xml:space="preserve"> the right h</w:t>
      </w:r>
      <w:r w:rsidR="005450F5">
        <w:rPr>
          <w:sz w:val="24"/>
          <w:szCs w:val="24"/>
        </w:rPr>
        <w:t>and of the piano leaps up in</w:t>
      </w:r>
      <w:r w:rsidRPr="00C53883">
        <w:rPr>
          <w:sz w:val="24"/>
          <w:szCs w:val="24"/>
        </w:rPr>
        <w:t xml:space="preserve"> register and pla</w:t>
      </w:r>
      <w:r w:rsidR="005450F5">
        <w:rPr>
          <w:sz w:val="24"/>
          <w:szCs w:val="24"/>
        </w:rPr>
        <w:t>ys a previously unheard fanfare-</w:t>
      </w:r>
      <w:r w:rsidRPr="00C53883">
        <w:rPr>
          <w:sz w:val="24"/>
          <w:szCs w:val="24"/>
        </w:rPr>
        <w:t>like melody with the word “Flute” written under the staff</w:t>
      </w:r>
      <w:r w:rsidR="003E6056">
        <w:rPr>
          <w:sz w:val="24"/>
          <w:szCs w:val="24"/>
        </w:rPr>
        <w:t xml:space="preserve"> (</w:t>
      </w:r>
      <w:r w:rsidR="001212F2">
        <w:rPr>
          <w:sz w:val="24"/>
          <w:szCs w:val="24"/>
        </w:rPr>
        <w:t>see F</w:t>
      </w:r>
      <w:r w:rsidR="003E6056">
        <w:rPr>
          <w:sz w:val="24"/>
          <w:szCs w:val="24"/>
        </w:rPr>
        <w:t>igure 2.3</w:t>
      </w:r>
      <w:r w:rsidR="00726EDE">
        <w:rPr>
          <w:sz w:val="24"/>
          <w:szCs w:val="24"/>
        </w:rPr>
        <w:t>)</w:t>
      </w:r>
      <w:r w:rsidRPr="00C53883">
        <w:rPr>
          <w:sz w:val="24"/>
          <w:szCs w:val="24"/>
        </w:rPr>
        <w:t>.</w:t>
      </w:r>
      <w:r w:rsidR="00726EDE">
        <w:rPr>
          <w:rStyle w:val="FootnoteReference"/>
          <w:sz w:val="24"/>
          <w:szCs w:val="24"/>
        </w:rPr>
        <w:footnoteReference w:id="193"/>
      </w:r>
      <w:r w:rsidRPr="00C53883">
        <w:rPr>
          <w:sz w:val="24"/>
          <w:szCs w:val="24"/>
        </w:rPr>
        <w:t xml:space="preserve"> In thi</w:t>
      </w:r>
      <w:r>
        <w:rPr>
          <w:sz w:val="24"/>
          <w:szCs w:val="24"/>
        </w:rPr>
        <w:t xml:space="preserve">s instance the piano </w:t>
      </w:r>
      <w:r w:rsidRPr="00C53883">
        <w:rPr>
          <w:sz w:val="24"/>
          <w:szCs w:val="24"/>
        </w:rPr>
        <w:t>sonic</w:t>
      </w:r>
      <w:r>
        <w:rPr>
          <w:sz w:val="24"/>
          <w:szCs w:val="24"/>
        </w:rPr>
        <w:t>ally mimes the narrative content. Additionally,</w:t>
      </w:r>
      <w:r w:rsidRPr="00C53883">
        <w:rPr>
          <w:sz w:val="24"/>
          <w:szCs w:val="24"/>
        </w:rPr>
        <w:t xml:space="preserve"> some performers may have also chosen to tak</w:t>
      </w:r>
      <w:r>
        <w:rPr>
          <w:sz w:val="24"/>
          <w:szCs w:val="24"/>
        </w:rPr>
        <w:t>e this opportunity to mime flute playing</w:t>
      </w:r>
      <w:r w:rsidRPr="00C53883">
        <w:rPr>
          <w:sz w:val="24"/>
          <w:szCs w:val="24"/>
        </w:rPr>
        <w:t>. A couplet later, with the line “he drinks my rum, he beats my drum,”</w:t>
      </w:r>
      <w:r w:rsidRPr="00C53883">
        <w:rPr>
          <w:rStyle w:val="FootnoteReference"/>
          <w:sz w:val="24"/>
          <w:szCs w:val="24"/>
        </w:rPr>
        <w:footnoteReference w:id="194"/>
      </w:r>
      <w:r w:rsidRPr="00C53883">
        <w:rPr>
          <w:sz w:val="24"/>
          <w:szCs w:val="24"/>
        </w:rPr>
        <w:t xml:space="preserve"> the piano is told to imit</w:t>
      </w:r>
      <w:r w:rsidR="005450F5">
        <w:rPr>
          <w:sz w:val="24"/>
          <w:szCs w:val="24"/>
        </w:rPr>
        <w:t>ate the sound of a bass drum as</w:t>
      </w:r>
      <w:r w:rsidRPr="00C53883">
        <w:rPr>
          <w:sz w:val="24"/>
          <w:szCs w:val="24"/>
        </w:rPr>
        <w:t xml:space="preserve"> both hands play (in octaves) a low chromatic, and then diatonic</w:t>
      </w:r>
      <w:r w:rsidR="005450F5">
        <w:rPr>
          <w:sz w:val="24"/>
          <w:szCs w:val="24"/>
        </w:rPr>
        <w:t>,</w:t>
      </w:r>
      <w:r w:rsidRPr="00C53883">
        <w:rPr>
          <w:sz w:val="24"/>
          <w:szCs w:val="24"/>
        </w:rPr>
        <w:t xml:space="preserve"> descending line. In these moments, whether the vocalist chooses to mime the action of drumming or not, the connotative music of the piano evokes external forces and brings them into the parlor.</w:t>
      </w:r>
    </w:p>
    <w:p w:rsidR="00C27A3E" w:rsidRPr="00C53883" w:rsidRDefault="00C27A3E" w:rsidP="00C27A3E">
      <w:pPr>
        <w:spacing w:line="480" w:lineRule="auto"/>
        <w:rPr>
          <w:sz w:val="24"/>
          <w:szCs w:val="24"/>
        </w:rPr>
      </w:pPr>
      <w:r w:rsidRPr="00C53883">
        <w:rPr>
          <w:sz w:val="24"/>
          <w:szCs w:val="24"/>
        </w:rPr>
        <w:tab/>
        <w:t>While not every song of the time included explicit instructions to take on bodily characteristics, the practice was likely extrapolated to numerous performances. If</w:t>
      </w:r>
      <w:r w:rsidR="001F2D48">
        <w:rPr>
          <w:sz w:val="24"/>
          <w:szCs w:val="24"/>
        </w:rPr>
        <w:t>,</w:t>
      </w:r>
      <w:r w:rsidRPr="00C53883">
        <w:rPr>
          <w:sz w:val="24"/>
          <w:szCs w:val="24"/>
        </w:rPr>
        <w:t xml:space="preserve"> for instance, a performer were to engage with the text of 1912’s “When Crazy Joe Did the Alligator Slide,” the sexualized nature of this minstrel song would have significantly disrupted the highbrow parlor aesthetic. The song describes “Crazy Joe,” an African American character, and his various </w:t>
      </w:r>
      <w:r w:rsidRPr="00C53883">
        <w:rPr>
          <w:sz w:val="24"/>
          <w:szCs w:val="24"/>
        </w:rPr>
        <w:lastRenderedPageBreak/>
        <w:t>dance moves ov</w:t>
      </w:r>
      <w:r w:rsidR="00AE64BD">
        <w:rPr>
          <w:sz w:val="24"/>
          <w:szCs w:val="24"/>
        </w:rPr>
        <w:t>er a lightly ragged rhythm</w:t>
      </w:r>
      <w:r w:rsidR="001212F2">
        <w:rPr>
          <w:sz w:val="24"/>
          <w:szCs w:val="24"/>
        </w:rPr>
        <w:t xml:space="preserve"> (see F</w:t>
      </w:r>
      <w:r w:rsidR="00B44F32">
        <w:rPr>
          <w:sz w:val="24"/>
          <w:szCs w:val="24"/>
        </w:rPr>
        <w:t>igure 2.4)</w:t>
      </w:r>
      <w:r w:rsidR="00AE64BD">
        <w:rPr>
          <w:sz w:val="24"/>
          <w:szCs w:val="24"/>
        </w:rPr>
        <w:t>, which</w:t>
      </w:r>
      <w:r w:rsidRPr="00C53883">
        <w:rPr>
          <w:sz w:val="24"/>
          <w:szCs w:val="24"/>
        </w:rPr>
        <w:t xml:space="preserve"> would have encouraged dance and physical engagement. As the chorus proceeds, it lists a variety of physical activities:</w:t>
      </w:r>
    </w:p>
    <w:p w:rsidR="00C27A3E" w:rsidRPr="00C53883" w:rsidRDefault="00C27A3E" w:rsidP="00C27A3E">
      <w:pPr>
        <w:ind w:firstLine="720"/>
        <w:contextualSpacing/>
        <w:rPr>
          <w:sz w:val="24"/>
          <w:szCs w:val="24"/>
        </w:rPr>
      </w:pPr>
      <w:r w:rsidRPr="00C53883">
        <w:rPr>
          <w:sz w:val="24"/>
          <w:szCs w:val="24"/>
        </w:rPr>
        <w:t>When Joe began to fiddle,</w:t>
      </w:r>
    </w:p>
    <w:p w:rsidR="00C27A3E" w:rsidRPr="00C53883" w:rsidRDefault="00C27A3E" w:rsidP="00C27A3E">
      <w:pPr>
        <w:ind w:firstLine="720"/>
        <w:contextualSpacing/>
        <w:rPr>
          <w:sz w:val="24"/>
          <w:szCs w:val="24"/>
        </w:rPr>
      </w:pPr>
      <w:r w:rsidRPr="00C53883">
        <w:rPr>
          <w:sz w:val="24"/>
          <w:szCs w:val="24"/>
        </w:rPr>
        <w:t>Folks all began to wiggle,</w:t>
      </w:r>
    </w:p>
    <w:p w:rsidR="00C27A3E" w:rsidRPr="00C53883" w:rsidRDefault="00C27A3E" w:rsidP="00C27A3E">
      <w:pPr>
        <w:ind w:firstLine="720"/>
        <w:contextualSpacing/>
        <w:rPr>
          <w:sz w:val="24"/>
          <w:szCs w:val="24"/>
        </w:rPr>
      </w:pPr>
      <w:r w:rsidRPr="00C53883">
        <w:rPr>
          <w:sz w:val="24"/>
          <w:szCs w:val="24"/>
        </w:rPr>
        <w:t>Shake their feet a little</w:t>
      </w:r>
    </w:p>
    <w:p w:rsidR="00C27A3E" w:rsidRPr="00C53883" w:rsidRDefault="00C27A3E" w:rsidP="00C27A3E">
      <w:pPr>
        <w:ind w:firstLine="720"/>
        <w:contextualSpacing/>
        <w:rPr>
          <w:sz w:val="24"/>
          <w:szCs w:val="24"/>
        </w:rPr>
      </w:pPr>
      <w:r w:rsidRPr="00C53883">
        <w:rPr>
          <w:sz w:val="24"/>
          <w:szCs w:val="24"/>
        </w:rPr>
        <w:t>And then how they would jiggle</w:t>
      </w:r>
    </w:p>
    <w:p w:rsidR="00C27A3E" w:rsidRPr="00C53883" w:rsidRDefault="00C27A3E" w:rsidP="00C27A3E">
      <w:pPr>
        <w:ind w:firstLine="720"/>
        <w:contextualSpacing/>
        <w:rPr>
          <w:sz w:val="24"/>
          <w:szCs w:val="24"/>
        </w:rPr>
      </w:pPr>
      <w:r w:rsidRPr="00C53883">
        <w:rPr>
          <w:sz w:val="24"/>
          <w:szCs w:val="24"/>
        </w:rPr>
        <w:t>Alligators came from miles around</w:t>
      </w:r>
    </w:p>
    <w:p w:rsidR="00C27A3E" w:rsidRPr="00C53883" w:rsidRDefault="00C27A3E" w:rsidP="00C27A3E">
      <w:pPr>
        <w:ind w:firstLine="720"/>
        <w:contextualSpacing/>
        <w:rPr>
          <w:sz w:val="24"/>
          <w:szCs w:val="24"/>
        </w:rPr>
      </w:pPr>
      <w:r w:rsidRPr="00C53883">
        <w:rPr>
          <w:sz w:val="24"/>
          <w:szCs w:val="24"/>
        </w:rPr>
        <w:t>Just to hear his fiddle sound</w:t>
      </w:r>
    </w:p>
    <w:p w:rsidR="00C27A3E" w:rsidRPr="00C53883" w:rsidRDefault="00C27A3E" w:rsidP="00C27A3E">
      <w:pPr>
        <w:ind w:firstLine="720"/>
        <w:contextualSpacing/>
        <w:rPr>
          <w:sz w:val="24"/>
          <w:szCs w:val="24"/>
        </w:rPr>
      </w:pPr>
      <w:r w:rsidRPr="00C53883">
        <w:rPr>
          <w:sz w:val="24"/>
          <w:szCs w:val="24"/>
        </w:rPr>
        <w:t>And on their stomachs they would slide</w:t>
      </w:r>
    </w:p>
    <w:p w:rsidR="00C27A3E" w:rsidRPr="00C53883" w:rsidRDefault="00C27A3E" w:rsidP="00C27A3E">
      <w:pPr>
        <w:ind w:firstLine="720"/>
        <w:contextualSpacing/>
        <w:rPr>
          <w:sz w:val="24"/>
          <w:szCs w:val="24"/>
        </w:rPr>
      </w:pPr>
      <w:proofErr w:type="gramStart"/>
      <w:r w:rsidRPr="00C53883">
        <w:rPr>
          <w:sz w:val="24"/>
          <w:szCs w:val="24"/>
        </w:rPr>
        <w:t>jump</w:t>
      </w:r>
      <w:proofErr w:type="gramEnd"/>
      <w:r w:rsidRPr="00C53883">
        <w:rPr>
          <w:sz w:val="24"/>
          <w:szCs w:val="24"/>
        </w:rPr>
        <w:t xml:space="preserve"> on each </w:t>
      </w:r>
      <w:proofErr w:type="spellStart"/>
      <w:r w:rsidRPr="00C53883">
        <w:rPr>
          <w:sz w:val="24"/>
          <w:szCs w:val="24"/>
        </w:rPr>
        <w:t>others</w:t>
      </w:r>
      <w:proofErr w:type="spellEnd"/>
      <w:r w:rsidRPr="00C53883">
        <w:rPr>
          <w:sz w:val="24"/>
          <w:szCs w:val="24"/>
        </w:rPr>
        <w:t xml:space="preserve"> backs and ride</w:t>
      </w:r>
    </w:p>
    <w:p w:rsidR="00C27A3E" w:rsidRPr="00C53883" w:rsidRDefault="00C27A3E" w:rsidP="00C27A3E">
      <w:pPr>
        <w:ind w:firstLine="720"/>
        <w:contextualSpacing/>
        <w:rPr>
          <w:sz w:val="24"/>
          <w:szCs w:val="24"/>
        </w:rPr>
      </w:pPr>
      <w:r w:rsidRPr="00C53883">
        <w:rPr>
          <w:sz w:val="24"/>
          <w:szCs w:val="24"/>
        </w:rPr>
        <w:t xml:space="preserve">Dance ‘til day was </w:t>
      </w:r>
      <w:proofErr w:type="spellStart"/>
      <w:r w:rsidRPr="00C53883">
        <w:rPr>
          <w:sz w:val="24"/>
          <w:szCs w:val="24"/>
        </w:rPr>
        <w:t>breakin</w:t>
      </w:r>
      <w:proofErr w:type="spellEnd"/>
      <w:r w:rsidRPr="00C53883">
        <w:rPr>
          <w:sz w:val="24"/>
          <w:szCs w:val="24"/>
        </w:rPr>
        <w:t>’</w:t>
      </w:r>
    </w:p>
    <w:p w:rsidR="00C27A3E" w:rsidRPr="00C53883" w:rsidRDefault="00C27A3E" w:rsidP="00C27A3E">
      <w:pPr>
        <w:ind w:firstLine="720"/>
        <w:contextualSpacing/>
        <w:rPr>
          <w:sz w:val="24"/>
          <w:szCs w:val="24"/>
        </w:rPr>
      </w:pPr>
      <w:r w:rsidRPr="00C53883">
        <w:rPr>
          <w:sz w:val="24"/>
          <w:szCs w:val="24"/>
        </w:rPr>
        <w:t xml:space="preserve">And all the roosters </w:t>
      </w:r>
      <w:proofErr w:type="spellStart"/>
      <w:r w:rsidRPr="00C53883">
        <w:rPr>
          <w:sz w:val="24"/>
          <w:szCs w:val="24"/>
        </w:rPr>
        <w:t>wakin</w:t>
      </w:r>
      <w:proofErr w:type="spellEnd"/>
      <w:r w:rsidRPr="00C53883">
        <w:rPr>
          <w:sz w:val="24"/>
          <w:szCs w:val="24"/>
        </w:rPr>
        <w:t>’,</w:t>
      </w:r>
    </w:p>
    <w:p w:rsidR="00C27A3E" w:rsidRPr="00C53883" w:rsidRDefault="00C27A3E" w:rsidP="00C27A3E">
      <w:pPr>
        <w:ind w:firstLine="720"/>
        <w:contextualSpacing/>
        <w:rPr>
          <w:sz w:val="24"/>
          <w:szCs w:val="24"/>
        </w:rPr>
      </w:pPr>
      <w:r w:rsidRPr="00C53883">
        <w:rPr>
          <w:sz w:val="24"/>
          <w:szCs w:val="24"/>
        </w:rPr>
        <w:t xml:space="preserve">Their big tails a </w:t>
      </w:r>
      <w:proofErr w:type="spellStart"/>
      <w:r w:rsidRPr="00C53883">
        <w:rPr>
          <w:sz w:val="24"/>
          <w:szCs w:val="24"/>
        </w:rPr>
        <w:t>shakin</w:t>
      </w:r>
      <w:proofErr w:type="spellEnd"/>
      <w:r w:rsidRPr="00C53883">
        <w:rPr>
          <w:sz w:val="24"/>
          <w:szCs w:val="24"/>
        </w:rPr>
        <w:t>’,</w:t>
      </w:r>
    </w:p>
    <w:p w:rsidR="00C27A3E" w:rsidRPr="00C53883" w:rsidRDefault="00C27A3E" w:rsidP="00C27A3E">
      <w:pPr>
        <w:ind w:firstLine="720"/>
        <w:contextualSpacing/>
        <w:rPr>
          <w:sz w:val="24"/>
          <w:szCs w:val="24"/>
        </w:rPr>
      </w:pPr>
      <w:r w:rsidRPr="00C53883">
        <w:rPr>
          <w:sz w:val="24"/>
          <w:szCs w:val="24"/>
        </w:rPr>
        <w:t xml:space="preserve">Their sides with laughter </w:t>
      </w:r>
      <w:proofErr w:type="spellStart"/>
      <w:proofErr w:type="gramStart"/>
      <w:r w:rsidRPr="00C53883">
        <w:rPr>
          <w:sz w:val="24"/>
          <w:szCs w:val="24"/>
        </w:rPr>
        <w:t>quakin</w:t>
      </w:r>
      <w:proofErr w:type="spellEnd"/>
      <w:r w:rsidRPr="00C53883">
        <w:rPr>
          <w:sz w:val="24"/>
          <w:szCs w:val="24"/>
        </w:rPr>
        <w:t>’</w:t>
      </w:r>
      <w:r w:rsidR="005450F5">
        <w:rPr>
          <w:sz w:val="24"/>
          <w:szCs w:val="24"/>
        </w:rPr>
        <w:t>[</w:t>
      </w:r>
      <w:proofErr w:type="gramEnd"/>
      <w:r w:rsidR="005450F5">
        <w:rPr>
          <w:sz w:val="24"/>
          <w:szCs w:val="24"/>
        </w:rPr>
        <w:t>.]</w:t>
      </w:r>
      <w:r w:rsidRPr="00C53883">
        <w:rPr>
          <w:rStyle w:val="FootnoteReference"/>
          <w:sz w:val="24"/>
          <w:szCs w:val="24"/>
        </w:rPr>
        <w:footnoteReference w:id="195"/>
      </w:r>
    </w:p>
    <w:p w:rsidR="00C27A3E" w:rsidRPr="00C53883" w:rsidRDefault="00C27A3E" w:rsidP="00C27A3E">
      <w:pPr>
        <w:ind w:firstLine="720"/>
        <w:contextualSpacing/>
        <w:rPr>
          <w:sz w:val="24"/>
          <w:szCs w:val="24"/>
        </w:rPr>
      </w:pPr>
    </w:p>
    <w:p w:rsidR="00C27A3E" w:rsidRDefault="00C27A3E" w:rsidP="00C27A3E">
      <w:pPr>
        <w:spacing w:line="480" w:lineRule="auto"/>
        <w:rPr>
          <w:sz w:val="24"/>
          <w:szCs w:val="24"/>
        </w:rPr>
      </w:pPr>
      <w:r w:rsidRPr="00C53883">
        <w:rPr>
          <w:sz w:val="24"/>
          <w:szCs w:val="24"/>
        </w:rPr>
        <w:t>In the context of the up-tempo, syncopated rhythms</w:t>
      </w:r>
      <w:r w:rsidR="001212F2">
        <w:rPr>
          <w:sz w:val="24"/>
          <w:szCs w:val="24"/>
        </w:rPr>
        <w:t xml:space="preserve"> (see F</w:t>
      </w:r>
      <w:r w:rsidR="006F7C5F">
        <w:rPr>
          <w:sz w:val="24"/>
          <w:szCs w:val="24"/>
        </w:rPr>
        <w:t>igure 2.5)</w:t>
      </w:r>
      <w:r w:rsidRPr="00C53883">
        <w:rPr>
          <w:sz w:val="24"/>
          <w:szCs w:val="24"/>
        </w:rPr>
        <w:t xml:space="preserve"> performers likely wiggled and jiggled along with the music. Within the highl</w:t>
      </w:r>
      <w:r w:rsidR="005450F5">
        <w:rPr>
          <w:sz w:val="24"/>
          <w:szCs w:val="24"/>
        </w:rPr>
        <w:t>y sexualized minstrel tradition, rooster</w:t>
      </w:r>
      <w:r w:rsidRPr="00C53883">
        <w:rPr>
          <w:sz w:val="24"/>
          <w:szCs w:val="24"/>
        </w:rPr>
        <w:t xml:space="preserve">s with their “big tails a </w:t>
      </w:r>
      <w:proofErr w:type="spellStart"/>
      <w:r w:rsidRPr="00C53883">
        <w:rPr>
          <w:sz w:val="24"/>
          <w:szCs w:val="24"/>
        </w:rPr>
        <w:t>shakin</w:t>
      </w:r>
      <w:proofErr w:type="spellEnd"/>
      <w:r w:rsidRPr="00C53883">
        <w:rPr>
          <w:sz w:val="24"/>
          <w:szCs w:val="24"/>
        </w:rPr>
        <w:t>’”</w:t>
      </w:r>
      <w:r w:rsidRPr="00C53883">
        <w:rPr>
          <w:rStyle w:val="FootnoteReference"/>
          <w:sz w:val="24"/>
          <w:szCs w:val="24"/>
        </w:rPr>
        <w:footnoteReference w:id="196"/>
      </w:r>
      <w:r w:rsidRPr="00C53883">
        <w:rPr>
          <w:sz w:val="24"/>
          <w:szCs w:val="24"/>
        </w:rPr>
        <w:t xml:space="preserve"> would have be</w:t>
      </w:r>
      <w:r>
        <w:rPr>
          <w:sz w:val="24"/>
          <w:szCs w:val="24"/>
        </w:rPr>
        <w:t>en a potent double entendre.</w:t>
      </w:r>
      <w:r w:rsidRPr="00C53883">
        <w:rPr>
          <w:sz w:val="24"/>
          <w:szCs w:val="24"/>
        </w:rPr>
        <w:t xml:space="preserve"> Eric Lott’s research on minstrelsy and how it invoked the “black male body as a powe</w:t>
      </w:r>
      <w:r w:rsidR="005450F5">
        <w:rPr>
          <w:sz w:val="24"/>
          <w:szCs w:val="24"/>
        </w:rPr>
        <w:t>rful cultural sign of sexuality</w:t>
      </w:r>
      <w:r w:rsidRPr="00C53883">
        <w:rPr>
          <w:sz w:val="24"/>
          <w:szCs w:val="24"/>
        </w:rPr>
        <w:t>”</w:t>
      </w:r>
      <w:r w:rsidRPr="00C53883">
        <w:rPr>
          <w:rStyle w:val="FootnoteReference"/>
          <w:sz w:val="24"/>
          <w:szCs w:val="24"/>
        </w:rPr>
        <w:t xml:space="preserve"> </w:t>
      </w:r>
      <w:r w:rsidRPr="00C53883">
        <w:rPr>
          <w:rStyle w:val="FootnoteReference"/>
          <w:sz w:val="24"/>
          <w:szCs w:val="24"/>
        </w:rPr>
        <w:footnoteReference w:id="197"/>
      </w:r>
      <w:r w:rsidRPr="00C53883">
        <w:rPr>
          <w:sz w:val="24"/>
          <w:szCs w:val="24"/>
        </w:rPr>
        <w:t xml:space="preserve"> suggests that miming this song would have given white performers an opportunity to embody an alternate anatomy. As Lott discusses, minstrelsy reduced “the [black] body purely to sexuality”</w:t>
      </w:r>
      <w:r w:rsidRPr="00C53883">
        <w:rPr>
          <w:rStyle w:val="FootnoteReference"/>
          <w:sz w:val="24"/>
          <w:szCs w:val="24"/>
        </w:rPr>
        <w:footnoteReference w:id="198"/>
      </w:r>
      <w:r w:rsidRPr="00C53883">
        <w:rPr>
          <w:sz w:val="24"/>
          <w:szCs w:val="24"/>
        </w:rPr>
        <w:t xml:space="preserve"> as both a means of racial oppression and a method for white performers and audiences to enact sexual fantasies. Thus, as the song explores the sexual freedom of jumping </w:t>
      </w:r>
      <w:r w:rsidRPr="00C53883">
        <w:rPr>
          <w:sz w:val="24"/>
          <w:szCs w:val="24"/>
        </w:rPr>
        <w:lastRenderedPageBreak/>
        <w:t xml:space="preserve">“on each </w:t>
      </w:r>
      <w:proofErr w:type="spellStart"/>
      <w:r w:rsidRPr="00C53883">
        <w:rPr>
          <w:sz w:val="24"/>
          <w:szCs w:val="24"/>
        </w:rPr>
        <w:t>others</w:t>
      </w:r>
      <w:proofErr w:type="spellEnd"/>
      <w:r w:rsidRPr="00C53883">
        <w:rPr>
          <w:sz w:val="24"/>
          <w:szCs w:val="24"/>
        </w:rPr>
        <w:t xml:space="preserve"> backs” and riding “’til day was </w:t>
      </w:r>
      <w:proofErr w:type="spellStart"/>
      <w:r w:rsidRPr="00C53883">
        <w:rPr>
          <w:sz w:val="24"/>
          <w:szCs w:val="24"/>
        </w:rPr>
        <w:t>breakin</w:t>
      </w:r>
      <w:proofErr w:type="spellEnd"/>
      <w:r w:rsidRPr="00C53883">
        <w:rPr>
          <w:sz w:val="24"/>
          <w:szCs w:val="24"/>
        </w:rPr>
        <w:t>’,”</w:t>
      </w:r>
      <w:r w:rsidRPr="00C53883">
        <w:rPr>
          <w:rStyle w:val="FootnoteReference"/>
          <w:sz w:val="24"/>
          <w:szCs w:val="24"/>
        </w:rPr>
        <w:footnoteReference w:id="199"/>
      </w:r>
      <w:r w:rsidRPr="00C53883">
        <w:rPr>
          <w:sz w:val="24"/>
          <w:szCs w:val="24"/>
        </w:rPr>
        <w:t xml:space="preserve"> it both brought this disruption into the parlor and contributed to a discourse of difference. </w:t>
      </w:r>
      <w:r w:rsidR="005450F5">
        <w:rPr>
          <w:sz w:val="24"/>
          <w:szCs w:val="24"/>
        </w:rPr>
        <w:t>Similarly, in</w:t>
      </w:r>
      <w:r w:rsidRPr="00C53883">
        <w:rPr>
          <w:sz w:val="24"/>
          <w:szCs w:val="24"/>
        </w:rPr>
        <w:t xml:space="preserve"> Miller’s understanding of Tin Pan Alley performance practice, embodying what whites identified as the “racial traits” of African Americans allowed them to “revel in the physical and expressive freedom they associated with African American culture.”</w:t>
      </w:r>
      <w:r w:rsidRPr="00C53883">
        <w:rPr>
          <w:rStyle w:val="FootnoteReference"/>
          <w:sz w:val="24"/>
          <w:szCs w:val="24"/>
        </w:rPr>
        <w:footnoteReference w:id="200"/>
      </w:r>
      <w:r w:rsidRPr="00C53883">
        <w:rPr>
          <w:sz w:val="24"/>
          <w:szCs w:val="24"/>
        </w:rPr>
        <w:t xml:space="preserve"> By taking on the appearance of a differentiated </w:t>
      </w:r>
      <w:proofErr w:type="gramStart"/>
      <w:r w:rsidRPr="00C53883">
        <w:rPr>
          <w:sz w:val="24"/>
          <w:szCs w:val="24"/>
        </w:rPr>
        <w:t>Other</w:t>
      </w:r>
      <w:proofErr w:type="gramEnd"/>
      <w:r w:rsidRPr="00C53883">
        <w:rPr>
          <w:sz w:val="24"/>
          <w:szCs w:val="24"/>
        </w:rPr>
        <w:t>, white parlor performers incorporated the experience of these embodied sensat</w:t>
      </w:r>
      <w:r w:rsidR="00AE64BD">
        <w:rPr>
          <w:sz w:val="24"/>
          <w:szCs w:val="24"/>
        </w:rPr>
        <w:t>ions into themselves while</w:t>
      </w:r>
      <w:r w:rsidRPr="00C53883">
        <w:rPr>
          <w:sz w:val="24"/>
          <w:szCs w:val="24"/>
        </w:rPr>
        <w:t xml:space="preserve"> using derisive humor to distance themselves from African Americans.</w:t>
      </w:r>
    </w:p>
    <w:p w:rsidR="00F20DD4" w:rsidRDefault="00F20DD4" w:rsidP="00C27A3E">
      <w:pPr>
        <w:spacing w:line="480" w:lineRule="auto"/>
        <w:rPr>
          <w:sz w:val="24"/>
          <w:szCs w:val="24"/>
        </w:rPr>
      </w:pPr>
    </w:p>
    <w:p w:rsidR="00F20DD4" w:rsidRDefault="00F20DD4" w:rsidP="00F20DD4">
      <w:pPr>
        <w:keepNext/>
        <w:spacing w:line="480" w:lineRule="auto"/>
        <w:jc w:val="center"/>
      </w:pPr>
      <w:r w:rsidRPr="00F20DD4">
        <w:rPr>
          <w:noProof/>
          <w:sz w:val="24"/>
          <w:szCs w:val="24"/>
        </w:rPr>
        <w:drawing>
          <wp:inline distT="0" distB="0" distL="0" distR="0">
            <wp:extent cx="4572000" cy="2800350"/>
            <wp:effectExtent l="19050" t="0" r="0" b="0"/>
            <wp:docPr id="6" name="Picture 6"/>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2" cstate="print"/>
                    <a:srcRect/>
                    <a:stretch>
                      <a:fillRect/>
                    </a:stretch>
                  </pic:blipFill>
                  <pic:spPr bwMode="auto">
                    <a:xfrm>
                      <a:off x="0" y="0"/>
                      <a:ext cx="4579820" cy="2805140"/>
                    </a:xfrm>
                    <a:prstGeom prst="rect">
                      <a:avLst/>
                    </a:prstGeom>
                    <a:noFill/>
                    <a:ln w="9525">
                      <a:noFill/>
                      <a:miter lim="800000"/>
                      <a:headEnd/>
                      <a:tailEnd/>
                    </a:ln>
                  </pic:spPr>
                </pic:pic>
              </a:graphicData>
            </a:graphic>
          </wp:inline>
        </w:drawing>
      </w:r>
    </w:p>
    <w:p w:rsidR="00F20DD4" w:rsidRPr="00F20DD4" w:rsidRDefault="00F20DD4" w:rsidP="00F20DD4">
      <w:pPr>
        <w:pStyle w:val="Caption"/>
        <w:jc w:val="center"/>
        <w:rPr>
          <w:b w:val="0"/>
          <w:color w:val="auto"/>
          <w:sz w:val="24"/>
          <w:szCs w:val="24"/>
        </w:rPr>
      </w:pPr>
      <w:bookmarkStart w:id="19" w:name="_Toc356413239"/>
      <w:proofErr w:type="gramStart"/>
      <w:r w:rsidRPr="00F20DD4">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4</w:t>
      </w:r>
      <w:r w:rsidR="00734461">
        <w:rPr>
          <w:b w:val="0"/>
          <w:color w:val="auto"/>
          <w:sz w:val="24"/>
          <w:szCs w:val="24"/>
        </w:rPr>
        <w:fldChar w:fldCharType="end"/>
      </w:r>
      <w:r w:rsidRPr="00F20DD4">
        <w:rPr>
          <w:b w:val="0"/>
          <w:color w:val="auto"/>
          <w:sz w:val="24"/>
          <w:szCs w:val="24"/>
        </w:rPr>
        <w:t xml:space="preserve"> Syncopated Rhythms in “When Crazy Joe Did the Alligator Slide”</w:t>
      </w:r>
      <w:r w:rsidR="006F7C5F">
        <w:rPr>
          <w:rStyle w:val="FootnoteReference"/>
          <w:b w:val="0"/>
          <w:color w:val="auto"/>
          <w:sz w:val="24"/>
          <w:szCs w:val="24"/>
        </w:rPr>
        <w:footnoteReference w:id="201"/>
      </w:r>
      <w:bookmarkEnd w:id="19"/>
    </w:p>
    <w:p w:rsidR="00F20DD4" w:rsidRDefault="00F20DD4" w:rsidP="00F20DD4"/>
    <w:p w:rsidR="00F20DD4" w:rsidRDefault="00F20DD4" w:rsidP="00F20DD4"/>
    <w:p w:rsidR="00F20DD4" w:rsidRDefault="00F20DD4" w:rsidP="00F20DD4">
      <w:pPr>
        <w:keepNext/>
        <w:jc w:val="center"/>
      </w:pPr>
      <w:r w:rsidRPr="00F20DD4">
        <w:rPr>
          <w:noProof/>
        </w:rPr>
        <w:lastRenderedPageBreak/>
        <w:drawing>
          <wp:inline distT="0" distB="0" distL="0" distR="0">
            <wp:extent cx="4664645" cy="3200400"/>
            <wp:effectExtent l="19050" t="0" r="2605" b="0"/>
            <wp:docPr id="8" name="Picture 7"/>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a:blip r:embed="rId13" cstate="print"/>
                    <a:srcRect/>
                    <a:stretch>
                      <a:fillRect/>
                    </a:stretch>
                  </pic:blipFill>
                  <pic:spPr bwMode="auto">
                    <a:xfrm>
                      <a:off x="0" y="0"/>
                      <a:ext cx="4666690" cy="3201803"/>
                    </a:xfrm>
                    <a:prstGeom prst="rect">
                      <a:avLst/>
                    </a:prstGeom>
                    <a:noFill/>
                    <a:ln w="9525">
                      <a:noFill/>
                      <a:miter lim="800000"/>
                      <a:headEnd/>
                      <a:tailEnd/>
                    </a:ln>
                  </pic:spPr>
                </pic:pic>
              </a:graphicData>
            </a:graphic>
          </wp:inline>
        </w:drawing>
      </w:r>
    </w:p>
    <w:p w:rsidR="00F20DD4" w:rsidRPr="00DB05D7" w:rsidRDefault="00F20DD4" w:rsidP="00DB05D7">
      <w:pPr>
        <w:pStyle w:val="Caption"/>
        <w:jc w:val="center"/>
        <w:rPr>
          <w:b w:val="0"/>
          <w:color w:val="auto"/>
          <w:sz w:val="24"/>
          <w:szCs w:val="24"/>
        </w:rPr>
      </w:pPr>
      <w:bookmarkStart w:id="20" w:name="_Toc356413240"/>
      <w:proofErr w:type="gramStart"/>
      <w:r w:rsidRPr="00F20DD4">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5</w:t>
      </w:r>
      <w:r w:rsidR="00734461">
        <w:rPr>
          <w:b w:val="0"/>
          <w:color w:val="auto"/>
          <w:sz w:val="24"/>
          <w:szCs w:val="24"/>
        </w:rPr>
        <w:fldChar w:fldCharType="end"/>
      </w:r>
      <w:r w:rsidRPr="00F20DD4">
        <w:rPr>
          <w:b w:val="0"/>
          <w:color w:val="auto"/>
          <w:sz w:val="24"/>
          <w:szCs w:val="24"/>
        </w:rPr>
        <w:t xml:space="preserve"> Syncopated Rhythms in the chorus of “When Crazy Joe Did the Alligator Slide”</w:t>
      </w:r>
      <w:r w:rsidR="006F7C5F">
        <w:rPr>
          <w:rStyle w:val="FootnoteReference"/>
          <w:b w:val="0"/>
          <w:color w:val="auto"/>
          <w:sz w:val="24"/>
          <w:szCs w:val="24"/>
        </w:rPr>
        <w:footnoteReference w:id="202"/>
      </w:r>
      <w:bookmarkEnd w:id="20"/>
    </w:p>
    <w:p w:rsidR="005450F5" w:rsidRDefault="005450F5" w:rsidP="00F20DD4">
      <w:pPr>
        <w:spacing w:line="480" w:lineRule="auto"/>
        <w:ind w:firstLine="720"/>
        <w:rPr>
          <w:sz w:val="24"/>
          <w:szCs w:val="24"/>
        </w:rPr>
      </w:pPr>
    </w:p>
    <w:p w:rsidR="005450F5" w:rsidRDefault="005450F5" w:rsidP="00F20DD4">
      <w:pPr>
        <w:spacing w:line="480" w:lineRule="auto"/>
        <w:ind w:firstLine="720"/>
        <w:rPr>
          <w:sz w:val="24"/>
          <w:szCs w:val="24"/>
        </w:rPr>
      </w:pPr>
    </w:p>
    <w:p w:rsidR="007B3705" w:rsidRDefault="00C27A3E" w:rsidP="00F20DD4">
      <w:pPr>
        <w:spacing w:line="480" w:lineRule="auto"/>
        <w:ind w:firstLine="720"/>
        <w:rPr>
          <w:sz w:val="24"/>
          <w:szCs w:val="24"/>
        </w:rPr>
      </w:pPr>
      <w:r w:rsidRPr="00C53883">
        <w:rPr>
          <w:sz w:val="24"/>
          <w:szCs w:val="24"/>
        </w:rPr>
        <w:t xml:space="preserve">Such wild motions certainly did not exist within </w:t>
      </w:r>
      <w:proofErr w:type="spellStart"/>
      <w:r w:rsidRPr="00C53883">
        <w:rPr>
          <w:sz w:val="24"/>
          <w:szCs w:val="24"/>
        </w:rPr>
        <w:t>Delsarte’s</w:t>
      </w:r>
      <w:proofErr w:type="spellEnd"/>
      <w:r w:rsidRPr="00C53883">
        <w:rPr>
          <w:sz w:val="24"/>
          <w:szCs w:val="24"/>
        </w:rPr>
        <w:t xml:space="preserve"> system of beauty and bodily significatio</w:t>
      </w:r>
      <w:r w:rsidR="005450F5">
        <w:rPr>
          <w:sz w:val="24"/>
          <w:szCs w:val="24"/>
        </w:rPr>
        <w:t>n based on ancient statuary, yet</w:t>
      </w:r>
      <w:r w:rsidRPr="00C53883">
        <w:rPr>
          <w:sz w:val="24"/>
          <w:szCs w:val="24"/>
        </w:rPr>
        <w:t xml:space="preserve"> the </w:t>
      </w:r>
      <w:r w:rsidR="005450F5">
        <w:rPr>
          <w:sz w:val="24"/>
          <w:szCs w:val="24"/>
        </w:rPr>
        <w:t>nineteenth-century body nonetheless made</w:t>
      </w:r>
      <w:r w:rsidRPr="00C53883">
        <w:rPr>
          <w:sz w:val="24"/>
          <w:szCs w:val="24"/>
        </w:rPr>
        <w:t xml:space="preserve"> them. If we return to the words of </w:t>
      </w:r>
      <w:r w:rsidR="007B29F5">
        <w:rPr>
          <w:rFonts w:cstheme="minorHAnsi"/>
          <w:sz w:val="24"/>
          <w:szCs w:val="24"/>
        </w:rPr>
        <w:t>Hiram M. Stanley in Chapter O</w:t>
      </w:r>
      <w:r w:rsidRPr="00C53883">
        <w:rPr>
          <w:rFonts w:cstheme="minorHAnsi"/>
          <w:sz w:val="24"/>
          <w:szCs w:val="24"/>
        </w:rPr>
        <w:t>ne, and the belief that interest in “eating, drinking, smoking, society of the other sex, with dancing, [and] music of a noisy and lively character”</w:t>
      </w:r>
      <w:r w:rsidRPr="00C53883">
        <w:rPr>
          <w:rStyle w:val="FootnoteReference"/>
          <w:rFonts w:cstheme="minorHAnsi"/>
          <w:sz w:val="24"/>
          <w:szCs w:val="24"/>
        </w:rPr>
        <w:footnoteReference w:id="203"/>
      </w:r>
      <w:r w:rsidRPr="00C53883">
        <w:rPr>
          <w:rFonts w:cstheme="minorHAnsi"/>
          <w:sz w:val="24"/>
          <w:szCs w:val="24"/>
        </w:rPr>
        <w:t xml:space="preserve"> makes up a lowbrow identity, then performing comic songs considerably disrupts the construction of the highbrow in the parlor. F. Belasco’s </w:t>
      </w:r>
      <w:r w:rsidRPr="00C53883">
        <w:rPr>
          <w:sz w:val="24"/>
          <w:szCs w:val="24"/>
        </w:rPr>
        <w:t xml:space="preserve">“He’s the Picture of His Daddy in a 1000 Different Ways!” depicts all of these behaviors and instructs performers to embody them. The power of mimesis, and the contemporary belief about gestures’ power, </w:t>
      </w:r>
      <w:r w:rsidRPr="00C53883">
        <w:rPr>
          <w:sz w:val="24"/>
          <w:szCs w:val="24"/>
        </w:rPr>
        <w:lastRenderedPageBreak/>
        <w:t>means that performing this song, and similar comic songs, brought the lowbrow into the nineteenth-century body, giving it substance in the parlor and incorporating these experiences into the formation of the Self.</w:t>
      </w:r>
      <w:r w:rsidRPr="00C53883">
        <w:rPr>
          <w:rFonts w:cstheme="minorHAnsi"/>
          <w:sz w:val="24"/>
          <w:szCs w:val="24"/>
        </w:rPr>
        <w:t xml:space="preserve"> Readers of Wells’ manual would have been conflicted when confronted with his command</w:t>
      </w:r>
      <w:r>
        <w:rPr>
          <w:rFonts w:cstheme="minorHAnsi"/>
          <w:sz w:val="24"/>
          <w:szCs w:val="24"/>
        </w:rPr>
        <w:t>,</w:t>
      </w:r>
      <w:r w:rsidRPr="00C53883">
        <w:rPr>
          <w:rFonts w:cstheme="minorHAnsi"/>
          <w:sz w:val="24"/>
          <w:szCs w:val="24"/>
        </w:rPr>
        <w:t xml:space="preserve"> </w:t>
      </w:r>
      <w:r w:rsidRPr="00C53883">
        <w:rPr>
          <w:sz w:val="24"/>
          <w:szCs w:val="24"/>
        </w:rPr>
        <w:t xml:space="preserve">“that in </w:t>
      </w:r>
      <w:r>
        <w:rPr>
          <w:sz w:val="24"/>
          <w:szCs w:val="24"/>
        </w:rPr>
        <w:t>[parlor]</w:t>
      </w:r>
      <w:r w:rsidRPr="00C53883">
        <w:rPr>
          <w:sz w:val="24"/>
          <w:szCs w:val="24"/>
        </w:rPr>
        <w:t xml:space="preserve"> entertainment there shall be nothing to which there can be any objection, or which shall cause unpleasant remark and leave unpleasant memories.”</w:t>
      </w:r>
      <w:r w:rsidRPr="00C53883">
        <w:rPr>
          <w:rStyle w:val="FootnoteReference"/>
          <w:sz w:val="24"/>
          <w:szCs w:val="24"/>
        </w:rPr>
        <w:footnoteReference w:id="204"/>
      </w:r>
      <w:r w:rsidRPr="00C53883">
        <w:rPr>
          <w:sz w:val="24"/>
          <w:szCs w:val="24"/>
        </w:rPr>
        <w:t xml:space="preserve"> Parlor musicians </w:t>
      </w:r>
      <w:r w:rsidR="005450F5">
        <w:rPr>
          <w:sz w:val="24"/>
          <w:szCs w:val="24"/>
        </w:rPr>
        <w:t xml:space="preserve">regularly embodied </w:t>
      </w:r>
      <w:r w:rsidRPr="00C53883">
        <w:rPr>
          <w:sz w:val="24"/>
          <w:szCs w:val="24"/>
        </w:rPr>
        <w:t>the unpleasant and the objectionabl</w:t>
      </w:r>
      <w:r w:rsidR="00A73C63">
        <w:rPr>
          <w:sz w:val="24"/>
          <w:szCs w:val="24"/>
        </w:rPr>
        <w:t>e</w:t>
      </w:r>
      <w:r w:rsidR="002F1D7D">
        <w:rPr>
          <w:sz w:val="24"/>
          <w:szCs w:val="24"/>
        </w:rPr>
        <w:t>.</w:t>
      </w:r>
    </w:p>
    <w:p w:rsidR="002F1D7D" w:rsidRDefault="002F1D7D" w:rsidP="00726EDE">
      <w:pPr>
        <w:spacing w:line="480" w:lineRule="auto"/>
        <w:rPr>
          <w:rFonts w:cstheme="minorHAnsi"/>
          <w:sz w:val="24"/>
          <w:szCs w:val="24"/>
        </w:rPr>
      </w:pPr>
    </w:p>
    <w:p w:rsidR="00F20DD4" w:rsidRDefault="00F20DD4" w:rsidP="00726EDE">
      <w:pPr>
        <w:spacing w:line="480" w:lineRule="auto"/>
        <w:rPr>
          <w:rFonts w:cstheme="minorHAnsi"/>
          <w:sz w:val="24"/>
          <w:szCs w:val="24"/>
        </w:rPr>
      </w:pPr>
    </w:p>
    <w:p w:rsidR="00F20DD4" w:rsidRDefault="00F20DD4" w:rsidP="00726EDE">
      <w:pPr>
        <w:spacing w:line="480" w:lineRule="auto"/>
        <w:rPr>
          <w:rFonts w:cstheme="minorHAnsi"/>
          <w:sz w:val="24"/>
          <w:szCs w:val="24"/>
        </w:rPr>
      </w:pPr>
    </w:p>
    <w:p w:rsidR="00F20DD4" w:rsidRDefault="00F20DD4" w:rsidP="00726EDE">
      <w:pPr>
        <w:spacing w:line="480" w:lineRule="auto"/>
        <w:rPr>
          <w:rFonts w:cstheme="minorHAnsi"/>
          <w:sz w:val="24"/>
          <w:szCs w:val="24"/>
        </w:rPr>
      </w:pPr>
    </w:p>
    <w:p w:rsidR="00F20DD4" w:rsidRDefault="00F20DD4" w:rsidP="00726EDE">
      <w:pPr>
        <w:spacing w:line="480" w:lineRule="auto"/>
        <w:rPr>
          <w:rFonts w:cstheme="minorHAnsi"/>
          <w:sz w:val="24"/>
          <w:szCs w:val="24"/>
        </w:rPr>
      </w:pPr>
    </w:p>
    <w:p w:rsidR="005450F5" w:rsidRDefault="005450F5" w:rsidP="00726EDE">
      <w:pPr>
        <w:spacing w:line="480" w:lineRule="auto"/>
        <w:rPr>
          <w:rFonts w:cstheme="minorHAnsi"/>
          <w:sz w:val="24"/>
          <w:szCs w:val="24"/>
        </w:rPr>
      </w:pPr>
    </w:p>
    <w:p w:rsidR="005450F5" w:rsidRDefault="005450F5" w:rsidP="00726EDE">
      <w:pPr>
        <w:spacing w:line="480" w:lineRule="auto"/>
        <w:rPr>
          <w:rFonts w:cstheme="minorHAnsi"/>
          <w:sz w:val="24"/>
          <w:szCs w:val="24"/>
        </w:rPr>
      </w:pPr>
    </w:p>
    <w:p w:rsidR="005450F5" w:rsidRDefault="005450F5" w:rsidP="00726EDE">
      <w:pPr>
        <w:spacing w:line="480" w:lineRule="auto"/>
        <w:rPr>
          <w:rFonts w:cstheme="minorHAnsi"/>
          <w:sz w:val="24"/>
          <w:szCs w:val="24"/>
        </w:rPr>
      </w:pPr>
    </w:p>
    <w:p w:rsidR="005450F5" w:rsidRDefault="005450F5" w:rsidP="00726EDE">
      <w:pPr>
        <w:spacing w:line="480" w:lineRule="auto"/>
        <w:rPr>
          <w:rFonts w:cstheme="minorHAnsi"/>
          <w:sz w:val="24"/>
          <w:szCs w:val="24"/>
        </w:rPr>
      </w:pPr>
    </w:p>
    <w:p w:rsidR="005450F5" w:rsidRDefault="005450F5" w:rsidP="00726EDE">
      <w:pPr>
        <w:spacing w:line="480" w:lineRule="auto"/>
        <w:rPr>
          <w:rFonts w:cstheme="minorHAnsi"/>
          <w:sz w:val="24"/>
          <w:szCs w:val="24"/>
        </w:rPr>
      </w:pPr>
    </w:p>
    <w:p w:rsidR="005450F5" w:rsidRPr="00726EDE" w:rsidRDefault="005450F5" w:rsidP="00726EDE">
      <w:pPr>
        <w:spacing w:line="480" w:lineRule="auto"/>
        <w:rPr>
          <w:rFonts w:cstheme="minorHAnsi"/>
          <w:sz w:val="24"/>
          <w:szCs w:val="24"/>
        </w:rPr>
      </w:pPr>
    </w:p>
    <w:p w:rsidR="00F212C9" w:rsidRPr="00A73C63" w:rsidRDefault="00DB05D7" w:rsidP="00DB05D7">
      <w:pPr>
        <w:pStyle w:val="Heading1"/>
        <w:jc w:val="center"/>
        <w:rPr>
          <w:rFonts w:asciiTheme="minorHAnsi" w:hAnsiTheme="minorHAnsi"/>
          <w:color w:val="auto"/>
          <w:sz w:val="24"/>
          <w:szCs w:val="24"/>
        </w:rPr>
      </w:pPr>
      <w:bookmarkStart w:id="21" w:name="_Toc356278698"/>
      <w:r w:rsidRPr="00A73C63">
        <w:rPr>
          <w:rFonts w:asciiTheme="minorHAnsi" w:hAnsiTheme="minorHAnsi"/>
          <w:color w:val="auto"/>
          <w:sz w:val="24"/>
          <w:szCs w:val="24"/>
        </w:rPr>
        <w:lastRenderedPageBreak/>
        <w:t xml:space="preserve">: </w:t>
      </w:r>
      <w:r w:rsidR="007208C3" w:rsidRPr="00A73C63">
        <w:rPr>
          <w:rFonts w:asciiTheme="minorHAnsi" w:hAnsiTheme="minorHAnsi"/>
          <w:color w:val="auto"/>
          <w:sz w:val="24"/>
          <w:szCs w:val="24"/>
        </w:rPr>
        <w:t xml:space="preserve">The Comic Character: </w:t>
      </w:r>
      <w:r w:rsidRPr="00A73C63">
        <w:rPr>
          <w:rFonts w:asciiTheme="minorHAnsi" w:hAnsiTheme="minorHAnsi"/>
          <w:color w:val="auto"/>
          <w:sz w:val="24"/>
          <w:szCs w:val="24"/>
        </w:rPr>
        <w:t>First</w:t>
      </w:r>
      <w:r w:rsidR="007208C3" w:rsidRPr="00A73C63">
        <w:rPr>
          <w:rFonts w:asciiTheme="minorHAnsi" w:hAnsiTheme="minorHAnsi"/>
          <w:color w:val="auto"/>
          <w:sz w:val="24"/>
          <w:szCs w:val="24"/>
        </w:rPr>
        <w:t>-</w:t>
      </w:r>
      <w:r w:rsidRPr="00A73C63">
        <w:rPr>
          <w:rFonts w:asciiTheme="minorHAnsi" w:hAnsiTheme="minorHAnsi"/>
          <w:color w:val="auto"/>
          <w:sz w:val="24"/>
          <w:szCs w:val="24"/>
        </w:rPr>
        <w:t>Person</w:t>
      </w:r>
      <w:r w:rsidR="007208C3" w:rsidRPr="00A73C63">
        <w:rPr>
          <w:rFonts w:asciiTheme="minorHAnsi" w:hAnsiTheme="minorHAnsi"/>
          <w:color w:val="auto"/>
          <w:sz w:val="24"/>
          <w:szCs w:val="24"/>
        </w:rPr>
        <w:t xml:space="preserve"> Perspectives</w:t>
      </w:r>
      <w:r w:rsidRPr="00A73C63">
        <w:rPr>
          <w:rFonts w:asciiTheme="minorHAnsi" w:hAnsiTheme="minorHAnsi"/>
          <w:color w:val="auto"/>
          <w:sz w:val="24"/>
          <w:szCs w:val="24"/>
        </w:rPr>
        <w:t xml:space="preserve"> and Vocal Inflection</w:t>
      </w:r>
      <w:bookmarkEnd w:id="21"/>
    </w:p>
    <w:p w:rsidR="00F212C9" w:rsidRDefault="00F212C9" w:rsidP="00F212C9">
      <w:pPr>
        <w:jc w:val="center"/>
        <w:rPr>
          <w:sz w:val="24"/>
          <w:szCs w:val="24"/>
        </w:rPr>
      </w:pPr>
    </w:p>
    <w:p w:rsidR="00F212C9" w:rsidRDefault="00F212C9" w:rsidP="00F212C9">
      <w:pPr>
        <w:spacing w:line="480" w:lineRule="auto"/>
        <w:rPr>
          <w:sz w:val="24"/>
          <w:szCs w:val="24"/>
        </w:rPr>
      </w:pPr>
      <w:r>
        <w:rPr>
          <w:sz w:val="24"/>
          <w:szCs w:val="24"/>
        </w:rPr>
        <w:tab/>
        <w:t>The soundscape of the ninet</w:t>
      </w:r>
      <w:r w:rsidR="00A73C63">
        <w:rPr>
          <w:sz w:val="24"/>
          <w:szCs w:val="24"/>
        </w:rPr>
        <w:t>eenth-</w:t>
      </w:r>
      <w:r>
        <w:rPr>
          <w:sz w:val="24"/>
          <w:szCs w:val="24"/>
        </w:rPr>
        <w:t xml:space="preserve"> and early twentieth-century parlor has been lost to time, but accounts of its practitioners have survived. In 1986</w:t>
      </w:r>
      <w:r w:rsidR="00A73C63">
        <w:rPr>
          <w:sz w:val="24"/>
          <w:szCs w:val="24"/>
        </w:rPr>
        <w:t>,</w:t>
      </w:r>
      <w:r>
        <w:rPr>
          <w:sz w:val="24"/>
          <w:szCs w:val="24"/>
        </w:rPr>
        <w:t xml:space="preserve"> musicologist Edith </w:t>
      </w:r>
      <w:proofErr w:type="spellStart"/>
      <w:r>
        <w:rPr>
          <w:sz w:val="24"/>
          <w:szCs w:val="24"/>
        </w:rPr>
        <w:t>Borroff</w:t>
      </w:r>
      <w:proofErr w:type="spellEnd"/>
      <w:r>
        <w:rPr>
          <w:sz w:val="24"/>
          <w:szCs w:val="24"/>
        </w:rPr>
        <w:t xml:space="preserve"> published an article based on her childhood recollections of her grandmother’s turn-of-the-century parlor musicales in Chicago. She provides</w:t>
      </w:r>
      <w:r w:rsidR="00A73C63">
        <w:rPr>
          <w:sz w:val="24"/>
          <w:szCs w:val="24"/>
        </w:rPr>
        <w:t xml:space="preserve"> not only</w:t>
      </w:r>
      <w:r>
        <w:rPr>
          <w:sz w:val="24"/>
          <w:szCs w:val="24"/>
        </w:rPr>
        <w:t xml:space="preserve"> a us</w:t>
      </w:r>
      <w:r w:rsidR="00A73C63">
        <w:rPr>
          <w:sz w:val="24"/>
          <w:szCs w:val="24"/>
        </w:rPr>
        <w:t>eful definition of the practice</w:t>
      </w:r>
      <w:r>
        <w:rPr>
          <w:sz w:val="24"/>
          <w:szCs w:val="24"/>
        </w:rPr>
        <w:t xml:space="preserve"> and insight into it, her article</w:t>
      </w:r>
      <w:r w:rsidR="00A73C63">
        <w:rPr>
          <w:sz w:val="24"/>
          <w:szCs w:val="24"/>
        </w:rPr>
        <w:t xml:space="preserve"> also</w:t>
      </w:r>
      <w:r>
        <w:rPr>
          <w:sz w:val="24"/>
          <w:szCs w:val="24"/>
        </w:rPr>
        <w:t xml:space="preserve"> attempts to “counter some of the misconceptions about the American musical parlor.”</w:t>
      </w:r>
      <w:r>
        <w:rPr>
          <w:rStyle w:val="FootnoteReference"/>
          <w:sz w:val="24"/>
          <w:szCs w:val="24"/>
        </w:rPr>
        <w:footnoteReference w:id="205"/>
      </w:r>
      <w:r>
        <w:rPr>
          <w:sz w:val="24"/>
          <w:szCs w:val="24"/>
        </w:rPr>
        <w:t xml:space="preserve"> </w:t>
      </w:r>
      <w:proofErr w:type="spellStart"/>
      <w:r>
        <w:rPr>
          <w:sz w:val="24"/>
          <w:szCs w:val="24"/>
        </w:rPr>
        <w:t>Borroff’s</w:t>
      </w:r>
      <w:proofErr w:type="spellEnd"/>
      <w:r>
        <w:rPr>
          <w:sz w:val="24"/>
          <w:szCs w:val="24"/>
        </w:rPr>
        <w:t xml:space="preserve"> polemic seeks to remove “negative characterizations of parlor music” as “limited.”</w:t>
      </w:r>
      <w:r>
        <w:rPr>
          <w:rStyle w:val="FootnoteReference"/>
          <w:sz w:val="24"/>
          <w:szCs w:val="24"/>
        </w:rPr>
        <w:footnoteReference w:id="206"/>
      </w:r>
      <w:r>
        <w:rPr>
          <w:sz w:val="24"/>
          <w:szCs w:val="24"/>
        </w:rPr>
        <w:t xml:space="preserve"> What begins as a well-intentioned defense of all kinds of listeners ultimately degenerates into a defense of </w:t>
      </w:r>
      <w:proofErr w:type="spellStart"/>
      <w:r>
        <w:rPr>
          <w:sz w:val="24"/>
          <w:szCs w:val="24"/>
        </w:rPr>
        <w:t>Borroff’s</w:t>
      </w:r>
      <w:proofErr w:type="spellEnd"/>
      <w:r>
        <w:rPr>
          <w:sz w:val="24"/>
          <w:szCs w:val="24"/>
        </w:rPr>
        <w:t xml:space="preserve"> childhood experience and the parlor as a </w:t>
      </w:r>
      <w:r w:rsidR="00782073">
        <w:rPr>
          <w:sz w:val="24"/>
          <w:szCs w:val="24"/>
        </w:rPr>
        <w:t>highbrow</w:t>
      </w:r>
      <w:r>
        <w:rPr>
          <w:sz w:val="24"/>
          <w:szCs w:val="24"/>
        </w:rPr>
        <w:t xml:space="preserve"> space, “superior” to the </w:t>
      </w:r>
      <w:r w:rsidR="00A73C63">
        <w:rPr>
          <w:sz w:val="24"/>
          <w:szCs w:val="24"/>
        </w:rPr>
        <w:t>high-culture</w:t>
      </w:r>
      <w:r>
        <w:rPr>
          <w:sz w:val="24"/>
          <w:szCs w:val="24"/>
        </w:rPr>
        <w:t xml:space="preserve"> </w:t>
      </w:r>
      <w:r w:rsidR="00A73C63">
        <w:rPr>
          <w:sz w:val="24"/>
          <w:szCs w:val="24"/>
        </w:rPr>
        <w:t>commonly associated with</w:t>
      </w:r>
      <w:r>
        <w:rPr>
          <w:sz w:val="24"/>
          <w:szCs w:val="24"/>
        </w:rPr>
        <w:t xml:space="preserve"> </w:t>
      </w:r>
      <w:proofErr w:type="spellStart"/>
      <w:r>
        <w:rPr>
          <w:sz w:val="24"/>
          <w:szCs w:val="24"/>
        </w:rPr>
        <w:t>Schubertiades</w:t>
      </w:r>
      <w:proofErr w:type="spellEnd"/>
      <w:r>
        <w:rPr>
          <w:sz w:val="24"/>
          <w:szCs w:val="24"/>
        </w:rPr>
        <w:t xml:space="preserve"> of the </w:t>
      </w:r>
      <w:r w:rsidR="00F3534B">
        <w:rPr>
          <w:sz w:val="24"/>
          <w:szCs w:val="24"/>
        </w:rPr>
        <w:t xml:space="preserve">early nineteenth </w:t>
      </w:r>
      <w:r>
        <w:rPr>
          <w:sz w:val="24"/>
          <w:szCs w:val="24"/>
        </w:rPr>
        <w:t>century.</w:t>
      </w:r>
      <w:r>
        <w:rPr>
          <w:rStyle w:val="FootnoteReference"/>
          <w:sz w:val="24"/>
          <w:szCs w:val="24"/>
        </w:rPr>
        <w:footnoteReference w:id="207"/>
      </w:r>
      <w:r>
        <w:rPr>
          <w:sz w:val="24"/>
          <w:szCs w:val="24"/>
        </w:rPr>
        <w:t xml:space="preserve"> She romanticizes the American parlor as part of a “history of excellence” that displayed “egalitarian” values, making “women…equal with men,” and “American music…equal with European.”</w:t>
      </w:r>
      <w:r>
        <w:rPr>
          <w:rStyle w:val="FootnoteReference"/>
          <w:sz w:val="24"/>
          <w:szCs w:val="24"/>
        </w:rPr>
        <w:footnoteReference w:id="208"/>
      </w:r>
      <w:r>
        <w:rPr>
          <w:sz w:val="24"/>
          <w:szCs w:val="24"/>
        </w:rPr>
        <w:t xml:space="preserve"> While her comparative logic seems faulty and unnecessary, her descriptive language reveals some underlying assumptions of the parlor. Her frequent references to Beethoven and other high-art Germanic composers reinforce the conception of the parlor as a </w:t>
      </w:r>
      <w:r w:rsidR="00782073">
        <w:rPr>
          <w:sz w:val="24"/>
          <w:szCs w:val="24"/>
        </w:rPr>
        <w:t>highbrow</w:t>
      </w:r>
      <w:r>
        <w:rPr>
          <w:sz w:val="24"/>
          <w:szCs w:val="24"/>
        </w:rPr>
        <w:t xml:space="preserve"> space. In her singular reference to a potentially </w:t>
      </w:r>
      <w:r w:rsidR="00782073">
        <w:rPr>
          <w:sz w:val="24"/>
          <w:szCs w:val="24"/>
        </w:rPr>
        <w:t>lowbrow</w:t>
      </w:r>
      <w:r>
        <w:rPr>
          <w:sz w:val="24"/>
          <w:szCs w:val="24"/>
        </w:rPr>
        <w:t xml:space="preserve"> action in the parlor, </w:t>
      </w:r>
      <w:proofErr w:type="spellStart"/>
      <w:r>
        <w:rPr>
          <w:sz w:val="24"/>
          <w:szCs w:val="24"/>
        </w:rPr>
        <w:t>Borroff</w:t>
      </w:r>
      <w:proofErr w:type="spellEnd"/>
      <w:r>
        <w:rPr>
          <w:sz w:val="24"/>
          <w:szCs w:val="24"/>
        </w:rPr>
        <w:t xml:space="preserve"> recalls “my mother’s older brother singing wonderful vaudeville songs to ukulele, </w:t>
      </w:r>
      <w:r w:rsidRPr="00270D1A">
        <w:rPr>
          <w:i/>
          <w:sz w:val="24"/>
          <w:szCs w:val="24"/>
        </w:rPr>
        <w:t>acting</w:t>
      </w:r>
      <w:r>
        <w:rPr>
          <w:sz w:val="24"/>
          <w:szCs w:val="24"/>
        </w:rPr>
        <w:t xml:space="preserve"> such chestnuts as ‘Oh Lord, If You Won’t Help Me, for Heaven’s Sake Don’t You Help That Bear.’”</w:t>
      </w:r>
      <w:r>
        <w:rPr>
          <w:rStyle w:val="FootnoteReference"/>
          <w:sz w:val="24"/>
          <w:szCs w:val="24"/>
        </w:rPr>
        <w:footnoteReference w:id="209"/>
      </w:r>
      <w:r>
        <w:rPr>
          <w:sz w:val="24"/>
          <w:szCs w:val="24"/>
        </w:rPr>
        <w:t xml:space="preserve"> In every other reference to a specific piece of music, </w:t>
      </w:r>
      <w:proofErr w:type="spellStart"/>
      <w:r>
        <w:rPr>
          <w:sz w:val="24"/>
          <w:szCs w:val="24"/>
        </w:rPr>
        <w:t>Borroff</w:t>
      </w:r>
      <w:proofErr w:type="spellEnd"/>
      <w:r>
        <w:rPr>
          <w:sz w:val="24"/>
          <w:szCs w:val="24"/>
        </w:rPr>
        <w:t xml:space="preserve"> </w:t>
      </w:r>
      <w:r>
        <w:rPr>
          <w:sz w:val="24"/>
          <w:szCs w:val="24"/>
        </w:rPr>
        <w:lastRenderedPageBreak/>
        <w:t>describes the performer as “playing” a piece; only in referencing vaudeville does she say the performer was “acting.”</w:t>
      </w:r>
      <w:r>
        <w:rPr>
          <w:rStyle w:val="FootnoteReference"/>
          <w:sz w:val="24"/>
          <w:szCs w:val="24"/>
        </w:rPr>
        <w:footnoteReference w:id="210"/>
      </w:r>
      <w:r w:rsidR="00F858DB">
        <w:rPr>
          <w:sz w:val="24"/>
          <w:szCs w:val="24"/>
        </w:rPr>
        <w:t xml:space="preserve"> When</w:t>
      </w:r>
      <w:r>
        <w:rPr>
          <w:sz w:val="24"/>
          <w:szCs w:val="24"/>
        </w:rPr>
        <w:t xml:space="preserve"> parlor performers</w:t>
      </w:r>
      <w:r w:rsidR="00F858DB">
        <w:rPr>
          <w:sz w:val="24"/>
          <w:szCs w:val="24"/>
        </w:rPr>
        <w:t xml:space="preserve"> sang comic songs they</w:t>
      </w:r>
      <w:r>
        <w:rPr>
          <w:sz w:val="24"/>
          <w:szCs w:val="24"/>
        </w:rPr>
        <w:t xml:space="preserve"> acted out characters, singing </w:t>
      </w:r>
      <w:r w:rsidR="00F858DB">
        <w:rPr>
          <w:sz w:val="24"/>
          <w:szCs w:val="24"/>
        </w:rPr>
        <w:t>from their first-person perspective</w:t>
      </w:r>
      <w:r w:rsidR="00A73C63">
        <w:rPr>
          <w:sz w:val="24"/>
          <w:szCs w:val="24"/>
        </w:rPr>
        <w:t>s</w:t>
      </w:r>
      <w:r w:rsidR="00F858DB">
        <w:rPr>
          <w:sz w:val="24"/>
          <w:szCs w:val="24"/>
        </w:rPr>
        <w:t>, taking on their language and the sound of their voice</w:t>
      </w:r>
      <w:r w:rsidR="00A73C63">
        <w:rPr>
          <w:sz w:val="24"/>
          <w:szCs w:val="24"/>
        </w:rPr>
        <w:t>s</w:t>
      </w:r>
      <w:r w:rsidR="00F858DB">
        <w:rPr>
          <w:sz w:val="24"/>
          <w:szCs w:val="24"/>
        </w:rPr>
        <w:t>. This first-perso</w:t>
      </w:r>
      <w:r w:rsidR="00A73C63">
        <w:rPr>
          <w:sz w:val="24"/>
          <w:szCs w:val="24"/>
        </w:rPr>
        <w:t>n embodiment of comic characters and their lowbrow identities</w:t>
      </w:r>
      <w:r w:rsidR="00F858DB">
        <w:rPr>
          <w:sz w:val="24"/>
          <w:szCs w:val="24"/>
        </w:rPr>
        <w:t xml:space="preserve"> disrupted the highbrow aesthetic.</w:t>
      </w:r>
    </w:p>
    <w:p w:rsidR="00F212C9" w:rsidRDefault="00F212C9" w:rsidP="00F212C9">
      <w:pPr>
        <w:spacing w:line="480" w:lineRule="auto"/>
        <w:ind w:firstLine="720"/>
        <w:rPr>
          <w:sz w:val="24"/>
          <w:szCs w:val="24"/>
        </w:rPr>
      </w:pPr>
      <w:r w:rsidRPr="00015450">
        <w:rPr>
          <w:sz w:val="24"/>
          <w:szCs w:val="24"/>
        </w:rPr>
        <w:t xml:space="preserve">In the late-nineteenth </w:t>
      </w:r>
      <w:r>
        <w:rPr>
          <w:sz w:val="24"/>
          <w:szCs w:val="24"/>
        </w:rPr>
        <w:t>century, comic performers took on</w:t>
      </w:r>
      <w:r w:rsidR="00F858DB">
        <w:rPr>
          <w:sz w:val="24"/>
          <w:szCs w:val="24"/>
        </w:rPr>
        <w:t xml:space="preserve"> alternate identities in their</w:t>
      </w:r>
      <w:r w:rsidRPr="00015450">
        <w:rPr>
          <w:sz w:val="24"/>
          <w:szCs w:val="24"/>
        </w:rPr>
        <w:t xml:space="preserve"> specific s</w:t>
      </w:r>
      <w:r>
        <w:rPr>
          <w:sz w:val="24"/>
          <w:szCs w:val="24"/>
        </w:rPr>
        <w:t>tage personas. Comedians performed in</w:t>
      </w:r>
      <w:r w:rsidRPr="00015450">
        <w:rPr>
          <w:sz w:val="24"/>
          <w:szCs w:val="24"/>
        </w:rPr>
        <w:t xml:space="preserve"> stereotyped comic identities, mocking various ethnicities, classes, or the opposite gen</w:t>
      </w:r>
      <w:r>
        <w:rPr>
          <w:sz w:val="24"/>
          <w:szCs w:val="24"/>
        </w:rPr>
        <w:t>der. Gillian Rodger’s research o</w:t>
      </w:r>
      <w:r w:rsidRPr="00015450">
        <w:rPr>
          <w:sz w:val="24"/>
          <w:szCs w:val="24"/>
        </w:rPr>
        <w:t>n the nineteenth-century variety stage argues that “the present</w:t>
      </w:r>
      <w:r>
        <w:rPr>
          <w:sz w:val="24"/>
          <w:szCs w:val="24"/>
        </w:rPr>
        <w:t>ation of character through song</w:t>
      </w:r>
      <w:r w:rsidRPr="00015450">
        <w:rPr>
          <w:sz w:val="24"/>
          <w:szCs w:val="24"/>
        </w:rPr>
        <w:t xml:space="preserve"> was an important means of presenting comedy,” and that song performance was “the means by which performers shaped their comic persona.”</w:t>
      </w:r>
      <w:r w:rsidRPr="00015450">
        <w:rPr>
          <w:rStyle w:val="FootnoteReference"/>
          <w:sz w:val="24"/>
          <w:szCs w:val="24"/>
        </w:rPr>
        <w:footnoteReference w:id="211"/>
      </w:r>
      <w:r w:rsidRPr="00015450">
        <w:rPr>
          <w:sz w:val="24"/>
          <w:szCs w:val="24"/>
        </w:rPr>
        <w:t xml:space="preserve"> </w:t>
      </w:r>
      <w:r>
        <w:rPr>
          <w:sz w:val="24"/>
          <w:szCs w:val="24"/>
        </w:rPr>
        <w:t>In the nineteenth-century variety hall, Rodger found that comic songs “formed the core of men’s repertoire,” and that these songs were most often “based on specific character types.”</w:t>
      </w:r>
      <w:r>
        <w:rPr>
          <w:rStyle w:val="FootnoteReference"/>
          <w:sz w:val="24"/>
          <w:szCs w:val="24"/>
        </w:rPr>
        <w:footnoteReference w:id="212"/>
      </w:r>
      <w:r>
        <w:rPr>
          <w:sz w:val="24"/>
          <w:szCs w:val="24"/>
        </w:rPr>
        <w:t xml:space="preserve"> These comic songs, as laid out by Rodger, supplied “a central character, a narrative full of comic events, and an opportunity to interpolate longer comic monologues or commentary within the song.”</w:t>
      </w:r>
      <w:r>
        <w:rPr>
          <w:rStyle w:val="FootnoteReference"/>
          <w:sz w:val="24"/>
          <w:szCs w:val="24"/>
        </w:rPr>
        <w:footnoteReference w:id="213"/>
      </w:r>
      <w:r>
        <w:rPr>
          <w:sz w:val="24"/>
          <w:szCs w:val="24"/>
        </w:rPr>
        <w:t xml:space="preserve"> The most frequently presented characters, </w:t>
      </w:r>
      <w:r w:rsidR="00A73C63">
        <w:rPr>
          <w:sz w:val="24"/>
          <w:szCs w:val="24"/>
        </w:rPr>
        <w:t>in Rodger’s survey of the genre</w:t>
      </w:r>
      <w:r>
        <w:rPr>
          <w:sz w:val="24"/>
          <w:szCs w:val="24"/>
        </w:rPr>
        <w:t xml:space="preserve"> were “workingmen, upper-class men, the Irish, the Germans and African Americans,”</w:t>
      </w:r>
      <w:r>
        <w:rPr>
          <w:rStyle w:val="FootnoteReference"/>
          <w:sz w:val="24"/>
          <w:szCs w:val="24"/>
        </w:rPr>
        <w:footnoteReference w:id="214"/>
      </w:r>
      <w:r>
        <w:rPr>
          <w:sz w:val="24"/>
          <w:szCs w:val="24"/>
        </w:rPr>
        <w:t xml:space="preserve"> but other ethnic groups and feminine characters were also presented and mocked.</w:t>
      </w:r>
    </w:p>
    <w:p w:rsidR="00F212C9" w:rsidRPr="00015450" w:rsidRDefault="00F212C9" w:rsidP="00F212C9">
      <w:pPr>
        <w:spacing w:line="480" w:lineRule="auto"/>
        <w:ind w:firstLine="720"/>
        <w:rPr>
          <w:sz w:val="24"/>
          <w:szCs w:val="24"/>
        </w:rPr>
      </w:pPr>
      <w:r>
        <w:rPr>
          <w:sz w:val="24"/>
          <w:szCs w:val="24"/>
        </w:rPr>
        <w:lastRenderedPageBreak/>
        <w:t>Expressed in the medium of song, the voices of these comical characters held considerable power in signifying identity. As Rodger demonstrated, so</w:t>
      </w:r>
      <w:r w:rsidRPr="00015450">
        <w:rPr>
          <w:sz w:val="24"/>
          <w:szCs w:val="24"/>
        </w:rPr>
        <w:t>ngs most succinctly and clearly conveyed a comical identity to audiences. This pro</w:t>
      </w:r>
      <w:r>
        <w:rPr>
          <w:sz w:val="24"/>
          <w:szCs w:val="24"/>
        </w:rPr>
        <w:t>cess was the same in the parlor</w:t>
      </w:r>
      <w:r w:rsidR="00F858DB">
        <w:rPr>
          <w:sz w:val="24"/>
          <w:szCs w:val="24"/>
        </w:rPr>
        <w:t>.</w:t>
      </w:r>
      <w:r w:rsidRPr="00015450">
        <w:rPr>
          <w:sz w:val="24"/>
          <w:szCs w:val="24"/>
        </w:rPr>
        <w:t xml:space="preserve"> </w:t>
      </w:r>
      <w:r w:rsidR="00F858DB">
        <w:rPr>
          <w:sz w:val="24"/>
          <w:szCs w:val="24"/>
        </w:rPr>
        <w:t>T</w:t>
      </w:r>
      <w:r w:rsidRPr="00015450">
        <w:rPr>
          <w:sz w:val="24"/>
          <w:szCs w:val="24"/>
        </w:rPr>
        <w:t>he comic character</w:t>
      </w:r>
      <w:r w:rsidR="00156A8D">
        <w:rPr>
          <w:sz w:val="24"/>
          <w:szCs w:val="24"/>
        </w:rPr>
        <w:t xml:space="preserve"> piece</w:t>
      </w:r>
      <w:r w:rsidR="00F858DB">
        <w:rPr>
          <w:sz w:val="24"/>
          <w:szCs w:val="24"/>
        </w:rPr>
        <w:t xml:space="preserve">, </w:t>
      </w:r>
      <w:r w:rsidR="00A73C63">
        <w:rPr>
          <w:sz w:val="24"/>
          <w:szCs w:val="24"/>
        </w:rPr>
        <w:t>an extremely common sub-variety of comic song, sung</w:t>
      </w:r>
      <w:r w:rsidR="00156A8D">
        <w:rPr>
          <w:sz w:val="24"/>
          <w:szCs w:val="24"/>
        </w:rPr>
        <w:t xml:space="preserve"> entirely</w:t>
      </w:r>
      <w:r w:rsidR="00F858DB">
        <w:rPr>
          <w:sz w:val="24"/>
          <w:szCs w:val="24"/>
        </w:rPr>
        <w:t xml:space="preserve"> in the first-person,</w:t>
      </w:r>
      <w:r w:rsidRPr="00015450">
        <w:rPr>
          <w:sz w:val="24"/>
          <w:szCs w:val="24"/>
        </w:rPr>
        <w:t xml:space="preserve"> allowed consumers to take o</w:t>
      </w:r>
      <w:r>
        <w:rPr>
          <w:sz w:val="24"/>
          <w:szCs w:val="24"/>
        </w:rPr>
        <w:t xml:space="preserve">n these comic identities as well. </w:t>
      </w:r>
      <w:r w:rsidR="00156A8D">
        <w:rPr>
          <w:sz w:val="24"/>
          <w:szCs w:val="24"/>
        </w:rPr>
        <w:t>As p</w:t>
      </w:r>
      <w:r w:rsidR="00F858DB">
        <w:rPr>
          <w:sz w:val="24"/>
          <w:szCs w:val="24"/>
        </w:rPr>
        <w:t xml:space="preserve">arlor performers </w:t>
      </w:r>
      <w:r w:rsidR="00BC138F">
        <w:rPr>
          <w:sz w:val="24"/>
          <w:szCs w:val="24"/>
        </w:rPr>
        <w:t>sang of themselves in the first-</w:t>
      </w:r>
      <w:r w:rsidR="00156A8D">
        <w:rPr>
          <w:sz w:val="24"/>
          <w:szCs w:val="24"/>
        </w:rPr>
        <w:t>person, they transformed their voices, singing melodies and words that conveyed alternate</w:t>
      </w:r>
      <w:r w:rsidR="00BC138F">
        <w:rPr>
          <w:sz w:val="24"/>
          <w:szCs w:val="24"/>
        </w:rPr>
        <w:t xml:space="preserve"> identities. These performances,</w:t>
      </w:r>
      <w:r w:rsidR="00156A8D">
        <w:rPr>
          <w:sz w:val="24"/>
          <w:szCs w:val="24"/>
        </w:rPr>
        <w:t xml:space="preserve"> </w:t>
      </w:r>
      <w:proofErr w:type="spellStart"/>
      <w:r w:rsidR="00156A8D">
        <w:rPr>
          <w:sz w:val="24"/>
          <w:szCs w:val="24"/>
        </w:rPr>
        <w:t>phatically</w:t>
      </w:r>
      <w:proofErr w:type="spellEnd"/>
      <w:r w:rsidR="00156A8D">
        <w:rPr>
          <w:sz w:val="24"/>
          <w:szCs w:val="24"/>
        </w:rPr>
        <w:t xml:space="preserve"> heightened by singing,</w:t>
      </w:r>
      <w:r w:rsidRPr="00015450">
        <w:rPr>
          <w:sz w:val="24"/>
          <w:szCs w:val="24"/>
        </w:rPr>
        <w:t xml:space="preserve"> disrupted the highbrow/lowbrow discourse of the parlor as performers identified with these characters and shared their lowbrow traits.</w:t>
      </w:r>
    </w:p>
    <w:p w:rsidR="00F212C9" w:rsidRDefault="00F212C9" w:rsidP="00F212C9">
      <w:pPr>
        <w:spacing w:line="480" w:lineRule="auto"/>
        <w:ind w:firstLine="720"/>
        <w:contextualSpacing/>
        <w:rPr>
          <w:sz w:val="24"/>
          <w:szCs w:val="24"/>
        </w:rPr>
      </w:pPr>
      <w:r w:rsidRPr="00015450">
        <w:rPr>
          <w:sz w:val="24"/>
          <w:szCs w:val="24"/>
        </w:rPr>
        <w:t xml:space="preserve">Whereas the previous chapter uncovered how nineteenth-century parlor performers took on the signifying </w:t>
      </w:r>
      <w:r w:rsidR="00BC138F">
        <w:rPr>
          <w:sz w:val="24"/>
          <w:szCs w:val="24"/>
        </w:rPr>
        <w:t xml:space="preserve">bodily </w:t>
      </w:r>
      <w:r w:rsidRPr="00015450">
        <w:rPr>
          <w:sz w:val="24"/>
          <w:szCs w:val="24"/>
        </w:rPr>
        <w:t xml:space="preserve">gestures of lowbrow identities, this chapter investigates the power of the voice. </w:t>
      </w:r>
      <w:r>
        <w:rPr>
          <w:sz w:val="24"/>
          <w:szCs w:val="24"/>
        </w:rPr>
        <w:t>In his examination of the power of the voice in Texas country music, Aaron Fox theorized that:</w:t>
      </w:r>
    </w:p>
    <w:p w:rsidR="00F212C9" w:rsidRDefault="00F212C9" w:rsidP="00F212C9">
      <w:pPr>
        <w:ind w:left="720"/>
        <w:contextualSpacing/>
        <w:rPr>
          <w:sz w:val="24"/>
          <w:szCs w:val="24"/>
        </w:rPr>
      </w:pPr>
      <w:proofErr w:type="gramStart"/>
      <w:r>
        <w:rPr>
          <w:sz w:val="24"/>
          <w:szCs w:val="24"/>
        </w:rPr>
        <w:t>s</w:t>
      </w:r>
      <w:r w:rsidRPr="00DD47D9">
        <w:rPr>
          <w:sz w:val="24"/>
          <w:szCs w:val="24"/>
        </w:rPr>
        <w:t>inging</w:t>
      </w:r>
      <w:proofErr w:type="gramEnd"/>
      <w:r w:rsidRPr="00DD47D9">
        <w:rPr>
          <w:sz w:val="24"/>
          <w:szCs w:val="24"/>
        </w:rPr>
        <w:t xml:space="preserve"> heightens the aural and visceral presence of the vocalizing body in language, calling attention to the physical medium of the voice, the normally taken-for-granted channel of </w:t>
      </w:r>
      <w:r>
        <w:rPr>
          <w:sz w:val="24"/>
          <w:szCs w:val="24"/>
        </w:rPr>
        <w:t>“</w:t>
      </w:r>
      <w:r w:rsidRPr="00DD47D9">
        <w:rPr>
          <w:sz w:val="24"/>
          <w:szCs w:val="24"/>
        </w:rPr>
        <w:t>ordinary speech.</w:t>
      </w:r>
      <w:r>
        <w:rPr>
          <w:sz w:val="24"/>
          <w:szCs w:val="24"/>
        </w:rPr>
        <w:t>”</w:t>
      </w:r>
      <w:r w:rsidRPr="00DD47D9">
        <w:rPr>
          <w:sz w:val="24"/>
          <w:szCs w:val="24"/>
        </w:rPr>
        <w:t xml:space="preserve"> Singing is by its very nature </w:t>
      </w:r>
      <w:proofErr w:type="spellStart"/>
      <w:r w:rsidRPr="00DD47D9">
        <w:rPr>
          <w:i/>
          <w:sz w:val="24"/>
          <w:szCs w:val="24"/>
        </w:rPr>
        <w:t>phatic</w:t>
      </w:r>
      <w:proofErr w:type="spellEnd"/>
      <w:r w:rsidRPr="00DD47D9">
        <w:rPr>
          <w:sz w:val="24"/>
          <w:szCs w:val="24"/>
        </w:rPr>
        <w:t xml:space="preserve"> communication.</w:t>
      </w:r>
      <w:r>
        <w:rPr>
          <w:rStyle w:val="FootnoteReference"/>
          <w:sz w:val="24"/>
          <w:szCs w:val="24"/>
        </w:rPr>
        <w:footnoteReference w:id="215"/>
      </w:r>
    </w:p>
    <w:p w:rsidR="00F212C9" w:rsidRPr="00DD47D9" w:rsidRDefault="00F212C9" w:rsidP="00F212C9">
      <w:pPr>
        <w:ind w:left="720"/>
        <w:contextualSpacing/>
        <w:rPr>
          <w:sz w:val="24"/>
          <w:szCs w:val="24"/>
        </w:rPr>
      </w:pPr>
    </w:p>
    <w:p w:rsidR="00F212C9" w:rsidRDefault="00F212C9" w:rsidP="00F212C9">
      <w:pPr>
        <w:spacing w:line="480" w:lineRule="auto"/>
        <w:rPr>
          <w:sz w:val="24"/>
          <w:szCs w:val="24"/>
        </w:rPr>
      </w:pPr>
      <w:r>
        <w:rPr>
          <w:sz w:val="24"/>
          <w:szCs w:val="24"/>
        </w:rPr>
        <w:t xml:space="preserve">When text is sung it gains extra levels of social meaning. Similarly, Daniel </w:t>
      </w:r>
      <w:proofErr w:type="spellStart"/>
      <w:r>
        <w:rPr>
          <w:sz w:val="24"/>
          <w:szCs w:val="24"/>
        </w:rPr>
        <w:t>Cavicchi</w:t>
      </w:r>
      <w:proofErr w:type="spellEnd"/>
      <w:r>
        <w:rPr>
          <w:sz w:val="24"/>
          <w:szCs w:val="24"/>
        </w:rPr>
        <w:t xml:space="preserve"> in his ethnographic </w:t>
      </w:r>
      <w:r w:rsidR="00BC138F">
        <w:rPr>
          <w:sz w:val="24"/>
          <w:szCs w:val="24"/>
        </w:rPr>
        <w:t>study of Bruce Springsteen fans</w:t>
      </w:r>
      <w:r>
        <w:rPr>
          <w:sz w:val="24"/>
          <w:szCs w:val="24"/>
        </w:rPr>
        <w:t xml:space="preserve"> argued for the “especially powerful function” of “musical practices…in the construction of personal identity.”</w:t>
      </w:r>
      <w:r>
        <w:rPr>
          <w:rStyle w:val="FootnoteReference"/>
          <w:sz w:val="24"/>
          <w:szCs w:val="24"/>
        </w:rPr>
        <w:footnoteReference w:id="216"/>
      </w:r>
      <w:r>
        <w:rPr>
          <w:sz w:val="24"/>
          <w:szCs w:val="24"/>
        </w:rPr>
        <w:t xml:space="preserve"> Arguably more than any other </w:t>
      </w:r>
      <w:r w:rsidR="00BC138F">
        <w:rPr>
          <w:sz w:val="24"/>
          <w:szCs w:val="24"/>
        </w:rPr>
        <w:lastRenderedPageBreak/>
        <w:t>medium, musical performances</w:t>
      </w:r>
      <w:r>
        <w:rPr>
          <w:sz w:val="24"/>
          <w:szCs w:val="24"/>
        </w:rPr>
        <w:t>, especially vocalizations, carry the most performative weight in the formation of identity.</w:t>
      </w:r>
    </w:p>
    <w:p w:rsidR="00F212C9" w:rsidRDefault="00F212C9" w:rsidP="00F212C9">
      <w:pPr>
        <w:spacing w:line="480" w:lineRule="auto"/>
        <w:ind w:firstLine="720"/>
        <w:rPr>
          <w:sz w:val="24"/>
          <w:szCs w:val="24"/>
        </w:rPr>
      </w:pPr>
      <w:r>
        <w:rPr>
          <w:sz w:val="24"/>
          <w:szCs w:val="24"/>
        </w:rPr>
        <w:t xml:space="preserve">The tremendous power of the singing voice has also been treated by Simon </w:t>
      </w:r>
      <w:proofErr w:type="spellStart"/>
      <w:r>
        <w:rPr>
          <w:sz w:val="24"/>
          <w:szCs w:val="24"/>
        </w:rPr>
        <w:t>Frith</w:t>
      </w:r>
      <w:proofErr w:type="spellEnd"/>
      <w:r>
        <w:rPr>
          <w:sz w:val="24"/>
          <w:szCs w:val="24"/>
        </w:rPr>
        <w:t xml:space="preserve">. In attempting to understand the role of words in song, </w:t>
      </w:r>
      <w:proofErr w:type="spellStart"/>
      <w:r>
        <w:rPr>
          <w:sz w:val="24"/>
          <w:szCs w:val="24"/>
        </w:rPr>
        <w:t>Frith</w:t>
      </w:r>
      <w:proofErr w:type="spellEnd"/>
      <w:r>
        <w:rPr>
          <w:sz w:val="24"/>
          <w:szCs w:val="24"/>
        </w:rPr>
        <w:t xml:space="preserve"> argued that:</w:t>
      </w:r>
    </w:p>
    <w:p w:rsidR="00F212C9" w:rsidRPr="00A26BB1" w:rsidRDefault="00F212C9" w:rsidP="00F212C9">
      <w:pPr>
        <w:ind w:left="720"/>
        <w:rPr>
          <w:sz w:val="24"/>
          <w:szCs w:val="24"/>
        </w:rPr>
      </w:pPr>
      <w:r w:rsidRPr="00A26BB1">
        <w:rPr>
          <w:sz w:val="24"/>
          <w:szCs w:val="24"/>
        </w:rPr>
        <w:t>In songs, words are the sign of a voice. A song is always a performance and song words are always spoken out, heard in someone’s accent. Songs are more like plays than poems; song words work as speech and speech acts, bearing meaning not just semantically, but also as structures of sound that are direct signs of emotion and marks of character. Singers use non-verbal as well as verbal devices to make their points—emphases, sighs, hesitations, changes of tone; lyrics involve pleas, sneers and commands as well as statements and messages and stories.</w:t>
      </w:r>
      <w:r>
        <w:rPr>
          <w:rStyle w:val="FootnoteReference"/>
          <w:sz w:val="24"/>
          <w:szCs w:val="24"/>
        </w:rPr>
        <w:footnoteReference w:id="217"/>
      </w:r>
    </w:p>
    <w:p w:rsidR="00F212C9" w:rsidRDefault="00F212C9" w:rsidP="00F212C9">
      <w:pPr>
        <w:spacing w:line="480" w:lineRule="auto"/>
        <w:rPr>
          <w:sz w:val="24"/>
          <w:szCs w:val="24"/>
        </w:rPr>
      </w:pPr>
      <w:r>
        <w:rPr>
          <w:sz w:val="24"/>
          <w:szCs w:val="24"/>
        </w:rPr>
        <w:t xml:space="preserve"> The words of a song do not just convey semantic meaning and relate narrative. The voice’s subtle alterations add meanings to text, and the singing voice makes the body present in performance. In </w:t>
      </w:r>
      <w:proofErr w:type="spellStart"/>
      <w:r>
        <w:rPr>
          <w:sz w:val="24"/>
          <w:szCs w:val="24"/>
        </w:rPr>
        <w:t>Frith’s</w:t>
      </w:r>
      <w:proofErr w:type="spellEnd"/>
      <w:r w:rsidRPr="00015450">
        <w:rPr>
          <w:sz w:val="24"/>
          <w:szCs w:val="24"/>
        </w:rPr>
        <w:t xml:space="preserve"> theoretical positioning of “the </w:t>
      </w:r>
      <w:r>
        <w:rPr>
          <w:i/>
          <w:sz w:val="24"/>
          <w:szCs w:val="24"/>
        </w:rPr>
        <w:t>voice as a person</w:t>
      </w:r>
      <w:r>
        <w:rPr>
          <w:sz w:val="24"/>
          <w:szCs w:val="24"/>
        </w:rPr>
        <w:t>,</w:t>
      </w:r>
      <w:r w:rsidRPr="00015450">
        <w:rPr>
          <w:sz w:val="24"/>
          <w:szCs w:val="24"/>
        </w:rPr>
        <w:t>”</w:t>
      </w:r>
      <w:r w:rsidRPr="00015450">
        <w:rPr>
          <w:rStyle w:val="FootnoteReference"/>
          <w:sz w:val="24"/>
          <w:szCs w:val="24"/>
        </w:rPr>
        <w:footnoteReference w:id="218"/>
      </w:r>
      <w:r w:rsidRPr="00015450">
        <w:rPr>
          <w:sz w:val="24"/>
          <w:szCs w:val="24"/>
        </w:rPr>
        <w:t xml:space="preserve"> </w:t>
      </w:r>
      <w:r>
        <w:rPr>
          <w:sz w:val="24"/>
          <w:szCs w:val="24"/>
        </w:rPr>
        <w:t>he lays out the way the voice can</w:t>
      </w:r>
      <w:r w:rsidRPr="00015450">
        <w:rPr>
          <w:sz w:val="24"/>
          <w:szCs w:val="24"/>
        </w:rPr>
        <w:t xml:space="preserve"> take on identities and inform others of identities. The voice, as </w:t>
      </w:r>
      <w:proofErr w:type="spellStart"/>
      <w:r w:rsidRPr="00015450">
        <w:rPr>
          <w:sz w:val="24"/>
          <w:szCs w:val="24"/>
        </w:rPr>
        <w:t>Frith</w:t>
      </w:r>
      <w:proofErr w:type="spellEnd"/>
      <w:r w:rsidRPr="00015450">
        <w:rPr>
          <w:sz w:val="24"/>
          <w:szCs w:val="24"/>
        </w:rPr>
        <w:t xml:space="preserve"> points out, is “a key factor in the way in which we assess and react to people we don’t know [and] in the way we decide what sort of person they are.”</w:t>
      </w:r>
      <w:r w:rsidRPr="00015450">
        <w:rPr>
          <w:rStyle w:val="FootnoteReference"/>
          <w:sz w:val="24"/>
          <w:szCs w:val="24"/>
        </w:rPr>
        <w:footnoteReference w:id="219"/>
      </w:r>
      <w:r w:rsidRPr="00015450">
        <w:rPr>
          <w:sz w:val="24"/>
          <w:szCs w:val="24"/>
        </w:rPr>
        <w:t xml:space="preserve"> Th</w:t>
      </w:r>
      <w:r>
        <w:rPr>
          <w:sz w:val="24"/>
          <w:szCs w:val="24"/>
        </w:rPr>
        <w:t>e alteration of the voice, j</w:t>
      </w:r>
      <w:r w:rsidRPr="00015450">
        <w:rPr>
          <w:sz w:val="24"/>
          <w:szCs w:val="24"/>
        </w:rPr>
        <w:t>ust as</w:t>
      </w:r>
      <w:r>
        <w:rPr>
          <w:sz w:val="24"/>
          <w:szCs w:val="24"/>
        </w:rPr>
        <w:t xml:space="preserve"> with</w:t>
      </w:r>
      <w:r w:rsidRPr="00015450">
        <w:rPr>
          <w:sz w:val="24"/>
          <w:szCs w:val="24"/>
        </w:rPr>
        <w:t xml:space="preserve"> performative actions</w:t>
      </w:r>
      <w:r>
        <w:rPr>
          <w:sz w:val="24"/>
          <w:szCs w:val="24"/>
        </w:rPr>
        <w:t>,</w:t>
      </w:r>
      <w:r w:rsidRPr="00015450">
        <w:rPr>
          <w:sz w:val="24"/>
          <w:szCs w:val="24"/>
        </w:rPr>
        <w:t xml:space="preserve"> depend</w:t>
      </w:r>
      <w:r>
        <w:rPr>
          <w:sz w:val="24"/>
          <w:szCs w:val="24"/>
        </w:rPr>
        <w:t>s upon context</w:t>
      </w:r>
      <w:r w:rsidR="006C4408">
        <w:rPr>
          <w:sz w:val="24"/>
          <w:szCs w:val="24"/>
        </w:rPr>
        <w:t>. W</w:t>
      </w:r>
      <w:r w:rsidRPr="00015450">
        <w:rPr>
          <w:sz w:val="24"/>
          <w:szCs w:val="24"/>
        </w:rPr>
        <w:t xml:space="preserve">hile not </w:t>
      </w:r>
      <w:proofErr w:type="spellStart"/>
      <w:r w:rsidRPr="00015450">
        <w:rPr>
          <w:sz w:val="24"/>
          <w:szCs w:val="24"/>
        </w:rPr>
        <w:t>essentialized</w:t>
      </w:r>
      <w:proofErr w:type="spellEnd"/>
      <w:r w:rsidRPr="00015450">
        <w:rPr>
          <w:sz w:val="24"/>
          <w:szCs w:val="24"/>
        </w:rPr>
        <w:t xml:space="preserve">, the voice and its surface alterations still construct identities. As </w:t>
      </w:r>
      <w:proofErr w:type="spellStart"/>
      <w:r w:rsidRPr="00015450">
        <w:rPr>
          <w:sz w:val="24"/>
          <w:szCs w:val="24"/>
        </w:rPr>
        <w:t>Frith</w:t>
      </w:r>
      <w:proofErr w:type="spellEnd"/>
      <w:r w:rsidRPr="00015450">
        <w:rPr>
          <w:sz w:val="24"/>
          <w:szCs w:val="24"/>
        </w:rPr>
        <w:t xml:space="preserve"> elaborates, the voice “may not be a key to </w:t>
      </w:r>
      <w:r w:rsidRPr="00015450">
        <w:rPr>
          <w:sz w:val="24"/>
          <w:szCs w:val="24"/>
        </w:rPr>
        <w:lastRenderedPageBreak/>
        <w:t>someone’s identity, but it is certainly a key to the ways in which we change identities [and] pretend to be something we’re not.”</w:t>
      </w:r>
      <w:r w:rsidRPr="00015450">
        <w:rPr>
          <w:rStyle w:val="FootnoteReference"/>
          <w:sz w:val="24"/>
          <w:szCs w:val="24"/>
        </w:rPr>
        <w:footnoteReference w:id="220"/>
      </w:r>
    </w:p>
    <w:p w:rsidR="00F212C9" w:rsidRPr="00015450" w:rsidRDefault="00F212C9" w:rsidP="00F212C9">
      <w:pPr>
        <w:spacing w:line="480" w:lineRule="auto"/>
        <w:ind w:firstLine="720"/>
        <w:rPr>
          <w:sz w:val="24"/>
          <w:szCs w:val="24"/>
        </w:rPr>
      </w:pPr>
      <w:r w:rsidRPr="00015450">
        <w:rPr>
          <w:sz w:val="24"/>
          <w:szCs w:val="24"/>
        </w:rPr>
        <w:t xml:space="preserve">Singing in another’s voice, </w:t>
      </w:r>
      <w:r>
        <w:rPr>
          <w:sz w:val="24"/>
          <w:szCs w:val="24"/>
        </w:rPr>
        <w:t xml:space="preserve">especially </w:t>
      </w:r>
      <w:r w:rsidRPr="00015450">
        <w:rPr>
          <w:sz w:val="24"/>
          <w:szCs w:val="24"/>
        </w:rPr>
        <w:t xml:space="preserve">the comic character, brings them into the Self. </w:t>
      </w:r>
      <w:proofErr w:type="spellStart"/>
      <w:r w:rsidRPr="00015450">
        <w:rPr>
          <w:sz w:val="24"/>
          <w:szCs w:val="24"/>
        </w:rPr>
        <w:t>Frith</w:t>
      </w:r>
      <w:proofErr w:type="spellEnd"/>
      <w:r w:rsidRPr="00015450">
        <w:rPr>
          <w:sz w:val="24"/>
          <w:szCs w:val="24"/>
        </w:rPr>
        <w:t xml:space="preserve"> posits that “if a voice can be made to change to deceive other people, it can also be used to deceive ourselves,” and that “putting on voices,” is “a normal part of our </w:t>
      </w:r>
      <w:r w:rsidRPr="00015450">
        <w:rPr>
          <w:i/>
          <w:sz w:val="24"/>
          <w:szCs w:val="24"/>
        </w:rPr>
        <w:t>imaginative</w:t>
      </w:r>
      <w:r w:rsidRPr="00015450">
        <w:rPr>
          <w:sz w:val="24"/>
          <w:szCs w:val="24"/>
        </w:rPr>
        <w:t xml:space="preserve"> activity.”</w:t>
      </w:r>
      <w:r w:rsidRPr="00015450">
        <w:rPr>
          <w:rStyle w:val="FootnoteReference"/>
          <w:sz w:val="24"/>
          <w:szCs w:val="24"/>
        </w:rPr>
        <w:footnoteReference w:id="221"/>
      </w:r>
      <w:r w:rsidRPr="00015450">
        <w:rPr>
          <w:sz w:val="24"/>
          <w:szCs w:val="24"/>
        </w:rPr>
        <w:t xml:space="preserve"> By taking on a voice as one’s own, and imagining the Self as the imitated </w:t>
      </w:r>
      <w:proofErr w:type="gramStart"/>
      <w:r w:rsidRPr="00015450">
        <w:rPr>
          <w:sz w:val="24"/>
          <w:szCs w:val="24"/>
        </w:rPr>
        <w:t>Other</w:t>
      </w:r>
      <w:proofErr w:type="gramEnd"/>
      <w:r w:rsidR="006C4408">
        <w:rPr>
          <w:sz w:val="24"/>
          <w:szCs w:val="24"/>
        </w:rPr>
        <w:t>,</w:t>
      </w:r>
      <w:r w:rsidRPr="00015450">
        <w:rPr>
          <w:sz w:val="24"/>
          <w:szCs w:val="24"/>
        </w:rPr>
        <w:t xml:space="preserve"> this voice becomes incorporated into the formation of Self. Singing in the style of an</w:t>
      </w:r>
      <w:r w:rsidR="00BC138F">
        <w:rPr>
          <w:sz w:val="24"/>
          <w:szCs w:val="24"/>
        </w:rPr>
        <w:t xml:space="preserve"> </w:t>
      </w:r>
      <w:proofErr w:type="gramStart"/>
      <w:r w:rsidR="00BC138F">
        <w:rPr>
          <w:sz w:val="24"/>
          <w:szCs w:val="24"/>
        </w:rPr>
        <w:t>O</w:t>
      </w:r>
      <w:r w:rsidRPr="00015450">
        <w:rPr>
          <w:sz w:val="24"/>
          <w:szCs w:val="24"/>
        </w:rPr>
        <w:t>ther</w:t>
      </w:r>
      <w:proofErr w:type="gramEnd"/>
      <w:r w:rsidR="00BC138F">
        <w:rPr>
          <w:sz w:val="24"/>
          <w:szCs w:val="24"/>
        </w:rPr>
        <w:t xml:space="preserve"> takes on what </w:t>
      </w:r>
      <w:proofErr w:type="spellStart"/>
      <w:r w:rsidR="00BC138F">
        <w:rPr>
          <w:sz w:val="24"/>
          <w:szCs w:val="24"/>
        </w:rPr>
        <w:t>Frith</w:t>
      </w:r>
      <w:proofErr w:type="spellEnd"/>
      <w:r w:rsidR="00BC138F">
        <w:rPr>
          <w:sz w:val="24"/>
          <w:szCs w:val="24"/>
        </w:rPr>
        <w:t xml:space="preserve"> calls her or his</w:t>
      </w:r>
      <w:r w:rsidRPr="00015450">
        <w:rPr>
          <w:sz w:val="24"/>
          <w:szCs w:val="24"/>
        </w:rPr>
        <w:t xml:space="preserve"> “vocal personality,” and puts on “a vocal costume, enacting the role that they are playing.”</w:t>
      </w:r>
      <w:r w:rsidRPr="00015450">
        <w:rPr>
          <w:rStyle w:val="FootnoteReference"/>
          <w:sz w:val="24"/>
          <w:szCs w:val="24"/>
        </w:rPr>
        <w:footnoteReference w:id="222"/>
      </w:r>
    </w:p>
    <w:p w:rsidR="00BB1A53" w:rsidRPr="00E21899" w:rsidRDefault="00BB1A53" w:rsidP="00BB1A53">
      <w:pPr>
        <w:spacing w:line="480" w:lineRule="auto"/>
        <w:ind w:firstLine="720"/>
        <w:rPr>
          <w:sz w:val="24"/>
          <w:szCs w:val="24"/>
        </w:rPr>
      </w:pPr>
      <w:r>
        <w:rPr>
          <w:sz w:val="24"/>
          <w:szCs w:val="24"/>
        </w:rPr>
        <w:t xml:space="preserve">Singing, then, allows performers to shift between identities and construct Otherness. </w:t>
      </w:r>
      <w:r w:rsidRPr="00015450">
        <w:rPr>
          <w:sz w:val="24"/>
          <w:szCs w:val="24"/>
        </w:rPr>
        <w:t xml:space="preserve">If identities do dynamically shift, then it is appropriate to follow the suggestion of cultural theorist Stuart Hall and </w:t>
      </w:r>
      <w:r>
        <w:rPr>
          <w:sz w:val="24"/>
          <w:szCs w:val="24"/>
        </w:rPr>
        <w:t>ethno</w:t>
      </w:r>
      <w:r w:rsidRPr="00015450">
        <w:rPr>
          <w:sz w:val="24"/>
          <w:szCs w:val="24"/>
        </w:rPr>
        <w:t>musicologist Jason Lee Oakes, and “use the term identification in favor of identity.”</w:t>
      </w:r>
      <w:r w:rsidRPr="00015450">
        <w:rPr>
          <w:rStyle w:val="FootnoteReference"/>
          <w:sz w:val="24"/>
          <w:szCs w:val="24"/>
        </w:rPr>
        <w:footnoteReference w:id="223"/>
      </w:r>
      <w:r w:rsidRPr="00015450">
        <w:rPr>
          <w:sz w:val="24"/>
          <w:szCs w:val="24"/>
        </w:rPr>
        <w:t xml:space="preserve"> An identity is not an </w:t>
      </w:r>
      <w:proofErr w:type="spellStart"/>
      <w:r w:rsidRPr="00015450">
        <w:rPr>
          <w:sz w:val="24"/>
          <w:szCs w:val="24"/>
        </w:rPr>
        <w:t>essentialized</w:t>
      </w:r>
      <w:proofErr w:type="spellEnd"/>
      <w:r w:rsidRPr="00015450">
        <w:rPr>
          <w:sz w:val="24"/>
          <w:szCs w:val="24"/>
        </w:rPr>
        <w:t xml:space="preserve"> object, but a process. Oakes sought to </w:t>
      </w:r>
      <w:r w:rsidR="00BC138F">
        <w:rPr>
          <w:sz w:val="24"/>
          <w:szCs w:val="24"/>
        </w:rPr>
        <w:t>divorce</w:t>
      </w:r>
      <w:r>
        <w:rPr>
          <w:sz w:val="24"/>
          <w:szCs w:val="24"/>
        </w:rPr>
        <w:t xml:space="preserve"> the notion of an </w:t>
      </w:r>
      <w:proofErr w:type="spellStart"/>
      <w:r>
        <w:rPr>
          <w:sz w:val="24"/>
          <w:szCs w:val="24"/>
        </w:rPr>
        <w:t>essentialized</w:t>
      </w:r>
      <w:proofErr w:type="spellEnd"/>
      <w:r>
        <w:rPr>
          <w:sz w:val="24"/>
          <w:szCs w:val="24"/>
        </w:rPr>
        <w:t xml:space="preserve"> identity from scholarship </w:t>
      </w:r>
      <w:r w:rsidRPr="00015450">
        <w:rPr>
          <w:sz w:val="24"/>
          <w:szCs w:val="24"/>
        </w:rPr>
        <w:t>by observing the “actual acts of identification from which ‘identity is extrapolated,” as only then “can one look at the ‘identities’ that arise from these identifications as they are interpreted after the fact.”</w:t>
      </w:r>
      <w:r w:rsidRPr="00015450">
        <w:rPr>
          <w:rStyle w:val="FootnoteReference"/>
          <w:sz w:val="24"/>
          <w:szCs w:val="24"/>
        </w:rPr>
        <w:footnoteReference w:id="224"/>
      </w:r>
      <w:r w:rsidRPr="00015450">
        <w:rPr>
          <w:sz w:val="24"/>
          <w:szCs w:val="24"/>
        </w:rPr>
        <w:t xml:space="preserve"> Oakes</w:t>
      </w:r>
      <w:r>
        <w:rPr>
          <w:sz w:val="24"/>
          <w:szCs w:val="24"/>
        </w:rPr>
        <w:t>’</w:t>
      </w:r>
      <w:r w:rsidRPr="00015450">
        <w:rPr>
          <w:sz w:val="24"/>
          <w:szCs w:val="24"/>
        </w:rPr>
        <w:t xml:space="preserve"> study of mus</w:t>
      </w:r>
      <w:r>
        <w:rPr>
          <w:sz w:val="24"/>
          <w:szCs w:val="24"/>
        </w:rPr>
        <w:t xml:space="preserve">ical tribute events in twentieth-century New York </w:t>
      </w:r>
      <w:r w:rsidRPr="00015450">
        <w:rPr>
          <w:sz w:val="24"/>
          <w:szCs w:val="24"/>
        </w:rPr>
        <w:t>also proves relevant to nineteenth-century song sheet performers</w:t>
      </w:r>
      <w:r>
        <w:rPr>
          <w:sz w:val="24"/>
          <w:szCs w:val="24"/>
        </w:rPr>
        <w:t>. In both,</w:t>
      </w:r>
      <w:r w:rsidRPr="00015450">
        <w:rPr>
          <w:sz w:val="24"/>
          <w:szCs w:val="24"/>
        </w:rPr>
        <w:t xml:space="preserve"> performers chose “to identify with a particular musical </w:t>
      </w:r>
      <w:r w:rsidRPr="00015450">
        <w:rPr>
          <w:sz w:val="24"/>
          <w:szCs w:val="24"/>
        </w:rPr>
        <w:lastRenderedPageBreak/>
        <w:t>star and with particular musical sounds,” and</w:t>
      </w:r>
      <w:r>
        <w:rPr>
          <w:sz w:val="24"/>
          <w:szCs w:val="24"/>
        </w:rPr>
        <w:t xml:space="preserve"> in both cases </w:t>
      </w:r>
      <w:r w:rsidRPr="00015450">
        <w:rPr>
          <w:sz w:val="24"/>
          <w:szCs w:val="24"/>
        </w:rPr>
        <w:t xml:space="preserve">those identifications were “used as </w:t>
      </w:r>
      <w:r>
        <w:rPr>
          <w:sz w:val="24"/>
          <w:szCs w:val="24"/>
        </w:rPr>
        <w:t>a means of representing oneself.</w:t>
      </w:r>
      <w:r w:rsidRPr="00015450">
        <w:rPr>
          <w:sz w:val="24"/>
          <w:szCs w:val="24"/>
        </w:rPr>
        <w:t>”</w:t>
      </w:r>
      <w:r w:rsidRPr="00015450">
        <w:rPr>
          <w:rStyle w:val="FootnoteReference"/>
          <w:sz w:val="24"/>
          <w:szCs w:val="24"/>
        </w:rPr>
        <w:footnoteReference w:id="225"/>
      </w:r>
      <w:r>
        <w:rPr>
          <w:sz w:val="24"/>
          <w:szCs w:val="24"/>
        </w:rPr>
        <w:t xml:space="preserve"> In studying the “</w:t>
      </w:r>
      <w:r w:rsidR="00BC138F">
        <w:rPr>
          <w:sz w:val="24"/>
          <w:szCs w:val="24"/>
        </w:rPr>
        <w:t>‘</w:t>
      </w:r>
      <w:r>
        <w:rPr>
          <w:sz w:val="24"/>
          <w:szCs w:val="24"/>
        </w:rPr>
        <w:t>lounge music revival’ of the early 1990s</w:t>
      </w:r>
      <w:r w:rsidR="006C4408">
        <w:rPr>
          <w:sz w:val="24"/>
          <w:szCs w:val="24"/>
        </w:rPr>
        <w:t>,</w:t>
      </w:r>
      <w:r>
        <w:rPr>
          <w:sz w:val="24"/>
          <w:szCs w:val="24"/>
        </w:rPr>
        <w:t>” Oakes found a group of largely “middle-class white males” whose identification with the music and material culture of the 1950s and 1960s allowed them to “both align themselves with, and distance themselves from, an idealized white identity.”</w:t>
      </w:r>
      <w:r>
        <w:rPr>
          <w:rStyle w:val="FootnoteReference"/>
          <w:sz w:val="24"/>
          <w:szCs w:val="24"/>
        </w:rPr>
        <w:footnoteReference w:id="226"/>
      </w:r>
      <w:r>
        <w:rPr>
          <w:sz w:val="24"/>
          <w:szCs w:val="24"/>
        </w:rPr>
        <w:t xml:space="preserve"> As Oakes points out, the “urban hipsters” who revived lounge music “didn’t subscribe to grunge and alternative-rock notions of white male naturalism.”</w:t>
      </w:r>
      <w:r>
        <w:rPr>
          <w:rStyle w:val="FootnoteReference"/>
          <w:sz w:val="24"/>
          <w:szCs w:val="24"/>
        </w:rPr>
        <w:footnoteReference w:id="227"/>
      </w:r>
      <w:r>
        <w:rPr>
          <w:sz w:val="24"/>
          <w:szCs w:val="24"/>
        </w:rPr>
        <w:t xml:space="preserve"> They chose which musical voice they wanted to identify with, and which voice would let them play with the identity they alternately desired and derided. </w:t>
      </w:r>
      <w:r w:rsidRPr="00015450">
        <w:rPr>
          <w:sz w:val="24"/>
          <w:szCs w:val="24"/>
        </w:rPr>
        <w:t>As a mass-produced product, nineteenth-centur</w:t>
      </w:r>
      <w:r>
        <w:rPr>
          <w:sz w:val="24"/>
          <w:szCs w:val="24"/>
        </w:rPr>
        <w:t>y consumers had a choice of which</w:t>
      </w:r>
      <w:r w:rsidRPr="00015450">
        <w:rPr>
          <w:sz w:val="24"/>
          <w:szCs w:val="24"/>
        </w:rPr>
        <w:t xml:space="preserve"> </w:t>
      </w:r>
      <w:r>
        <w:rPr>
          <w:sz w:val="24"/>
          <w:szCs w:val="24"/>
        </w:rPr>
        <w:t>song sheet</w:t>
      </w:r>
      <w:r w:rsidRPr="00015450">
        <w:rPr>
          <w:sz w:val="24"/>
          <w:szCs w:val="24"/>
        </w:rPr>
        <w:t>s to bring into the</w:t>
      </w:r>
      <w:r>
        <w:rPr>
          <w:sz w:val="24"/>
          <w:szCs w:val="24"/>
        </w:rPr>
        <w:t>ir parlors, and ultimately, which</w:t>
      </w:r>
      <w:r w:rsidRPr="00015450">
        <w:rPr>
          <w:sz w:val="24"/>
          <w:szCs w:val="24"/>
        </w:rPr>
        <w:t xml:space="preserve"> ide</w:t>
      </w:r>
      <w:r w:rsidR="00BC138F">
        <w:rPr>
          <w:sz w:val="24"/>
          <w:szCs w:val="24"/>
        </w:rPr>
        <w:t xml:space="preserve">ntities to embody. Their </w:t>
      </w:r>
      <w:r w:rsidRPr="00015450">
        <w:rPr>
          <w:sz w:val="24"/>
          <w:szCs w:val="24"/>
        </w:rPr>
        <w:t>choices create</w:t>
      </w:r>
      <w:r>
        <w:rPr>
          <w:sz w:val="24"/>
          <w:szCs w:val="24"/>
        </w:rPr>
        <w:t>d</w:t>
      </w:r>
      <w:r w:rsidRPr="00015450">
        <w:rPr>
          <w:sz w:val="24"/>
          <w:szCs w:val="24"/>
        </w:rPr>
        <w:t xml:space="preserve"> the acts of identification that crafted or disrupted the discourse of high and lowbrow identity.</w:t>
      </w:r>
    </w:p>
    <w:p w:rsidR="00BB1A53" w:rsidRPr="00165319" w:rsidRDefault="00BB1A53" w:rsidP="00BB1A53">
      <w:pPr>
        <w:spacing w:line="480" w:lineRule="auto"/>
        <w:ind w:firstLine="720"/>
        <w:rPr>
          <w:sz w:val="24"/>
          <w:szCs w:val="24"/>
        </w:rPr>
      </w:pPr>
      <w:r>
        <w:rPr>
          <w:sz w:val="24"/>
          <w:szCs w:val="24"/>
        </w:rPr>
        <w:t xml:space="preserve">Daniel </w:t>
      </w:r>
      <w:proofErr w:type="spellStart"/>
      <w:r>
        <w:rPr>
          <w:sz w:val="24"/>
          <w:szCs w:val="24"/>
        </w:rPr>
        <w:t>Cavicchi’s</w:t>
      </w:r>
      <w:proofErr w:type="spellEnd"/>
      <w:r>
        <w:rPr>
          <w:sz w:val="24"/>
          <w:szCs w:val="24"/>
        </w:rPr>
        <w:t xml:space="preserve"> twentieth-century ethnography of the “fan” experience further elucidates the importance of selecting </w:t>
      </w:r>
      <w:r w:rsidR="00D853B0">
        <w:rPr>
          <w:sz w:val="24"/>
          <w:szCs w:val="24"/>
        </w:rPr>
        <w:t xml:space="preserve">with </w:t>
      </w:r>
      <w:r>
        <w:rPr>
          <w:sz w:val="24"/>
          <w:szCs w:val="24"/>
        </w:rPr>
        <w:t>what v</w:t>
      </w:r>
      <w:r w:rsidR="00BC138F">
        <w:rPr>
          <w:sz w:val="24"/>
          <w:szCs w:val="24"/>
        </w:rPr>
        <w:t>oice to embody and identify</w:t>
      </w:r>
      <w:r>
        <w:rPr>
          <w:sz w:val="24"/>
          <w:szCs w:val="24"/>
        </w:rPr>
        <w:t xml:space="preserve">. </w:t>
      </w:r>
      <w:r w:rsidRPr="00165319">
        <w:rPr>
          <w:sz w:val="24"/>
          <w:szCs w:val="24"/>
        </w:rPr>
        <w:t xml:space="preserve">For the Springsteen fans </w:t>
      </w:r>
      <w:proofErr w:type="spellStart"/>
      <w:r w:rsidRPr="00165319">
        <w:rPr>
          <w:sz w:val="24"/>
          <w:szCs w:val="24"/>
        </w:rPr>
        <w:t>Cavicchi</w:t>
      </w:r>
      <w:proofErr w:type="spellEnd"/>
      <w:r w:rsidRPr="00165319">
        <w:rPr>
          <w:sz w:val="24"/>
          <w:szCs w:val="24"/>
        </w:rPr>
        <w:t xml:space="preserve"> studied, being “touched” by the music meant “making a personal connection between oneself and something outside oneself.”</w:t>
      </w:r>
      <w:r>
        <w:rPr>
          <w:rStyle w:val="FootnoteReference"/>
          <w:sz w:val="24"/>
          <w:szCs w:val="24"/>
        </w:rPr>
        <w:footnoteReference w:id="228"/>
      </w:r>
      <w:r>
        <w:rPr>
          <w:sz w:val="24"/>
          <w:szCs w:val="24"/>
        </w:rPr>
        <w:t xml:space="preserve"> </w:t>
      </w:r>
      <w:r w:rsidRPr="00165319">
        <w:rPr>
          <w:sz w:val="24"/>
          <w:szCs w:val="24"/>
        </w:rPr>
        <w:t>The Springsteen fans experience</w:t>
      </w:r>
      <w:r>
        <w:rPr>
          <w:sz w:val="24"/>
          <w:szCs w:val="24"/>
        </w:rPr>
        <w:t>d</w:t>
      </w:r>
      <w:r w:rsidRPr="00165319">
        <w:rPr>
          <w:sz w:val="24"/>
          <w:szCs w:val="24"/>
        </w:rPr>
        <w:t xml:space="preserve"> a “heightened self-awareness” in these musical dialectic confrontations. I argue </w:t>
      </w:r>
      <w:r w:rsidR="00D853B0">
        <w:rPr>
          <w:sz w:val="24"/>
          <w:szCs w:val="24"/>
        </w:rPr>
        <w:t xml:space="preserve">that </w:t>
      </w:r>
      <w:r w:rsidRPr="00165319">
        <w:rPr>
          <w:sz w:val="24"/>
          <w:szCs w:val="24"/>
        </w:rPr>
        <w:t>the same process applies to the home performance of nineteenth-century</w:t>
      </w:r>
      <w:r>
        <w:rPr>
          <w:sz w:val="24"/>
          <w:szCs w:val="24"/>
        </w:rPr>
        <w:t xml:space="preserve"> popular songs. </w:t>
      </w:r>
      <w:proofErr w:type="spellStart"/>
      <w:r>
        <w:rPr>
          <w:sz w:val="24"/>
          <w:szCs w:val="24"/>
        </w:rPr>
        <w:t>Cavicchi</w:t>
      </w:r>
      <w:proofErr w:type="spellEnd"/>
      <w:r w:rsidRPr="00165319">
        <w:rPr>
          <w:sz w:val="24"/>
          <w:szCs w:val="24"/>
        </w:rPr>
        <w:t xml:space="preserve"> supports his theory with accounts of fans</w:t>
      </w:r>
      <w:r>
        <w:rPr>
          <w:sz w:val="24"/>
          <w:szCs w:val="24"/>
        </w:rPr>
        <w:t>’</w:t>
      </w:r>
      <w:r w:rsidRPr="00165319">
        <w:rPr>
          <w:sz w:val="24"/>
          <w:szCs w:val="24"/>
        </w:rPr>
        <w:t xml:space="preserve"> collections. He observed fans’ tendencies to </w:t>
      </w:r>
      <w:proofErr w:type="spellStart"/>
      <w:r w:rsidRPr="00165319">
        <w:rPr>
          <w:sz w:val="24"/>
          <w:szCs w:val="24"/>
        </w:rPr>
        <w:t>fetishize</w:t>
      </w:r>
      <w:proofErr w:type="spellEnd"/>
      <w:r w:rsidRPr="00165319">
        <w:rPr>
          <w:sz w:val="24"/>
          <w:szCs w:val="24"/>
        </w:rPr>
        <w:t xml:space="preserve"> objects, such as CDs and ticket stubs, removing them “from their original context of </w:t>
      </w:r>
      <w:r w:rsidRPr="00165319">
        <w:rPr>
          <w:sz w:val="24"/>
          <w:szCs w:val="24"/>
        </w:rPr>
        <w:lastRenderedPageBreak/>
        <w:t>meaning and [giving] them new uses and meanings.”</w:t>
      </w:r>
      <w:r>
        <w:rPr>
          <w:rStyle w:val="FootnoteReference"/>
          <w:sz w:val="24"/>
          <w:szCs w:val="24"/>
        </w:rPr>
        <w:footnoteReference w:id="229"/>
      </w:r>
      <w:r>
        <w:rPr>
          <w:sz w:val="24"/>
          <w:szCs w:val="24"/>
        </w:rPr>
        <w:t xml:space="preserve"> </w:t>
      </w:r>
      <w:r w:rsidRPr="00165319">
        <w:rPr>
          <w:sz w:val="24"/>
          <w:szCs w:val="24"/>
        </w:rPr>
        <w:t xml:space="preserve">Nineteenth-century consumers, in purchasing the </w:t>
      </w:r>
      <w:r>
        <w:rPr>
          <w:sz w:val="24"/>
          <w:szCs w:val="24"/>
        </w:rPr>
        <w:t>song sheet</w:t>
      </w:r>
      <w:r w:rsidRPr="00165319">
        <w:rPr>
          <w:sz w:val="24"/>
          <w:szCs w:val="24"/>
        </w:rPr>
        <w:t>s of famed comic actors, or those portraying famous</w:t>
      </w:r>
      <w:r>
        <w:rPr>
          <w:sz w:val="24"/>
          <w:szCs w:val="24"/>
        </w:rPr>
        <w:t xml:space="preserve"> comic character archetypes, were</w:t>
      </w:r>
      <w:r w:rsidRPr="00165319">
        <w:rPr>
          <w:sz w:val="24"/>
          <w:szCs w:val="24"/>
        </w:rPr>
        <w:t xml:space="preserve"> engaging in the same behavior. The songs gain</w:t>
      </w:r>
      <w:r w:rsidR="00D853B0">
        <w:rPr>
          <w:sz w:val="24"/>
          <w:szCs w:val="24"/>
        </w:rPr>
        <w:t>ed</w:t>
      </w:r>
      <w:r w:rsidRPr="00165319">
        <w:rPr>
          <w:sz w:val="24"/>
          <w:szCs w:val="24"/>
        </w:rPr>
        <w:t xml:space="preserve"> new uses and meaning in the h</w:t>
      </w:r>
      <w:r w:rsidR="00D853B0">
        <w:rPr>
          <w:sz w:val="24"/>
          <w:szCs w:val="24"/>
        </w:rPr>
        <w:t>ome, as parlor performers embodied</w:t>
      </w:r>
      <w:r w:rsidRPr="00165319">
        <w:rPr>
          <w:sz w:val="24"/>
          <w:szCs w:val="24"/>
        </w:rPr>
        <w:t xml:space="preserve"> the characters themselves, moving between themselves and something else. Just a</w:t>
      </w:r>
      <w:r>
        <w:rPr>
          <w:sz w:val="24"/>
          <w:szCs w:val="24"/>
        </w:rPr>
        <w:t>s Springsteen fans selected which</w:t>
      </w:r>
      <w:r w:rsidRPr="00165319">
        <w:rPr>
          <w:sz w:val="24"/>
          <w:szCs w:val="24"/>
        </w:rPr>
        <w:t xml:space="preserve"> items represented themselves, nineteenth</w:t>
      </w:r>
      <w:r>
        <w:rPr>
          <w:sz w:val="24"/>
          <w:szCs w:val="24"/>
        </w:rPr>
        <w:t>-century consumers selected which song sheets and which</w:t>
      </w:r>
      <w:r w:rsidRPr="00165319">
        <w:rPr>
          <w:sz w:val="24"/>
          <w:szCs w:val="24"/>
        </w:rPr>
        <w:t xml:space="preserve"> sung narratives they wanted to use to represent themselves in the parlor. </w:t>
      </w:r>
      <w:proofErr w:type="spellStart"/>
      <w:r w:rsidRPr="00165319">
        <w:rPr>
          <w:sz w:val="24"/>
          <w:szCs w:val="24"/>
        </w:rPr>
        <w:t>Cavicchi</w:t>
      </w:r>
      <w:proofErr w:type="spellEnd"/>
      <w:r w:rsidRPr="00165319">
        <w:rPr>
          <w:sz w:val="24"/>
          <w:szCs w:val="24"/>
        </w:rPr>
        <w:t xml:space="preserve"> framed the process of seeking out items for self-representation in the words of nineteenth-century philosopher William James, w</w:t>
      </w:r>
      <w:r w:rsidR="00D853B0">
        <w:rPr>
          <w:sz w:val="24"/>
          <w:szCs w:val="24"/>
        </w:rPr>
        <w:t>ho put forth the idea that the S</w:t>
      </w:r>
      <w:r w:rsidRPr="00165319">
        <w:rPr>
          <w:sz w:val="24"/>
          <w:szCs w:val="24"/>
        </w:rPr>
        <w:t>elf constructs an “ideal” or “potential”</w:t>
      </w:r>
      <w:r>
        <w:rPr>
          <w:rStyle w:val="FootnoteReference"/>
          <w:sz w:val="24"/>
          <w:szCs w:val="24"/>
        </w:rPr>
        <w:footnoteReference w:id="230"/>
      </w:r>
      <w:r w:rsidR="00D853B0">
        <w:rPr>
          <w:sz w:val="24"/>
          <w:szCs w:val="24"/>
        </w:rPr>
        <w:t xml:space="preserve"> S</w:t>
      </w:r>
      <w:r>
        <w:rPr>
          <w:sz w:val="24"/>
          <w:szCs w:val="24"/>
        </w:rPr>
        <w:t xml:space="preserve">elf in the </w:t>
      </w:r>
      <w:proofErr w:type="gramStart"/>
      <w:r>
        <w:rPr>
          <w:sz w:val="24"/>
          <w:szCs w:val="24"/>
        </w:rPr>
        <w:t>mind</w:t>
      </w:r>
      <w:r w:rsidR="00D853B0">
        <w:rPr>
          <w:sz w:val="24"/>
          <w:szCs w:val="24"/>
        </w:rPr>
        <w:t>,</w:t>
      </w:r>
      <w:proofErr w:type="gramEnd"/>
      <w:r w:rsidRPr="00165319">
        <w:rPr>
          <w:sz w:val="24"/>
          <w:szCs w:val="24"/>
        </w:rPr>
        <w:t xml:space="preserve"> and actions are guided in reference to this ideal. For James:</w:t>
      </w:r>
    </w:p>
    <w:p w:rsidR="00BB1A53" w:rsidRPr="00165319" w:rsidRDefault="00BB1A53" w:rsidP="00BB1A53">
      <w:pPr>
        <w:ind w:firstLine="720"/>
        <w:rPr>
          <w:sz w:val="24"/>
          <w:szCs w:val="24"/>
        </w:rPr>
      </w:pPr>
      <w:proofErr w:type="gramStart"/>
      <w:r>
        <w:rPr>
          <w:sz w:val="24"/>
          <w:szCs w:val="24"/>
        </w:rPr>
        <w:t>our</w:t>
      </w:r>
      <w:proofErr w:type="gramEnd"/>
      <w:r>
        <w:rPr>
          <w:sz w:val="24"/>
          <w:szCs w:val="24"/>
        </w:rPr>
        <w:t xml:space="preserve"> self-</w:t>
      </w:r>
      <w:r w:rsidRPr="00165319">
        <w:rPr>
          <w:sz w:val="24"/>
          <w:szCs w:val="24"/>
        </w:rPr>
        <w:t>feeling in this world depends entirely on what we back ourselves to be and d</w:t>
      </w:r>
      <w:r>
        <w:rPr>
          <w:sz w:val="24"/>
          <w:szCs w:val="24"/>
        </w:rPr>
        <w:t>o.</w:t>
      </w:r>
      <w:r>
        <w:rPr>
          <w:sz w:val="24"/>
          <w:szCs w:val="24"/>
        </w:rPr>
        <w:tab/>
      </w:r>
      <w:r w:rsidRPr="00165319">
        <w:rPr>
          <w:sz w:val="24"/>
          <w:szCs w:val="24"/>
        </w:rPr>
        <w:t>It is determined by the ratio of our actualities to our s</w:t>
      </w:r>
      <w:r>
        <w:rPr>
          <w:sz w:val="24"/>
          <w:szCs w:val="24"/>
        </w:rPr>
        <w:t>upposed potentialities.</w:t>
      </w:r>
      <w:r>
        <w:rPr>
          <w:rStyle w:val="FootnoteReference"/>
          <w:sz w:val="24"/>
          <w:szCs w:val="24"/>
        </w:rPr>
        <w:footnoteReference w:id="231"/>
      </w:r>
    </w:p>
    <w:p w:rsidR="00BB1A53" w:rsidRDefault="00BB1A53" w:rsidP="00BB1A53">
      <w:pPr>
        <w:spacing w:line="480" w:lineRule="auto"/>
        <w:rPr>
          <w:sz w:val="24"/>
          <w:szCs w:val="24"/>
        </w:rPr>
      </w:pPr>
      <w:r>
        <w:rPr>
          <w:sz w:val="24"/>
          <w:szCs w:val="24"/>
        </w:rPr>
        <w:t>Purchasing comic character song sheets</w:t>
      </w:r>
      <w:r w:rsidR="00D853B0">
        <w:rPr>
          <w:sz w:val="24"/>
          <w:szCs w:val="24"/>
        </w:rPr>
        <w:t xml:space="preserve"> shaped the Self.</w:t>
      </w:r>
      <w:r>
        <w:rPr>
          <w:sz w:val="24"/>
          <w:szCs w:val="24"/>
        </w:rPr>
        <w:t xml:space="preserve"> </w:t>
      </w:r>
      <w:r w:rsidR="00D853B0">
        <w:rPr>
          <w:sz w:val="24"/>
          <w:szCs w:val="24"/>
        </w:rPr>
        <w:t xml:space="preserve">They </w:t>
      </w:r>
      <w:r>
        <w:rPr>
          <w:sz w:val="24"/>
          <w:szCs w:val="24"/>
        </w:rPr>
        <w:t>allowed parlor musicians to explore potentialities, to take on the first-person narrative of another,</w:t>
      </w:r>
      <w:r w:rsidR="00D853B0">
        <w:rPr>
          <w:sz w:val="24"/>
          <w:szCs w:val="24"/>
        </w:rPr>
        <w:t xml:space="preserve"> and</w:t>
      </w:r>
      <w:r>
        <w:rPr>
          <w:sz w:val="24"/>
          <w:szCs w:val="24"/>
        </w:rPr>
        <w:t xml:space="preserve"> to be an</w:t>
      </w:r>
      <w:r w:rsidR="00D853B0">
        <w:rPr>
          <w:sz w:val="24"/>
          <w:szCs w:val="24"/>
        </w:rPr>
        <w:t>d do something outside the Self.</w:t>
      </w:r>
    </w:p>
    <w:p w:rsidR="00231BF0" w:rsidRDefault="00F212C9" w:rsidP="00231BF0">
      <w:pPr>
        <w:spacing w:line="480" w:lineRule="auto"/>
        <w:ind w:firstLine="720"/>
        <w:rPr>
          <w:sz w:val="24"/>
          <w:szCs w:val="24"/>
        </w:rPr>
      </w:pPr>
      <w:r w:rsidRPr="00015450">
        <w:rPr>
          <w:sz w:val="24"/>
          <w:szCs w:val="24"/>
        </w:rPr>
        <w:t xml:space="preserve">The significance of the voice in nineteenth-century parlor </w:t>
      </w:r>
      <w:r w:rsidR="00BB1A53">
        <w:rPr>
          <w:sz w:val="24"/>
          <w:szCs w:val="24"/>
        </w:rPr>
        <w:t>performances comes in two forms:</w:t>
      </w:r>
      <w:r w:rsidR="008B490A">
        <w:rPr>
          <w:sz w:val="24"/>
          <w:szCs w:val="24"/>
        </w:rPr>
        <w:t xml:space="preserve"> “grain</w:t>
      </w:r>
      <w:r w:rsidR="008B490A" w:rsidRPr="00015450">
        <w:rPr>
          <w:sz w:val="24"/>
          <w:szCs w:val="24"/>
        </w:rPr>
        <w:t xml:space="preserve">” </w:t>
      </w:r>
      <w:r w:rsidR="008B490A">
        <w:rPr>
          <w:sz w:val="24"/>
          <w:szCs w:val="24"/>
        </w:rPr>
        <w:t xml:space="preserve">and </w:t>
      </w:r>
      <w:r w:rsidRPr="00015450">
        <w:rPr>
          <w:sz w:val="24"/>
          <w:szCs w:val="24"/>
        </w:rPr>
        <w:t>lyrics</w:t>
      </w:r>
      <w:r w:rsidR="008B490A">
        <w:rPr>
          <w:sz w:val="24"/>
          <w:szCs w:val="24"/>
        </w:rPr>
        <w:t xml:space="preserve">. </w:t>
      </w:r>
      <w:r w:rsidRPr="00015450">
        <w:rPr>
          <w:sz w:val="24"/>
          <w:szCs w:val="24"/>
        </w:rPr>
        <w:t>The “grain” of the voice, as defined by Roland Barthes, involves the “dual production” of “language and of music.”</w:t>
      </w:r>
      <w:r w:rsidRPr="00015450">
        <w:rPr>
          <w:rStyle w:val="FootnoteReference"/>
          <w:sz w:val="24"/>
          <w:szCs w:val="24"/>
        </w:rPr>
        <w:footnoteReference w:id="232"/>
      </w:r>
      <w:r w:rsidR="008B490A">
        <w:rPr>
          <w:sz w:val="24"/>
          <w:szCs w:val="24"/>
        </w:rPr>
        <w:t xml:space="preserve"> The nature of the interaction between</w:t>
      </w:r>
      <w:r w:rsidRPr="00015450">
        <w:rPr>
          <w:sz w:val="24"/>
          <w:szCs w:val="24"/>
        </w:rPr>
        <w:t xml:space="preserve"> </w:t>
      </w:r>
      <w:r w:rsidR="008B490A">
        <w:rPr>
          <w:sz w:val="24"/>
          <w:szCs w:val="24"/>
        </w:rPr>
        <w:lastRenderedPageBreak/>
        <w:t>language and melody</w:t>
      </w:r>
      <w:r w:rsidRPr="00015450">
        <w:rPr>
          <w:sz w:val="24"/>
          <w:szCs w:val="24"/>
        </w:rPr>
        <w:t>, as Barthes believes, is what gives the voice its “significance.”</w:t>
      </w:r>
      <w:r w:rsidRPr="00015450">
        <w:rPr>
          <w:rStyle w:val="FootnoteReference"/>
          <w:sz w:val="24"/>
          <w:szCs w:val="24"/>
        </w:rPr>
        <w:footnoteReference w:id="233"/>
      </w:r>
      <w:r w:rsidRPr="00015450">
        <w:rPr>
          <w:sz w:val="24"/>
          <w:szCs w:val="24"/>
        </w:rPr>
        <w:t xml:space="preserve"> </w:t>
      </w:r>
      <w:r>
        <w:rPr>
          <w:sz w:val="24"/>
          <w:szCs w:val="24"/>
        </w:rPr>
        <w:t>Metaphorically, the “grain” is “the body in the voice as it sings,” or “the hand as it writes,”</w:t>
      </w:r>
      <w:r>
        <w:rPr>
          <w:rStyle w:val="FootnoteReference"/>
          <w:sz w:val="24"/>
          <w:szCs w:val="24"/>
        </w:rPr>
        <w:footnoteReference w:id="234"/>
      </w:r>
      <w:r>
        <w:rPr>
          <w:sz w:val="24"/>
          <w:szCs w:val="24"/>
        </w:rPr>
        <w:t xml:space="preserve"> as Barthes treats each performance as a creative act where </w:t>
      </w:r>
      <w:r w:rsidR="009658BF">
        <w:rPr>
          <w:sz w:val="24"/>
          <w:szCs w:val="24"/>
        </w:rPr>
        <w:t xml:space="preserve">an </w:t>
      </w:r>
      <w:r w:rsidR="008B490A">
        <w:rPr>
          <w:sz w:val="24"/>
          <w:szCs w:val="24"/>
        </w:rPr>
        <w:t>individual’s performance</w:t>
      </w:r>
      <w:r>
        <w:rPr>
          <w:sz w:val="24"/>
          <w:szCs w:val="24"/>
        </w:rPr>
        <w:t xml:space="preserve"> write</w:t>
      </w:r>
      <w:r w:rsidR="008B490A">
        <w:rPr>
          <w:sz w:val="24"/>
          <w:szCs w:val="24"/>
        </w:rPr>
        <w:t>s</w:t>
      </w:r>
      <w:r>
        <w:rPr>
          <w:sz w:val="24"/>
          <w:szCs w:val="24"/>
        </w:rPr>
        <w:t xml:space="preserve"> new layers of meaning. Barthe</w:t>
      </w:r>
      <w:r w:rsidR="008B490A">
        <w:rPr>
          <w:sz w:val="24"/>
          <w:szCs w:val="24"/>
        </w:rPr>
        <w:t>s’ “grain” incorporates both</w:t>
      </w:r>
      <w:r>
        <w:rPr>
          <w:sz w:val="24"/>
          <w:szCs w:val="24"/>
        </w:rPr>
        <w:t xml:space="preserve"> culturally constructed stylistic elements, such as “the rules of the genre,” and the ways “melody explores how the language works and identifies with that work.”</w:t>
      </w:r>
      <w:r>
        <w:rPr>
          <w:rStyle w:val="FootnoteReference"/>
          <w:sz w:val="24"/>
          <w:szCs w:val="24"/>
        </w:rPr>
        <w:footnoteReference w:id="235"/>
      </w:r>
      <w:r>
        <w:rPr>
          <w:sz w:val="24"/>
          <w:szCs w:val="24"/>
        </w:rPr>
        <w:t xml:space="preserve"> </w:t>
      </w:r>
      <w:r w:rsidR="001C274F">
        <w:rPr>
          <w:sz w:val="24"/>
          <w:szCs w:val="24"/>
        </w:rPr>
        <w:t>Listening to</w:t>
      </w:r>
      <w:r w:rsidR="00231BF0">
        <w:rPr>
          <w:sz w:val="24"/>
          <w:szCs w:val="24"/>
        </w:rPr>
        <w:t xml:space="preserve"> melodic lines</w:t>
      </w:r>
      <w:r>
        <w:rPr>
          <w:sz w:val="24"/>
          <w:szCs w:val="24"/>
        </w:rPr>
        <w:t>, according to Barthes, conveys individual vocal personalit</w:t>
      </w:r>
      <w:r w:rsidR="001C274F">
        <w:rPr>
          <w:sz w:val="24"/>
          <w:szCs w:val="24"/>
        </w:rPr>
        <w:t>y and “the image of the body.”</w:t>
      </w:r>
      <w:r w:rsidR="001C274F">
        <w:rPr>
          <w:rStyle w:val="FootnoteReference"/>
          <w:sz w:val="24"/>
          <w:szCs w:val="24"/>
        </w:rPr>
        <w:footnoteReference w:id="236"/>
      </w:r>
      <w:r w:rsidR="00231BF0">
        <w:rPr>
          <w:sz w:val="24"/>
          <w:szCs w:val="24"/>
        </w:rPr>
        <w:t xml:space="preserve"> The sound of the singing voice add</w:t>
      </w:r>
      <w:r w:rsidR="0022080D">
        <w:rPr>
          <w:sz w:val="24"/>
          <w:szCs w:val="24"/>
        </w:rPr>
        <w:t>s</w:t>
      </w:r>
      <w:r w:rsidR="00231BF0">
        <w:rPr>
          <w:sz w:val="24"/>
          <w:szCs w:val="24"/>
        </w:rPr>
        <w:t xml:space="preserve"> layers of meaning and convey</w:t>
      </w:r>
      <w:r w:rsidR="0022080D">
        <w:rPr>
          <w:sz w:val="24"/>
          <w:szCs w:val="24"/>
        </w:rPr>
        <w:t>s</w:t>
      </w:r>
      <w:r w:rsidR="00231BF0">
        <w:rPr>
          <w:sz w:val="24"/>
          <w:szCs w:val="24"/>
        </w:rPr>
        <w:t xml:space="preserve"> the sense of a physical body.</w:t>
      </w:r>
    </w:p>
    <w:p w:rsidR="00F212C9" w:rsidRDefault="00D521F9" w:rsidP="00F212C9">
      <w:pPr>
        <w:spacing w:line="480" w:lineRule="auto"/>
        <w:ind w:firstLine="720"/>
        <w:rPr>
          <w:sz w:val="24"/>
          <w:szCs w:val="24"/>
        </w:rPr>
      </w:pPr>
      <w:r>
        <w:rPr>
          <w:sz w:val="24"/>
          <w:szCs w:val="24"/>
        </w:rPr>
        <w:t>The lyrical</w:t>
      </w:r>
      <w:r w:rsidR="00F212C9" w:rsidRPr="00015450">
        <w:rPr>
          <w:sz w:val="24"/>
          <w:szCs w:val="24"/>
        </w:rPr>
        <w:t xml:space="preserve"> significance of comic character song</w:t>
      </w:r>
      <w:r>
        <w:rPr>
          <w:sz w:val="24"/>
          <w:szCs w:val="24"/>
        </w:rPr>
        <w:t>s stems from the text’s use</w:t>
      </w:r>
      <w:r w:rsidR="009658BF">
        <w:rPr>
          <w:sz w:val="24"/>
          <w:szCs w:val="24"/>
        </w:rPr>
        <w:t xml:space="preserve"> of first-</w:t>
      </w:r>
      <w:r w:rsidR="00F212C9" w:rsidRPr="00015450">
        <w:rPr>
          <w:sz w:val="24"/>
          <w:szCs w:val="24"/>
        </w:rPr>
        <w:t>person narratives</w:t>
      </w:r>
      <w:r w:rsidR="009658BF">
        <w:rPr>
          <w:sz w:val="24"/>
          <w:szCs w:val="24"/>
        </w:rPr>
        <w:t>. The tremendous power of first-</w:t>
      </w:r>
      <w:r w:rsidR="00F212C9" w:rsidRPr="00015450">
        <w:rPr>
          <w:sz w:val="24"/>
          <w:szCs w:val="24"/>
        </w:rPr>
        <w:t>person statements was explored by philosopher and linguist J.L. Austin, who coined the term performative, which later went onto to shape Judith Butler’s theories of identity</w:t>
      </w:r>
      <w:r w:rsidR="00F212C9">
        <w:rPr>
          <w:sz w:val="24"/>
          <w:szCs w:val="24"/>
        </w:rPr>
        <w:t xml:space="preserve"> as discussed earlier</w:t>
      </w:r>
      <w:r w:rsidR="00F212C9" w:rsidRPr="00015450">
        <w:rPr>
          <w:sz w:val="24"/>
          <w:szCs w:val="24"/>
        </w:rPr>
        <w:t>. Austin recognized that uttering phrases such as “I bet you sixpence it will rain tomorrow,” were neither descriptive nor informative, to utter it “is to do it.”</w:t>
      </w:r>
      <w:r w:rsidR="00F212C9" w:rsidRPr="00015450">
        <w:rPr>
          <w:rStyle w:val="FootnoteReference"/>
          <w:sz w:val="24"/>
          <w:szCs w:val="24"/>
        </w:rPr>
        <w:footnoteReference w:id="237"/>
      </w:r>
      <w:r w:rsidR="00F212C9" w:rsidRPr="00015450">
        <w:rPr>
          <w:sz w:val="24"/>
          <w:szCs w:val="24"/>
        </w:rPr>
        <w:t xml:space="preserve"> According to Austin, in these types of sentences, “the utterance is the performing of an action.”</w:t>
      </w:r>
      <w:r w:rsidR="00F212C9" w:rsidRPr="00015450">
        <w:rPr>
          <w:rStyle w:val="FootnoteReference"/>
          <w:sz w:val="24"/>
          <w:szCs w:val="24"/>
        </w:rPr>
        <w:footnoteReference w:id="238"/>
      </w:r>
      <w:r w:rsidR="00F212C9" w:rsidRPr="00015450">
        <w:rPr>
          <w:sz w:val="24"/>
          <w:szCs w:val="24"/>
        </w:rPr>
        <w:t xml:space="preserve"> By singing in the first person, performers lent performative weight to the comic character</w:t>
      </w:r>
      <w:r>
        <w:rPr>
          <w:sz w:val="24"/>
          <w:szCs w:val="24"/>
        </w:rPr>
        <w:t>’s utterances, and took on its</w:t>
      </w:r>
      <w:r w:rsidR="00F212C9" w:rsidRPr="00015450">
        <w:rPr>
          <w:sz w:val="24"/>
          <w:szCs w:val="24"/>
        </w:rPr>
        <w:t xml:space="preserve"> actions.</w:t>
      </w:r>
    </w:p>
    <w:p w:rsidR="00156A8D" w:rsidRDefault="00156A8D" w:rsidP="00156A8D">
      <w:pPr>
        <w:spacing w:line="480" w:lineRule="auto"/>
        <w:ind w:firstLine="720"/>
        <w:rPr>
          <w:sz w:val="24"/>
          <w:szCs w:val="24"/>
        </w:rPr>
      </w:pPr>
      <w:r>
        <w:rPr>
          <w:sz w:val="24"/>
          <w:szCs w:val="24"/>
        </w:rPr>
        <w:t xml:space="preserve">In the context of the parlor, with its assumptions about and constructions of the highbrow, the voice should purport a highbrow identity, but nineteenth-century musicians also </w:t>
      </w:r>
      <w:r>
        <w:rPr>
          <w:sz w:val="24"/>
          <w:szCs w:val="24"/>
        </w:rPr>
        <w:lastRenderedPageBreak/>
        <w:t>sounded the lowbrow voice. Music, as Levine found in his study of the developing high/low divide, held a special prominence in the supposed enlightenment of society. He found the push for disciplined, refined identities throughout culture, such as in a 1890s ed</w:t>
      </w:r>
      <w:r w:rsidR="00D521F9">
        <w:rPr>
          <w:sz w:val="24"/>
          <w:szCs w:val="24"/>
        </w:rPr>
        <w:t>ition of “America the Beautiful</w:t>
      </w:r>
      <w:r>
        <w:rPr>
          <w:sz w:val="24"/>
          <w:szCs w:val="24"/>
        </w:rPr>
        <w:t xml:space="preserve">” that added the lines: “God mend </w:t>
      </w:r>
      <w:proofErr w:type="spellStart"/>
      <w:r>
        <w:rPr>
          <w:sz w:val="24"/>
          <w:szCs w:val="24"/>
        </w:rPr>
        <w:t>thine</w:t>
      </w:r>
      <w:proofErr w:type="spellEnd"/>
      <w:r>
        <w:rPr>
          <w:sz w:val="24"/>
          <w:szCs w:val="24"/>
        </w:rPr>
        <w:t xml:space="preserve"> </w:t>
      </w:r>
      <w:proofErr w:type="spellStart"/>
      <w:r>
        <w:rPr>
          <w:sz w:val="24"/>
          <w:szCs w:val="24"/>
        </w:rPr>
        <w:t>ev’ry</w:t>
      </w:r>
      <w:proofErr w:type="spellEnd"/>
      <w:r>
        <w:rPr>
          <w:sz w:val="24"/>
          <w:szCs w:val="24"/>
        </w:rPr>
        <w:t xml:space="preserve"> flaw, </w:t>
      </w:r>
      <w:proofErr w:type="gramStart"/>
      <w:r>
        <w:rPr>
          <w:sz w:val="24"/>
          <w:szCs w:val="24"/>
        </w:rPr>
        <w:t>Confirm</w:t>
      </w:r>
      <w:proofErr w:type="gramEnd"/>
      <w:r>
        <w:rPr>
          <w:sz w:val="24"/>
          <w:szCs w:val="24"/>
        </w:rPr>
        <w:t xml:space="preserve"> thy soul in self-control, Thy liberty in law.”</w:t>
      </w:r>
      <w:r>
        <w:rPr>
          <w:rStyle w:val="FootnoteReference"/>
          <w:sz w:val="24"/>
          <w:szCs w:val="24"/>
        </w:rPr>
        <w:footnoteReference w:id="239"/>
      </w:r>
      <w:r>
        <w:rPr>
          <w:sz w:val="24"/>
          <w:szCs w:val="24"/>
        </w:rPr>
        <w:t xml:space="preserve"> Music, according to nineteenth-century American critic John Sullivan Dwight, was meant to serve as a “civilizing agent” that corrected “crudities.”</w:t>
      </w:r>
      <w:r>
        <w:rPr>
          <w:rStyle w:val="FootnoteReference"/>
          <w:sz w:val="24"/>
          <w:szCs w:val="24"/>
        </w:rPr>
        <w:footnoteReference w:id="240"/>
      </w:r>
      <w:r>
        <w:rPr>
          <w:sz w:val="24"/>
          <w:szCs w:val="24"/>
        </w:rPr>
        <w:t xml:space="preserve"> Singers were pressured to present a refined Self to society, but comic songs portrayed uncivilized crudities, giving them a voice in this contentious discourse. </w:t>
      </w:r>
      <w:r w:rsidR="00F212C9">
        <w:rPr>
          <w:sz w:val="24"/>
          <w:szCs w:val="24"/>
        </w:rPr>
        <w:tab/>
      </w:r>
    </w:p>
    <w:p w:rsidR="00F212C9" w:rsidRDefault="00F212C9" w:rsidP="00156A8D">
      <w:pPr>
        <w:spacing w:line="480" w:lineRule="auto"/>
        <w:ind w:firstLine="720"/>
        <w:rPr>
          <w:sz w:val="24"/>
          <w:szCs w:val="24"/>
        </w:rPr>
      </w:pPr>
      <w:r>
        <w:rPr>
          <w:sz w:val="24"/>
          <w:szCs w:val="24"/>
        </w:rPr>
        <w:t>Specific nineteenth-century beliefs about music, especially vocal music, clarify its immense power in shaping a</w:t>
      </w:r>
      <w:r w:rsidR="00156A8D">
        <w:rPr>
          <w:sz w:val="24"/>
          <w:szCs w:val="24"/>
        </w:rPr>
        <w:t>nd potentially refining the</w:t>
      </w:r>
      <w:r>
        <w:rPr>
          <w:sz w:val="24"/>
          <w:szCs w:val="24"/>
        </w:rPr>
        <w:t xml:space="preserve"> Self. Not only were the gestures explored i</w:t>
      </w:r>
      <w:r w:rsidR="007B29F5">
        <w:rPr>
          <w:sz w:val="24"/>
          <w:szCs w:val="24"/>
        </w:rPr>
        <w:t>n Chapter T</w:t>
      </w:r>
      <w:r>
        <w:rPr>
          <w:sz w:val="24"/>
          <w:szCs w:val="24"/>
        </w:rPr>
        <w:t xml:space="preserve">wo powerful external significations of the Self, so was vocal intonation. In her </w:t>
      </w:r>
      <w:proofErr w:type="spellStart"/>
      <w:r>
        <w:rPr>
          <w:sz w:val="24"/>
          <w:szCs w:val="24"/>
        </w:rPr>
        <w:t>Delsarte</w:t>
      </w:r>
      <w:proofErr w:type="spellEnd"/>
      <w:r>
        <w:rPr>
          <w:sz w:val="24"/>
          <w:szCs w:val="24"/>
        </w:rPr>
        <w:t xml:space="preserve"> technique manual, Genevieve </w:t>
      </w:r>
      <w:r w:rsidRPr="00C53883">
        <w:rPr>
          <w:sz w:val="24"/>
          <w:szCs w:val="24"/>
        </w:rPr>
        <w:t>Stebbins instructed her students to “place your heart into the place of your larynx,”</w:t>
      </w:r>
      <w:r w:rsidRPr="00C53883">
        <w:rPr>
          <w:rStyle w:val="FootnoteReference"/>
          <w:sz w:val="24"/>
          <w:szCs w:val="24"/>
        </w:rPr>
        <w:footnoteReference w:id="241"/>
      </w:r>
      <w:r w:rsidRPr="00C53883">
        <w:rPr>
          <w:sz w:val="24"/>
          <w:szCs w:val="24"/>
        </w:rPr>
        <w:t xml:space="preserve"> because vocal intonation “subtly indicates each passing thought.”</w:t>
      </w:r>
      <w:r w:rsidRPr="00C53883">
        <w:rPr>
          <w:rStyle w:val="FootnoteReference"/>
          <w:sz w:val="24"/>
          <w:szCs w:val="24"/>
        </w:rPr>
        <w:footnoteReference w:id="242"/>
      </w:r>
      <w:r w:rsidRPr="00C53883">
        <w:rPr>
          <w:sz w:val="24"/>
          <w:szCs w:val="24"/>
        </w:rPr>
        <w:t xml:space="preserve"> Vocal inflection corresponded with internal thoughts and characteristics.</w:t>
      </w:r>
      <w:r>
        <w:rPr>
          <w:sz w:val="24"/>
          <w:szCs w:val="24"/>
        </w:rPr>
        <w:t xml:space="preserve"> She goes on to d</w:t>
      </w:r>
      <w:r w:rsidR="00A8602F">
        <w:rPr>
          <w:sz w:val="24"/>
          <w:szCs w:val="24"/>
        </w:rPr>
        <w:t>etail techniques</w:t>
      </w:r>
      <w:r w:rsidR="002367D4">
        <w:rPr>
          <w:sz w:val="24"/>
          <w:szCs w:val="24"/>
        </w:rPr>
        <w:t xml:space="preserve"> of breathing to achieve </w:t>
      </w:r>
      <w:r w:rsidR="00A8602F">
        <w:rPr>
          <w:sz w:val="24"/>
          <w:szCs w:val="24"/>
        </w:rPr>
        <w:t>specific vocal inflections</w:t>
      </w:r>
      <w:r w:rsidR="002367D4">
        <w:rPr>
          <w:sz w:val="24"/>
          <w:szCs w:val="24"/>
        </w:rPr>
        <w:t>. Further,</w:t>
      </w:r>
      <w:r w:rsidR="00A8602F">
        <w:rPr>
          <w:sz w:val="24"/>
          <w:szCs w:val="24"/>
        </w:rPr>
        <w:t xml:space="preserve"> her</w:t>
      </w:r>
      <w:r>
        <w:rPr>
          <w:sz w:val="24"/>
          <w:szCs w:val="24"/>
        </w:rPr>
        <w:t xml:space="preserve"> s</w:t>
      </w:r>
      <w:r w:rsidR="002367D4">
        <w:rPr>
          <w:sz w:val="24"/>
          <w:szCs w:val="24"/>
        </w:rPr>
        <w:t>ystem of “Degrees for Music</w:t>
      </w:r>
      <w:r>
        <w:rPr>
          <w:sz w:val="24"/>
          <w:szCs w:val="24"/>
        </w:rPr>
        <w:t>”</w:t>
      </w:r>
      <w:r>
        <w:rPr>
          <w:rStyle w:val="FootnoteReference"/>
          <w:sz w:val="24"/>
          <w:szCs w:val="24"/>
        </w:rPr>
        <w:footnoteReference w:id="243"/>
      </w:r>
      <w:r w:rsidR="002367D4">
        <w:rPr>
          <w:sz w:val="24"/>
          <w:szCs w:val="24"/>
        </w:rPr>
        <w:t xml:space="preserve"> provided</w:t>
      </w:r>
      <w:r w:rsidR="00A8602F">
        <w:rPr>
          <w:sz w:val="24"/>
          <w:szCs w:val="24"/>
        </w:rPr>
        <w:t xml:space="preserve"> a detailed theoretical method that specified exactly when singers should</w:t>
      </w:r>
      <w:r>
        <w:rPr>
          <w:sz w:val="24"/>
          <w:szCs w:val="24"/>
        </w:rPr>
        <w:t xml:space="preserve"> emphasize</w:t>
      </w:r>
      <w:r w:rsidR="00A8602F">
        <w:rPr>
          <w:sz w:val="24"/>
          <w:szCs w:val="24"/>
        </w:rPr>
        <w:t xml:space="preserve"> the dissonant notes of</w:t>
      </w:r>
      <w:r w:rsidR="001E3CC0">
        <w:rPr>
          <w:sz w:val="24"/>
          <w:szCs w:val="24"/>
        </w:rPr>
        <w:t xml:space="preserve"> ascending or descending lines</w:t>
      </w:r>
      <w:r w:rsidR="00A8602F">
        <w:rPr>
          <w:sz w:val="24"/>
          <w:szCs w:val="24"/>
        </w:rPr>
        <w:t>, what kind of dynamics and inflection to use, and what it meant</w:t>
      </w:r>
      <w:r>
        <w:rPr>
          <w:sz w:val="24"/>
          <w:szCs w:val="24"/>
        </w:rPr>
        <w:t xml:space="preserve"> to do so. </w:t>
      </w:r>
      <w:r w:rsidR="001E3CC0">
        <w:rPr>
          <w:sz w:val="24"/>
          <w:szCs w:val="24"/>
        </w:rPr>
        <w:t xml:space="preserve">Failure to conform to this specific musical grammar reflected back on a person’s identity, for as </w:t>
      </w:r>
      <w:proofErr w:type="spellStart"/>
      <w:r w:rsidR="001E3CC0">
        <w:rPr>
          <w:sz w:val="24"/>
          <w:szCs w:val="24"/>
        </w:rPr>
        <w:t>Delsarte</w:t>
      </w:r>
      <w:proofErr w:type="spellEnd"/>
      <w:r w:rsidR="001E3CC0">
        <w:rPr>
          <w:sz w:val="24"/>
          <w:szCs w:val="24"/>
        </w:rPr>
        <w:t xml:space="preserve"> believed, “vulgar and </w:t>
      </w:r>
      <w:r w:rsidR="001E3CC0">
        <w:rPr>
          <w:sz w:val="24"/>
          <w:szCs w:val="24"/>
        </w:rPr>
        <w:lastRenderedPageBreak/>
        <w:t xml:space="preserve">uncultured people, as well as children, act in regard to an </w:t>
      </w:r>
      <w:proofErr w:type="spellStart"/>
      <w:r w:rsidR="001E3CC0">
        <w:rPr>
          <w:sz w:val="24"/>
          <w:szCs w:val="24"/>
        </w:rPr>
        <w:t>ascensional</w:t>
      </w:r>
      <w:proofErr w:type="spellEnd"/>
      <w:r w:rsidR="001E3CC0">
        <w:rPr>
          <w:sz w:val="24"/>
          <w:szCs w:val="24"/>
        </w:rPr>
        <w:t xml:space="preserve"> progression in an inverse sense to well-educated, or at any rate, affectionate persons.”</w:t>
      </w:r>
      <w:r w:rsidR="001E3CC0">
        <w:rPr>
          <w:rStyle w:val="FootnoteReference"/>
          <w:sz w:val="24"/>
          <w:szCs w:val="24"/>
        </w:rPr>
        <w:footnoteReference w:id="244"/>
      </w:r>
      <w:r w:rsidR="001E3CC0">
        <w:rPr>
          <w:sz w:val="24"/>
          <w:szCs w:val="24"/>
        </w:rPr>
        <w:t xml:space="preserve"> </w:t>
      </w:r>
      <w:r>
        <w:rPr>
          <w:sz w:val="24"/>
          <w:szCs w:val="24"/>
        </w:rPr>
        <w:t xml:space="preserve">As </w:t>
      </w:r>
      <w:proofErr w:type="spellStart"/>
      <w:r>
        <w:rPr>
          <w:sz w:val="24"/>
          <w:szCs w:val="24"/>
        </w:rPr>
        <w:t>Delsarte</w:t>
      </w:r>
      <w:proofErr w:type="spellEnd"/>
      <w:r>
        <w:rPr>
          <w:sz w:val="24"/>
          <w:szCs w:val="24"/>
        </w:rPr>
        <w:t xml:space="preserve"> reportedly said about vocal</w:t>
      </w:r>
      <w:r w:rsidR="002367D4">
        <w:rPr>
          <w:sz w:val="24"/>
          <w:szCs w:val="24"/>
        </w:rPr>
        <w:t xml:space="preserve"> intonation:</w:t>
      </w:r>
    </w:p>
    <w:p w:rsidR="00F212C9" w:rsidRDefault="00F212C9" w:rsidP="00F212C9">
      <w:pPr>
        <w:ind w:left="720"/>
        <w:rPr>
          <w:sz w:val="24"/>
          <w:szCs w:val="24"/>
        </w:rPr>
      </w:pPr>
      <w:proofErr w:type="gramStart"/>
      <w:r>
        <w:rPr>
          <w:sz w:val="24"/>
          <w:szCs w:val="24"/>
        </w:rPr>
        <w:t>light</w:t>
      </w:r>
      <w:proofErr w:type="gramEnd"/>
      <w:r>
        <w:rPr>
          <w:sz w:val="24"/>
          <w:szCs w:val="24"/>
        </w:rPr>
        <w:t xml:space="preserve"> and shade are not, as has been asserted, subject to the arbitration of inspiration; they are ruled by laws (for in art there is no phenomenon not subject to absolute mathematical laws).</w:t>
      </w:r>
      <w:r>
        <w:rPr>
          <w:rStyle w:val="FootnoteReference"/>
          <w:sz w:val="24"/>
          <w:szCs w:val="24"/>
        </w:rPr>
        <w:footnoteReference w:id="245"/>
      </w:r>
    </w:p>
    <w:p w:rsidR="00F212C9" w:rsidRPr="00921A9C" w:rsidRDefault="00F212C9" w:rsidP="00F212C9">
      <w:pPr>
        <w:spacing w:line="480" w:lineRule="auto"/>
        <w:rPr>
          <w:sz w:val="24"/>
          <w:szCs w:val="24"/>
        </w:rPr>
      </w:pPr>
      <w:r>
        <w:rPr>
          <w:sz w:val="24"/>
          <w:szCs w:val="24"/>
        </w:rPr>
        <w:t xml:space="preserve">The nineteenth-century voice conveyed an </w:t>
      </w:r>
      <w:proofErr w:type="spellStart"/>
      <w:r>
        <w:rPr>
          <w:sz w:val="24"/>
          <w:szCs w:val="24"/>
        </w:rPr>
        <w:t>essentialized</w:t>
      </w:r>
      <w:proofErr w:type="spellEnd"/>
      <w:r>
        <w:rPr>
          <w:sz w:val="24"/>
          <w:szCs w:val="24"/>
        </w:rPr>
        <w:t xml:space="preserve"> identity. Every movement and inflection carried meaning.</w:t>
      </w:r>
    </w:p>
    <w:p w:rsidR="00DC1942" w:rsidRDefault="00F212C9" w:rsidP="00DB05D7">
      <w:pPr>
        <w:spacing w:line="480" w:lineRule="auto"/>
        <w:ind w:firstLine="720"/>
        <w:rPr>
          <w:sz w:val="24"/>
          <w:szCs w:val="24"/>
        </w:rPr>
      </w:pPr>
      <w:r w:rsidRPr="00C53883">
        <w:rPr>
          <w:sz w:val="24"/>
          <w:szCs w:val="24"/>
        </w:rPr>
        <w:t>Such an emphasis on the power</w:t>
      </w:r>
      <w:r w:rsidR="00AE0473">
        <w:rPr>
          <w:sz w:val="24"/>
          <w:szCs w:val="24"/>
        </w:rPr>
        <w:t xml:space="preserve"> and control</w:t>
      </w:r>
      <w:r w:rsidRPr="00C53883">
        <w:rPr>
          <w:sz w:val="24"/>
          <w:szCs w:val="24"/>
        </w:rPr>
        <w:t xml:space="preserve"> of the voi</w:t>
      </w:r>
      <w:r w:rsidR="00AE0473">
        <w:rPr>
          <w:sz w:val="24"/>
          <w:szCs w:val="24"/>
        </w:rPr>
        <w:t>ce</w:t>
      </w:r>
      <w:r w:rsidRPr="00C53883">
        <w:rPr>
          <w:sz w:val="24"/>
          <w:szCs w:val="24"/>
        </w:rPr>
        <w:t xml:space="preserve"> gives disruptive power</w:t>
      </w:r>
      <w:r>
        <w:rPr>
          <w:sz w:val="24"/>
          <w:szCs w:val="24"/>
        </w:rPr>
        <w:t xml:space="preserve"> to the 1871 song “The </w:t>
      </w:r>
      <w:proofErr w:type="spellStart"/>
      <w:r>
        <w:rPr>
          <w:sz w:val="24"/>
          <w:szCs w:val="24"/>
        </w:rPr>
        <w:t>Roomatiz</w:t>
      </w:r>
      <w:proofErr w:type="spellEnd"/>
      <w:r>
        <w:rPr>
          <w:sz w:val="24"/>
          <w:szCs w:val="24"/>
        </w:rPr>
        <w:t>.</w:t>
      </w:r>
      <w:r w:rsidRPr="00C53883">
        <w:rPr>
          <w:sz w:val="24"/>
          <w:szCs w:val="24"/>
        </w:rPr>
        <w:t>”</w:t>
      </w:r>
      <w:r>
        <w:rPr>
          <w:sz w:val="24"/>
          <w:szCs w:val="24"/>
        </w:rPr>
        <w:t xml:space="preserve"> The song</w:t>
      </w:r>
      <w:r w:rsidRPr="00C53883">
        <w:rPr>
          <w:sz w:val="24"/>
          <w:szCs w:val="24"/>
        </w:rPr>
        <w:t xml:space="preserve"> mak</w:t>
      </w:r>
      <w:r w:rsidR="00AE0473">
        <w:rPr>
          <w:sz w:val="24"/>
          <w:szCs w:val="24"/>
        </w:rPr>
        <w:t>es light of rheumatism by employing a</w:t>
      </w:r>
      <w:r w:rsidRPr="00C53883">
        <w:rPr>
          <w:sz w:val="24"/>
          <w:szCs w:val="24"/>
        </w:rPr>
        <w:t xml:space="preserve"> musical line an</w:t>
      </w:r>
      <w:r w:rsidR="00AE0473">
        <w:rPr>
          <w:sz w:val="24"/>
          <w:szCs w:val="24"/>
        </w:rPr>
        <w:t>d vocal quality that</w:t>
      </w:r>
      <w:r w:rsidRPr="00C53883">
        <w:rPr>
          <w:sz w:val="24"/>
          <w:szCs w:val="24"/>
        </w:rPr>
        <w:t xml:space="preserve"> imitate coughing.</w:t>
      </w:r>
      <w:r w:rsidR="00BB1A53">
        <w:rPr>
          <w:sz w:val="24"/>
          <w:szCs w:val="24"/>
        </w:rPr>
        <w:t xml:space="preserve"> This comic character</w:t>
      </w:r>
      <w:r w:rsidR="00AE0473">
        <w:rPr>
          <w:sz w:val="24"/>
          <w:szCs w:val="24"/>
        </w:rPr>
        <w:t xml:space="preserve"> piece</w:t>
      </w:r>
      <w:r w:rsidR="00BB1A53">
        <w:rPr>
          <w:sz w:val="24"/>
          <w:szCs w:val="24"/>
        </w:rPr>
        <w:t>, sung entirely in the first-person, provides the performer with</w:t>
      </w:r>
      <w:r>
        <w:rPr>
          <w:sz w:val="24"/>
          <w:szCs w:val="24"/>
        </w:rPr>
        <w:t xml:space="preserve"> instruction</w:t>
      </w:r>
      <w:r w:rsidR="00BB1A53">
        <w:rPr>
          <w:sz w:val="24"/>
          <w:szCs w:val="24"/>
        </w:rPr>
        <w:t>s on how to act the part</w:t>
      </w:r>
      <w:r>
        <w:rPr>
          <w:sz w:val="24"/>
          <w:szCs w:val="24"/>
        </w:rPr>
        <w:t>,</w:t>
      </w:r>
      <w:r w:rsidR="00BB1A53">
        <w:rPr>
          <w:sz w:val="24"/>
          <w:szCs w:val="24"/>
        </w:rPr>
        <w:t xml:space="preserve"> explicating:</w:t>
      </w:r>
      <w:r>
        <w:rPr>
          <w:sz w:val="24"/>
          <w:szCs w:val="24"/>
        </w:rPr>
        <w:t xml:space="preserve"> “Note: </w:t>
      </w:r>
      <w:r w:rsidRPr="00C53883">
        <w:rPr>
          <w:sz w:val="24"/>
          <w:szCs w:val="24"/>
        </w:rPr>
        <w:t>The singer is supposed to be a very old man, with a cracked and trembling voice.”</w:t>
      </w:r>
      <w:r w:rsidRPr="00C53883">
        <w:rPr>
          <w:rStyle w:val="FootnoteReference"/>
          <w:sz w:val="24"/>
          <w:szCs w:val="24"/>
        </w:rPr>
        <w:footnoteReference w:id="246"/>
      </w:r>
      <w:r w:rsidRPr="00C53883">
        <w:rPr>
          <w:sz w:val="24"/>
          <w:szCs w:val="24"/>
        </w:rPr>
        <w:t xml:space="preserve"> Singers likely sought to embody the old man depicted on the cover sheet: hunched over, a cane clasped in his wiry hands, and a scowl on his face</w:t>
      </w:r>
      <w:r w:rsidR="001212F2">
        <w:rPr>
          <w:sz w:val="24"/>
          <w:szCs w:val="24"/>
        </w:rPr>
        <w:t xml:space="preserve"> (see F</w:t>
      </w:r>
      <w:r w:rsidR="00DB05D7">
        <w:rPr>
          <w:sz w:val="24"/>
          <w:szCs w:val="24"/>
        </w:rPr>
        <w:t>igure 3.1</w:t>
      </w:r>
      <w:r w:rsidR="00DC1942">
        <w:rPr>
          <w:sz w:val="24"/>
          <w:szCs w:val="24"/>
        </w:rPr>
        <w:t>)</w:t>
      </w:r>
      <w:r w:rsidRPr="00C53883">
        <w:rPr>
          <w:sz w:val="24"/>
          <w:szCs w:val="24"/>
        </w:rPr>
        <w:t>. In a lilting 6/8 meter, th</w:t>
      </w:r>
      <w:r w:rsidR="00BB1A53">
        <w:rPr>
          <w:sz w:val="24"/>
          <w:szCs w:val="24"/>
        </w:rPr>
        <w:t>e singer stutters out</w:t>
      </w:r>
      <w:r w:rsidRPr="00C53883">
        <w:rPr>
          <w:sz w:val="24"/>
          <w:szCs w:val="24"/>
        </w:rPr>
        <w:t xml:space="preserve"> “</w:t>
      </w:r>
      <w:r w:rsidR="00BB1A53">
        <w:rPr>
          <w:sz w:val="24"/>
          <w:szCs w:val="24"/>
        </w:rPr>
        <w:t xml:space="preserve">I </w:t>
      </w:r>
      <w:proofErr w:type="spellStart"/>
      <w:r w:rsidR="00BB1A53">
        <w:rPr>
          <w:sz w:val="24"/>
          <w:szCs w:val="24"/>
        </w:rPr>
        <w:t>hev</w:t>
      </w:r>
      <w:proofErr w:type="spellEnd"/>
      <w:r w:rsidR="00BB1A53">
        <w:rPr>
          <w:sz w:val="24"/>
          <w:szCs w:val="24"/>
        </w:rPr>
        <w:t xml:space="preserve"> got the </w:t>
      </w:r>
      <w:proofErr w:type="spellStart"/>
      <w:r w:rsidR="00BB1A53">
        <w:rPr>
          <w:sz w:val="24"/>
          <w:szCs w:val="24"/>
        </w:rPr>
        <w:t>roo</w:t>
      </w:r>
      <w:proofErr w:type="spellEnd"/>
      <w:r w:rsidR="00BB1A53">
        <w:rPr>
          <w:sz w:val="24"/>
          <w:szCs w:val="24"/>
        </w:rPr>
        <w:t>-ma-</w:t>
      </w:r>
      <w:proofErr w:type="spellStart"/>
      <w:r w:rsidR="00BB1A53">
        <w:rPr>
          <w:sz w:val="24"/>
          <w:szCs w:val="24"/>
        </w:rPr>
        <w:t>tiz</w:t>
      </w:r>
      <w:proofErr w:type="spellEnd"/>
      <w:r w:rsidR="00BB1A53">
        <w:rPr>
          <w:sz w:val="24"/>
          <w:szCs w:val="24"/>
        </w:rPr>
        <w:t xml:space="preserve">, the </w:t>
      </w:r>
      <w:proofErr w:type="spellStart"/>
      <w:r w:rsidRPr="00C53883">
        <w:rPr>
          <w:sz w:val="24"/>
          <w:szCs w:val="24"/>
        </w:rPr>
        <w:t>roo</w:t>
      </w:r>
      <w:proofErr w:type="spellEnd"/>
      <w:r w:rsidRPr="00C53883">
        <w:rPr>
          <w:sz w:val="24"/>
          <w:szCs w:val="24"/>
        </w:rPr>
        <w:t>-</w:t>
      </w:r>
      <w:proofErr w:type="spellStart"/>
      <w:r w:rsidRPr="00C53883">
        <w:rPr>
          <w:sz w:val="24"/>
          <w:szCs w:val="24"/>
        </w:rPr>
        <w:t>hoo</w:t>
      </w:r>
      <w:proofErr w:type="spellEnd"/>
      <w:r w:rsidRPr="00C53883">
        <w:rPr>
          <w:sz w:val="24"/>
          <w:szCs w:val="24"/>
        </w:rPr>
        <w:t>-</w:t>
      </w:r>
      <w:proofErr w:type="spellStart"/>
      <w:r w:rsidRPr="00C53883">
        <w:rPr>
          <w:sz w:val="24"/>
          <w:szCs w:val="24"/>
        </w:rPr>
        <w:t>hoo</w:t>
      </w:r>
      <w:proofErr w:type="spellEnd"/>
      <w:r w:rsidRPr="00C53883">
        <w:rPr>
          <w:sz w:val="24"/>
          <w:szCs w:val="24"/>
        </w:rPr>
        <w:t>-ma-</w:t>
      </w:r>
      <w:proofErr w:type="spellStart"/>
      <w:r w:rsidRPr="00C53883">
        <w:rPr>
          <w:sz w:val="24"/>
          <w:szCs w:val="24"/>
        </w:rPr>
        <w:t>tiz</w:t>
      </w:r>
      <w:proofErr w:type="spellEnd"/>
      <w:r w:rsidRPr="00C53883">
        <w:rPr>
          <w:sz w:val="24"/>
          <w:szCs w:val="24"/>
        </w:rPr>
        <w:t>,”</w:t>
      </w:r>
      <w:r w:rsidRPr="00C53883">
        <w:rPr>
          <w:rStyle w:val="FootnoteReference"/>
          <w:sz w:val="24"/>
          <w:szCs w:val="24"/>
        </w:rPr>
        <w:footnoteReference w:id="247"/>
      </w:r>
      <w:r w:rsidRPr="00C53883">
        <w:rPr>
          <w:sz w:val="24"/>
          <w:szCs w:val="24"/>
        </w:rPr>
        <w:t xml:space="preserve"> with grace notes accenting every syllable and contributing to an unsteady, cracking voice</w:t>
      </w:r>
      <w:r w:rsidR="001212F2">
        <w:rPr>
          <w:sz w:val="24"/>
          <w:szCs w:val="24"/>
        </w:rPr>
        <w:t xml:space="preserve"> (see F</w:t>
      </w:r>
      <w:r w:rsidR="00DB05D7">
        <w:rPr>
          <w:sz w:val="24"/>
          <w:szCs w:val="24"/>
        </w:rPr>
        <w:t>igure 3.2)</w:t>
      </w:r>
      <w:r w:rsidRPr="00C53883">
        <w:rPr>
          <w:sz w:val="24"/>
          <w:szCs w:val="24"/>
        </w:rPr>
        <w:t>.</w:t>
      </w:r>
      <w:r>
        <w:rPr>
          <w:sz w:val="24"/>
          <w:szCs w:val="24"/>
        </w:rPr>
        <w:t xml:space="preserve"> </w:t>
      </w:r>
      <w:r w:rsidR="003C57BE">
        <w:rPr>
          <w:sz w:val="24"/>
          <w:szCs w:val="24"/>
        </w:rPr>
        <w:t xml:space="preserve">Singing “I” establishes that this </w:t>
      </w:r>
      <w:r w:rsidR="00AE0473">
        <w:rPr>
          <w:sz w:val="24"/>
          <w:szCs w:val="24"/>
        </w:rPr>
        <w:t>voice comes from the singer him or herself, but the</w:t>
      </w:r>
      <w:r w:rsidR="003C57BE">
        <w:rPr>
          <w:sz w:val="24"/>
          <w:szCs w:val="24"/>
        </w:rPr>
        <w:t xml:space="preserve"> grain, in combining the</w:t>
      </w:r>
      <w:r>
        <w:rPr>
          <w:sz w:val="24"/>
          <w:szCs w:val="24"/>
        </w:rPr>
        <w:t xml:space="preserve"> melodic material and the “cracked and trembling”</w:t>
      </w:r>
      <w:r>
        <w:rPr>
          <w:rStyle w:val="FootnoteReference"/>
          <w:sz w:val="24"/>
          <w:szCs w:val="24"/>
        </w:rPr>
        <w:footnoteReference w:id="248"/>
      </w:r>
      <w:r>
        <w:rPr>
          <w:sz w:val="24"/>
          <w:szCs w:val="24"/>
        </w:rPr>
        <w:t xml:space="preserve"> inflection</w:t>
      </w:r>
      <w:r w:rsidR="003C57BE">
        <w:rPr>
          <w:sz w:val="24"/>
          <w:szCs w:val="24"/>
        </w:rPr>
        <w:t>,</w:t>
      </w:r>
      <w:r w:rsidRPr="00C53883">
        <w:rPr>
          <w:sz w:val="24"/>
          <w:szCs w:val="24"/>
        </w:rPr>
        <w:t xml:space="preserve"> </w:t>
      </w:r>
      <w:r w:rsidR="003C57BE">
        <w:rPr>
          <w:sz w:val="24"/>
          <w:szCs w:val="24"/>
        </w:rPr>
        <w:t>define</w:t>
      </w:r>
      <w:r w:rsidR="00AE0473">
        <w:rPr>
          <w:sz w:val="24"/>
          <w:szCs w:val="24"/>
        </w:rPr>
        <w:t>s</w:t>
      </w:r>
      <w:r w:rsidR="003C57BE">
        <w:rPr>
          <w:sz w:val="24"/>
          <w:szCs w:val="24"/>
        </w:rPr>
        <w:t xml:space="preserve"> the singer’s body and identity</w:t>
      </w:r>
      <w:r>
        <w:rPr>
          <w:sz w:val="24"/>
          <w:szCs w:val="24"/>
        </w:rPr>
        <w:t xml:space="preserve"> </w:t>
      </w:r>
      <w:r w:rsidR="003C57BE">
        <w:rPr>
          <w:sz w:val="24"/>
          <w:szCs w:val="24"/>
        </w:rPr>
        <w:t xml:space="preserve">as old and </w:t>
      </w:r>
      <w:r w:rsidR="003C57BE">
        <w:rPr>
          <w:sz w:val="24"/>
          <w:szCs w:val="24"/>
        </w:rPr>
        <w:lastRenderedPageBreak/>
        <w:t>ailing</w:t>
      </w:r>
      <w:r>
        <w:rPr>
          <w:sz w:val="24"/>
          <w:szCs w:val="24"/>
        </w:rPr>
        <w:t xml:space="preserve">. </w:t>
      </w:r>
      <w:r w:rsidRPr="00C53883">
        <w:rPr>
          <w:sz w:val="24"/>
          <w:szCs w:val="24"/>
        </w:rPr>
        <w:t>The accomp</w:t>
      </w:r>
      <w:r w:rsidR="009658BF">
        <w:rPr>
          <w:sz w:val="24"/>
          <w:szCs w:val="24"/>
        </w:rPr>
        <w:t>animent also distorts itself</w:t>
      </w:r>
      <w:r w:rsidR="00C67BBC">
        <w:rPr>
          <w:sz w:val="24"/>
          <w:szCs w:val="24"/>
        </w:rPr>
        <w:t>,</w:t>
      </w:r>
      <w:r w:rsidR="009658BF">
        <w:rPr>
          <w:sz w:val="24"/>
          <w:szCs w:val="24"/>
        </w:rPr>
        <w:t xml:space="preserve"> as</w:t>
      </w:r>
      <w:r w:rsidRPr="00C53883">
        <w:rPr>
          <w:sz w:val="24"/>
          <w:szCs w:val="24"/>
        </w:rPr>
        <w:t xml:space="preserve"> at the end of each ve</w:t>
      </w:r>
      <w:r w:rsidR="00C67BBC">
        <w:rPr>
          <w:sz w:val="24"/>
          <w:szCs w:val="24"/>
        </w:rPr>
        <w:t>rse</w:t>
      </w:r>
      <w:r w:rsidRPr="00C53883">
        <w:rPr>
          <w:sz w:val="24"/>
          <w:szCs w:val="24"/>
        </w:rPr>
        <w:t xml:space="preserve"> </w:t>
      </w:r>
      <w:r w:rsidR="00C67BBC">
        <w:rPr>
          <w:sz w:val="24"/>
          <w:szCs w:val="24"/>
        </w:rPr>
        <w:t xml:space="preserve">when </w:t>
      </w:r>
      <w:r w:rsidRPr="00C53883">
        <w:rPr>
          <w:sz w:val="24"/>
          <w:szCs w:val="24"/>
        </w:rPr>
        <w:t>the pianist is instructed to hit a series of relatively dissonant dominant seventh chords with “a twinge.”</w:t>
      </w:r>
      <w:r w:rsidRPr="00C53883">
        <w:rPr>
          <w:rStyle w:val="FootnoteReference"/>
          <w:sz w:val="24"/>
          <w:szCs w:val="24"/>
        </w:rPr>
        <w:footnoteReference w:id="249"/>
      </w:r>
      <w:r w:rsidRPr="00C53883">
        <w:rPr>
          <w:sz w:val="24"/>
          <w:szCs w:val="24"/>
        </w:rPr>
        <w:t xml:space="preserve"> In this instance the performer brings respiratory disease into the parlor, giving substance to a very real and </w:t>
      </w:r>
      <w:r w:rsidR="00F3534B">
        <w:rPr>
          <w:sz w:val="24"/>
          <w:szCs w:val="24"/>
        </w:rPr>
        <w:t xml:space="preserve">common threat in the nineteenth </w:t>
      </w:r>
      <w:r w:rsidRPr="00C53883">
        <w:rPr>
          <w:sz w:val="24"/>
          <w:szCs w:val="24"/>
        </w:rPr>
        <w:t>century.</w:t>
      </w:r>
      <w:r>
        <w:rPr>
          <w:sz w:val="24"/>
          <w:szCs w:val="24"/>
        </w:rPr>
        <w:t xml:space="preserve"> In his survey of nineteenth-century popular songs, Jon </w:t>
      </w:r>
      <w:proofErr w:type="spellStart"/>
      <w:r>
        <w:rPr>
          <w:sz w:val="24"/>
          <w:szCs w:val="24"/>
        </w:rPr>
        <w:t>Finson</w:t>
      </w:r>
      <w:proofErr w:type="spellEnd"/>
      <w:r>
        <w:rPr>
          <w:sz w:val="24"/>
          <w:szCs w:val="24"/>
        </w:rPr>
        <w:t xml:space="preserve"> addresses the “high frequency of songs about dying” with the hypothesis that </w:t>
      </w:r>
      <w:r w:rsidR="00F3534B">
        <w:rPr>
          <w:sz w:val="24"/>
          <w:szCs w:val="24"/>
        </w:rPr>
        <w:t xml:space="preserve">“many people [in the nineteenth </w:t>
      </w:r>
      <w:r>
        <w:rPr>
          <w:sz w:val="24"/>
          <w:szCs w:val="24"/>
        </w:rPr>
        <w:t>century] could not escape direct confrontation with the whole process of dying,” and thus “popular song took on the subject more as a necessity rather than as a macabre obsession.”</w:t>
      </w:r>
      <w:r>
        <w:rPr>
          <w:rStyle w:val="FootnoteReference"/>
          <w:sz w:val="24"/>
          <w:szCs w:val="24"/>
        </w:rPr>
        <w:footnoteReference w:id="250"/>
      </w:r>
      <w:r w:rsidR="00C67BBC">
        <w:rPr>
          <w:sz w:val="24"/>
          <w:szCs w:val="24"/>
        </w:rPr>
        <w:t xml:space="preserve"> Parlor performers</w:t>
      </w:r>
      <w:r w:rsidRPr="00C53883">
        <w:rPr>
          <w:sz w:val="24"/>
          <w:szCs w:val="24"/>
        </w:rPr>
        <w:t xml:space="preserve"> played with the dangerous, but in making light of it, perhaps gained a level of control over it.</w:t>
      </w:r>
    </w:p>
    <w:p w:rsidR="00DB05D7" w:rsidRDefault="00DB05D7" w:rsidP="00DB05D7">
      <w:pPr>
        <w:spacing w:line="480" w:lineRule="auto"/>
        <w:rPr>
          <w:sz w:val="24"/>
          <w:szCs w:val="24"/>
        </w:rPr>
      </w:pPr>
    </w:p>
    <w:p w:rsidR="00DC1942" w:rsidRDefault="00DC1942" w:rsidP="00DC1942">
      <w:pPr>
        <w:spacing w:line="480" w:lineRule="auto"/>
        <w:jc w:val="center"/>
        <w:rPr>
          <w:sz w:val="24"/>
          <w:szCs w:val="24"/>
        </w:rPr>
      </w:pPr>
      <w:r w:rsidRPr="00DC1942">
        <w:rPr>
          <w:noProof/>
          <w:sz w:val="24"/>
          <w:szCs w:val="24"/>
        </w:rPr>
        <w:lastRenderedPageBreak/>
        <w:drawing>
          <wp:inline distT="0" distB="0" distL="0" distR="0">
            <wp:extent cx="3752850" cy="3676650"/>
            <wp:effectExtent l="19050" t="0" r="0" b="0"/>
            <wp:docPr id="11" name="Picture 3"/>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4" cstate="print"/>
                    <a:srcRect/>
                    <a:stretch>
                      <a:fillRect/>
                    </a:stretch>
                  </pic:blipFill>
                  <pic:spPr bwMode="auto">
                    <a:xfrm>
                      <a:off x="0" y="0"/>
                      <a:ext cx="3752850" cy="3676650"/>
                    </a:xfrm>
                    <a:prstGeom prst="rect">
                      <a:avLst/>
                    </a:prstGeom>
                    <a:noFill/>
                    <a:ln w="9525">
                      <a:noFill/>
                      <a:miter lim="800000"/>
                      <a:headEnd/>
                      <a:tailEnd/>
                    </a:ln>
                  </pic:spPr>
                </pic:pic>
              </a:graphicData>
            </a:graphic>
          </wp:inline>
        </w:drawing>
      </w:r>
    </w:p>
    <w:p w:rsidR="00DC1942" w:rsidRPr="008E60DA" w:rsidRDefault="00CD5B36" w:rsidP="00CD5B36">
      <w:pPr>
        <w:pStyle w:val="Caption"/>
        <w:jc w:val="center"/>
        <w:rPr>
          <w:b w:val="0"/>
          <w:color w:val="auto"/>
          <w:sz w:val="24"/>
          <w:szCs w:val="24"/>
        </w:rPr>
      </w:pPr>
      <w:bookmarkStart w:id="22" w:name="_Toc354114588"/>
      <w:bookmarkStart w:id="23" w:name="_Toc356413241"/>
      <w:proofErr w:type="gramStart"/>
      <w:r w:rsidRPr="008E60DA">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1</w:t>
      </w:r>
      <w:r w:rsidR="00734461">
        <w:rPr>
          <w:b w:val="0"/>
          <w:color w:val="auto"/>
          <w:sz w:val="24"/>
          <w:szCs w:val="24"/>
        </w:rPr>
        <w:fldChar w:fldCharType="end"/>
      </w:r>
      <w:r w:rsidRPr="008E60DA">
        <w:rPr>
          <w:b w:val="0"/>
          <w:color w:val="auto"/>
          <w:sz w:val="24"/>
          <w:szCs w:val="24"/>
        </w:rPr>
        <w:t xml:space="preserve"> Cover Sheet for “The </w:t>
      </w:r>
      <w:proofErr w:type="spellStart"/>
      <w:r w:rsidRPr="008E60DA">
        <w:rPr>
          <w:b w:val="0"/>
          <w:color w:val="auto"/>
          <w:sz w:val="24"/>
          <w:szCs w:val="24"/>
        </w:rPr>
        <w:t>Roomatiz</w:t>
      </w:r>
      <w:proofErr w:type="spellEnd"/>
      <w:r w:rsidRPr="008E60DA">
        <w:rPr>
          <w:b w:val="0"/>
          <w:color w:val="auto"/>
          <w:sz w:val="24"/>
          <w:szCs w:val="24"/>
        </w:rPr>
        <w:t>”</w:t>
      </w:r>
      <w:bookmarkEnd w:id="22"/>
      <w:r w:rsidR="00DB05D7">
        <w:rPr>
          <w:rStyle w:val="FootnoteReference"/>
          <w:b w:val="0"/>
          <w:color w:val="auto"/>
          <w:sz w:val="24"/>
          <w:szCs w:val="24"/>
        </w:rPr>
        <w:footnoteReference w:id="251"/>
      </w:r>
      <w:bookmarkEnd w:id="23"/>
    </w:p>
    <w:p w:rsidR="00DC1942" w:rsidRDefault="00DC1942" w:rsidP="00DC1942">
      <w:pPr>
        <w:spacing w:line="480" w:lineRule="auto"/>
        <w:jc w:val="center"/>
        <w:rPr>
          <w:sz w:val="24"/>
          <w:szCs w:val="24"/>
        </w:rPr>
      </w:pPr>
    </w:p>
    <w:p w:rsidR="00F20DD4" w:rsidRDefault="00F20DD4" w:rsidP="00F20DD4">
      <w:pPr>
        <w:keepNext/>
        <w:spacing w:line="480" w:lineRule="auto"/>
        <w:jc w:val="center"/>
      </w:pPr>
      <w:r w:rsidRPr="00F20DD4">
        <w:rPr>
          <w:noProof/>
          <w:sz w:val="24"/>
          <w:szCs w:val="24"/>
        </w:rPr>
        <w:drawing>
          <wp:inline distT="0" distB="0" distL="0" distR="0">
            <wp:extent cx="5943600" cy="2250440"/>
            <wp:effectExtent l="19050" t="0" r="0" b="0"/>
            <wp:docPr id="9" name="Picture 8"/>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5" cstate="print"/>
                    <a:srcRect/>
                    <a:stretch>
                      <a:fillRect/>
                    </a:stretch>
                  </pic:blipFill>
                  <pic:spPr bwMode="auto">
                    <a:xfrm>
                      <a:off x="0" y="0"/>
                      <a:ext cx="5943600" cy="2250440"/>
                    </a:xfrm>
                    <a:prstGeom prst="rect">
                      <a:avLst/>
                    </a:prstGeom>
                    <a:noFill/>
                    <a:ln w="9525">
                      <a:noFill/>
                      <a:miter lim="800000"/>
                      <a:headEnd/>
                      <a:tailEnd/>
                    </a:ln>
                  </pic:spPr>
                </pic:pic>
              </a:graphicData>
            </a:graphic>
          </wp:inline>
        </w:drawing>
      </w:r>
    </w:p>
    <w:p w:rsidR="00F20DD4" w:rsidRPr="00DB05D7" w:rsidRDefault="00F20DD4" w:rsidP="00DB05D7">
      <w:pPr>
        <w:pStyle w:val="Caption"/>
        <w:jc w:val="center"/>
        <w:rPr>
          <w:b w:val="0"/>
          <w:color w:val="auto"/>
          <w:sz w:val="24"/>
          <w:szCs w:val="24"/>
        </w:rPr>
      </w:pPr>
      <w:bookmarkStart w:id="24" w:name="_Toc356413242"/>
      <w:proofErr w:type="gramStart"/>
      <w:r w:rsidRPr="00F20DD4">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00C67BBC">
        <w:rPr>
          <w:b w:val="0"/>
          <w:color w:val="auto"/>
          <w:sz w:val="24"/>
          <w:szCs w:val="24"/>
        </w:rPr>
        <w:t xml:space="preserve"> The “Trembling</w:t>
      </w:r>
      <w:r w:rsidRPr="00F20DD4">
        <w:rPr>
          <w:b w:val="0"/>
          <w:color w:val="auto"/>
          <w:sz w:val="24"/>
          <w:szCs w:val="24"/>
        </w:rPr>
        <w:t xml:space="preserve">” Vocal Line of “The </w:t>
      </w:r>
      <w:proofErr w:type="spellStart"/>
      <w:r w:rsidRPr="00F20DD4">
        <w:rPr>
          <w:b w:val="0"/>
          <w:color w:val="auto"/>
          <w:sz w:val="24"/>
          <w:szCs w:val="24"/>
        </w:rPr>
        <w:t>Roomatiz</w:t>
      </w:r>
      <w:proofErr w:type="spellEnd"/>
      <w:r w:rsidRPr="00F20DD4">
        <w:rPr>
          <w:b w:val="0"/>
          <w:color w:val="auto"/>
          <w:sz w:val="24"/>
          <w:szCs w:val="24"/>
        </w:rPr>
        <w:t>”</w:t>
      </w:r>
      <w:r w:rsidR="00DB05D7">
        <w:rPr>
          <w:rStyle w:val="FootnoteReference"/>
          <w:b w:val="0"/>
          <w:color w:val="auto"/>
          <w:sz w:val="24"/>
          <w:szCs w:val="24"/>
        </w:rPr>
        <w:footnoteReference w:id="252"/>
      </w:r>
      <w:bookmarkEnd w:id="24"/>
    </w:p>
    <w:p w:rsidR="00C67BBC" w:rsidRDefault="005548C8" w:rsidP="00AD5B9D">
      <w:pPr>
        <w:spacing w:line="480" w:lineRule="auto"/>
        <w:ind w:firstLine="720"/>
        <w:rPr>
          <w:sz w:val="24"/>
          <w:szCs w:val="24"/>
        </w:rPr>
      </w:pPr>
      <w:r>
        <w:rPr>
          <w:sz w:val="24"/>
          <w:szCs w:val="24"/>
        </w:rPr>
        <w:lastRenderedPageBreak/>
        <w:t>More commonly, comic character pieces put</w:t>
      </w:r>
      <w:r w:rsidR="00784679">
        <w:rPr>
          <w:sz w:val="24"/>
          <w:szCs w:val="24"/>
        </w:rPr>
        <w:t xml:space="preserve"> on an ethnic vocal </w:t>
      </w:r>
      <w:r w:rsidR="00C67BBC">
        <w:rPr>
          <w:sz w:val="24"/>
          <w:szCs w:val="24"/>
        </w:rPr>
        <w:t>costume or personality containing and furthering</w:t>
      </w:r>
      <w:r w:rsidR="00784679">
        <w:rPr>
          <w:sz w:val="24"/>
          <w:szCs w:val="24"/>
        </w:rPr>
        <w:t xml:space="preserve"> certain musical tropes and discourses of Otherness. Georgina Born and David </w:t>
      </w:r>
      <w:proofErr w:type="spellStart"/>
      <w:r w:rsidR="00784679">
        <w:rPr>
          <w:sz w:val="24"/>
          <w:szCs w:val="24"/>
        </w:rPr>
        <w:t>Hesmondhalgh</w:t>
      </w:r>
      <w:proofErr w:type="spellEnd"/>
      <w:r w:rsidR="00784679">
        <w:rPr>
          <w:sz w:val="24"/>
          <w:szCs w:val="24"/>
        </w:rPr>
        <w:t xml:space="preserve"> </w:t>
      </w:r>
      <w:r w:rsidR="009E2BA8">
        <w:rPr>
          <w:sz w:val="24"/>
          <w:szCs w:val="24"/>
        </w:rPr>
        <w:t xml:space="preserve">have persuasively </w:t>
      </w:r>
      <w:r w:rsidR="00784679">
        <w:rPr>
          <w:sz w:val="24"/>
          <w:szCs w:val="24"/>
        </w:rPr>
        <w:t>pointed to “Western music’s long history of borrowing from and evoking non-Western cultures and</w:t>
      </w:r>
      <w:r w:rsidR="00C67BBC">
        <w:rPr>
          <w:sz w:val="24"/>
          <w:szCs w:val="24"/>
        </w:rPr>
        <w:t xml:space="preserve"> </w:t>
      </w:r>
      <w:proofErr w:type="spellStart"/>
      <w:r w:rsidR="00C67BBC">
        <w:rPr>
          <w:sz w:val="24"/>
          <w:szCs w:val="24"/>
        </w:rPr>
        <w:t>musics</w:t>
      </w:r>
      <w:proofErr w:type="spellEnd"/>
      <w:r w:rsidR="00784679">
        <w:rPr>
          <w:sz w:val="24"/>
          <w:szCs w:val="24"/>
        </w:rPr>
        <w:t>”</w:t>
      </w:r>
      <w:r w:rsidR="009E2BA8">
        <w:rPr>
          <w:rStyle w:val="FootnoteReference"/>
          <w:sz w:val="24"/>
          <w:szCs w:val="24"/>
        </w:rPr>
        <w:footnoteReference w:id="253"/>
      </w:r>
      <w:r w:rsidR="00784679">
        <w:rPr>
          <w:sz w:val="24"/>
          <w:szCs w:val="24"/>
        </w:rPr>
        <w:t xml:space="preserve"> to argue for the importance of turning a post-colonial lens, in the tradition of Edward Said, on </w:t>
      </w:r>
      <w:r w:rsidR="00AD5B9D">
        <w:rPr>
          <w:sz w:val="24"/>
          <w:szCs w:val="24"/>
        </w:rPr>
        <w:t>the “disc</w:t>
      </w:r>
      <w:r w:rsidR="00C67BBC">
        <w:rPr>
          <w:sz w:val="24"/>
          <w:szCs w:val="24"/>
        </w:rPr>
        <w:t>ourses of race and ethnicity”</w:t>
      </w:r>
      <w:r w:rsidR="00AD5B9D">
        <w:rPr>
          <w:sz w:val="24"/>
          <w:szCs w:val="24"/>
        </w:rPr>
        <w:t xml:space="preserve"> central to popular music, and the “prominence of </w:t>
      </w:r>
      <w:proofErr w:type="spellStart"/>
      <w:r w:rsidR="00AD5B9D">
        <w:rPr>
          <w:sz w:val="24"/>
          <w:szCs w:val="24"/>
        </w:rPr>
        <w:t>Orientalist</w:t>
      </w:r>
      <w:proofErr w:type="spellEnd"/>
      <w:r w:rsidR="00AD5B9D">
        <w:rPr>
          <w:sz w:val="24"/>
          <w:szCs w:val="24"/>
        </w:rPr>
        <w:t xml:space="preserve">, </w:t>
      </w:r>
      <w:proofErr w:type="spellStart"/>
      <w:r w:rsidR="00AD5B9D">
        <w:rPr>
          <w:sz w:val="24"/>
          <w:szCs w:val="24"/>
        </w:rPr>
        <w:t>primitivist</w:t>
      </w:r>
      <w:proofErr w:type="spellEnd"/>
      <w:r w:rsidR="00AD5B9D">
        <w:rPr>
          <w:sz w:val="24"/>
          <w:szCs w:val="24"/>
        </w:rPr>
        <w:t xml:space="preserve">, and </w:t>
      </w:r>
      <w:proofErr w:type="spellStart"/>
      <w:r w:rsidR="00AD5B9D">
        <w:rPr>
          <w:sz w:val="24"/>
          <w:szCs w:val="24"/>
        </w:rPr>
        <w:t>exoticist</w:t>
      </w:r>
      <w:proofErr w:type="spellEnd"/>
      <w:r w:rsidR="00AD5B9D">
        <w:rPr>
          <w:sz w:val="24"/>
          <w:szCs w:val="24"/>
        </w:rPr>
        <w:t xml:space="preserve"> tropes.”</w:t>
      </w:r>
      <w:r w:rsidR="00AD5B9D">
        <w:rPr>
          <w:rStyle w:val="FootnoteReference"/>
          <w:sz w:val="24"/>
          <w:szCs w:val="24"/>
        </w:rPr>
        <w:footnoteReference w:id="254"/>
      </w:r>
    </w:p>
    <w:p w:rsidR="00C76A88" w:rsidRDefault="00AD5B9D" w:rsidP="00C67BBC">
      <w:pPr>
        <w:spacing w:line="480" w:lineRule="auto"/>
        <w:ind w:firstLine="720"/>
        <w:rPr>
          <w:rFonts w:cstheme="minorHAnsi"/>
          <w:sz w:val="24"/>
          <w:szCs w:val="24"/>
        </w:rPr>
      </w:pPr>
      <w:r>
        <w:rPr>
          <w:rFonts w:cstheme="minorHAnsi"/>
          <w:sz w:val="24"/>
          <w:szCs w:val="24"/>
        </w:rPr>
        <w:t>Among the most common comic character tropes was the Irish stereotype. The Irish character piece, according to Rodger, was often sonically defined by the use of “nonsense syllables.”</w:t>
      </w:r>
      <w:r>
        <w:rPr>
          <w:rStyle w:val="FootnoteReference"/>
          <w:rFonts w:cstheme="minorHAnsi"/>
          <w:sz w:val="24"/>
          <w:szCs w:val="24"/>
        </w:rPr>
        <w:footnoteReference w:id="255"/>
      </w:r>
      <w:r>
        <w:rPr>
          <w:rFonts w:cstheme="minorHAnsi"/>
          <w:sz w:val="24"/>
          <w:szCs w:val="24"/>
        </w:rPr>
        <w:t xml:space="preserve"> The lilting melody of Irish character pieces is reminiscent of the Irish ballads popularized by Thomas Moore, which had a tremendous impact on American song and the impression of the Irish earlier in the nineteenth century.</w:t>
      </w:r>
      <w:r>
        <w:rPr>
          <w:rStyle w:val="FootnoteReference"/>
          <w:rFonts w:cstheme="minorHAnsi"/>
          <w:sz w:val="24"/>
          <w:szCs w:val="24"/>
        </w:rPr>
        <w:footnoteReference w:id="256"/>
      </w:r>
      <w:r>
        <w:rPr>
          <w:rFonts w:cstheme="minorHAnsi"/>
          <w:sz w:val="24"/>
          <w:szCs w:val="24"/>
        </w:rPr>
        <w:t xml:space="preserve"> Uniquely, the Irish-</w:t>
      </w:r>
      <w:proofErr w:type="spellStart"/>
      <w:r>
        <w:rPr>
          <w:rFonts w:cstheme="minorHAnsi"/>
          <w:sz w:val="24"/>
          <w:szCs w:val="24"/>
        </w:rPr>
        <w:t>ness</w:t>
      </w:r>
      <w:proofErr w:type="spellEnd"/>
      <w:r>
        <w:rPr>
          <w:rFonts w:cstheme="minorHAnsi"/>
          <w:sz w:val="24"/>
          <w:szCs w:val="24"/>
        </w:rPr>
        <w:t xml:space="preserve"> of 1875’s “What’s the World to a Man When His Wife is a </w:t>
      </w:r>
      <w:proofErr w:type="spellStart"/>
      <w:r>
        <w:rPr>
          <w:rFonts w:cstheme="minorHAnsi"/>
          <w:sz w:val="24"/>
          <w:szCs w:val="24"/>
        </w:rPr>
        <w:t>Widdy</w:t>
      </w:r>
      <w:proofErr w:type="spellEnd"/>
      <w:r>
        <w:rPr>
          <w:rFonts w:cstheme="minorHAnsi"/>
          <w:sz w:val="24"/>
          <w:szCs w:val="24"/>
        </w:rPr>
        <w:t>?”</w:t>
      </w:r>
      <w:r w:rsidR="009E2BA8">
        <w:rPr>
          <w:rStyle w:val="FootnoteReference"/>
          <w:rFonts w:cstheme="minorHAnsi"/>
          <w:sz w:val="24"/>
          <w:szCs w:val="24"/>
        </w:rPr>
        <w:footnoteReference w:id="257"/>
      </w:r>
      <w:r w:rsidR="00FE4A8C">
        <w:rPr>
          <w:rFonts w:cstheme="minorHAnsi"/>
          <w:sz w:val="24"/>
          <w:szCs w:val="24"/>
        </w:rPr>
        <w:t xml:space="preserve"> </w:t>
      </w:r>
      <w:proofErr w:type="gramStart"/>
      <w:r w:rsidR="00FE4A8C">
        <w:rPr>
          <w:rFonts w:cstheme="minorHAnsi"/>
          <w:sz w:val="24"/>
          <w:szCs w:val="24"/>
        </w:rPr>
        <w:t>comes</w:t>
      </w:r>
      <w:proofErr w:type="gramEnd"/>
      <w:r>
        <w:rPr>
          <w:rFonts w:cstheme="minorHAnsi"/>
          <w:sz w:val="24"/>
          <w:szCs w:val="24"/>
        </w:rPr>
        <w:t xml:space="preserve"> entirely from the voice</w:t>
      </w:r>
      <w:r w:rsidR="00C67BBC">
        <w:rPr>
          <w:rFonts w:cstheme="minorHAnsi"/>
          <w:sz w:val="24"/>
          <w:szCs w:val="24"/>
        </w:rPr>
        <w:t xml:space="preserve">, particularly its characteristic </w:t>
      </w:r>
      <w:r w:rsidR="00F75D81">
        <w:rPr>
          <w:rFonts w:cstheme="minorHAnsi"/>
          <w:sz w:val="24"/>
          <w:szCs w:val="24"/>
        </w:rPr>
        <w:t>dotted rhythms</w:t>
      </w:r>
      <w:r w:rsidR="00C67BBC">
        <w:rPr>
          <w:rFonts w:cstheme="minorHAnsi"/>
          <w:sz w:val="24"/>
          <w:szCs w:val="24"/>
        </w:rPr>
        <w:t xml:space="preserve"> and the vocal inflection, which adopts Irish dialect </w:t>
      </w:r>
      <w:r w:rsidR="001212F2">
        <w:rPr>
          <w:rFonts w:cstheme="minorHAnsi"/>
          <w:sz w:val="24"/>
          <w:szCs w:val="24"/>
        </w:rPr>
        <w:t>(see F</w:t>
      </w:r>
      <w:r w:rsidR="00DB05D7">
        <w:rPr>
          <w:rFonts w:cstheme="minorHAnsi"/>
          <w:sz w:val="24"/>
          <w:szCs w:val="24"/>
        </w:rPr>
        <w:t>igure 3.3)</w:t>
      </w:r>
      <w:r w:rsidR="00C67BBC">
        <w:rPr>
          <w:rFonts w:cstheme="minorHAnsi"/>
          <w:sz w:val="24"/>
          <w:szCs w:val="24"/>
        </w:rPr>
        <w:t>. The accomp</w:t>
      </w:r>
      <w:r w:rsidR="00F75D81">
        <w:rPr>
          <w:rFonts w:cstheme="minorHAnsi"/>
          <w:sz w:val="24"/>
          <w:szCs w:val="24"/>
        </w:rPr>
        <w:t>anist</w:t>
      </w:r>
      <w:r w:rsidR="00877504">
        <w:rPr>
          <w:rFonts w:cstheme="minorHAnsi"/>
          <w:sz w:val="24"/>
          <w:szCs w:val="24"/>
        </w:rPr>
        <w:t xml:space="preserve"> plays</w:t>
      </w:r>
      <w:r w:rsidR="00F75D81">
        <w:rPr>
          <w:rFonts w:cstheme="minorHAnsi"/>
          <w:sz w:val="24"/>
          <w:szCs w:val="24"/>
        </w:rPr>
        <w:t xml:space="preserve"> only</w:t>
      </w:r>
      <w:r w:rsidR="00877504">
        <w:rPr>
          <w:rFonts w:cstheme="minorHAnsi"/>
          <w:sz w:val="24"/>
          <w:szCs w:val="24"/>
        </w:rPr>
        <w:t xml:space="preserve"> quarter-</w:t>
      </w:r>
      <w:r>
        <w:rPr>
          <w:rFonts w:cstheme="minorHAnsi"/>
          <w:sz w:val="24"/>
          <w:szCs w:val="24"/>
        </w:rPr>
        <w:t>note block chords, leaving the vocal line to define th</w:t>
      </w:r>
      <w:r w:rsidR="00C67BBC">
        <w:rPr>
          <w:rFonts w:cstheme="minorHAnsi"/>
          <w:sz w:val="24"/>
          <w:szCs w:val="24"/>
        </w:rPr>
        <w:t>e ethnic character of the piece.</w:t>
      </w:r>
    </w:p>
    <w:p w:rsidR="00C76A88" w:rsidRDefault="00C76A88" w:rsidP="00C76A88">
      <w:pPr>
        <w:keepNext/>
        <w:spacing w:line="480" w:lineRule="auto"/>
        <w:jc w:val="center"/>
      </w:pPr>
      <w:r>
        <w:rPr>
          <w:noProof/>
          <w:sz w:val="24"/>
          <w:szCs w:val="24"/>
        </w:rPr>
        <w:lastRenderedPageBreak/>
        <w:drawing>
          <wp:inline distT="0" distB="0" distL="0" distR="0">
            <wp:extent cx="5943600" cy="2449575"/>
            <wp:effectExtent l="19050" t="0" r="0" b="0"/>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5943600" cy="2449575"/>
                    </a:xfrm>
                    <a:prstGeom prst="rect">
                      <a:avLst/>
                    </a:prstGeom>
                    <a:noFill/>
                    <a:ln w="9525">
                      <a:noFill/>
                      <a:miter lim="800000"/>
                      <a:headEnd/>
                      <a:tailEnd/>
                    </a:ln>
                  </pic:spPr>
                </pic:pic>
              </a:graphicData>
            </a:graphic>
          </wp:inline>
        </w:drawing>
      </w:r>
    </w:p>
    <w:p w:rsidR="00C76A88" w:rsidRPr="00C76A88" w:rsidRDefault="00C76A88" w:rsidP="00C76A88">
      <w:pPr>
        <w:pStyle w:val="Caption"/>
        <w:jc w:val="center"/>
        <w:rPr>
          <w:b w:val="0"/>
          <w:color w:val="auto"/>
          <w:sz w:val="24"/>
          <w:szCs w:val="24"/>
        </w:rPr>
      </w:pPr>
      <w:bookmarkStart w:id="25" w:name="_Toc356413243"/>
      <w:proofErr w:type="gramStart"/>
      <w:r w:rsidRPr="00C76A88">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Pr="00C76A88">
        <w:rPr>
          <w:b w:val="0"/>
          <w:color w:val="auto"/>
          <w:sz w:val="24"/>
          <w:szCs w:val="24"/>
        </w:rPr>
        <w:t xml:space="preserve"> The Lilting Irish Melody of “What’s the World to a Man When His Wife is a </w:t>
      </w:r>
      <w:proofErr w:type="spellStart"/>
      <w:r w:rsidRPr="00C76A88">
        <w:rPr>
          <w:b w:val="0"/>
          <w:color w:val="auto"/>
          <w:sz w:val="24"/>
          <w:szCs w:val="24"/>
        </w:rPr>
        <w:t>Widdy</w:t>
      </w:r>
      <w:proofErr w:type="spellEnd"/>
      <w:r w:rsidRPr="00C76A88">
        <w:rPr>
          <w:b w:val="0"/>
          <w:color w:val="auto"/>
          <w:sz w:val="24"/>
          <w:szCs w:val="24"/>
        </w:rPr>
        <w:t>?”</w:t>
      </w:r>
      <w:r w:rsidR="00DB05D7">
        <w:rPr>
          <w:rStyle w:val="FootnoteReference"/>
          <w:b w:val="0"/>
          <w:color w:val="auto"/>
          <w:sz w:val="24"/>
          <w:szCs w:val="24"/>
        </w:rPr>
        <w:footnoteReference w:id="258"/>
      </w:r>
      <w:bookmarkEnd w:id="25"/>
    </w:p>
    <w:p w:rsidR="00C76A88" w:rsidRDefault="00C76A88" w:rsidP="005548C8">
      <w:pPr>
        <w:spacing w:line="480" w:lineRule="auto"/>
        <w:ind w:firstLine="720"/>
        <w:rPr>
          <w:rFonts w:cstheme="minorHAnsi"/>
          <w:sz w:val="24"/>
          <w:szCs w:val="24"/>
        </w:rPr>
      </w:pPr>
    </w:p>
    <w:p w:rsidR="00AD5B9D" w:rsidRDefault="00AD5B9D" w:rsidP="005548C8">
      <w:pPr>
        <w:spacing w:line="480" w:lineRule="auto"/>
        <w:ind w:firstLine="720"/>
        <w:rPr>
          <w:rFonts w:cstheme="minorHAnsi"/>
          <w:sz w:val="24"/>
          <w:szCs w:val="24"/>
        </w:rPr>
      </w:pPr>
      <w:r>
        <w:rPr>
          <w:rFonts w:cstheme="minorHAnsi"/>
          <w:sz w:val="24"/>
          <w:szCs w:val="24"/>
        </w:rPr>
        <w:t xml:space="preserve">Taking on a sonically signified ethnic </w:t>
      </w:r>
      <w:proofErr w:type="gramStart"/>
      <w:r>
        <w:rPr>
          <w:rFonts w:cstheme="minorHAnsi"/>
          <w:sz w:val="24"/>
          <w:szCs w:val="24"/>
        </w:rPr>
        <w:t>Other</w:t>
      </w:r>
      <w:proofErr w:type="gramEnd"/>
      <w:r w:rsidR="005548C8">
        <w:rPr>
          <w:rFonts w:cstheme="minorHAnsi"/>
          <w:sz w:val="24"/>
          <w:szCs w:val="24"/>
        </w:rPr>
        <w:t xml:space="preserve"> allowed performers to</w:t>
      </w:r>
      <w:r>
        <w:rPr>
          <w:rFonts w:cstheme="minorHAnsi"/>
          <w:sz w:val="24"/>
          <w:szCs w:val="24"/>
        </w:rPr>
        <w:t xml:space="preserve"> explore a variety of lowbrow and subversive behaviors.</w:t>
      </w:r>
      <w:r w:rsidR="005548C8">
        <w:rPr>
          <w:rFonts w:cstheme="minorHAnsi"/>
          <w:sz w:val="24"/>
          <w:szCs w:val="24"/>
        </w:rPr>
        <w:t xml:space="preserve"> </w:t>
      </w:r>
      <w:r>
        <w:rPr>
          <w:rFonts w:cstheme="minorHAnsi"/>
          <w:sz w:val="24"/>
          <w:szCs w:val="24"/>
        </w:rPr>
        <w:t>Embodying an ethnicity, for many nineteenth-century Westerners, was a method of delving into the extremes of identity. In his discussion</w:t>
      </w:r>
      <w:r w:rsidR="00F75D81">
        <w:rPr>
          <w:rFonts w:cstheme="minorHAnsi"/>
          <w:sz w:val="24"/>
          <w:szCs w:val="24"/>
        </w:rPr>
        <w:t xml:space="preserve"> of comic character pieces, </w:t>
      </w:r>
      <w:proofErr w:type="spellStart"/>
      <w:r>
        <w:rPr>
          <w:rFonts w:cstheme="minorHAnsi"/>
          <w:sz w:val="24"/>
          <w:szCs w:val="24"/>
        </w:rPr>
        <w:t>Finson</w:t>
      </w:r>
      <w:proofErr w:type="spellEnd"/>
      <w:r>
        <w:rPr>
          <w:rFonts w:cstheme="minorHAnsi"/>
          <w:sz w:val="24"/>
          <w:szCs w:val="24"/>
        </w:rPr>
        <w:t xml:space="preserve"> cites Carl </w:t>
      </w:r>
      <w:proofErr w:type="spellStart"/>
      <w:r>
        <w:rPr>
          <w:rFonts w:cstheme="minorHAnsi"/>
          <w:sz w:val="24"/>
          <w:szCs w:val="24"/>
        </w:rPr>
        <w:t>Dalhaus</w:t>
      </w:r>
      <w:proofErr w:type="spellEnd"/>
      <w:r>
        <w:rPr>
          <w:rFonts w:cstheme="minorHAnsi"/>
          <w:sz w:val="24"/>
          <w:szCs w:val="24"/>
        </w:rPr>
        <w:t>’ observation that:</w:t>
      </w:r>
    </w:p>
    <w:p w:rsidR="00AD5B9D" w:rsidRPr="00482A1F" w:rsidRDefault="00AD5B9D" w:rsidP="00AD5B9D">
      <w:pPr>
        <w:ind w:left="720"/>
        <w:rPr>
          <w:rFonts w:cstheme="minorHAnsi"/>
          <w:sz w:val="24"/>
          <w:szCs w:val="24"/>
        </w:rPr>
      </w:pPr>
      <w:proofErr w:type="gramStart"/>
      <w:r w:rsidRPr="00482A1F">
        <w:rPr>
          <w:rFonts w:cstheme="minorHAnsi"/>
          <w:sz w:val="24"/>
          <w:szCs w:val="24"/>
        </w:rPr>
        <w:t>to</w:t>
      </w:r>
      <w:proofErr w:type="gramEnd"/>
      <w:r w:rsidRPr="00482A1F">
        <w:rPr>
          <w:rFonts w:cstheme="minorHAnsi"/>
          <w:sz w:val="24"/>
          <w:szCs w:val="24"/>
        </w:rPr>
        <w:t xml:space="preserve"> the early</w:t>
      </w:r>
      <w:r>
        <w:rPr>
          <w:rFonts w:cstheme="minorHAnsi"/>
          <w:sz w:val="24"/>
          <w:szCs w:val="24"/>
        </w:rPr>
        <w:t>-nineteenth-century mentality, “characteristic”</w:t>
      </w:r>
      <w:r w:rsidRPr="00482A1F">
        <w:rPr>
          <w:rFonts w:cstheme="minorHAnsi"/>
          <w:sz w:val="24"/>
          <w:szCs w:val="24"/>
        </w:rPr>
        <w:t xml:space="preserve"> meant idiosyncratic rather than </w:t>
      </w:r>
      <w:r>
        <w:rPr>
          <w:rFonts w:cstheme="minorHAnsi"/>
          <w:sz w:val="24"/>
          <w:szCs w:val="24"/>
        </w:rPr>
        <w:t>general or typical…“interesting” and “striking” rather than “nobly simple,”</w:t>
      </w:r>
      <w:r w:rsidRPr="00482A1F">
        <w:rPr>
          <w:rFonts w:cstheme="minorHAnsi"/>
          <w:sz w:val="24"/>
          <w:szCs w:val="24"/>
        </w:rPr>
        <w:t xml:space="preserve"> col</w:t>
      </w:r>
      <w:r>
        <w:rPr>
          <w:rFonts w:cstheme="minorHAnsi"/>
          <w:sz w:val="24"/>
          <w:szCs w:val="24"/>
        </w:rPr>
        <w:t>oristic rather than statuesque.</w:t>
      </w:r>
      <w:r>
        <w:rPr>
          <w:rStyle w:val="FootnoteReference"/>
          <w:rFonts w:cstheme="minorHAnsi"/>
          <w:sz w:val="24"/>
          <w:szCs w:val="24"/>
        </w:rPr>
        <w:footnoteReference w:id="259"/>
      </w:r>
    </w:p>
    <w:p w:rsidR="00AD5B9D" w:rsidRPr="00482A1F" w:rsidRDefault="00AD5B9D" w:rsidP="00AD5B9D">
      <w:pPr>
        <w:spacing w:line="480" w:lineRule="auto"/>
        <w:rPr>
          <w:rFonts w:cstheme="minorHAnsi"/>
          <w:sz w:val="24"/>
          <w:szCs w:val="24"/>
        </w:rPr>
      </w:pPr>
      <w:r>
        <w:rPr>
          <w:rFonts w:cstheme="minorHAnsi"/>
          <w:sz w:val="24"/>
          <w:szCs w:val="24"/>
        </w:rPr>
        <w:t>This le</w:t>
      </w:r>
      <w:r w:rsidRPr="00482A1F">
        <w:rPr>
          <w:rFonts w:cstheme="minorHAnsi"/>
          <w:sz w:val="24"/>
          <w:szCs w:val="24"/>
        </w:rPr>
        <w:t xml:space="preserve">d </w:t>
      </w:r>
      <w:proofErr w:type="spellStart"/>
      <w:r w:rsidRPr="00482A1F">
        <w:rPr>
          <w:rFonts w:cstheme="minorHAnsi"/>
          <w:sz w:val="24"/>
          <w:szCs w:val="24"/>
        </w:rPr>
        <w:t>Finson</w:t>
      </w:r>
      <w:proofErr w:type="spellEnd"/>
      <w:r w:rsidRPr="00482A1F">
        <w:rPr>
          <w:rFonts w:cstheme="minorHAnsi"/>
          <w:sz w:val="24"/>
          <w:szCs w:val="24"/>
        </w:rPr>
        <w:t xml:space="preserve"> to conclude that </w:t>
      </w:r>
      <w:r>
        <w:rPr>
          <w:rFonts w:cstheme="minorHAnsi"/>
          <w:sz w:val="24"/>
          <w:szCs w:val="24"/>
        </w:rPr>
        <w:t>“c</w:t>
      </w:r>
      <w:r w:rsidRPr="00482A1F">
        <w:rPr>
          <w:rFonts w:cstheme="minorHAnsi"/>
          <w:sz w:val="24"/>
          <w:szCs w:val="24"/>
        </w:rPr>
        <w:t>omic songs</w:t>
      </w:r>
      <w:r>
        <w:rPr>
          <w:rFonts w:cstheme="minorHAnsi"/>
          <w:sz w:val="24"/>
          <w:szCs w:val="24"/>
        </w:rPr>
        <w:t>,” which</w:t>
      </w:r>
      <w:r w:rsidRPr="00482A1F">
        <w:rPr>
          <w:rFonts w:cstheme="minorHAnsi"/>
          <w:sz w:val="24"/>
          <w:szCs w:val="24"/>
        </w:rPr>
        <w:t xml:space="preserve"> </w:t>
      </w:r>
      <w:r>
        <w:rPr>
          <w:rFonts w:cstheme="minorHAnsi"/>
          <w:sz w:val="24"/>
          <w:szCs w:val="24"/>
        </w:rPr>
        <w:t>“</w:t>
      </w:r>
      <w:r w:rsidRPr="00482A1F">
        <w:rPr>
          <w:rFonts w:cstheme="minorHAnsi"/>
          <w:sz w:val="24"/>
          <w:szCs w:val="24"/>
        </w:rPr>
        <w:t xml:space="preserve">often dealt with the peculiarities </w:t>
      </w:r>
      <w:r>
        <w:rPr>
          <w:rFonts w:cstheme="minorHAnsi"/>
          <w:sz w:val="24"/>
          <w:szCs w:val="24"/>
        </w:rPr>
        <w:t>of human behavior…</w:t>
      </w:r>
      <w:r w:rsidRPr="00482A1F">
        <w:rPr>
          <w:rFonts w:cstheme="minorHAnsi"/>
          <w:sz w:val="24"/>
          <w:szCs w:val="24"/>
        </w:rPr>
        <w:t>fall naturally into considerations of ethnic color (a manifestation of the ‘interesting’ and ‘striking’ rather than the ‘nobly simple’</w:t>
      </w:r>
      <w:r>
        <w:rPr>
          <w:rFonts w:cstheme="minorHAnsi"/>
          <w:sz w:val="24"/>
          <w:szCs w:val="24"/>
        </w:rPr>
        <w:t>).</w:t>
      </w:r>
      <w:r w:rsidRPr="00482A1F">
        <w:rPr>
          <w:rFonts w:cstheme="minorHAnsi"/>
          <w:sz w:val="24"/>
          <w:szCs w:val="24"/>
        </w:rPr>
        <w:t>”</w:t>
      </w:r>
      <w:r>
        <w:rPr>
          <w:rStyle w:val="FootnoteReference"/>
          <w:rFonts w:cstheme="minorHAnsi"/>
          <w:sz w:val="24"/>
          <w:szCs w:val="24"/>
        </w:rPr>
        <w:footnoteReference w:id="260"/>
      </w:r>
      <w:r>
        <w:rPr>
          <w:rFonts w:cstheme="minorHAnsi"/>
          <w:sz w:val="24"/>
          <w:szCs w:val="24"/>
        </w:rPr>
        <w:t xml:space="preserve"> Singing with another</w:t>
      </w:r>
      <w:r w:rsidR="00F75D81">
        <w:rPr>
          <w:rFonts w:cstheme="minorHAnsi"/>
          <w:sz w:val="24"/>
          <w:szCs w:val="24"/>
        </w:rPr>
        <w:t>’s ethnic</w:t>
      </w:r>
      <w:r>
        <w:rPr>
          <w:rFonts w:cstheme="minorHAnsi"/>
          <w:sz w:val="24"/>
          <w:szCs w:val="24"/>
        </w:rPr>
        <w:t xml:space="preserve"> </w:t>
      </w:r>
      <w:r>
        <w:rPr>
          <w:rFonts w:cstheme="minorHAnsi"/>
          <w:sz w:val="24"/>
          <w:szCs w:val="24"/>
        </w:rPr>
        <w:lastRenderedPageBreak/>
        <w:t xml:space="preserve">voice allowed the display of peculiar behaviors outside of one’s norms, including even open </w:t>
      </w:r>
      <w:proofErr w:type="gramStart"/>
      <w:r>
        <w:rPr>
          <w:rFonts w:cstheme="minorHAnsi"/>
          <w:sz w:val="24"/>
          <w:szCs w:val="24"/>
        </w:rPr>
        <w:t>mockery</w:t>
      </w:r>
      <w:proofErr w:type="gramEnd"/>
      <w:r>
        <w:rPr>
          <w:rFonts w:cstheme="minorHAnsi"/>
          <w:sz w:val="24"/>
          <w:szCs w:val="24"/>
        </w:rPr>
        <w:t xml:space="preserve"> and criticism.</w:t>
      </w:r>
    </w:p>
    <w:p w:rsidR="005548C8" w:rsidRDefault="005548C8" w:rsidP="009E2BA8">
      <w:pPr>
        <w:spacing w:line="480" w:lineRule="auto"/>
        <w:ind w:firstLine="720"/>
        <w:rPr>
          <w:rFonts w:cstheme="minorHAnsi"/>
          <w:sz w:val="24"/>
          <w:szCs w:val="24"/>
        </w:rPr>
      </w:pPr>
      <w:r>
        <w:rPr>
          <w:rFonts w:cstheme="minorHAnsi"/>
          <w:sz w:val="24"/>
          <w:szCs w:val="24"/>
        </w:rPr>
        <w:t xml:space="preserve">The first-person narrative of “What’s the World to a Man When His Wife is a </w:t>
      </w:r>
      <w:proofErr w:type="spellStart"/>
      <w:r>
        <w:rPr>
          <w:rFonts w:cstheme="minorHAnsi"/>
          <w:sz w:val="24"/>
          <w:szCs w:val="24"/>
        </w:rPr>
        <w:t>Widdy</w:t>
      </w:r>
      <w:proofErr w:type="spellEnd"/>
      <w:r>
        <w:rPr>
          <w:rFonts w:cstheme="minorHAnsi"/>
          <w:sz w:val="24"/>
          <w:szCs w:val="24"/>
        </w:rPr>
        <w:t>?” perfectly exemplifies the way performers could use an ethnic identity to e</w:t>
      </w:r>
      <w:r w:rsidR="006C2C9C">
        <w:rPr>
          <w:rFonts w:cstheme="minorHAnsi"/>
          <w:sz w:val="24"/>
          <w:szCs w:val="24"/>
        </w:rPr>
        <w:t>mbody something outside of the S</w:t>
      </w:r>
      <w:r>
        <w:rPr>
          <w:rFonts w:cstheme="minorHAnsi"/>
          <w:sz w:val="24"/>
          <w:szCs w:val="24"/>
        </w:rPr>
        <w:t>elf, and perhaps even h</w:t>
      </w:r>
      <w:r w:rsidR="006C2C9C">
        <w:rPr>
          <w:rFonts w:cstheme="minorHAnsi"/>
          <w:sz w:val="24"/>
          <w:szCs w:val="24"/>
        </w:rPr>
        <w:t>ints at why some chose</w:t>
      </w:r>
      <w:r>
        <w:rPr>
          <w:rFonts w:cstheme="minorHAnsi"/>
          <w:sz w:val="24"/>
          <w:szCs w:val="24"/>
        </w:rPr>
        <w:t xml:space="preserve"> to identify with these songs. </w:t>
      </w:r>
      <w:r w:rsidR="00AD5B9D">
        <w:rPr>
          <w:rFonts w:cstheme="minorHAnsi"/>
          <w:sz w:val="24"/>
          <w:szCs w:val="24"/>
        </w:rPr>
        <w:t>Subtitled “</w:t>
      </w:r>
      <w:r>
        <w:rPr>
          <w:rFonts w:cstheme="minorHAnsi"/>
          <w:sz w:val="24"/>
          <w:szCs w:val="24"/>
        </w:rPr>
        <w:t>Pat’s Philosophy,”</w:t>
      </w:r>
      <w:r w:rsidR="006C2C9C">
        <w:rPr>
          <w:rFonts w:cstheme="minorHAnsi"/>
          <w:sz w:val="24"/>
          <w:szCs w:val="24"/>
        </w:rPr>
        <w:t xml:space="preserve"> the stereotyped Irish “Pat</w:t>
      </w:r>
      <w:r>
        <w:rPr>
          <w:rFonts w:cstheme="minorHAnsi"/>
          <w:sz w:val="24"/>
          <w:szCs w:val="24"/>
        </w:rPr>
        <w:t>” offers a first-person critique of marriage.</w:t>
      </w:r>
      <w:r w:rsidR="00DA79F4">
        <w:rPr>
          <w:rStyle w:val="FootnoteReference"/>
          <w:rFonts w:cstheme="minorHAnsi"/>
          <w:sz w:val="24"/>
          <w:szCs w:val="24"/>
        </w:rPr>
        <w:footnoteReference w:id="261"/>
      </w:r>
      <w:r>
        <w:rPr>
          <w:rFonts w:cstheme="minorHAnsi"/>
          <w:sz w:val="24"/>
          <w:szCs w:val="24"/>
        </w:rPr>
        <w:t xml:space="preserve"> “Pat” compares his wife to a </w:t>
      </w:r>
      <w:proofErr w:type="spellStart"/>
      <w:r>
        <w:rPr>
          <w:rFonts w:cstheme="minorHAnsi"/>
          <w:sz w:val="24"/>
          <w:szCs w:val="24"/>
        </w:rPr>
        <w:t>widdy</w:t>
      </w:r>
      <w:proofErr w:type="spellEnd"/>
      <w:r>
        <w:rPr>
          <w:rFonts w:cstheme="minorHAnsi"/>
          <w:sz w:val="24"/>
          <w:szCs w:val="24"/>
        </w:rPr>
        <w:t>, or noose, and r</w:t>
      </w:r>
      <w:r w:rsidR="009E2BA8">
        <w:rPr>
          <w:rFonts w:cstheme="minorHAnsi"/>
          <w:sz w:val="24"/>
          <w:szCs w:val="24"/>
        </w:rPr>
        <w:t>elays how other facets of life—</w:t>
      </w:r>
      <w:r>
        <w:rPr>
          <w:rFonts w:cstheme="minorHAnsi"/>
          <w:sz w:val="24"/>
          <w:szCs w:val="24"/>
        </w:rPr>
        <w:t>such as sailing or battling</w:t>
      </w:r>
      <w:r w:rsidR="009E2BA8">
        <w:rPr>
          <w:rFonts w:cstheme="minorHAnsi"/>
          <w:sz w:val="24"/>
          <w:szCs w:val="24"/>
        </w:rPr>
        <w:t>—</w:t>
      </w:r>
      <w:r>
        <w:rPr>
          <w:rFonts w:cstheme="minorHAnsi"/>
          <w:sz w:val="24"/>
          <w:szCs w:val="24"/>
        </w:rPr>
        <w:t>are made hollow by an overly demanding spouse.</w:t>
      </w:r>
      <w:r w:rsidR="00DF0DFB">
        <w:rPr>
          <w:rFonts w:cstheme="minorHAnsi"/>
          <w:sz w:val="24"/>
          <w:szCs w:val="24"/>
        </w:rPr>
        <w:t xml:space="preserve"> Consumers who bought and then performed this music likely identified with such a complaint, and wanted</w:t>
      </w:r>
      <w:r w:rsidR="006C2C9C">
        <w:rPr>
          <w:rFonts w:cstheme="minorHAnsi"/>
          <w:sz w:val="24"/>
          <w:szCs w:val="24"/>
        </w:rPr>
        <w:t xml:space="preserve"> to</w:t>
      </w:r>
      <w:r w:rsidR="00DF0DFB">
        <w:rPr>
          <w:rFonts w:cstheme="minorHAnsi"/>
          <w:sz w:val="24"/>
          <w:szCs w:val="24"/>
        </w:rPr>
        <w:t xml:space="preserve"> include a representation of it in their own Self</w:t>
      </w:r>
      <w:r w:rsidR="009E2BA8">
        <w:rPr>
          <w:rFonts w:cstheme="minorHAnsi"/>
          <w:sz w:val="24"/>
          <w:szCs w:val="24"/>
        </w:rPr>
        <w:t xml:space="preserve"> </w:t>
      </w:r>
      <w:r w:rsidR="00DF0DFB">
        <w:rPr>
          <w:rFonts w:cstheme="minorHAnsi"/>
          <w:sz w:val="24"/>
          <w:szCs w:val="24"/>
        </w:rPr>
        <w:t>formation</w:t>
      </w:r>
      <w:r w:rsidR="006C2C9C">
        <w:rPr>
          <w:rFonts w:cstheme="minorHAnsi"/>
          <w:sz w:val="24"/>
          <w:szCs w:val="24"/>
        </w:rPr>
        <w:t>s</w:t>
      </w:r>
      <w:r w:rsidR="00DF0DFB">
        <w:rPr>
          <w:rFonts w:cstheme="minorHAnsi"/>
          <w:sz w:val="24"/>
          <w:szCs w:val="24"/>
        </w:rPr>
        <w:t xml:space="preserve">. They </w:t>
      </w:r>
      <w:r w:rsidR="009E2BA8">
        <w:rPr>
          <w:rFonts w:cstheme="minorHAnsi"/>
          <w:sz w:val="24"/>
          <w:szCs w:val="24"/>
        </w:rPr>
        <w:t xml:space="preserve">transferred this song from the context of the variety hall to their own homes, much as with </w:t>
      </w:r>
      <w:proofErr w:type="spellStart"/>
      <w:r w:rsidR="009E2BA8">
        <w:rPr>
          <w:rFonts w:cstheme="minorHAnsi"/>
          <w:sz w:val="24"/>
          <w:szCs w:val="24"/>
        </w:rPr>
        <w:t>Cavicchi’s</w:t>
      </w:r>
      <w:proofErr w:type="spellEnd"/>
      <w:r w:rsidR="009E2BA8">
        <w:rPr>
          <w:rFonts w:cstheme="minorHAnsi"/>
          <w:sz w:val="24"/>
          <w:szCs w:val="24"/>
        </w:rPr>
        <w:t xml:space="preserve"> Springsteen fans, to help them</w:t>
      </w:r>
      <w:r w:rsidR="009E2BA8" w:rsidRPr="000C0EBC">
        <w:rPr>
          <w:rFonts w:cstheme="minorHAnsi"/>
          <w:sz w:val="24"/>
          <w:szCs w:val="24"/>
        </w:rPr>
        <w:t xml:space="preserve"> </w:t>
      </w:r>
      <w:r w:rsidR="009E2BA8">
        <w:rPr>
          <w:rFonts w:cstheme="minorHAnsi"/>
          <w:sz w:val="24"/>
          <w:szCs w:val="24"/>
        </w:rPr>
        <w:t>“shape their sense of ‘me.</w:t>
      </w:r>
      <w:r w:rsidR="009E2BA8" w:rsidRPr="000C0EBC">
        <w:rPr>
          <w:rFonts w:cstheme="minorHAnsi"/>
          <w:sz w:val="24"/>
          <w:szCs w:val="24"/>
        </w:rPr>
        <w:t>’</w:t>
      </w:r>
      <w:r w:rsidR="009E2BA8">
        <w:rPr>
          <w:rFonts w:cstheme="minorHAnsi"/>
          <w:sz w:val="24"/>
          <w:szCs w:val="24"/>
        </w:rPr>
        <w:t>”</w:t>
      </w:r>
      <w:r w:rsidR="009E2BA8">
        <w:rPr>
          <w:rStyle w:val="FootnoteReference"/>
          <w:rFonts w:cstheme="minorHAnsi"/>
          <w:sz w:val="24"/>
          <w:szCs w:val="24"/>
        </w:rPr>
        <w:footnoteReference w:id="262"/>
      </w:r>
      <w:r w:rsidR="009E2BA8">
        <w:rPr>
          <w:rFonts w:cstheme="minorHAnsi"/>
          <w:sz w:val="24"/>
          <w:szCs w:val="24"/>
        </w:rPr>
        <w:t xml:space="preserve"> An idiosyncratic </w:t>
      </w:r>
      <w:proofErr w:type="gramStart"/>
      <w:r w:rsidR="009E2BA8">
        <w:rPr>
          <w:rFonts w:cstheme="minorHAnsi"/>
          <w:sz w:val="24"/>
          <w:szCs w:val="24"/>
        </w:rPr>
        <w:t>Other</w:t>
      </w:r>
      <w:proofErr w:type="gramEnd"/>
      <w:r w:rsidR="009E2BA8">
        <w:rPr>
          <w:rFonts w:cstheme="minorHAnsi"/>
          <w:sz w:val="24"/>
          <w:szCs w:val="24"/>
        </w:rPr>
        <w:t xml:space="preserve"> was free to behave outside of expectations</w:t>
      </w:r>
      <w:r w:rsidR="00DA79F4">
        <w:rPr>
          <w:rFonts w:cstheme="minorHAnsi"/>
          <w:sz w:val="24"/>
          <w:szCs w:val="24"/>
        </w:rPr>
        <w:t>;</w:t>
      </w:r>
      <w:r w:rsidR="009E2BA8">
        <w:rPr>
          <w:rFonts w:cstheme="minorHAnsi"/>
          <w:sz w:val="24"/>
          <w:szCs w:val="24"/>
        </w:rPr>
        <w:t xml:space="preserve"> it offered </w:t>
      </w:r>
      <w:r w:rsidR="00DA79F4">
        <w:rPr>
          <w:rFonts w:cstheme="minorHAnsi"/>
          <w:sz w:val="24"/>
          <w:szCs w:val="24"/>
        </w:rPr>
        <w:t>performers a lowbrow identity</w:t>
      </w:r>
      <w:r w:rsidR="006C2C9C">
        <w:rPr>
          <w:rFonts w:cstheme="minorHAnsi"/>
          <w:sz w:val="24"/>
          <w:szCs w:val="24"/>
        </w:rPr>
        <w:t xml:space="preserve"> to escape into and through which to process</w:t>
      </w:r>
      <w:r w:rsidR="00DA79F4">
        <w:rPr>
          <w:rFonts w:cstheme="minorHAnsi"/>
          <w:sz w:val="24"/>
          <w:szCs w:val="24"/>
        </w:rPr>
        <w:t xml:space="preserve"> opinions, desires, and behaviors in themselves. </w:t>
      </w:r>
    </w:p>
    <w:p w:rsidR="00AD5B9D" w:rsidRPr="00482A1F" w:rsidRDefault="00DA79F4" w:rsidP="0048083F">
      <w:pPr>
        <w:spacing w:line="480" w:lineRule="auto"/>
        <w:ind w:firstLine="720"/>
        <w:rPr>
          <w:rFonts w:cstheme="minorHAnsi"/>
          <w:sz w:val="24"/>
          <w:szCs w:val="24"/>
        </w:rPr>
      </w:pPr>
      <w:r>
        <w:rPr>
          <w:rFonts w:cstheme="minorHAnsi"/>
          <w:sz w:val="24"/>
          <w:szCs w:val="24"/>
        </w:rPr>
        <w:t xml:space="preserve">The layers of vocal mimesis within the first-person narrative of “What’s the World to a Man When </w:t>
      </w:r>
      <w:r w:rsidR="006C2C9C">
        <w:rPr>
          <w:rFonts w:cstheme="minorHAnsi"/>
          <w:sz w:val="24"/>
          <w:szCs w:val="24"/>
        </w:rPr>
        <w:t xml:space="preserve">His Wife is a </w:t>
      </w:r>
      <w:proofErr w:type="spellStart"/>
      <w:r w:rsidR="006C2C9C">
        <w:rPr>
          <w:rFonts w:cstheme="minorHAnsi"/>
          <w:sz w:val="24"/>
          <w:szCs w:val="24"/>
        </w:rPr>
        <w:t>Widdy</w:t>
      </w:r>
      <w:proofErr w:type="spellEnd"/>
      <w:r w:rsidR="006C2C9C">
        <w:rPr>
          <w:rFonts w:cstheme="minorHAnsi"/>
          <w:sz w:val="24"/>
          <w:szCs w:val="24"/>
        </w:rPr>
        <w:t>?” recreate Pat’s</w:t>
      </w:r>
      <w:r>
        <w:rPr>
          <w:rFonts w:cstheme="minorHAnsi"/>
          <w:sz w:val="24"/>
          <w:szCs w:val="24"/>
        </w:rPr>
        <w:t xml:space="preserve"> relationships to others, giving power</w:t>
      </w:r>
      <w:r w:rsidR="006C2C9C">
        <w:rPr>
          <w:rFonts w:cstheme="minorHAnsi"/>
          <w:sz w:val="24"/>
          <w:szCs w:val="24"/>
        </w:rPr>
        <w:t xml:space="preserve"> to the act of embodying Pat’s</w:t>
      </w:r>
      <w:r>
        <w:rPr>
          <w:rFonts w:cstheme="minorHAnsi"/>
          <w:sz w:val="24"/>
          <w:szCs w:val="24"/>
        </w:rPr>
        <w:t xml:space="preserve"> persona</w:t>
      </w:r>
      <w:r w:rsidR="006C2C9C">
        <w:rPr>
          <w:rFonts w:cstheme="minorHAnsi"/>
          <w:sz w:val="24"/>
          <w:szCs w:val="24"/>
        </w:rPr>
        <w:t xml:space="preserve"> and</w:t>
      </w:r>
      <w:r>
        <w:rPr>
          <w:rFonts w:cstheme="minorHAnsi"/>
          <w:sz w:val="24"/>
          <w:szCs w:val="24"/>
        </w:rPr>
        <w:t xml:space="preserve"> the enactment of his social critiques. The piece not only lends the performer Pat’s voice</w:t>
      </w:r>
      <w:r w:rsidR="0048083F">
        <w:rPr>
          <w:rFonts w:cstheme="minorHAnsi"/>
          <w:sz w:val="24"/>
          <w:szCs w:val="24"/>
        </w:rPr>
        <w:t xml:space="preserve">, with lines such as “It’s </w:t>
      </w:r>
      <w:proofErr w:type="spellStart"/>
      <w:r w:rsidR="0048083F">
        <w:rPr>
          <w:rFonts w:cstheme="minorHAnsi"/>
          <w:sz w:val="24"/>
          <w:szCs w:val="24"/>
        </w:rPr>
        <w:t>mebbe</w:t>
      </w:r>
      <w:proofErr w:type="spellEnd"/>
      <w:r w:rsidR="0048083F">
        <w:rPr>
          <w:rFonts w:cstheme="minorHAnsi"/>
          <w:sz w:val="24"/>
          <w:szCs w:val="24"/>
        </w:rPr>
        <w:t xml:space="preserve"> I’m bold, </w:t>
      </w:r>
      <w:proofErr w:type="gramStart"/>
      <w:r w:rsidR="0048083F">
        <w:rPr>
          <w:rFonts w:cstheme="minorHAnsi"/>
          <w:sz w:val="24"/>
          <w:szCs w:val="24"/>
        </w:rPr>
        <w:t>And</w:t>
      </w:r>
      <w:proofErr w:type="gramEnd"/>
      <w:r w:rsidR="0048083F">
        <w:rPr>
          <w:rFonts w:cstheme="minorHAnsi"/>
          <w:sz w:val="24"/>
          <w:szCs w:val="24"/>
        </w:rPr>
        <w:t xml:space="preserve"> it’s </w:t>
      </w:r>
      <w:proofErr w:type="spellStart"/>
      <w:r w:rsidR="0048083F">
        <w:rPr>
          <w:rFonts w:cstheme="minorHAnsi"/>
          <w:sz w:val="24"/>
          <w:szCs w:val="24"/>
        </w:rPr>
        <w:t>mebbe</w:t>
      </w:r>
      <w:proofErr w:type="spellEnd"/>
      <w:r w:rsidR="0048083F">
        <w:rPr>
          <w:rFonts w:cstheme="minorHAnsi"/>
          <w:sz w:val="24"/>
          <w:szCs w:val="24"/>
        </w:rPr>
        <w:t xml:space="preserve"> I’m not,”</w:t>
      </w:r>
      <w:r w:rsidR="0048083F">
        <w:rPr>
          <w:rStyle w:val="FootnoteReference"/>
          <w:rFonts w:cstheme="minorHAnsi"/>
          <w:sz w:val="24"/>
          <w:szCs w:val="24"/>
        </w:rPr>
        <w:footnoteReference w:id="263"/>
      </w:r>
      <w:r w:rsidR="0048083F">
        <w:rPr>
          <w:rFonts w:cstheme="minorHAnsi"/>
          <w:sz w:val="24"/>
          <w:szCs w:val="24"/>
        </w:rPr>
        <w:t xml:space="preserve"> </w:t>
      </w:r>
      <w:r>
        <w:rPr>
          <w:rFonts w:cstheme="minorHAnsi"/>
          <w:sz w:val="24"/>
          <w:szCs w:val="24"/>
        </w:rPr>
        <w:t xml:space="preserve"> </w:t>
      </w:r>
      <w:r w:rsidR="0048083F">
        <w:rPr>
          <w:rFonts w:cstheme="minorHAnsi"/>
          <w:sz w:val="24"/>
          <w:szCs w:val="24"/>
        </w:rPr>
        <w:t>but it also constructs</w:t>
      </w:r>
      <w:r w:rsidR="00AD5B9D">
        <w:rPr>
          <w:rFonts w:cstheme="minorHAnsi"/>
          <w:sz w:val="24"/>
          <w:szCs w:val="24"/>
        </w:rPr>
        <w:t xml:space="preserve"> other characters</w:t>
      </w:r>
      <w:r w:rsidR="0048083F">
        <w:rPr>
          <w:rFonts w:cstheme="minorHAnsi"/>
          <w:sz w:val="24"/>
          <w:szCs w:val="24"/>
        </w:rPr>
        <w:t>, with their own unique voices. This</w:t>
      </w:r>
      <w:r w:rsidR="00AD5B9D">
        <w:rPr>
          <w:rFonts w:cstheme="minorHAnsi"/>
          <w:sz w:val="24"/>
          <w:szCs w:val="24"/>
        </w:rPr>
        <w:t xml:space="preserve"> move between voices and the </w:t>
      </w:r>
      <w:r w:rsidR="0048083F">
        <w:rPr>
          <w:rFonts w:cstheme="minorHAnsi"/>
          <w:sz w:val="24"/>
          <w:szCs w:val="24"/>
        </w:rPr>
        <w:t xml:space="preserve">creation of other characters </w:t>
      </w:r>
      <w:r w:rsidR="00AD5B9D">
        <w:rPr>
          <w:rFonts w:cstheme="minorHAnsi"/>
          <w:sz w:val="24"/>
          <w:szCs w:val="24"/>
        </w:rPr>
        <w:t xml:space="preserve">demonstrates the way character pieces utilize multiple </w:t>
      </w:r>
      <w:r w:rsidR="00AD5B9D">
        <w:rPr>
          <w:rFonts w:cstheme="minorHAnsi"/>
          <w:sz w:val="24"/>
          <w:szCs w:val="24"/>
        </w:rPr>
        <w:lastRenderedPageBreak/>
        <w:t xml:space="preserve">voices and identities. Even within one character piece, singers can take on and ridicule multiple, idiosyncratic identities. </w:t>
      </w:r>
      <w:r w:rsidR="006C2C9C">
        <w:rPr>
          <w:rFonts w:cstheme="minorHAnsi"/>
          <w:sz w:val="24"/>
          <w:szCs w:val="24"/>
        </w:rPr>
        <w:t>Pat</w:t>
      </w:r>
      <w:r w:rsidR="0048083F">
        <w:rPr>
          <w:rFonts w:cstheme="minorHAnsi"/>
          <w:sz w:val="24"/>
          <w:szCs w:val="24"/>
        </w:rPr>
        <w:t xml:space="preserve"> is the ultimate butt of the joke</w:t>
      </w:r>
      <w:r w:rsidR="006C2C9C">
        <w:rPr>
          <w:rFonts w:cstheme="minorHAnsi"/>
          <w:sz w:val="24"/>
          <w:szCs w:val="24"/>
        </w:rPr>
        <w:t>, but in singing about his wife Pat</w:t>
      </w:r>
      <w:r w:rsidR="00AD5B9D">
        <w:rPr>
          <w:rFonts w:cstheme="minorHAnsi"/>
          <w:sz w:val="24"/>
          <w:szCs w:val="24"/>
        </w:rPr>
        <w:t xml:space="preserve"> brings her into his fictional world and creates yet another comic identity and </w:t>
      </w:r>
      <w:proofErr w:type="gramStart"/>
      <w:r w:rsidR="00AD5B9D">
        <w:rPr>
          <w:rFonts w:cstheme="minorHAnsi"/>
          <w:sz w:val="24"/>
          <w:szCs w:val="24"/>
        </w:rPr>
        <w:t>Other</w:t>
      </w:r>
      <w:proofErr w:type="gramEnd"/>
      <w:r w:rsidR="0048083F">
        <w:rPr>
          <w:rFonts w:cstheme="minorHAnsi"/>
          <w:sz w:val="24"/>
          <w:szCs w:val="24"/>
        </w:rPr>
        <w:t>, the controlling wife,</w:t>
      </w:r>
      <w:r w:rsidR="00AD5B9D">
        <w:rPr>
          <w:rFonts w:cstheme="minorHAnsi"/>
          <w:sz w:val="24"/>
          <w:szCs w:val="24"/>
        </w:rPr>
        <w:t xml:space="preserve"> to mock. At the end of each chorus, the vocalist adds another layer of vocal mimicry and identification by quoting his “Uncle Dan’s” advice to “stay home with your biddy.”</w:t>
      </w:r>
      <w:r w:rsidR="00AD5B9D">
        <w:rPr>
          <w:rStyle w:val="FootnoteReference"/>
          <w:rFonts w:cstheme="minorHAnsi"/>
          <w:sz w:val="24"/>
          <w:szCs w:val="24"/>
        </w:rPr>
        <w:footnoteReference w:id="264"/>
      </w:r>
      <w:r w:rsidR="00AD5B9D">
        <w:rPr>
          <w:rFonts w:cstheme="minorHAnsi"/>
          <w:sz w:val="24"/>
          <w:szCs w:val="24"/>
        </w:rPr>
        <w:t xml:space="preserve"> As </w:t>
      </w:r>
      <w:proofErr w:type="spellStart"/>
      <w:r w:rsidR="00AD5B9D">
        <w:rPr>
          <w:rFonts w:cstheme="minorHAnsi"/>
          <w:sz w:val="24"/>
          <w:szCs w:val="24"/>
        </w:rPr>
        <w:t>Frith</w:t>
      </w:r>
      <w:proofErr w:type="spellEnd"/>
      <w:r w:rsidR="00AD5B9D">
        <w:rPr>
          <w:rFonts w:cstheme="minorHAnsi"/>
          <w:sz w:val="24"/>
          <w:szCs w:val="24"/>
        </w:rPr>
        <w:t xml:space="preserve"> has pointed out, “singers, like lecturers, have their own mannered ways of indicating quote marks,” and when they incorporate “such a multiplicity of voices”</w:t>
      </w:r>
      <w:r w:rsidR="00AD5B9D">
        <w:rPr>
          <w:rStyle w:val="FootnoteReference"/>
          <w:rFonts w:cstheme="minorHAnsi"/>
          <w:sz w:val="24"/>
          <w:szCs w:val="24"/>
        </w:rPr>
        <w:footnoteReference w:id="265"/>
      </w:r>
      <w:r w:rsidR="00AD5B9D">
        <w:rPr>
          <w:rFonts w:cstheme="minorHAnsi"/>
          <w:sz w:val="24"/>
          <w:szCs w:val="24"/>
        </w:rPr>
        <w:t xml:space="preserve"> into their sung narratives they actually reaffirm their vocal costume and embodied persona. As </w:t>
      </w:r>
      <w:proofErr w:type="spellStart"/>
      <w:r w:rsidR="00AD5B9D">
        <w:rPr>
          <w:rFonts w:cstheme="minorHAnsi"/>
          <w:sz w:val="24"/>
          <w:szCs w:val="24"/>
        </w:rPr>
        <w:t>Frith</w:t>
      </w:r>
      <w:proofErr w:type="spellEnd"/>
      <w:r w:rsidR="00AD5B9D">
        <w:rPr>
          <w:rFonts w:cstheme="minorHAnsi"/>
          <w:sz w:val="24"/>
          <w:szCs w:val="24"/>
        </w:rPr>
        <w:t xml:space="preserve"> argues, narrative singers take “on many parts but [retain] an essential ‘personality’ that is common to all of them.”</w:t>
      </w:r>
      <w:r w:rsidR="00AD5B9D">
        <w:rPr>
          <w:rStyle w:val="FootnoteReference"/>
          <w:rFonts w:cstheme="minorHAnsi"/>
          <w:sz w:val="24"/>
          <w:szCs w:val="24"/>
        </w:rPr>
        <w:footnoteReference w:id="266"/>
      </w:r>
      <w:r w:rsidR="00AD5B9D">
        <w:rPr>
          <w:rFonts w:cstheme="minorHAnsi"/>
          <w:sz w:val="24"/>
          <w:szCs w:val="24"/>
        </w:rPr>
        <w:t xml:space="preserve"> As performers sing about Pat’s wife, or change their inflection to quote “Uncle Dan,” they are also essentially remaining “Pat” and embodying his relationship to those figures in his fictional world.</w:t>
      </w:r>
      <w:r w:rsidR="0048083F">
        <w:rPr>
          <w:rFonts w:cstheme="minorHAnsi"/>
          <w:sz w:val="24"/>
          <w:szCs w:val="24"/>
        </w:rPr>
        <w:t xml:space="preserve"> </w:t>
      </w:r>
      <w:r w:rsidR="00AD5B9D">
        <w:rPr>
          <w:rFonts w:cstheme="minorHAnsi"/>
          <w:sz w:val="24"/>
          <w:szCs w:val="24"/>
        </w:rPr>
        <w:t>Singing about his wife or uncle not only conjures them</w:t>
      </w:r>
      <w:r w:rsidR="006C2C9C">
        <w:rPr>
          <w:rFonts w:cstheme="minorHAnsi"/>
          <w:sz w:val="24"/>
          <w:szCs w:val="24"/>
        </w:rPr>
        <w:t xml:space="preserve"> up</w:t>
      </w:r>
      <w:r w:rsidR="00AD5B9D">
        <w:rPr>
          <w:rFonts w:cstheme="minorHAnsi"/>
          <w:sz w:val="24"/>
          <w:szCs w:val="24"/>
        </w:rPr>
        <w:t xml:space="preserve"> via mimesis, singers could expound on the nature of these relationships with the grain of their voice. They could have added extra levels of irony in their inflection, making their disdain for an </w:t>
      </w:r>
      <w:proofErr w:type="gramStart"/>
      <w:r w:rsidR="00AD5B9D">
        <w:rPr>
          <w:rFonts w:cstheme="minorHAnsi"/>
          <w:sz w:val="24"/>
          <w:szCs w:val="24"/>
        </w:rPr>
        <w:t>Other</w:t>
      </w:r>
      <w:proofErr w:type="gramEnd"/>
      <w:r w:rsidR="00AD5B9D">
        <w:rPr>
          <w:rFonts w:cstheme="minorHAnsi"/>
          <w:sz w:val="24"/>
          <w:szCs w:val="24"/>
        </w:rPr>
        <w:t xml:space="preserve"> clear. Identifying with this voice could have freed some to express their own distaste for their spouses in an acceptable manner by attributing the words of the voice to an exaggerated </w:t>
      </w:r>
      <w:proofErr w:type="gramStart"/>
      <w:r w:rsidR="00AD5B9D">
        <w:rPr>
          <w:rFonts w:cstheme="minorHAnsi"/>
          <w:sz w:val="24"/>
          <w:szCs w:val="24"/>
        </w:rPr>
        <w:t>Other</w:t>
      </w:r>
      <w:proofErr w:type="gramEnd"/>
      <w:r w:rsidR="00AD5B9D">
        <w:rPr>
          <w:rFonts w:cstheme="minorHAnsi"/>
          <w:sz w:val="24"/>
          <w:szCs w:val="24"/>
        </w:rPr>
        <w:t>.</w:t>
      </w:r>
    </w:p>
    <w:p w:rsidR="00AD5B9D" w:rsidRDefault="00AD5B9D" w:rsidP="00AD5B9D">
      <w:pPr>
        <w:spacing w:line="480" w:lineRule="auto"/>
        <w:rPr>
          <w:sz w:val="24"/>
          <w:szCs w:val="24"/>
        </w:rPr>
      </w:pPr>
      <w:r>
        <w:rPr>
          <w:rFonts w:cstheme="minorHAnsi"/>
          <w:sz w:val="24"/>
          <w:szCs w:val="24"/>
        </w:rPr>
        <w:tab/>
        <w:t xml:space="preserve">Melodically and harmonically </w:t>
      </w:r>
      <w:proofErr w:type="spellStart"/>
      <w:r>
        <w:rPr>
          <w:rFonts w:cstheme="minorHAnsi"/>
          <w:sz w:val="24"/>
          <w:szCs w:val="24"/>
        </w:rPr>
        <w:t>essentializing</w:t>
      </w:r>
      <w:proofErr w:type="spellEnd"/>
      <w:r>
        <w:rPr>
          <w:rFonts w:cstheme="minorHAnsi"/>
          <w:sz w:val="24"/>
          <w:szCs w:val="24"/>
        </w:rPr>
        <w:t xml:space="preserve"> an identity, however, is not a clear cut process. The 1881 </w:t>
      </w:r>
      <w:r w:rsidR="006C2C9C">
        <w:rPr>
          <w:rFonts w:cstheme="minorHAnsi"/>
          <w:sz w:val="24"/>
          <w:szCs w:val="24"/>
        </w:rPr>
        <w:t>song “Dot Beautiful Hebrew Girl” confuses music’s means for</w:t>
      </w:r>
      <w:r>
        <w:rPr>
          <w:rFonts w:cstheme="minorHAnsi"/>
          <w:sz w:val="24"/>
          <w:szCs w:val="24"/>
        </w:rPr>
        <w:t xml:space="preserve"> signify</w:t>
      </w:r>
      <w:r w:rsidR="006C2C9C">
        <w:rPr>
          <w:rFonts w:cstheme="minorHAnsi"/>
          <w:sz w:val="24"/>
          <w:szCs w:val="24"/>
        </w:rPr>
        <w:t>ing</w:t>
      </w:r>
      <w:r>
        <w:rPr>
          <w:rFonts w:cstheme="minorHAnsi"/>
          <w:sz w:val="24"/>
          <w:szCs w:val="24"/>
        </w:rPr>
        <w:t xml:space="preserve"> ethnic identities as it conflates</w:t>
      </w:r>
      <w:r w:rsidR="006C2C9C">
        <w:rPr>
          <w:rFonts w:cstheme="minorHAnsi"/>
          <w:sz w:val="24"/>
          <w:szCs w:val="24"/>
        </w:rPr>
        <w:t xml:space="preserve"> </w:t>
      </w:r>
      <w:r>
        <w:rPr>
          <w:rFonts w:cstheme="minorHAnsi"/>
          <w:sz w:val="24"/>
          <w:szCs w:val="24"/>
        </w:rPr>
        <w:t>a Jewish identi</w:t>
      </w:r>
      <w:r w:rsidR="006C2C9C">
        <w:rPr>
          <w:rFonts w:cstheme="minorHAnsi"/>
          <w:sz w:val="24"/>
          <w:szCs w:val="24"/>
        </w:rPr>
        <w:t>ty with</w:t>
      </w:r>
      <w:r>
        <w:rPr>
          <w:rFonts w:cstheme="minorHAnsi"/>
          <w:sz w:val="24"/>
          <w:szCs w:val="24"/>
        </w:rPr>
        <w:t xml:space="preserve"> tropes most commonly associated with </w:t>
      </w:r>
      <w:r w:rsidR="006C2C9C">
        <w:rPr>
          <w:rFonts w:cstheme="minorHAnsi"/>
          <w:sz w:val="24"/>
          <w:szCs w:val="24"/>
        </w:rPr>
        <w:lastRenderedPageBreak/>
        <w:t>German</w:t>
      </w:r>
      <w:r>
        <w:rPr>
          <w:rFonts w:cstheme="minorHAnsi"/>
          <w:sz w:val="24"/>
          <w:szCs w:val="24"/>
        </w:rPr>
        <w:t xml:space="preserve"> </w:t>
      </w:r>
      <w:r w:rsidR="006C2C9C">
        <w:rPr>
          <w:rFonts w:cstheme="minorHAnsi"/>
          <w:sz w:val="24"/>
          <w:szCs w:val="24"/>
        </w:rPr>
        <w:t xml:space="preserve">music </w:t>
      </w:r>
      <w:r>
        <w:rPr>
          <w:rFonts w:cstheme="minorHAnsi"/>
          <w:sz w:val="24"/>
          <w:szCs w:val="24"/>
        </w:rPr>
        <w:t>and “Dutch”</w:t>
      </w:r>
      <w:r w:rsidR="0048083F">
        <w:rPr>
          <w:rStyle w:val="FootnoteReference"/>
          <w:rFonts w:cstheme="minorHAnsi"/>
          <w:sz w:val="24"/>
          <w:szCs w:val="24"/>
        </w:rPr>
        <w:footnoteReference w:id="267"/>
      </w:r>
      <w:r>
        <w:rPr>
          <w:rFonts w:cstheme="minorHAnsi"/>
          <w:sz w:val="24"/>
          <w:szCs w:val="24"/>
        </w:rPr>
        <w:t xml:space="preserve"> comic characters. The mocking dialect of the song, while intended to present a “Yiddish” voice, could easily be confused with the types of mispronunciations heard in “Dutch” character pieces, such as replacing “with” with “</w:t>
      </w:r>
      <w:proofErr w:type="spellStart"/>
      <w:r>
        <w:rPr>
          <w:rFonts w:cstheme="minorHAnsi"/>
          <w:sz w:val="24"/>
          <w:szCs w:val="24"/>
        </w:rPr>
        <w:t>mit</w:t>
      </w:r>
      <w:proofErr w:type="spellEnd"/>
      <w:r>
        <w:rPr>
          <w:rFonts w:cstheme="minorHAnsi"/>
          <w:sz w:val="24"/>
          <w:szCs w:val="24"/>
        </w:rPr>
        <w:t>” and “that” with “dot.”</w:t>
      </w:r>
      <w:r>
        <w:rPr>
          <w:rStyle w:val="FootnoteReference"/>
          <w:rFonts w:cstheme="minorHAnsi"/>
          <w:sz w:val="24"/>
          <w:szCs w:val="24"/>
        </w:rPr>
        <w:footnoteReference w:id="268"/>
      </w:r>
      <w:r>
        <w:rPr>
          <w:rFonts w:cstheme="minorHAnsi"/>
          <w:sz w:val="24"/>
          <w:szCs w:val="24"/>
        </w:rPr>
        <w:t xml:space="preserve"> </w:t>
      </w:r>
      <w:r w:rsidRPr="00015450">
        <w:rPr>
          <w:sz w:val="24"/>
          <w:szCs w:val="24"/>
        </w:rPr>
        <w:t>The chorus</w:t>
      </w:r>
      <w:r>
        <w:rPr>
          <w:sz w:val="24"/>
          <w:szCs w:val="24"/>
        </w:rPr>
        <w:t xml:space="preserve"> also moves into a waltz and makes use of an </w:t>
      </w:r>
      <w:proofErr w:type="spellStart"/>
      <w:r>
        <w:rPr>
          <w:sz w:val="24"/>
          <w:szCs w:val="24"/>
        </w:rPr>
        <w:t>o</w:t>
      </w:r>
      <w:r w:rsidRPr="00015450">
        <w:rPr>
          <w:sz w:val="24"/>
          <w:szCs w:val="24"/>
        </w:rPr>
        <w:t>om-pah</w:t>
      </w:r>
      <w:proofErr w:type="spellEnd"/>
      <w:r w:rsidRPr="00015450">
        <w:rPr>
          <w:sz w:val="24"/>
          <w:szCs w:val="24"/>
        </w:rPr>
        <w:t xml:space="preserve"> style bass,</w:t>
      </w:r>
      <w:r>
        <w:rPr>
          <w:sz w:val="24"/>
          <w:szCs w:val="24"/>
        </w:rPr>
        <w:t xml:space="preserve"> further</w:t>
      </w:r>
      <w:r w:rsidRPr="00015450">
        <w:rPr>
          <w:sz w:val="24"/>
          <w:szCs w:val="24"/>
        </w:rPr>
        <w:t xml:space="preserve"> conflating German and </w:t>
      </w:r>
      <w:r>
        <w:rPr>
          <w:sz w:val="24"/>
          <w:szCs w:val="24"/>
        </w:rPr>
        <w:t>“</w:t>
      </w:r>
      <w:r w:rsidRPr="00015450">
        <w:rPr>
          <w:sz w:val="24"/>
          <w:szCs w:val="24"/>
        </w:rPr>
        <w:t>Hebrew</w:t>
      </w:r>
      <w:r>
        <w:rPr>
          <w:sz w:val="24"/>
          <w:szCs w:val="24"/>
        </w:rPr>
        <w:t>” identities</w:t>
      </w:r>
      <w:r w:rsidRPr="00015450">
        <w:rPr>
          <w:sz w:val="24"/>
          <w:szCs w:val="24"/>
        </w:rPr>
        <w:t>.</w:t>
      </w:r>
    </w:p>
    <w:p w:rsidR="007E4BCF" w:rsidRDefault="00BA1255" w:rsidP="007E4BCF">
      <w:pPr>
        <w:spacing w:line="480" w:lineRule="auto"/>
        <w:rPr>
          <w:rFonts w:cstheme="minorHAnsi"/>
          <w:sz w:val="24"/>
          <w:szCs w:val="24"/>
        </w:rPr>
      </w:pPr>
      <w:r>
        <w:rPr>
          <w:sz w:val="24"/>
          <w:szCs w:val="24"/>
        </w:rPr>
        <w:tab/>
        <w:t>In this instance, the singer’s</w:t>
      </w:r>
      <w:r w:rsidR="00AD5B9D">
        <w:rPr>
          <w:sz w:val="24"/>
          <w:szCs w:val="24"/>
        </w:rPr>
        <w:t xml:space="preserve"> identity comes through most </w:t>
      </w:r>
      <w:r>
        <w:rPr>
          <w:sz w:val="24"/>
          <w:szCs w:val="24"/>
        </w:rPr>
        <w:t>clearly in his or her</w:t>
      </w:r>
      <w:r w:rsidR="00AD5B9D">
        <w:rPr>
          <w:sz w:val="24"/>
          <w:szCs w:val="24"/>
        </w:rPr>
        <w:t xml:space="preserve"> use of words.</w:t>
      </w:r>
      <w:r>
        <w:rPr>
          <w:rFonts w:cstheme="minorHAnsi"/>
          <w:sz w:val="24"/>
          <w:szCs w:val="24"/>
        </w:rPr>
        <w:t xml:space="preserve"> The song relates, in the first-</w:t>
      </w:r>
      <w:r w:rsidR="00AD5B9D">
        <w:rPr>
          <w:rFonts w:cstheme="minorHAnsi"/>
          <w:sz w:val="24"/>
          <w:szCs w:val="24"/>
        </w:rPr>
        <w:t>person, how a young man fell in love with a “Hebrew girl.” Interspersed in the lyrics are transliterated spellings of Yiddish terms such as “</w:t>
      </w:r>
      <w:proofErr w:type="spellStart"/>
      <w:r w:rsidR="00AD5B9D">
        <w:rPr>
          <w:rFonts w:cstheme="minorHAnsi"/>
          <w:sz w:val="24"/>
          <w:szCs w:val="24"/>
        </w:rPr>
        <w:t>masseltov</w:t>
      </w:r>
      <w:proofErr w:type="spellEnd"/>
      <w:r w:rsidR="00AD5B9D">
        <w:rPr>
          <w:rFonts w:cstheme="minorHAnsi"/>
          <w:sz w:val="24"/>
          <w:szCs w:val="24"/>
        </w:rPr>
        <w:t>,”</w:t>
      </w:r>
      <w:r w:rsidR="00AD5B9D">
        <w:rPr>
          <w:rStyle w:val="FootnoteReference"/>
          <w:rFonts w:cstheme="minorHAnsi"/>
          <w:sz w:val="24"/>
          <w:szCs w:val="24"/>
        </w:rPr>
        <w:footnoteReference w:id="269"/>
      </w:r>
      <w:r>
        <w:rPr>
          <w:rFonts w:cstheme="minorHAnsi"/>
          <w:sz w:val="24"/>
          <w:szCs w:val="24"/>
        </w:rPr>
        <w:t xml:space="preserve"> with footnotes</w:t>
      </w:r>
      <w:r w:rsidR="00AD5B9D">
        <w:rPr>
          <w:rFonts w:cstheme="minorHAnsi"/>
          <w:sz w:val="24"/>
          <w:szCs w:val="24"/>
        </w:rPr>
        <w:t xml:space="preserve"> that provide anglicized and Christianized translations. A “bar-</w:t>
      </w:r>
      <w:proofErr w:type="spellStart"/>
      <w:r w:rsidR="00AD5B9D">
        <w:rPr>
          <w:rFonts w:cstheme="minorHAnsi"/>
          <w:sz w:val="24"/>
          <w:szCs w:val="24"/>
        </w:rPr>
        <w:t>mitz</w:t>
      </w:r>
      <w:proofErr w:type="spellEnd"/>
      <w:r w:rsidR="00AD5B9D">
        <w:rPr>
          <w:rFonts w:cstheme="minorHAnsi"/>
          <w:sz w:val="24"/>
          <w:szCs w:val="24"/>
        </w:rPr>
        <w:t>-</w:t>
      </w:r>
      <w:proofErr w:type="spellStart"/>
      <w:r w:rsidR="00AD5B9D">
        <w:rPr>
          <w:rFonts w:cstheme="minorHAnsi"/>
          <w:sz w:val="24"/>
          <w:szCs w:val="24"/>
        </w:rPr>
        <w:t>va</w:t>
      </w:r>
      <w:proofErr w:type="spellEnd"/>
      <w:r w:rsidR="00AD5B9D">
        <w:rPr>
          <w:rFonts w:cstheme="minorHAnsi"/>
          <w:sz w:val="24"/>
          <w:szCs w:val="24"/>
        </w:rPr>
        <w:t>” becomes a “confirmation,” “</w:t>
      </w:r>
      <w:proofErr w:type="spellStart"/>
      <w:r w:rsidR="00AD5B9D">
        <w:rPr>
          <w:rFonts w:cstheme="minorHAnsi"/>
          <w:sz w:val="24"/>
          <w:szCs w:val="24"/>
        </w:rPr>
        <w:t>schule</w:t>
      </w:r>
      <w:proofErr w:type="spellEnd"/>
      <w:r w:rsidR="00AD5B9D">
        <w:rPr>
          <w:rFonts w:cstheme="minorHAnsi"/>
          <w:sz w:val="24"/>
          <w:szCs w:val="24"/>
        </w:rPr>
        <w:t>” is understood as a “church,” and a “</w:t>
      </w:r>
      <w:proofErr w:type="spellStart"/>
      <w:r w:rsidR="00AD5B9D">
        <w:rPr>
          <w:rFonts w:cstheme="minorHAnsi"/>
          <w:sz w:val="24"/>
          <w:szCs w:val="24"/>
        </w:rPr>
        <w:t>schick-sa</w:t>
      </w:r>
      <w:proofErr w:type="spellEnd"/>
      <w:r w:rsidR="00AD5B9D">
        <w:rPr>
          <w:rFonts w:cstheme="minorHAnsi"/>
          <w:sz w:val="24"/>
          <w:szCs w:val="24"/>
        </w:rPr>
        <w:t>” is translated as a “servant.”</w:t>
      </w:r>
      <w:r w:rsidR="00AD5B9D">
        <w:rPr>
          <w:rStyle w:val="FootnoteReference"/>
          <w:rFonts w:cstheme="minorHAnsi"/>
          <w:sz w:val="24"/>
          <w:szCs w:val="24"/>
        </w:rPr>
        <w:footnoteReference w:id="270"/>
      </w:r>
      <w:r w:rsidR="00AD5B9D">
        <w:rPr>
          <w:rFonts w:cstheme="minorHAnsi"/>
          <w:sz w:val="24"/>
          <w:szCs w:val="24"/>
        </w:rPr>
        <w:t xml:space="preserve"> These dubious translations cle</w:t>
      </w:r>
      <w:r>
        <w:rPr>
          <w:rFonts w:cstheme="minorHAnsi"/>
          <w:sz w:val="24"/>
          <w:szCs w:val="24"/>
        </w:rPr>
        <w:t>arly represent a Christian-Euro</w:t>
      </w:r>
      <w:r w:rsidR="00AD5B9D">
        <w:rPr>
          <w:rFonts w:cstheme="minorHAnsi"/>
          <w:sz w:val="24"/>
          <w:szCs w:val="24"/>
        </w:rPr>
        <w:t>centric bias, but more significantly, reveal one of the ways Christian Americans came</w:t>
      </w:r>
      <w:r>
        <w:rPr>
          <w:rFonts w:cstheme="minorHAnsi"/>
          <w:sz w:val="24"/>
          <w:szCs w:val="24"/>
        </w:rPr>
        <w:t xml:space="preserve"> to terms with other identities,</w:t>
      </w:r>
      <w:r w:rsidR="00AD5B9D">
        <w:rPr>
          <w:rFonts w:cstheme="minorHAnsi"/>
          <w:sz w:val="24"/>
          <w:szCs w:val="24"/>
        </w:rPr>
        <w:t xml:space="preserve"> by appropriating their terminology. The phonetic spellings and use of hyphens make these potentially foreign words easier to pronounce and incorporate into one’s own voice. Parlor performers took on another’s voice by using another’s words.</w:t>
      </w:r>
    </w:p>
    <w:p w:rsidR="0048083F" w:rsidRDefault="007E4BCF" w:rsidP="007E4BCF">
      <w:pPr>
        <w:spacing w:line="480" w:lineRule="auto"/>
        <w:ind w:firstLine="720"/>
        <w:rPr>
          <w:rFonts w:cstheme="minorHAnsi"/>
          <w:sz w:val="24"/>
          <w:szCs w:val="24"/>
        </w:rPr>
      </w:pPr>
      <w:r>
        <w:rPr>
          <w:sz w:val="24"/>
          <w:szCs w:val="24"/>
        </w:rPr>
        <w:t xml:space="preserve">Singing in the stereotyped dialects of </w:t>
      </w:r>
      <w:proofErr w:type="gramStart"/>
      <w:r>
        <w:rPr>
          <w:sz w:val="24"/>
          <w:szCs w:val="24"/>
        </w:rPr>
        <w:t>Others</w:t>
      </w:r>
      <w:proofErr w:type="gramEnd"/>
      <w:r>
        <w:rPr>
          <w:sz w:val="24"/>
          <w:szCs w:val="24"/>
        </w:rPr>
        <w:t xml:space="preserve"> became a crucial part of the discourse for white, Christian Americans who had to reconcile the surging tides of immigration and an ever-growing diversity with their homogenous, </w:t>
      </w:r>
      <w:proofErr w:type="spellStart"/>
      <w:r>
        <w:rPr>
          <w:sz w:val="24"/>
          <w:szCs w:val="24"/>
        </w:rPr>
        <w:t>u</w:t>
      </w:r>
      <w:r w:rsidR="00BA1255">
        <w:rPr>
          <w:sz w:val="24"/>
          <w:szCs w:val="24"/>
        </w:rPr>
        <w:t>topic</w:t>
      </w:r>
      <w:proofErr w:type="spellEnd"/>
      <w:r w:rsidR="00BA1255">
        <w:rPr>
          <w:sz w:val="24"/>
          <w:szCs w:val="24"/>
        </w:rPr>
        <w:t>, religiously based, ethno</w:t>
      </w:r>
      <w:r>
        <w:rPr>
          <w:sz w:val="24"/>
          <w:szCs w:val="24"/>
        </w:rPr>
        <w:t xml:space="preserve">centric visions of </w:t>
      </w:r>
      <w:r>
        <w:rPr>
          <w:sz w:val="24"/>
          <w:szCs w:val="24"/>
        </w:rPr>
        <w:lastRenderedPageBreak/>
        <w:t xml:space="preserve">refinement and constructions of class. </w:t>
      </w:r>
      <w:r w:rsidR="0048083F">
        <w:rPr>
          <w:sz w:val="24"/>
          <w:szCs w:val="24"/>
        </w:rPr>
        <w:t xml:space="preserve">Although his methodology was later critiqued by Simon </w:t>
      </w:r>
      <w:proofErr w:type="spellStart"/>
      <w:r w:rsidR="0048083F">
        <w:rPr>
          <w:sz w:val="24"/>
          <w:szCs w:val="24"/>
        </w:rPr>
        <w:t>Frith</w:t>
      </w:r>
      <w:proofErr w:type="spellEnd"/>
      <w:r w:rsidR="0048083F">
        <w:rPr>
          <w:sz w:val="24"/>
          <w:szCs w:val="24"/>
        </w:rPr>
        <w:t>, H.F. Mooney’s argument that “pop song lyrics reflect the emoti</w:t>
      </w:r>
      <w:r w:rsidR="00BA1255">
        <w:rPr>
          <w:sz w:val="24"/>
          <w:szCs w:val="24"/>
        </w:rPr>
        <w:t>onal needs of their time</w:t>
      </w:r>
      <w:r w:rsidR="0048083F">
        <w:rPr>
          <w:sz w:val="24"/>
          <w:szCs w:val="24"/>
        </w:rPr>
        <w:t>”</w:t>
      </w:r>
      <w:r w:rsidR="0048083F">
        <w:rPr>
          <w:rStyle w:val="FootnoteReference"/>
          <w:sz w:val="24"/>
          <w:szCs w:val="24"/>
        </w:rPr>
        <w:footnoteReference w:id="271"/>
      </w:r>
      <w:r w:rsidR="0048083F">
        <w:rPr>
          <w:sz w:val="24"/>
          <w:szCs w:val="24"/>
        </w:rPr>
        <w:t xml:space="preserve"> still holds some relevance. Popular entertainment has served as a release valve for emotional </w:t>
      </w:r>
      <w:r>
        <w:rPr>
          <w:sz w:val="24"/>
          <w:szCs w:val="24"/>
        </w:rPr>
        <w:t>and social tensions across time, and the ever diversifying population</w:t>
      </w:r>
      <w:r w:rsidR="0048083F">
        <w:rPr>
          <w:sz w:val="24"/>
          <w:szCs w:val="24"/>
        </w:rPr>
        <w:t xml:space="preserve"> </w:t>
      </w:r>
      <w:r>
        <w:rPr>
          <w:sz w:val="24"/>
          <w:szCs w:val="24"/>
        </w:rPr>
        <w:t>was o</w:t>
      </w:r>
      <w:r w:rsidR="0048083F">
        <w:rPr>
          <w:sz w:val="24"/>
          <w:szCs w:val="24"/>
        </w:rPr>
        <w:t>ne of the chief tensions for</w:t>
      </w:r>
      <w:r>
        <w:rPr>
          <w:sz w:val="24"/>
          <w:szCs w:val="24"/>
        </w:rPr>
        <w:t xml:space="preserve"> white,</w:t>
      </w:r>
      <w:r w:rsidR="0048083F">
        <w:rPr>
          <w:sz w:val="24"/>
          <w:szCs w:val="24"/>
        </w:rPr>
        <w:t xml:space="preserve"> nineteenth-century Americans. American cities presented frequent opportunities for interracial contact. In 1890, “62 percent of all foreign born” sett</w:t>
      </w:r>
      <w:r>
        <w:rPr>
          <w:sz w:val="24"/>
          <w:szCs w:val="24"/>
        </w:rPr>
        <w:t>led in urban cities, compared to</w:t>
      </w:r>
      <w:r w:rsidR="0048083F">
        <w:rPr>
          <w:sz w:val="24"/>
          <w:szCs w:val="24"/>
        </w:rPr>
        <w:t xml:space="preserve"> only “26 pe</w:t>
      </w:r>
      <w:r>
        <w:rPr>
          <w:sz w:val="24"/>
          <w:szCs w:val="24"/>
        </w:rPr>
        <w:t>rcent of native white Americans.</w:t>
      </w:r>
      <w:r w:rsidR="0048083F">
        <w:rPr>
          <w:sz w:val="24"/>
          <w:szCs w:val="24"/>
        </w:rPr>
        <w:t>”</w:t>
      </w:r>
      <w:r w:rsidR="0048083F">
        <w:rPr>
          <w:rStyle w:val="FootnoteReference"/>
          <w:sz w:val="24"/>
          <w:szCs w:val="24"/>
        </w:rPr>
        <w:footnoteReference w:id="272"/>
      </w:r>
      <w:r w:rsidR="00BA1255">
        <w:rPr>
          <w:sz w:val="24"/>
          <w:szCs w:val="24"/>
        </w:rPr>
        <w:t xml:space="preserve"> From these statistics,</w:t>
      </w:r>
      <w:r w:rsidR="0048083F">
        <w:rPr>
          <w:sz w:val="24"/>
          <w:szCs w:val="24"/>
        </w:rPr>
        <w:t xml:space="preserve"> </w:t>
      </w:r>
      <w:proofErr w:type="spellStart"/>
      <w:r w:rsidR="0048083F">
        <w:rPr>
          <w:sz w:val="24"/>
          <w:szCs w:val="24"/>
        </w:rPr>
        <w:t>Finson</w:t>
      </w:r>
      <w:proofErr w:type="spellEnd"/>
      <w:r w:rsidR="0048083F">
        <w:rPr>
          <w:rFonts w:cstheme="minorHAnsi"/>
          <w:color w:val="000000" w:themeColor="text1"/>
          <w:sz w:val="24"/>
          <w:szCs w:val="24"/>
        </w:rPr>
        <w:t xml:space="preserve"> argued that</w:t>
      </w:r>
      <w:r w:rsidR="0048083F" w:rsidRPr="000A1367">
        <w:rPr>
          <w:rFonts w:cstheme="minorHAnsi"/>
          <w:color w:val="000000" w:themeColor="text1"/>
          <w:sz w:val="24"/>
          <w:szCs w:val="24"/>
        </w:rPr>
        <w:t xml:space="preserve"> </w:t>
      </w:r>
      <w:r>
        <w:rPr>
          <w:rFonts w:cstheme="minorHAnsi"/>
          <w:color w:val="000000" w:themeColor="text1"/>
          <w:sz w:val="24"/>
          <w:szCs w:val="24"/>
        </w:rPr>
        <w:t xml:space="preserve">the </w:t>
      </w:r>
      <w:r w:rsidR="0048083F">
        <w:rPr>
          <w:rFonts w:cstheme="minorHAnsi"/>
          <w:color w:val="000000" w:themeColor="text1"/>
          <w:sz w:val="24"/>
          <w:szCs w:val="24"/>
        </w:rPr>
        <w:t>l</w:t>
      </w:r>
      <w:r w:rsidR="0048083F" w:rsidRPr="000A1367">
        <w:rPr>
          <w:rFonts w:cstheme="minorHAnsi"/>
          <w:color w:val="000000" w:themeColor="text1"/>
          <w:sz w:val="24"/>
          <w:szCs w:val="24"/>
        </w:rPr>
        <w:t>yrics and music</w:t>
      </w:r>
      <w:r w:rsidR="0048083F">
        <w:rPr>
          <w:rFonts w:cstheme="minorHAnsi"/>
          <w:color w:val="000000" w:themeColor="text1"/>
          <w:sz w:val="24"/>
          <w:szCs w:val="24"/>
        </w:rPr>
        <w:t xml:space="preserve"> of nineteenth-century popular song traced the</w:t>
      </w:r>
      <w:r w:rsidR="0048083F" w:rsidRPr="000A1367">
        <w:rPr>
          <w:rFonts w:cstheme="minorHAnsi"/>
          <w:color w:val="000000" w:themeColor="text1"/>
          <w:sz w:val="24"/>
          <w:szCs w:val="24"/>
        </w:rPr>
        <w:t xml:space="preserve"> </w:t>
      </w:r>
      <w:r w:rsidR="0048083F">
        <w:rPr>
          <w:rFonts w:cstheme="minorHAnsi"/>
          <w:color w:val="000000" w:themeColor="text1"/>
          <w:sz w:val="24"/>
          <w:szCs w:val="24"/>
        </w:rPr>
        <w:t>“</w:t>
      </w:r>
      <w:r w:rsidR="0048083F" w:rsidRPr="000A1367">
        <w:rPr>
          <w:rFonts w:cstheme="minorHAnsi"/>
          <w:color w:val="000000" w:themeColor="text1"/>
          <w:sz w:val="24"/>
          <w:szCs w:val="24"/>
        </w:rPr>
        <w:t>changing ideas about how disparate European groups arriving on these shores might relate to one another</w:t>
      </w:r>
      <w:r w:rsidR="0048083F">
        <w:rPr>
          <w:rFonts w:cstheme="minorHAnsi"/>
          <w:color w:val="000000" w:themeColor="text1"/>
          <w:sz w:val="24"/>
          <w:szCs w:val="24"/>
        </w:rPr>
        <w:t>.</w:t>
      </w:r>
      <w:r w:rsidR="0048083F" w:rsidRPr="000A1367">
        <w:rPr>
          <w:rFonts w:cstheme="minorHAnsi"/>
          <w:color w:val="000000" w:themeColor="text1"/>
          <w:sz w:val="24"/>
          <w:szCs w:val="24"/>
        </w:rPr>
        <w:t>”</w:t>
      </w:r>
      <w:r w:rsidR="0048083F">
        <w:rPr>
          <w:rStyle w:val="FootnoteReference"/>
          <w:rFonts w:cstheme="minorHAnsi"/>
          <w:color w:val="000000" w:themeColor="text1"/>
          <w:sz w:val="24"/>
          <w:szCs w:val="24"/>
        </w:rPr>
        <w:footnoteReference w:id="273"/>
      </w:r>
      <w:r w:rsidR="0048083F">
        <w:rPr>
          <w:rFonts w:cstheme="minorHAnsi"/>
          <w:color w:val="000000" w:themeColor="text1"/>
          <w:sz w:val="24"/>
          <w:szCs w:val="24"/>
        </w:rPr>
        <w:t xml:space="preserve"> The United States struggled</w:t>
      </w:r>
      <w:r>
        <w:rPr>
          <w:rFonts w:cstheme="minorHAnsi"/>
          <w:color w:val="000000" w:themeColor="text1"/>
          <w:sz w:val="24"/>
          <w:szCs w:val="24"/>
        </w:rPr>
        <w:t>, especially,</w:t>
      </w:r>
      <w:r w:rsidR="0048083F">
        <w:rPr>
          <w:rFonts w:cstheme="minorHAnsi"/>
          <w:color w:val="000000" w:themeColor="text1"/>
          <w:sz w:val="24"/>
          <w:szCs w:val="24"/>
        </w:rPr>
        <w:t xml:space="preserve"> with the tension from Chinese immigration in the late nineteenth </w:t>
      </w:r>
      <w:r>
        <w:rPr>
          <w:rFonts w:cstheme="minorHAnsi"/>
          <w:color w:val="000000" w:themeColor="text1"/>
          <w:sz w:val="24"/>
          <w:szCs w:val="24"/>
        </w:rPr>
        <w:t>century</w:t>
      </w:r>
      <w:r w:rsidR="0048083F">
        <w:rPr>
          <w:rFonts w:cstheme="minorHAnsi"/>
          <w:color w:val="000000" w:themeColor="text1"/>
          <w:sz w:val="24"/>
          <w:szCs w:val="24"/>
        </w:rPr>
        <w:t xml:space="preserve">. As evidenced by an 1880 political cartoon, “The Chinese Invasion,” </w:t>
      </w:r>
      <w:r w:rsidR="0048083F">
        <w:rPr>
          <w:rFonts w:cstheme="minorHAnsi"/>
          <w:sz w:val="24"/>
          <w:szCs w:val="24"/>
        </w:rPr>
        <w:t xml:space="preserve">Americans had an extremely negative reaction to Chinese </w:t>
      </w:r>
      <w:proofErr w:type="gramStart"/>
      <w:r w:rsidR="0048083F">
        <w:rPr>
          <w:rFonts w:cstheme="minorHAnsi"/>
          <w:sz w:val="24"/>
          <w:szCs w:val="24"/>
        </w:rPr>
        <w:t>immigrants,</w:t>
      </w:r>
      <w:proofErr w:type="gramEnd"/>
      <w:r w:rsidR="0048083F">
        <w:rPr>
          <w:rFonts w:cstheme="minorHAnsi"/>
          <w:sz w:val="24"/>
          <w:szCs w:val="24"/>
        </w:rPr>
        <w:t xml:space="preserve"> both on the east co</w:t>
      </w:r>
      <w:r w:rsidR="001212F2">
        <w:rPr>
          <w:rFonts w:cstheme="minorHAnsi"/>
          <w:sz w:val="24"/>
          <w:szCs w:val="24"/>
        </w:rPr>
        <w:t>ast and west coast (see F</w:t>
      </w:r>
      <w:r w:rsidR="00DB05D7">
        <w:rPr>
          <w:rFonts w:cstheme="minorHAnsi"/>
          <w:sz w:val="24"/>
          <w:szCs w:val="24"/>
        </w:rPr>
        <w:t>igure 3.4</w:t>
      </w:r>
      <w:r w:rsidR="0048083F">
        <w:rPr>
          <w:rFonts w:cstheme="minorHAnsi"/>
          <w:sz w:val="24"/>
          <w:szCs w:val="24"/>
        </w:rPr>
        <w:t>).</w:t>
      </w:r>
      <w:r w:rsidR="0048083F">
        <w:rPr>
          <w:rStyle w:val="FootnoteReference"/>
          <w:rFonts w:cstheme="minorHAnsi"/>
          <w:sz w:val="24"/>
          <w:szCs w:val="24"/>
        </w:rPr>
        <w:footnoteReference w:id="274"/>
      </w:r>
    </w:p>
    <w:p w:rsidR="0048083F" w:rsidRDefault="0048083F" w:rsidP="0048083F">
      <w:pPr>
        <w:spacing w:line="480" w:lineRule="auto"/>
        <w:rPr>
          <w:rFonts w:cstheme="minorHAnsi"/>
          <w:sz w:val="24"/>
          <w:szCs w:val="24"/>
        </w:rPr>
      </w:pPr>
    </w:p>
    <w:p w:rsidR="0048083F" w:rsidRDefault="0048083F" w:rsidP="0048083F">
      <w:pPr>
        <w:keepNext/>
        <w:spacing w:line="480" w:lineRule="auto"/>
        <w:jc w:val="center"/>
      </w:pPr>
      <w:r>
        <w:rPr>
          <w:noProof/>
        </w:rPr>
        <w:lastRenderedPageBreak/>
        <w:drawing>
          <wp:inline distT="0" distB="0" distL="0" distR="0">
            <wp:extent cx="5038725" cy="4030980"/>
            <wp:effectExtent l="19050" t="0" r="9525" b="0"/>
            <wp:docPr id="2" name="panhack" descr="The Chinese inva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hack" descr="The Chinese invasion"/>
                    <pic:cNvPicPr>
                      <a:picLocks noChangeAspect="1" noChangeArrowheads="1"/>
                    </pic:cNvPicPr>
                  </pic:nvPicPr>
                  <pic:blipFill>
                    <a:blip r:embed="rId17" cstate="print"/>
                    <a:srcRect/>
                    <a:stretch>
                      <a:fillRect/>
                    </a:stretch>
                  </pic:blipFill>
                  <pic:spPr bwMode="auto">
                    <a:xfrm>
                      <a:off x="0" y="0"/>
                      <a:ext cx="5040745" cy="4032596"/>
                    </a:xfrm>
                    <a:prstGeom prst="rect">
                      <a:avLst/>
                    </a:prstGeom>
                    <a:noFill/>
                    <a:ln w="9525">
                      <a:noFill/>
                      <a:miter lim="800000"/>
                      <a:headEnd/>
                      <a:tailEnd/>
                    </a:ln>
                  </pic:spPr>
                </pic:pic>
              </a:graphicData>
            </a:graphic>
          </wp:inline>
        </w:drawing>
      </w:r>
    </w:p>
    <w:p w:rsidR="0048083F" w:rsidRPr="008E60DA" w:rsidRDefault="0048083F" w:rsidP="0048083F">
      <w:pPr>
        <w:pStyle w:val="Caption"/>
        <w:jc w:val="center"/>
        <w:rPr>
          <w:b w:val="0"/>
          <w:color w:val="auto"/>
          <w:sz w:val="24"/>
          <w:szCs w:val="24"/>
        </w:rPr>
      </w:pPr>
      <w:bookmarkStart w:id="26" w:name="_Toc354114590"/>
      <w:bookmarkStart w:id="27" w:name="_Toc356413244"/>
      <w:proofErr w:type="gramStart"/>
      <w:r w:rsidRPr="008E60DA">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4</w:t>
      </w:r>
      <w:r w:rsidR="00734461">
        <w:rPr>
          <w:b w:val="0"/>
          <w:color w:val="auto"/>
          <w:sz w:val="24"/>
          <w:szCs w:val="24"/>
        </w:rPr>
        <w:fldChar w:fldCharType="end"/>
      </w:r>
      <w:r w:rsidRPr="008E60DA">
        <w:rPr>
          <w:b w:val="0"/>
          <w:color w:val="auto"/>
          <w:sz w:val="24"/>
          <w:szCs w:val="24"/>
        </w:rPr>
        <w:t xml:space="preserve"> “The Chinese Invasion”</w:t>
      </w:r>
      <w:bookmarkEnd w:id="26"/>
      <w:r w:rsidR="00DB05D7">
        <w:rPr>
          <w:rStyle w:val="FootnoteReference"/>
          <w:b w:val="0"/>
          <w:color w:val="auto"/>
          <w:sz w:val="24"/>
          <w:szCs w:val="24"/>
        </w:rPr>
        <w:footnoteReference w:id="275"/>
      </w:r>
      <w:bookmarkEnd w:id="27"/>
    </w:p>
    <w:p w:rsidR="0048083F" w:rsidRPr="00146B12" w:rsidRDefault="0048083F" w:rsidP="008E60DA">
      <w:pPr>
        <w:spacing w:line="480" w:lineRule="auto"/>
        <w:rPr>
          <w:b/>
          <w:sz w:val="24"/>
          <w:szCs w:val="24"/>
        </w:rPr>
      </w:pPr>
    </w:p>
    <w:p w:rsidR="007E4BCF" w:rsidRDefault="0048083F" w:rsidP="0048083F">
      <w:pPr>
        <w:spacing w:line="480" w:lineRule="auto"/>
        <w:ind w:firstLine="720"/>
        <w:rPr>
          <w:sz w:val="24"/>
          <w:szCs w:val="24"/>
        </w:rPr>
      </w:pPr>
      <w:r>
        <w:rPr>
          <w:sz w:val="24"/>
          <w:szCs w:val="24"/>
        </w:rPr>
        <w:t>A prime example of the tensions over the arrival disparate ethnic grou</w:t>
      </w:r>
      <w:r w:rsidR="00BA1255">
        <w:rPr>
          <w:sz w:val="24"/>
          <w:szCs w:val="24"/>
        </w:rPr>
        <w:t>ps is voiced in 1878’s “‘Ah Sin</w:t>
      </w:r>
      <w:r>
        <w:rPr>
          <w:sz w:val="24"/>
          <w:szCs w:val="24"/>
        </w:rPr>
        <w:t>’</w:t>
      </w:r>
      <w:r w:rsidR="00BA1255">
        <w:rPr>
          <w:sz w:val="24"/>
          <w:szCs w:val="24"/>
        </w:rPr>
        <w:t>:</w:t>
      </w:r>
      <w:r>
        <w:rPr>
          <w:sz w:val="24"/>
          <w:szCs w:val="24"/>
        </w:rPr>
        <w:t xml:space="preserve"> Chinese Song.” The song explores a variety of ethnic identities, reflecting the shifting demographics of the late-nineteenth century. Written three years after Congress’ first direct law on immigration and four years before the passing of the Chinese Exclusion Act of 1882,</w:t>
      </w:r>
      <w:r>
        <w:rPr>
          <w:rStyle w:val="FootnoteReference"/>
          <w:sz w:val="24"/>
          <w:szCs w:val="24"/>
        </w:rPr>
        <w:footnoteReference w:id="276"/>
      </w:r>
      <w:r>
        <w:rPr>
          <w:sz w:val="24"/>
          <w:szCs w:val="24"/>
        </w:rPr>
        <w:t xml:space="preserve"> the song represents the height of tension on the issue. Concern over immigration sprea</w:t>
      </w:r>
      <w:r w:rsidR="00BA1255">
        <w:rPr>
          <w:sz w:val="24"/>
          <w:szCs w:val="24"/>
        </w:rPr>
        <w:t xml:space="preserve">d far beyond the highest </w:t>
      </w:r>
      <w:r>
        <w:rPr>
          <w:sz w:val="24"/>
          <w:szCs w:val="24"/>
        </w:rPr>
        <w:t xml:space="preserve">areas of influx, even to areas relatively unaffected. Although </w:t>
      </w:r>
      <w:r>
        <w:rPr>
          <w:sz w:val="24"/>
          <w:szCs w:val="24"/>
        </w:rPr>
        <w:lastRenderedPageBreak/>
        <w:t>California had the largest Chinese population at the time at 75,218 (approximately 11 percent of their total population) the song was published in Michigan, which, acc</w:t>
      </w:r>
      <w:r w:rsidR="00BA1255">
        <w:rPr>
          <w:sz w:val="24"/>
          <w:szCs w:val="24"/>
        </w:rPr>
        <w:t xml:space="preserve">ording to the 1880 census, </w:t>
      </w:r>
      <w:r>
        <w:rPr>
          <w:sz w:val="24"/>
          <w:szCs w:val="24"/>
        </w:rPr>
        <w:t>had a total of</w:t>
      </w:r>
      <w:r w:rsidR="00BA1255">
        <w:rPr>
          <w:sz w:val="24"/>
          <w:szCs w:val="24"/>
        </w:rPr>
        <w:t xml:space="preserve"> only</w:t>
      </w:r>
      <w:r>
        <w:rPr>
          <w:sz w:val="24"/>
          <w:szCs w:val="24"/>
        </w:rPr>
        <w:t xml:space="preserve"> twenty-eight Chinese citizens.</w:t>
      </w:r>
      <w:r>
        <w:rPr>
          <w:rStyle w:val="FootnoteReference"/>
          <w:sz w:val="24"/>
          <w:szCs w:val="24"/>
        </w:rPr>
        <w:footnoteReference w:id="277"/>
      </w:r>
    </w:p>
    <w:p w:rsidR="0048083F" w:rsidRPr="00245CE6" w:rsidRDefault="0048083F" w:rsidP="0048083F">
      <w:pPr>
        <w:spacing w:line="480" w:lineRule="auto"/>
        <w:ind w:firstLine="720"/>
        <w:rPr>
          <w:rFonts w:cstheme="minorHAnsi"/>
          <w:sz w:val="24"/>
          <w:szCs w:val="24"/>
        </w:rPr>
      </w:pPr>
      <w:r w:rsidRPr="00015450">
        <w:rPr>
          <w:sz w:val="24"/>
          <w:szCs w:val="24"/>
        </w:rPr>
        <w:t>Written in</w:t>
      </w:r>
      <w:r>
        <w:rPr>
          <w:sz w:val="24"/>
          <w:szCs w:val="24"/>
        </w:rPr>
        <w:t xml:space="preserve"> a derogatory faux-Chinese dialect, “Ah Sin” tells</w:t>
      </w:r>
      <w:r w:rsidRPr="00015450">
        <w:rPr>
          <w:sz w:val="24"/>
          <w:szCs w:val="24"/>
        </w:rPr>
        <w:t xml:space="preserve"> the story of a Chinese laundry worker who competes with a “</w:t>
      </w:r>
      <w:proofErr w:type="spellStart"/>
      <w:r w:rsidRPr="00015450">
        <w:rPr>
          <w:sz w:val="24"/>
          <w:szCs w:val="24"/>
        </w:rPr>
        <w:t>melican</w:t>
      </w:r>
      <w:proofErr w:type="spellEnd"/>
      <w:r w:rsidRPr="00015450">
        <w:rPr>
          <w:sz w:val="24"/>
          <w:szCs w:val="24"/>
        </w:rPr>
        <w:t>”</w:t>
      </w:r>
      <w:r>
        <w:rPr>
          <w:rStyle w:val="FootnoteReference"/>
          <w:sz w:val="24"/>
          <w:szCs w:val="24"/>
        </w:rPr>
        <w:footnoteReference w:id="278"/>
      </w:r>
      <w:r>
        <w:rPr>
          <w:sz w:val="24"/>
          <w:szCs w:val="24"/>
        </w:rPr>
        <w:t xml:space="preserve"> </w:t>
      </w:r>
      <w:r w:rsidRPr="00015450">
        <w:rPr>
          <w:sz w:val="24"/>
          <w:szCs w:val="24"/>
        </w:rPr>
        <w:t>man for an “Irish Gal.”</w:t>
      </w:r>
      <w:r>
        <w:rPr>
          <w:rStyle w:val="FootnoteReference"/>
          <w:sz w:val="24"/>
          <w:szCs w:val="24"/>
        </w:rPr>
        <w:footnoteReference w:id="279"/>
      </w:r>
      <w:r w:rsidRPr="00015450">
        <w:rPr>
          <w:sz w:val="24"/>
          <w:szCs w:val="24"/>
        </w:rPr>
        <w:t xml:space="preserve"> </w:t>
      </w:r>
      <w:r w:rsidR="007E4BCF">
        <w:rPr>
          <w:sz w:val="24"/>
          <w:szCs w:val="24"/>
        </w:rPr>
        <w:t>Sung from</w:t>
      </w:r>
      <w:r>
        <w:rPr>
          <w:sz w:val="24"/>
          <w:szCs w:val="24"/>
        </w:rPr>
        <w:t xml:space="preserve"> the first-person, although with “I” replaced in the dialect with such stereotyped lines as “me like Irish gal, she like me,” the vocalist repeatedly asserts his ethnic identity both in the narrative and in their use of phonetically spelled mispronunciations such as “</w:t>
      </w:r>
      <w:proofErr w:type="spellStart"/>
      <w:r>
        <w:rPr>
          <w:sz w:val="24"/>
          <w:szCs w:val="24"/>
        </w:rPr>
        <w:t>P’lice</w:t>
      </w:r>
      <w:proofErr w:type="spellEnd"/>
      <w:r>
        <w:rPr>
          <w:sz w:val="24"/>
          <w:szCs w:val="24"/>
        </w:rPr>
        <w:t xml:space="preserve"> man </w:t>
      </w:r>
      <w:proofErr w:type="spellStart"/>
      <w:r>
        <w:rPr>
          <w:sz w:val="24"/>
          <w:szCs w:val="24"/>
        </w:rPr>
        <w:t>takee</w:t>
      </w:r>
      <w:proofErr w:type="spellEnd"/>
      <w:r>
        <w:rPr>
          <w:sz w:val="24"/>
          <w:szCs w:val="24"/>
        </w:rPr>
        <w:t xml:space="preserve"> me to </w:t>
      </w:r>
      <w:proofErr w:type="spellStart"/>
      <w:r>
        <w:rPr>
          <w:sz w:val="24"/>
          <w:szCs w:val="24"/>
        </w:rPr>
        <w:t>lockee</w:t>
      </w:r>
      <w:proofErr w:type="spellEnd"/>
      <w:r>
        <w:rPr>
          <w:sz w:val="24"/>
          <w:szCs w:val="24"/>
        </w:rPr>
        <w:t xml:space="preserve"> up shop.”</w:t>
      </w:r>
      <w:r>
        <w:rPr>
          <w:rStyle w:val="FootnoteReference"/>
          <w:sz w:val="24"/>
          <w:szCs w:val="24"/>
        </w:rPr>
        <w:footnoteReference w:id="280"/>
      </w:r>
      <w:r>
        <w:rPr>
          <w:sz w:val="24"/>
          <w:szCs w:val="24"/>
        </w:rPr>
        <w:t xml:space="preserve"> It portrays the Chinese man as eating “rats and mice,” the “</w:t>
      </w:r>
      <w:proofErr w:type="spellStart"/>
      <w:r>
        <w:rPr>
          <w:sz w:val="24"/>
          <w:szCs w:val="24"/>
        </w:rPr>
        <w:t>melican</w:t>
      </w:r>
      <w:proofErr w:type="spellEnd"/>
      <w:r>
        <w:rPr>
          <w:sz w:val="24"/>
          <w:szCs w:val="24"/>
        </w:rPr>
        <w:t>” man as a “dead beat,” and the “Irish gal” as drinking lots of “</w:t>
      </w:r>
      <w:proofErr w:type="spellStart"/>
      <w:r>
        <w:rPr>
          <w:sz w:val="24"/>
          <w:szCs w:val="24"/>
        </w:rPr>
        <w:t>ginee</w:t>
      </w:r>
      <w:proofErr w:type="spellEnd"/>
      <w:r>
        <w:rPr>
          <w:sz w:val="24"/>
          <w:szCs w:val="24"/>
        </w:rPr>
        <w:t>.”</w:t>
      </w:r>
      <w:r>
        <w:rPr>
          <w:rStyle w:val="FootnoteReference"/>
          <w:sz w:val="24"/>
          <w:szCs w:val="24"/>
        </w:rPr>
        <w:footnoteReference w:id="281"/>
      </w:r>
      <w:r>
        <w:rPr>
          <w:sz w:val="24"/>
          <w:szCs w:val="24"/>
        </w:rPr>
        <w:t xml:space="preserve"> The song attributes such lowbrow activities as drinking, kissing, and violence to ethnic identities, but simultaneously allows performers to enact them.</w:t>
      </w:r>
    </w:p>
    <w:p w:rsidR="001F582F" w:rsidRDefault="007E4BCF" w:rsidP="00F15C72">
      <w:pPr>
        <w:spacing w:line="480" w:lineRule="auto"/>
        <w:ind w:firstLine="720"/>
        <w:rPr>
          <w:sz w:val="24"/>
          <w:szCs w:val="24"/>
        </w:rPr>
      </w:pPr>
      <w:r>
        <w:rPr>
          <w:rFonts w:cstheme="minorHAnsi"/>
          <w:sz w:val="24"/>
          <w:szCs w:val="24"/>
        </w:rPr>
        <w:t>In the late nineteenth century, American</w:t>
      </w:r>
      <w:r w:rsidR="00685F35">
        <w:rPr>
          <w:rFonts w:cstheme="minorHAnsi"/>
          <w:sz w:val="24"/>
          <w:szCs w:val="24"/>
        </w:rPr>
        <w:t>s were not only constantly reasserting their own ethnic identities within ever shifting demographics,</w:t>
      </w:r>
      <w:r>
        <w:rPr>
          <w:rFonts w:cstheme="minorHAnsi"/>
          <w:sz w:val="24"/>
          <w:szCs w:val="24"/>
        </w:rPr>
        <w:t xml:space="preserve"> </w:t>
      </w:r>
      <w:r w:rsidR="00685F35">
        <w:rPr>
          <w:rFonts w:cstheme="minorHAnsi"/>
          <w:sz w:val="24"/>
          <w:szCs w:val="24"/>
        </w:rPr>
        <w:t xml:space="preserve">American </w:t>
      </w:r>
      <w:r>
        <w:rPr>
          <w:rFonts w:cstheme="minorHAnsi"/>
          <w:sz w:val="24"/>
          <w:szCs w:val="24"/>
        </w:rPr>
        <w:t>men and women</w:t>
      </w:r>
      <w:r w:rsidR="00685F35">
        <w:rPr>
          <w:rFonts w:cstheme="minorHAnsi"/>
          <w:sz w:val="24"/>
          <w:szCs w:val="24"/>
        </w:rPr>
        <w:t xml:space="preserve"> were constantly redefining</w:t>
      </w:r>
      <w:r>
        <w:rPr>
          <w:rFonts w:cstheme="minorHAnsi"/>
          <w:sz w:val="24"/>
          <w:szCs w:val="24"/>
        </w:rPr>
        <w:t xml:space="preserve"> their relationships to each other. They </w:t>
      </w:r>
      <w:r w:rsidR="001F582F">
        <w:rPr>
          <w:rFonts w:cstheme="minorHAnsi"/>
          <w:sz w:val="24"/>
          <w:szCs w:val="24"/>
        </w:rPr>
        <w:t xml:space="preserve">accomplished this </w:t>
      </w:r>
      <w:r w:rsidR="00BA1255">
        <w:rPr>
          <w:rFonts w:cstheme="minorHAnsi"/>
          <w:sz w:val="24"/>
          <w:szCs w:val="24"/>
        </w:rPr>
        <w:t xml:space="preserve">in part </w:t>
      </w:r>
      <w:r w:rsidR="001F582F">
        <w:rPr>
          <w:rFonts w:cstheme="minorHAnsi"/>
          <w:sz w:val="24"/>
          <w:szCs w:val="24"/>
        </w:rPr>
        <w:t xml:space="preserve">through song. </w:t>
      </w:r>
      <w:r w:rsidR="00F212C9">
        <w:rPr>
          <w:sz w:val="24"/>
          <w:szCs w:val="24"/>
        </w:rPr>
        <w:t>Within the parlor soundscape, a primarily feminine space, women were able to exercise their voice</w:t>
      </w:r>
      <w:r w:rsidR="009658BF">
        <w:rPr>
          <w:sz w:val="24"/>
          <w:szCs w:val="24"/>
        </w:rPr>
        <w:t>s</w:t>
      </w:r>
      <w:r w:rsidR="00F212C9">
        <w:rPr>
          <w:sz w:val="24"/>
          <w:szCs w:val="24"/>
        </w:rPr>
        <w:t xml:space="preserve"> in far greater number</w:t>
      </w:r>
      <w:r w:rsidR="009658BF">
        <w:rPr>
          <w:sz w:val="24"/>
          <w:szCs w:val="24"/>
        </w:rPr>
        <w:t>s</w:t>
      </w:r>
      <w:r w:rsidR="00F212C9">
        <w:rPr>
          <w:sz w:val="24"/>
          <w:szCs w:val="24"/>
        </w:rPr>
        <w:t xml:space="preserve"> than on the public stage and even enact crucial gender critiques </w:t>
      </w:r>
      <w:r w:rsidR="001F582F">
        <w:rPr>
          <w:sz w:val="24"/>
          <w:szCs w:val="24"/>
        </w:rPr>
        <w:t xml:space="preserve">and subvert sexual norms. American patriarchal society and Victorian sexual norms </w:t>
      </w:r>
      <w:r w:rsidR="001F582F">
        <w:rPr>
          <w:sz w:val="24"/>
          <w:szCs w:val="24"/>
        </w:rPr>
        <w:lastRenderedPageBreak/>
        <w:t xml:space="preserve">were </w:t>
      </w:r>
      <w:r w:rsidR="00F15C72">
        <w:rPr>
          <w:sz w:val="24"/>
          <w:szCs w:val="24"/>
        </w:rPr>
        <w:t xml:space="preserve">notoriously restrictive of women. Important figures, such as Elizabeth Cady Stanton and Susan B. Anthony, pushed for suffrage, but women were politically and socially </w:t>
      </w:r>
      <w:r w:rsidR="00BA1255">
        <w:rPr>
          <w:sz w:val="24"/>
          <w:szCs w:val="24"/>
        </w:rPr>
        <w:t xml:space="preserve">marginalized into the twentieth </w:t>
      </w:r>
      <w:r w:rsidR="00F15C72">
        <w:rPr>
          <w:sz w:val="24"/>
          <w:szCs w:val="24"/>
        </w:rPr>
        <w:t>century.</w:t>
      </w:r>
      <w:r w:rsidR="0062520D">
        <w:rPr>
          <w:sz w:val="24"/>
          <w:szCs w:val="24"/>
        </w:rPr>
        <w:t xml:space="preserve"> Women’s sexuality was far under the bar of Christian, Victorian repression.</w:t>
      </w:r>
      <w:r w:rsidR="00F15C72">
        <w:rPr>
          <w:sz w:val="24"/>
          <w:szCs w:val="24"/>
        </w:rPr>
        <w:t xml:space="preserve"> </w:t>
      </w:r>
      <w:r w:rsidR="001F582F" w:rsidRPr="000729D2">
        <w:rPr>
          <w:sz w:val="24"/>
          <w:szCs w:val="24"/>
        </w:rPr>
        <w:t xml:space="preserve">Literary critic Hannah </w:t>
      </w:r>
      <w:proofErr w:type="spellStart"/>
      <w:r w:rsidR="001F582F" w:rsidRPr="000729D2">
        <w:rPr>
          <w:sz w:val="24"/>
          <w:szCs w:val="24"/>
        </w:rPr>
        <w:t>Aspinall</w:t>
      </w:r>
      <w:proofErr w:type="spellEnd"/>
      <w:r w:rsidR="001F582F">
        <w:rPr>
          <w:sz w:val="24"/>
          <w:szCs w:val="24"/>
        </w:rPr>
        <w:t>, in her study of</w:t>
      </w:r>
      <w:r w:rsidR="001F582F" w:rsidRPr="000729D2">
        <w:rPr>
          <w:sz w:val="24"/>
          <w:szCs w:val="24"/>
        </w:rPr>
        <w:t xml:space="preserve"> </w:t>
      </w:r>
      <w:r w:rsidR="001F582F">
        <w:rPr>
          <w:sz w:val="24"/>
          <w:szCs w:val="24"/>
        </w:rPr>
        <w:t xml:space="preserve">how </w:t>
      </w:r>
      <w:r w:rsidR="001F582F" w:rsidRPr="000729D2">
        <w:rPr>
          <w:sz w:val="24"/>
          <w:szCs w:val="24"/>
        </w:rPr>
        <w:t>“</w:t>
      </w:r>
      <w:r w:rsidR="001F582F">
        <w:rPr>
          <w:sz w:val="24"/>
          <w:szCs w:val="24"/>
        </w:rPr>
        <w:t>t</w:t>
      </w:r>
      <w:r w:rsidR="001F582F" w:rsidRPr="000729D2">
        <w:rPr>
          <w:sz w:val="24"/>
          <w:szCs w:val="24"/>
        </w:rPr>
        <w:t xml:space="preserve">he female body has long been </w:t>
      </w:r>
      <w:proofErr w:type="spellStart"/>
      <w:r w:rsidR="001F582F" w:rsidRPr="000729D2">
        <w:rPr>
          <w:sz w:val="24"/>
          <w:szCs w:val="24"/>
        </w:rPr>
        <w:t>idealised</w:t>
      </w:r>
      <w:proofErr w:type="spellEnd"/>
      <w:r w:rsidR="001F582F" w:rsidRPr="000729D2">
        <w:rPr>
          <w:sz w:val="24"/>
          <w:szCs w:val="24"/>
        </w:rPr>
        <w:t xml:space="preserve">, objectified and </w:t>
      </w:r>
      <w:proofErr w:type="spellStart"/>
      <w:r w:rsidR="001F582F" w:rsidRPr="000729D2">
        <w:rPr>
          <w:sz w:val="24"/>
          <w:szCs w:val="24"/>
        </w:rPr>
        <w:t>fet</w:t>
      </w:r>
      <w:r w:rsidR="001F582F">
        <w:rPr>
          <w:sz w:val="24"/>
          <w:szCs w:val="24"/>
        </w:rPr>
        <w:t>ishized</w:t>
      </w:r>
      <w:proofErr w:type="spellEnd"/>
      <w:r w:rsidR="001F582F">
        <w:rPr>
          <w:sz w:val="24"/>
          <w:szCs w:val="24"/>
        </w:rPr>
        <w:t>…</w:t>
      </w:r>
      <w:r w:rsidR="001F582F" w:rsidRPr="000729D2">
        <w:rPr>
          <w:sz w:val="24"/>
          <w:szCs w:val="24"/>
        </w:rPr>
        <w:t>pa</w:t>
      </w:r>
      <w:r w:rsidR="001F582F">
        <w:rPr>
          <w:sz w:val="24"/>
          <w:szCs w:val="24"/>
        </w:rPr>
        <w:t>rticularly in Victorian culture,”</w:t>
      </w:r>
      <w:r w:rsidR="001F582F" w:rsidRPr="000729D2">
        <w:rPr>
          <w:sz w:val="24"/>
          <w:szCs w:val="24"/>
        </w:rPr>
        <w:t xml:space="preserve"> </w:t>
      </w:r>
      <w:r w:rsidR="00F15C72">
        <w:rPr>
          <w:sz w:val="24"/>
          <w:szCs w:val="24"/>
        </w:rPr>
        <w:t>discussed how</w:t>
      </w:r>
      <w:r w:rsidR="001F582F">
        <w:rPr>
          <w:sz w:val="24"/>
          <w:szCs w:val="24"/>
        </w:rPr>
        <w:t xml:space="preserve"> the various </w:t>
      </w:r>
      <w:r w:rsidR="00F15C72">
        <w:rPr>
          <w:sz w:val="24"/>
          <w:szCs w:val="24"/>
        </w:rPr>
        <w:t xml:space="preserve">nineteenth-century </w:t>
      </w:r>
      <w:r w:rsidR="001F582F">
        <w:rPr>
          <w:sz w:val="24"/>
          <w:szCs w:val="24"/>
        </w:rPr>
        <w:t>“s</w:t>
      </w:r>
      <w:r w:rsidR="001F582F" w:rsidRPr="000729D2">
        <w:rPr>
          <w:sz w:val="24"/>
          <w:szCs w:val="24"/>
        </w:rPr>
        <w:t>ocial rules and guidelines on how the female body should loo</w:t>
      </w:r>
      <w:r w:rsidR="001F582F">
        <w:rPr>
          <w:sz w:val="24"/>
          <w:szCs w:val="24"/>
        </w:rPr>
        <w:t>k, and how it should be dressed” furthered this objectification process.</w:t>
      </w:r>
      <w:r w:rsidR="001F582F">
        <w:rPr>
          <w:rStyle w:val="FootnoteReference"/>
          <w:sz w:val="24"/>
          <w:szCs w:val="24"/>
        </w:rPr>
        <w:footnoteReference w:id="282"/>
      </w:r>
      <w:r w:rsidR="001F582F">
        <w:rPr>
          <w:sz w:val="24"/>
          <w:szCs w:val="24"/>
        </w:rPr>
        <w:t xml:space="preserve"> For example, </w:t>
      </w:r>
      <w:proofErr w:type="spellStart"/>
      <w:r w:rsidR="001F582F">
        <w:rPr>
          <w:sz w:val="24"/>
          <w:szCs w:val="24"/>
        </w:rPr>
        <w:t>Aspinall</w:t>
      </w:r>
      <w:proofErr w:type="spellEnd"/>
      <w:r w:rsidR="001F582F">
        <w:rPr>
          <w:sz w:val="24"/>
          <w:szCs w:val="24"/>
        </w:rPr>
        <w:t xml:space="preserve"> pointed to “</w:t>
      </w:r>
      <w:r w:rsidR="001F582F" w:rsidRPr="000729D2">
        <w:rPr>
          <w:sz w:val="24"/>
          <w:szCs w:val="24"/>
        </w:rPr>
        <w:t>the strict dress codes of the time</w:t>
      </w:r>
      <w:r w:rsidR="001F582F">
        <w:rPr>
          <w:sz w:val="24"/>
          <w:szCs w:val="24"/>
        </w:rPr>
        <w:t>” that</w:t>
      </w:r>
      <w:r w:rsidR="001F582F" w:rsidRPr="000729D2">
        <w:rPr>
          <w:sz w:val="24"/>
          <w:szCs w:val="24"/>
        </w:rPr>
        <w:t xml:space="preserve"> denote</w:t>
      </w:r>
      <w:r w:rsidR="001F582F">
        <w:rPr>
          <w:sz w:val="24"/>
          <w:szCs w:val="24"/>
        </w:rPr>
        <w:t>d</w:t>
      </w:r>
      <w:r w:rsidR="001F582F" w:rsidRPr="000729D2">
        <w:rPr>
          <w:sz w:val="24"/>
          <w:szCs w:val="24"/>
        </w:rPr>
        <w:t xml:space="preserve"> </w:t>
      </w:r>
      <w:r w:rsidR="001F582F">
        <w:rPr>
          <w:sz w:val="24"/>
          <w:szCs w:val="24"/>
        </w:rPr>
        <w:t>“</w:t>
      </w:r>
      <w:r w:rsidR="001F582F" w:rsidRPr="000729D2">
        <w:rPr>
          <w:sz w:val="24"/>
          <w:szCs w:val="24"/>
        </w:rPr>
        <w:t>that female legs and ankles remain covered under swathes of fabric</w:t>
      </w:r>
      <w:r w:rsidR="001F582F">
        <w:rPr>
          <w:sz w:val="24"/>
          <w:szCs w:val="24"/>
        </w:rPr>
        <w:t>,” and how baring them wa</w:t>
      </w:r>
      <w:r w:rsidR="001F582F" w:rsidRPr="000729D2">
        <w:rPr>
          <w:sz w:val="24"/>
          <w:szCs w:val="24"/>
        </w:rPr>
        <w:t xml:space="preserve">s </w:t>
      </w:r>
      <w:r w:rsidR="001F582F">
        <w:rPr>
          <w:sz w:val="24"/>
          <w:szCs w:val="24"/>
        </w:rPr>
        <w:t>“</w:t>
      </w:r>
      <w:r w:rsidR="001F582F" w:rsidRPr="000729D2">
        <w:rPr>
          <w:sz w:val="24"/>
          <w:szCs w:val="24"/>
        </w:rPr>
        <w:t>considered wholly indecent.”</w:t>
      </w:r>
      <w:r w:rsidR="001F582F">
        <w:rPr>
          <w:rStyle w:val="FootnoteReference"/>
          <w:sz w:val="24"/>
          <w:szCs w:val="24"/>
        </w:rPr>
        <w:footnoteReference w:id="283"/>
      </w:r>
    </w:p>
    <w:p w:rsidR="001F582F" w:rsidRDefault="0062520D" w:rsidP="001F582F">
      <w:pPr>
        <w:spacing w:line="480" w:lineRule="auto"/>
        <w:ind w:firstLine="720"/>
        <w:rPr>
          <w:sz w:val="24"/>
          <w:szCs w:val="24"/>
        </w:rPr>
      </w:pPr>
      <w:r>
        <w:rPr>
          <w:sz w:val="24"/>
          <w:szCs w:val="24"/>
        </w:rPr>
        <w:t xml:space="preserve">Parlor musicales offered unique opportunities for the voice of female concerns and desires to enter the discourse. Colleen </w:t>
      </w:r>
      <w:proofErr w:type="spellStart"/>
      <w:r>
        <w:rPr>
          <w:sz w:val="24"/>
          <w:szCs w:val="24"/>
        </w:rPr>
        <w:t>McDannell</w:t>
      </w:r>
      <w:proofErr w:type="spellEnd"/>
      <w:r>
        <w:rPr>
          <w:sz w:val="24"/>
          <w:szCs w:val="24"/>
        </w:rPr>
        <w:t xml:space="preserve"> cites the</w:t>
      </w:r>
      <w:r w:rsidR="00EB5E00">
        <w:rPr>
          <w:sz w:val="24"/>
          <w:szCs w:val="24"/>
        </w:rPr>
        <w:t xml:space="preserve"> cultural</w:t>
      </w:r>
      <w:r>
        <w:rPr>
          <w:sz w:val="24"/>
          <w:szCs w:val="24"/>
        </w:rPr>
        <w:t xml:space="preserve"> emphasis on celibacy as encouraging “the development of a sex-segregated social structure.”</w:t>
      </w:r>
      <w:r>
        <w:rPr>
          <w:rStyle w:val="FootnoteReference"/>
          <w:sz w:val="24"/>
          <w:szCs w:val="24"/>
        </w:rPr>
        <w:footnoteReference w:id="284"/>
      </w:r>
      <w:r>
        <w:rPr>
          <w:sz w:val="24"/>
          <w:szCs w:val="24"/>
        </w:rPr>
        <w:t xml:space="preserve"> In order to avoid temptation men met in public spaces, like pubs, while women “usually gathered within the confines of relatives’ homes.”</w:t>
      </w:r>
      <w:r>
        <w:rPr>
          <w:rStyle w:val="FootnoteReference"/>
          <w:sz w:val="24"/>
          <w:szCs w:val="24"/>
        </w:rPr>
        <w:footnoteReference w:id="285"/>
      </w:r>
      <w:r w:rsidR="009B7FAC">
        <w:rPr>
          <w:sz w:val="24"/>
          <w:szCs w:val="24"/>
        </w:rPr>
        <w:t xml:space="preserve"> This culturally imposed sexual segregation gives extra weight to parlor music performances. In same-sex contexts,</w:t>
      </w:r>
      <w:r w:rsidR="00EB5E00">
        <w:rPr>
          <w:sz w:val="24"/>
          <w:szCs w:val="24"/>
        </w:rPr>
        <w:t xml:space="preserve"> men or women had the opportunity to </w:t>
      </w:r>
      <w:r w:rsidR="009B7FAC">
        <w:rPr>
          <w:sz w:val="24"/>
          <w:szCs w:val="24"/>
        </w:rPr>
        <w:t xml:space="preserve">bond over </w:t>
      </w:r>
      <w:r w:rsidR="00EB5E00">
        <w:rPr>
          <w:sz w:val="24"/>
          <w:szCs w:val="24"/>
        </w:rPr>
        <w:t xml:space="preserve">feelings about </w:t>
      </w:r>
      <w:r w:rsidR="009B7FAC">
        <w:rPr>
          <w:sz w:val="24"/>
          <w:szCs w:val="24"/>
        </w:rPr>
        <w:t>the opposite sex. The parlor musicale was also one of few acceptable occasions for mixe</w:t>
      </w:r>
      <w:r w:rsidR="00EB5E00">
        <w:rPr>
          <w:sz w:val="24"/>
          <w:szCs w:val="24"/>
        </w:rPr>
        <w:t xml:space="preserve">d-sex-company and it </w:t>
      </w:r>
      <w:r w:rsidR="009B7FAC">
        <w:rPr>
          <w:sz w:val="24"/>
          <w:szCs w:val="24"/>
        </w:rPr>
        <w:t>provided the genders</w:t>
      </w:r>
      <w:r w:rsidR="00EB5E00">
        <w:rPr>
          <w:sz w:val="24"/>
          <w:szCs w:val="24"/>
        </w:rPr>
        <w:t xml:space="preserve"> with</w:t>
      </w:r>
      <w:r w:rsidR="009B7FAC">
        <w:rPr>
          <w:sz w:val="24"/>
          <w:szCs w:val="24"/>
        </w:rPr>
        <w:t xml:space="preserve"> crucial opportunities to </w:t>
      </w:r>
      <w:proofErr w:type="gramStart"/>
      <w:r w:rsidR="009B7FAC">
        <w:rPr>
          <w:sz w:val="24"/>
          <w:szCs w:val="24"/>
        </w:rPr>
        <w:lastRenderedPageBreak/>
        <w:t>confront</w:t>
      </w:r>
      <w:proofErr w:type="gramEnd"/>
      <w:r w:rsidR="009B7FAC">
        <w:rPr>
          <w:sz w:val="24"/>
          <w:szCs w:val="24"/>
        </w:rPr>
        <w:t xml:space="preserve"> each other. Singing comic character pieces about or as the other gender substantially disrupted normative nineteenth-century expectations</w:t>
      </w:r>
    </w:p>
    <w:p w:rsidR="00F212C9" w:rsidRPr="001F582F" w:rsidRDefault="00EB5E00" w:rsidP="001F582F">
      <w:pPr>
        <w:spacing w:line="480" w:lineRule="auto"/>
        <w:ind w:firstLine="720"/>
        <w:rPr>
          <w:rFonts w:cstheme="minorHAnsi"/>
          <w:sz w:val="24"/>
          <w:szCs w:val="24"/>
        </w:rPr>
      </w:pPr>
      <w:r>
        <w:rPr>
          <w:sz w:val="24"/>
          <w:szCs w:val="24"/>
        </w:rPr>
        <w:t>When</w:t>
      </w:r>
      <w:r w:rsidR="00F212C9">
        <w:rPr>
          <w:sz w:val="24"/>
          <w:szCs w:val="24"/>
        </w:rPr>
        <w:t xml:space="preserve"> female parlor performers gave voice to the 1866 song “You Naught</w:t>
      </w:r>
      <w:r>
        <w:rPr>
          <w:sz w:val="24"/>
          <w:szCs w:val="24"/>
        </w:rPr>
        <w:t>y, Naughty Men,” they</w:t>
      </w:r>
      <w:r w:rsidR="00F212C9">
        <w:rPr>
          <w:sz w:val="24"/>
          <w:szCs w:val="24"/>
        </w:rPr>
        <w:t xml:space="preserve"> substantially subverted nineteenth-century patriarchal American society. The song i</w:t>
      </w:r>
      <w:r w:rsidR="00F212C9" w:rsidRPr="00015450">
        <w:rPr>
          <w:sz w:val="24"/>
          <w:szCs w:val="24"/>
        </w:rPr>
        <w:t>mmediately establishes the f</w:t>
      </w:r>
      <w:r w:rsidR="009658BF">
        <w:rPr>
          <w:sz w:val="24"/>
          <w:szCs w:val="24"/>
        </w:rPr>
        <w:t>irst-</w:t>
      </w:r>
      <w:r w:rsidR="00F212C9" w:rsidRPr="00015450">
        <w:rPr>
          <w:sz w:val="24"/>
          <w:szCs w:val="24"/>
        </w:rPr>
        <w:t>person perspective</w:t>
      </w:r>
      <w:r w:rsidR="00F212C9">
        <w:rPr>
          <w:sz w:val="24"/>
          <w:szCs w:val="24"/>
        </w:rPr>
        <w:t xml:space="preserve"> with the line </w:t>
      </w:r>
      <w:r w:rsidR="00F212C9" w:rsidRPr="00015450">
        <w:rPr>
          <w:sz w:val="24"/>
          <w:szCs w:val="24"/>
        </w:rPr>
        <w:t>“</w:t>
      </w:r>
      <w:r w:rsidR="00F212C9">
        <w:rPr>
          <w:sz w:val="24"/>
          <w:szCs w:val="24"/>
        </w:rPr>
        <w:t>I will never more deceive you,”</w:t>
      </w:r>
      <w:r w:rsidR="00F212C9">
        <w:rPr>
          <w:rStyle w:val="FootnoteReference"/>
          <w:sz w:val="24"/>
          <w:szCs w:val="24"/>
        </w:rPr>
        <w:footnoteReference w:id="286"/>
      </w:r>
      <w:r w:rsidR="00F212C9" w:rsidRPr="00015450">
        <w:rPr>
          <w:sz w:val="24"/>
          <w:szCs w:val="24"/>
        </w:rPr>
        <w:t xml:space="preserve"> and goes onto to decry men’s fault</w:t>
      </w:r>
      <w:r w:rsidR="00F212C9">
        <w:rPr>
          <w:sz w:val="24"/>
          <w:szCs w:val="24"/>
        </w:rPr>
        <w:t>s, including deceiving, misleading, and beating women</w:t>
      </w:r>
      <w:r w:rsidR="00F212C9" w:rsidRPr="00015450">
        <w:rPr>
          <w:sz w:val="24"/>
          <w:szCs w:val="24"/>
        </w:rPr>
        <w:t>.</w:t>
      </w:r>
      <w:r w:rsidR="00F212C9">
        <w:rPr>
          <w:sz w:val="24"/>
          <w:szCs w:val="24"/>
        </w:rPr>
        <w:t xml:space="preserve"> In the penultimate verse, the singer proclaims:</w:t>
      </w:r>
    </w:p>
    <w:p w:rsidR="00F212C9" w:rsidRDefault="00F212C9" w:rsidP="00F212C9">
      <w:pPr>
        <w:ind w:firstLine="720"/>
        <w:contextualSpacing/>
        <w:rPr>
          <w:sz w:val="24"/>
          <w:szCs w:val="24"/>
        </w:rPr>
      </w:pPr>
      <w:r>
        <w:rPr>
          <w:sz w:val="24"/>
          <w:szCs w:val="24"/>
        </w:rPr>
        <w:t>And when married how you treat us, and of each fond wish defeat us,</w:t>
      </w:r>
    </w:p>
    <w:p w:rsidR="00F212C9" w:rsidRDefault="00F212C9" w:rsidP="00F212C9">
      <w:pPr>
        <w:ind w:firstLine="720"/>
        <w:contextualSpacing/>
        <w:rPr>
          <w:sz w:val="24"/>
          <w:szCs w:val="24"/>
        </w:rPr>
      </w:pPr>
      <w:r>
        <w:rPr>
          <w:sz w:val="24"/>
          <w:szCs w:val="24"/>
        </w:rPr>
        <w:t xml:space="preserve">And some will even beat us, oh! </w:t>
      </w:r>
      <w:proofErr w:type="gramStart"/>
      <w:r>
        <w:rPr>
          <w:sz w:val="24"/>
          <w:szCs w:val="24"/>
        </w:rPr>
        <w:t>you</w:t>
      </w:r>
      <w:proofErr w:type="gramEnd"/>
      <w:r>
        <w:rPr>
          <w:sz w:val="24"/>
          <w:szCs w:val="24"/>
        </w:rPr>
        <w:t xml:space="preserve"> naughty, naughty men,</w:t>
      </w:r>
    </w:p>
    <w:p w:rsidR="00F212C9" w:rsidRDefault="00F212C9" w:rsidP="00F212C9">
      <w:pPr>
        <w:ind w:firstLine="720"/>
        <w:contextualSpacing/>
        <w:rPr>
          <w:sz w:val="24"/>
          <w:szCs w:val="24"/>
        </w:rPr>
      </w:pPr>
      <w:r>
        <w:rPr>
          <w:sz w:val="24"/>
          <w:szCs w:val="24"/>
        </w:rPr>
        <w:t>You take us from our mothers, our sisters and our brothers,</w:t>
      </w:r>
    </w:p>
    <w:p w:rsidR="00F212C9" w:rsidRDefault="00F212C9" w:rsidP="00F212C9">
      <w:pPr>
        <w:ind w:firstLine="720"/>
        <w:contextualSpacing/>
        <w:rPr>
          <w:sz w:val="24"/>
          <w:szCs w:val="24"/>
        </w:rPr>
      </w:pPr>
      <w:r>
        <w:rPr>
          <w:sz w:val="24"/>
          <w:szCs w:val="24"/>
        </w:rPr>
        <w:t xml:space="preserve">When you get us, flirt with others, oh! </w:t>
      </w:r>
      <w:proofErr w:type="gramStart"/>
      <w:r>
        <w:rPr>
          <w:sz w:val="24"/>
          <w:szCs w:val="24"/>
        </w:rPr>
        <w:t>you</w:t>
      </w:r>
      <w:proofErr w:type="gramEnd"/>
      <w:r>
        <w:rPr>
          <w:sz w:val="24"/>
          <w:szCs w:val="24"/>
        </w:rPr>
        <w:t xml:space="preserve"> cruel wicked men.</w:t>
      </w:r>
      <w:r>
        <w:rPr>
          <w:rStyle w:val="FootnoteReference"/>
          <w:sz w:val="24"/>
          <w:szCs w:val="24"/>
        </w:rPr>
        <w:footnoteReference w:id="287"/>
      </w:r>
    </w:p>
    <w:p w:rsidR="00F212C9" w:rsidRDefault="00F212C9" w:rsidP="00F212C9">
      <w:pPr>
        <w:ind w:firstLine="720"/>
        <w:contextualSpacing/>
        <w:rPr>
          <w:sz w:val="24"/>
          <w:szCs w:val="24"/>
        </w:rPr>
      </w:pPr>
    </w:p>
    <w:p w:rsidR="00F212C9" w:rsidRDefault="00F212C9" w:rsidP="00F212C9">
      <w:pPr>
        <w:spacing w:line="480" w:lineRule="auto"/>
        <w:rPr>
          <w:sz w:val="24"/>
          <w:szCs w:val="24"/>
        </w:rPr>
      </w:pPr>
      <w:r>
        <w:rPr>
          <w:sz w:val="24"/>
          <w:szCs w:val="24"/>
        </w:rPr>
        <w:t>Within the verses, the singer’s pronoun use situates women together, placing women (“us”) in opposition to “</w:t>
      </w:r>
      <w:r w:rsidRPr="00B45387">
        <w:rPr>
          <w:i/>
          <w:sz w:val="24"/>
          <w:szCs w:val="24"/>
        </w:rPr>
        <w:t>you</w:t>
      </w:r>
      <w:r>
        <w:rPr>
          <w:sz w:val="24"/>
          <w:szCs w:val="24"/>
        </w:rPr>
        <w:t xml:space="preserve"> naughty, naughty men.”</w:t>
      </w:r>
      <w:r>
        <w:rPr>
          <w:rStyle w:val="FootnoteReference"/>
          <w:sz w:val="24"/>
          <w:szCs w:val="24"/>
        </w:rPr>
        <w:footnoteReference w:id="288"/>
      </w:r>
      <w:r>
        <w:rPr>
          <w:sz w:val="24"/>
          <w:szCs w:val="24"/>
        </w:rPr>
        <w:t xml:space="preserve"> Performed amongst a group of women, this song could be a powerful catharsis. Performed by a woman in front of men, it could be an extremely pointed critique. Performed by a man, it could engender a sense of empathy or invert the critiqu</w:t>
      </w:r>
      <w:r w:rsidR="00991A99">
        <w:rPr>
          <w:sz w:val="24"/>
          <w:szCs w:val="24"/>
        </w:rPr>
        <w:t>e. In any case,</w:t>
      </w:r>
      <w:r>
        <w:rPr>
          <w:sz w:val="24"/>
          <w:szCs w:val="24"/>
        </w:rPr>
        <w:t xml:space="preserve"> performer</w:t>
      </w:r>
      <w:r w:rsidR="00991A99">
        <w:rPr>
          <w:sz w:val="24"/>
          <w:szCs w:val="24"/>
        </w:rPr>
        <w:t>s</w:t>
      </w:r>
      <w:r w:rsidR="00EB5E00">
        <w:rPr>
          <w:sz w:val="24"/>
          <w:szCs w:val="24"/>
        </w:rPr>
        <w:t xml:space="preserve"> would have cho</w:t>
      </w:r>
      <w:r>
        <w:rPr>
          <w:sz w:val="24"/>
          <w:szCs w:val="24"/>
        </w:rPr>
        <w:t>se</w:t>
      </w:r>
      <w:r w:rsidR="00EB5E00">
        <w:rPr>
          <w:sz w:val="24"/>
          <w:szCs w:val="24"/>
        </w:rPr>
        <w:t>n</w:t>
      </w:r>
      <w:r>
        <w:rPr>
          <w:sz w:val="24"/>
          <w:szCs w:val="24"/>
        </w:rPr>
        <w:t xml:space="preserve"> to identify with the disruptive message of the song bef</w:t>
      </w:r>
      <w:r w:rsidR="00EB5E00">
        <w:rPr>
          <w:sz w:val="24"/>
          <w:szCs w:val="24"/>
        </w:rPr>
        <w:t>ore singing it from a</w:t>
      </w:r>
      <w:r w:rsidR="00991A99">
        <w:rPr>
          <w:sz w:val="24"/>
          <w:szCs w:val="24"/>
        </w:rPr>
        <w:t xml:space="preserve"> first-</w:t>
      </w:r>
      <w:r>
        <w:rPr>
          <w:sz w:val="24"/>
          <w:szCs w:val="24"/>
        </w:rPr>
        <w:t>person perspective.</w:t>
      </w:r>
    </w:p>
    <w:p w:rsidR="00F212C9" w:rsidRDefault="00F212C9" w:rsidP="00F212C9">
      <w:pPr>
        <w:spacing w:line="480" w:lineRule="auto"/>
        <w:contextualSpacing/>
        <w:rPr>
          <w:sz w:val="24"/>
          <w:szCs w:val="24"/>
        </w:rPr>
      </w:pPr>
      <w:r>
        <w:rPr>
          <w:sz w:val="24"/>
          <w:szCs w:val="24"/>
        </w:rPr>
        <w:tab/>
        <w:t>Nearly half a century later, in 1912, the position of women in Am</w:t>
      </w:r>
      <w:r w:rsidR="00991A99">
        <w:rPr>
          <w:sz w:val="24"/>
          <w:szCs w:val="24"/>
        </w:rPr>
        <w:t>erica had shifted, but</w:t>
      </w:r>
      <w:r>
        <w:rPr>
          <w:sz w:val="24"/>
          <w:szCs w:val="24"/>
        </w:rPr>
        <w:t xml:space="preserve"> the highly sexual nature of</w:t>
      </w:r>
      <w:r w:rsidR="00EB5E00">
        <w:rPr>
          <w:sz w:val="24"/>
          <w:szCs w:val="24"/>
        </w:rPr>
        <w:t xml:space="preserve"> the song “Tickle it!” </w:t>
      </w:r>
      <w:r w:rsidR="00991A99">
        <w:rPr>
          <w:sz w:val="24"/>
          <w:szCs w:val="24"/>
        </w:rPr>
        <w:t>still</w:t>
      </w:r>
      <w:r w:rsidR="00EB5E00">
        <w:rPr>
          <w:sz w:val="24"/>
          <w:szCs w:val="24"/>
        </w:rPr>
        <w:t xml:space="preserve"> disrupted </w:t>
      </w:r>
      <w:r>
        <w:rPr>
          <w:sz w:val="24"/>
          <w:szCs w:val="24"/>
        </w:rPr>
        <w:t>the parlor aesthetic. As the cov</w:t>
      </w:r>
      <w:r w:rsidR="00EB5E00">
        <w:rPr>
          <w:sz w:val="24"/>
          <w:szCs w:val="24"/>
        </w:rPr>
        <w:t xml:space="preserve">er art makes clear, in depicting a </w:t>
      </w:r>
      <w:r>
        <w:rPr>
          <w:sz w:val="24"/>
          <w:szCs w:val="24"/>
        </w:rPr>
        <w:t>woman lean</w:t>
      </w:r>
      <w:r w:rsidR="00EB5E00">
        <w:rPr>
          <w:sz w:val="24"/>
          <w:szCs w:val="24"/>
        </w:rPr>
        <w:t>ing</w:t>
      </w:r>
      <w:r>
        <w:rPr>
          <w:sz w:val="24"/>
          <w:szCs w:val="24"/>
        </w:rPr>
        <w:t xml:space="preserve"> over a male piano player’s shoulder and </w:t>
      </w:r>
      <w:r>
        <w:rPr>
          <w:sz w:val="24"/>
          <w:szCs w:val="24"/>
        </w:rPr>
        <w:lastRenderedPageBreak/>
        <w:t>whisper</w:t>
      </w:r>
      <w:r w:rsidR="00EB5E00">
        <w:rPr>
          <w:sz w:val="24"/>
          <w:szCs w:val="24"/>
        </w:rPr>
        <w:t>ing</w:t>
      </w:r>
      <w:r>
        <w:rPr>
          <w:sz w:val="24"/>
          <w:szCs w:val="24"/>
        </w:rPr>
        <w:t xml:space="preserve"> “Tickle it</w:t>
      </w:r>
      <w:proofErr w:type="gramStart"/>
      <w:r>
        <w:rPr>
          <w:sz w:val="24"/>
          <w:szCs w:val="24"/>
        </w:rPr>
        <w:t>!,</w:t>
      </w:r>
      <w:proofErr w:type="gramEnd"/>
      <w:r>
        <w:rPr>
          <w:sz w:val="24"/>
          <w:szCs w:val="24"/>
        </w:rPr>
        <w:t>”</w:t>
      </w:r>
      <w:r>
        <w:rPr>
          <w:rStyle w:val="FootnoteReference"/>
          <w:sz w:val="24"/>
          <w:szCs w:val="24"/>
        </w:rPr>
        <w:footnoteReference w:id="289"/>
      </w:r>
      <w:r>
        <w:rPr>
          <w:sz w:val="24"/>
          <w:szCs w:val="24"/>
        </w:rPr>
        <w:t xml:space="preserve"> the title and chorus of the song refer to tickling the ivories</w:t>
      </w:r>
      <w:r w:rsidR="001212F2">
        <w:rPr>
          <w:sz w:val="24"/>
          <w:szCs w:val="24"/>
        </w:rPr>
        <w:t xml:space="preserve"> (see F</w:t>
      </w:r>
      <w:r w:rsidR="0090303F">
        <w:rPr>
          <w:sz w:val="24"/>
          <w:szCs w:val="24"/>
        </w:rPr>
        <w:t xml:space="preserve">igure </w:t>
      </w:r>
      <w:r w:rsidR="007208C3">
        <w:rPr>
          <w:sz w:val="24"/>
          <w:szCs w:val="24"/>
        </w:rPr>
        <w:t>3.</w:t>
      </w:r>
      <w:r w:rsidR="0090303F">
        <w:rPr>
          <w:sz w:val="24"/>
          <w:szCs w:val="24"/>
        </w:rPr>
        <w:t>5</w:t>
      </w:r>
      <w:r w:rsidR="00A22F48">
        <w:rPr>
          <w:sz w:val="24"/>
          <w:szCs w:val="24"/>
        </w:rPr>
        <w:t>)</w:t>
      </w:r>
      <w:r>
        <w:rPr>
          <w:sz w:val="24"/>
          <w:szCs w:val="24"/>
        </w:rPr>
        <w:t xml:space="preserve">. But, the subtleties of the body posture on the artwork and the lyrics within barely hide the sexual metaphor. In the verse, the vocalist </w:t>
      </w:r>
      <w:r w:rsidR="00EB5E00">
        <w:rPr>
          <w:sz w:val="24"/>
          <w:szCs w:val="24"/>
        </w:rPr>
        <w:t>syncopates each phrase, beginning on</w:t>
      </w:r>
      <w:r>
        <w:rPr>
          <w:sz w:val="24"/>
          <w:szCs w:val="24"/>
        </w:rPr>
        <w:t xml:space="preserve"> the last</w:t>
      </w:r>
      <w:r w:rsidR="00EB5E00">
        <w:rPr>
          <w:sz w:val="24"/>
          <w:szCs w:val="24"/>
        </w:rPr>
        <w:t xml:space="preserve"> sixteenth note of the downbeat</w:t>
      </w:r>
      <w:r w:rsidR="001212F2">
        <w:rPr>
          <w:sz w:val="24"/>
          <w:szCs w:val="24"/>
        </w:rPr>
        <w:t xml:space="preserve"> (see F</w:t>
      </w:r>
      <w:r w:rsidR="007208C3">
        <w:rPr>
          <w:sz w:val="24"/>
          <w:szCs w:val="24"/>
        </w:rPr>
        <w:t>igure 3.6)</w:t>
      </w:r>
      <w:r w:rsidR="00EB5E00">
        <w:rPr>
          <w:sz w:val="24"/>
          <w:szCs w:val="24"/>
        </w:rPr>
        <w:t xml:space="preserve"> and singing</w:t>
      </w:r>
      <w:r>
        <w:rPr>
          <w:sz w:val="24"/>
          <w:szCs w:val="24"/>
        </w:rPr>
        <w:t xml:space="preserve"> such highly sexualized lines as:</w:t>
      </w:r>
    </w:p>
    <w:p w:rsidR="00F212C9" w:rsidRDefault="00F212C9" w:rsidP="00F212C9">
      <w:pPr>
        <w:spacing w:line="20" w:lineRule="atLeast"/>
        <w:ind w:firstLine="720"/>
        <w:contextualSpacing/>
        <w:rPr>
          <w:sz w:val="24"/>
          <w:szCs w:val="24"/>
        </w:rPr>
      </w:pPr>
      <w:proofErr w:type="gramStart"/>
      <w:r>
        <w:rPr>
          <w:sz w:val="24"/>
          <w:szCs w:val="24"/>
        </w:rPr>
        <w:t>Cause</w:t>
      </w:r>
      <w:proofErr w:type="gramEnd"/>
      <w:r>
        <w:rPr>
          <w:sz w:val="24"/>
          <w:szCs w:val="24"/>
        </w:rPr>
        <w:t xml:space="preserve"> when you play the Baby Grand, Why I just lose my heart and hand,</w:t>
      </w:r>
    </w:p>
    <w:p w:rsidR="00F212C9" w:rsidRDefault="00F212C9" w:rsidP="00F212C9">
      <w:pPr>
        <w:spacing w:line="20" w:lineRule="atLeast"/>
        <w:ind w:firstLine="720"/>
        <w:contextualSpacing/>
        <w:rPr>
          <w:sz w:val="24"/>
          <w:szCs w:val="24"/>
        </w:rPr>
      </w:pPr>
      <w:r>
        <w:rPr>
          <w:sz w:val="24"/>
          <w:szCs w:val="24"/>
        </w:rPr>
        <w:t>Oh hear me sighing, oh hear my crying, Honey can’t you just understand.</w:t>
      </w:r>
      <w:r>
        <w:rPr>
          <w:rStyle w:val="FootnoteReference"/>
          <w:sz w:val="24"/>
          <w:szCs w:val="24"/>
        </w:rPr>
        <w:footnoteReference w:id="290"/>
      </w:r>
    </w:p>
    <w:p w:rsidR="00F212C9" w:rsidRDefault="00F212C9" w:rsidP="00F212C9">
      <w:pPr>
        <w:contextualSpacing/>
        <w:rPr>
          <w:sz w:val="24"/>
          <w:szCs w:val="24"/>
        </w:rPr>
      </w:pPr>
    </w:p>
    <w:p w:rsidR="00F212C9" w:rsidRDefault="00F212C9" w:rsidP="00F212C9">
      <w:pPr>
        <w:spacing w:line="480" w:lineRule="auto"/>
        <w:contextualSpacing/>
        <w:rPr>
          <w:sz w:val="24"/>
          <w:szCs w:val="24"/>
        </w:rPr>
      </w:pPr>
      <w:r>
        <w:rPr>
          <w:sz w:val="24"/>
          <w:szCs w:val="24"/>
        </w:rPr>
        <w:t>During the chorus</w:t>
      </w:r>
      <w:r w:rsidR="00E602C5">
        <w:rPr>
          <w:sz w:val="24"/>
          <w:szCs w:val="24"/>
        </w:rPr>
        <w:t>, the singer inverts the rhythm,</w:t>
      </w:r>
      <w:r>
        <w:rPr>
          <w:sz w:val="24"/>
          <w:szCs w:val="24"/>
        </w:rPr>
        <w:t xml:space="preserve"> landing on th</w:t>
      </w:r>
      <w:r w:rsidR="00E602C5">
        <w:rPr>
          <w:sz w:val="24"/>
          <w:szCs w:val="24"/>
        </w:rPr>
        <w:t>e do</w:t>
      </w:r>
      <w:r w:rsidR="0076380A">
        <w:rPr>
          <w:sz w:val="24"/>
          <w:szCs w:val="24"/>
        </w:rPr>
        <w:t>wnbeat</w:t>
      </w:r>
      <w:r w:rsidR="00E602C5">
        <w:rPr>
          <w:sz w:val="24"/>
          <w:szCs w:val="24"/>
        </w:rPr>
        <w:t xml:space="preserve"> </w:t>
      </w:r>
      <w:r w:rsidR="0076380A">
        <w:rPr>
          <w:sz w:val="24"/>
          <w:szCs w:val="24"/>
        </w:rPr>
        <w:t xml:space="preserve">and </w:t>
      </w:r>
      <w:r w:rsidR="00E602C5">
        <w:rPr>
          <w:sz w:val="24"/>
          <w:szCs w:val="24"/>
        </w:rPr>
        <w:t xml:space="preserve">alternating </w:t>
      </w:r>
      <w:r>
        <w:rPr>
          <w:sz w:val="24"/>
          <w:szCs w:val="24"/>
        </w:rPr>
        <w:t>between dotted eighths and sixteenth notes</w:t>
      </w:r>
      <w:r w:rsidR="001212F2">
        <w:rPr>
          <w:sz w:val="24"/>
          <w:szCs w:val="24"/>
        </w:rPr>
        <w:t xml:space="preserve"> (see F</w:t>
      </w:r>
      <w:r w:rsidR="007208C3">
        <w:rPr>
          <w:sz w:val="24"/>
          <w:szCs w:val="24"/>
        </w:rPr>
        <w:t>igure 3.7)</w:t>
      </w:r>
      <w:r>
        <w:rPr>
          <w:sz w:val="24"/>
          <w:szCs w:val="24"/>
        </w:rPr>
        <w:t>. The vocalist rises a third or fourt</w:t>
      </w:r>
      <w:r w:rsidR="00E602C5">
        <w:rPr>
          <w:sz w:val="24"/>
          <w:szCs w:val="24"/>
        </w:rPr>
        <w:t xml:space="preserve">h </w:t>
      </w:r>
      <w:r>
        <w:rPr>
          <w:sz w:val="24"/>
          <w:szCs w:val="24"/>
        </w:rPr>
        <w:t>melodically with every statement of “Tickle it!” and pulses forward rhythmically, lending a sense of urgency to the command. After rising upwards, the line dramatically descends on “Oh press that harmony strain,” before chromatically emphasizing the line: “take me straight to Heaven and right back again.”</w:t>
      </w:r>
      <w:r>
        <w:rPr>
          <w:rStyle w:val="FootnoteReference"/>
          <w:sz w:val="24"/>
          <w:szCs w:val="24"/>
        </w:rPr>
        <w:footnoteReference w:id="291"/>
      </w:r>
      <w:r>
        <w:rPr>
          <w:sz w:val="24"/>
          <w:szCs w:val="24"/>
        </w:rPr>
        <w:t xml:space="preserve"> Though the music already enacts the sexual content of the song in moments such as the exasperated pauses on “So…Please, Honey keep on playing,” and “’Cause…I just can’t keep from swaying,”</w:t>
      </w:r>
      <w:r>
        <w:rPr>
          <w:rStyle w:val="FootnoteReference"/>
          <w:sz w:val="24"/>
          <w:szCs w:val="24"/>
        </w:rPr>
        <w:footnoteReference w:id="292"/>
      </w:r>
      <w:r>
        <w:rPr>
          <w:sz w:val="24"/>
          <w:szCs w:val="24"/>
        </w:rPr>
        <w:t xml:space="preserve"> </w:t>
      </w:r>
      <w:r w:rsidR="005C18C9">
        <w:rPr>
          <w:sz w:val="24"/>
          <w:szCs w:val="24"/>
        </w:rPr>
        <w:t>performers could have added</w:t>
      </w:r>
      <w:r>
        <w:rPr>
          <w:sz w:val="24"/>
          <w:szCs w:val="24"/>
        </w:rPr>
        <w:t xml:space="preserve"> further layers of sexual meaning and innuendo in their individually inflected performance</w:t>
      </w:r>
      <w:r w:rsidR="005C18C9">
        <w:rPr>
          <w:sz w:val="24"/>
          <w:szCs w:val="24"/>
        </w:rPr>
        <w:t>s</w:t>
      </w:r>
      <w:r>
        <w:rPr>
          <w:sz w:val="24"/>
          <w:szCs w:val="24"/>
        </w:rPr>
        <w:t xml:space="preserve">. </w:t>
      </w:r>
      <w:r w:rsidR="0069298D">
        <w:rPr>
          <w:sz w:val="24"/>
          <w:szCs w:val="24"/>
        </w:rPr>
        <w:t xml:space="preserve">Even though the artwork implies the song comes from a female perspective, the lyrics never explicitly state this. A </w:t>
      </w:r>
      <w:r w:rsidR="00C17735">
        <w:rPr>
          <w:sz w:val="24"/>
          <w:szCs w:val="24"/>
        </w:rPr>
        <w:t>male performer could also identify with</w:t>
      </w:r>
      <w:r w:rsidR="0069298D">
        <w:rPr>
          <w:sz w:val="24"/>
          <w:szCs w:val="24"/>
        </w:rPr>
        <w:t xml:space="preserve"> this vo</w:t>
      </w:r>
      <w:r w:rsidR="00C17735">
        <w:rPr>
          <w:sz w:val="24"/>
          <w:szCs w:val="24"/>
        </w:rPr>
        <w:t>cal role and register his</w:t>
      </w:r>
      <w:r w:rsidR="0069298D">
        <w:rPr>
          <w:sz w:val="24"/>
          <w:szCs w:val="24"/>
        </w:rPr>
        <w:t xml:space="preserve"> sexual</w:t>
      </w:r>
      <w:r w:rsidR="00C17735">
        <w:rPr>
          <w:sz w:val="24"/>
          <w:szCs w:val="24"/>
        </w:rPr>
        <w:t>ity</w:t>
      </w:r>
      <w:r w:rsidR="0069298D">
        <w:rPr>
          <w:sz w:val="24"/>
          <w:szCs w:val="24"/>
        </w:rPr>
        <w:t>. In fact, it opens a broader sexual discourse</w:t>
      </w:r>
      <w:r w:rsidR="00C17735">
        <w:rPr>
          <w:sz w:val="24"/>
          <w:szCs w:val="24"/>
        </w:rPr>
        <w:t xml:space="preserve"> either way, as</w:t>
      </w:r>
      <w:r w:rsidR="0069298D">
        <w:rPr>
          <w:sz w:val="24"/>
          <w:szCs w:val="24"/>
        </w:rPr>
        <w:t xml:space="preserve"> the narrative sings about being excited by another’s song</w:t>
      </w:r>
      <w:r w:rsidR="00C17735">
        <w:rPr>
          <w:sz w:val="24"/>
          <w:szCs w:val="24"/>
        </w:rPr>
        <w:t>, entailing a two-way interaction and, again, adding</w:t>
      </w:r>
      <w:r w:rsidR="0069298D">
        <w:rPr>
          <w:sz w:val="24"/>
          <w:szCs w:val="24"/>
        </w:rPr>
        <w:t xml:space="preserve"> mimetic layers of meaning</w:t>
      </w:r>
      <w:r w:rsidR="00C17735">
        <w:rPr>
          <w:sz w:val="24"/>
          <w:szCs w:val="24"/>
        </w:rPr>
        <w:t xml:space="preserve"> as the voice creates and enacts other characters and relationships to them</w:t>
      </w:r>
      <w:r w:rsidR="0069298D">
        <w:rPr>
          <w:sz w:val="24"/>
          <w:szCs w:val="24"/>
        </w:rPr>
        <w:t>.</w:t>
      </w:r>
      <w:r w:rsidR="00C17735">
        <w:rPr>
          <w:sz w:val="24"/>
          <w:szCs w:val="24"/>
        </w:rPr>
        <w:t xml:space="preserve"> </w:t>
      </w:r>
      <w:r>
        <w:rPr>
          <w:sz w:val="24"/>
          <w:szCs w:val="24"/>
        </w:rPr>
        <w:t xml:space="preserve">Putting on this vocal </w:t>
      </w:r>
      <w:r>
        <w:rPr>
          <w:sz w:val="24"/>
          <w:szCs w:val="24"/>
        </w:rPr>
        <w:lastRenderedPageBreak/>
        <w:t>personality would have allowed parlor performers to make implicit sexual references or imagine the Self as sexual.</w:t>
      </w:r>
    </w:p>
    <w:p w:rsidR="000D7CEB" w:rsidRDefault="000D7CEB" w:rsidP="00F212C9">
      <w:pPr>
        <w:spacing w:line="480" w:lineRule="auto"/>
        <w:rPr>
          <w:sz w:val="24"/>
          <w:szCs w:val="24"/>
        </w:rPr>
      </w:pPr>
    </w:p>
    <w:p w:rsidR="00CD5B36" w:rsidRDefault="000D7CEB" w:rsidP="00CD5B36">
      <w:pPr>
        <w:keepNext/>
        <w:spacing w:line="480" w:lineRule="auto"/>
        <w:jc w:val="center"/>
      </w:pPr>
      <w:r>
        <w:rPr>
          <w:noProof/>
          <w:sz w:val="24"/>
          <w:szCs w:val="24"/>
        </w:rPr>
        <w:drawing>
          <wp:inline distT="0" distB="0" distL="0" distR="0">
            <wp:extent cx="5026172" cy="5486400"/>
            <wp:effectExtent l="19050" t="0" r="3028"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5040123" cy="5501629"/>
                    </a:xfrm>
                    <a:prstGeom prst="rect">
                      <a:avLst/>
                    </a:prstGeom>
                    <a:noFill/>
                    <a:ln w="9525">
                      <a:noFill/>
                      <a:miter lim="800000"/>
                      <a:headEnd/>
                      <a:tailEnd/>
                    </a:ln>
                  </pic:spPr>
                </pic:pic>
              </a:graphicData>
            </a:graphic>
          </wp:inline>
        </w:drawing>
      </w:r>
    </w:p>
    <w:p w:rsidR="000D7CEB" w:rsidRPr="008E60DA" w:rsidRDefault="00CD5B36" w:rsidP="00CD5B36">
      <w:pPr>
        <w:pStyle w:val="Caption"/>
        <w:jc w:val="center"/>
        <w:rPr>
          <w:b w:val="0"/>
          <w:color w:val="auto"/>
          <w:sz w:val="24"/>
          <w:szCs w:val="24"/>
        </w:rPr>
      </w:pPr>
      <w:bookmarkStart w:id="28" w:name="_Toc354114589"/>
      <w:bookmarkStart w:id="29" w:name="_Toc356413245"/>
      <w:proofErr w:type="gramStart"/>
      <w:r w:rsidRPr="008E60DA">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proofErr w:type="gramStart"/>
      <w:r w:rsidR="002566BD">
        <w:rPr>
          <w:b w:val="0"/>
          <w:noProof/>
          <w:color w:val="auto"/>
          <w:sz w:val="24"/>
          <w:szCs w:val="24"/>
        </w:rPr>
        <w:t>5</w:t>
      </w:r>
      <w:r w:rsidR="00734461">
        <w:rPr>
          <w:b w:val="0"/>
          <w:color w:val="auto"/>
          <w:sz w:val="24"/>
          <w:szCs w:val="24"/>
        </w:rPr>
        <w:fldChar w:fldCharType="end"/>
      </w:r>
      <w:r w:rsidRPr="008E60DA">
        <w:rPr>
          <w:b w:val="0"/>
          <w:color w:val="auto"/>
          <w:sz w:val="24"/>
          <w:szCs w:val="24"/>
        </w:rPr>
        <w:t xml:space="preserve"> Cover Sheet</w:t>
      </w:r>
      <w:proofErr w:type="gramEnd"/>
      <w:r w:rsidRPr="008E60DA">
        <w:rPr>
          <w:b w:val="0"/>
          <w:color w:val="auto"/>
          <w:sz w:val="24"/>
          <w:szCs w:val="24"/>
        </w:rPr>
        <w:t xml:space="preserve"> for “Tickle It!”</w:t>
      </w:r>
      <w:bookmarkEnd w:id="28"/>
      <w:r w:rsidR="00DB05D7">
        <w:rPr>
          <w:rStyle w:val="FootnoteReference"/>
          <w:b w:val="0"/>
          <w:color w:val="auto"/>
          <w:sz w:val="24"/>
          <w:szCs w:val="24"/>
        </w:rPr>
        <w:footnoteReference w:id="293"/>
      </w:r>
      <w:bookmarkEnd w:id="29"/>
    </w:p>
    <w:p w:rsidR="000D7CEB" w:rsidRPr="00A22F48" w:rsidRDefault="000D7CEB" w:rsidP="000D7CEB">
      <w:pPr>
        <w:spacing w:line="240" w:lineRule="auto"/>
        <w:jc w:val="center"/>
        <w:rPr>
          <w:b/>
          <w:sz w:val="24"/>
          <w:szCs w:val="24"/>
        </w:rPr>
      </w:pPr>
    </w:p>
    <w:p w:rsidR="00C76A88" w:rsidRDefault="000D7CEB" w:rsidP="00C76A88">
      <w:pPr>
        <w:keepNext/>
        <w:spacing w:line="240" w:lineRule="auto"/>
        <w:jc w:val="center"/>
      </w:pPr>
      <w:r>
        <w:rPr>
          <w:sz w:val="24"/>
          <w:szCs w:val="24"/>
        </w:rPr>
        <w:lastRenderedPageBreak/>
        <w:t xml:space="preserve"> </w:t>
      </w:r>
      <w:r w:rsidR="00C76A88">
        <w:rPr>
          <w:noProof/>
          <w:sz w:val="24"/>
          <w:szCs w:val="24"/>
        </w:rPr>
        <w:drawing>
          <wp:inline distT="0" distB="0" distL="0" distR="0">
            <wp:extent cx="5943600" cy="1942683"/>
            <wp:effectExtent l="19050" t="0" r="0" b="0"/>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5943600" cy="1942683"/>
                    </a:xfrm>
                    <a:prstGeom prst="rect">
                      <a:avLst/>
                    </a:prstGeom>
                    <a:noFill/>
                    <a:ln w="9525">
                      <a:noFill/>
                      <a:miter lim="800000"/>
                      <a:headEnd/>
                      <a:tailEnd/>
                    </a:ln>
                  </pic:spPr>
                </pic:pic>
              </a:graphicData>
            </a:graphic>
          </wp:inline>
        </w:drawing>
      </w:r>
    </w:p>
    <w:p w:rsidR="000D7CEB" w:rsidRPr="00C76A88" w:rsidRDefault="00C76A88" w:rsidP="00C76A88">
      <w:pPr>
        <w:pStyle w:val="Caption"/>
        <w:jc w:val="center"/>
        <w:rPr>
          <w:b w:val="0"/>
          <w:color w:val="auto"/>
          <w:sz w:val="24"/>
          <w:szCs w:val="24"/>
        </w:rPr>
      </w:pPr>
      <w:bookmarkStart w:id="30" w:name="_Toc356413246"/>
      <w:proofErr w:type="gramStart"/>
      <w:r w:rsidRPr="00C76A88">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6</w:t>
      </w:r>
      <w:r w:rsidR="00734461">
        <w:rPr>
          <w:b w:val="0"/>
          <w:color w:val="auto"/>
          <w:sz w:val="24"/>
          <w:szCs w:val="24"/>
        </w:rPr>
        <w:fldChar w:fldCharType="end"/>
      </w:r>
      <w:r w:rsidRPr="00C76A88">
        <w:rPr>
          <w:b w:val="0"/>
          <w:color w:val="auto"/>
          <w:sz w:val="24"/>
          <w:szCs w:val="24"/>
        </w:rPr>
        <w:t xml:space="preserve"> Syncopated Rhythms in “Tickle It!”</w:t>
      </w:r>
      <w:r w:rsidR="00DB05D7">
        <w:rPr>
          <w:rStyle w:val="FootnoteReference"/>
          <w:b w:val="0"/>
          <w:color w:val="auto"/>
          <w:sz w:val="24"/>
          <w:szCs w:val="24"/>
        </w:rPr>
        <w:footnoteReference w:id="294"/>
      </w:r>
      <w:bookmarkEnd w:id="30"/>
    </w:p>
    <w:p w:rsidR="00C76A88" w:rsidRDefault="00C76A88" w:rsidP="000D7CEB">
      <w:pPr>
        <w:spacing w:line="240" w:lineRule="auto"/>
        <w:jc w:val="center"/>
        <w:rPr>
          <w:sz w:val="24"/>
          <w:szCs w:val="24"/>
        </w:rPr>
      </w:pPr>
    </w:p>
    <w:p w:rsidR="00C76A88" w:rsidRDefault="00C76A88" w:rsidP="00C76A88">
      <w:pPr>
        <w:keepNext/>
        <w:spacing w:line="240" w:lineRule="auto"/>
        <w:jc w:val="center"/>
      </w:pPr>
      <w:r>
        <w:rPr>
          <w:noProof/>
          <w:sz w:val="24"/>
          <w:szCs w:val="24"/>
        </w:rPr>
        <w:drawing>
          <wp:inline distT="0" distB="0" distL="0" distR="0">
            <wp:extent cx="5943600" cy="3719264"/>
            <wp:effectExtent l="19050" t="0" r="0" b="0"/>
            <wp:docPr id="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srcRect/>
                    <a:stretch>
                      <a:fillRect/>
                    </a:stretch>
                  </pic:blipFill>
                  <pic:spPr bwMode="auto">
                    <a:xfrm>
                      <a:off x="0" y="0"/>
                      <a:ext cx="5943600" cy="3719264"/>
                    </a:xfrm>
                    <a:prstGeom prst="rect">
                      <a:avLst/>
                    </a:prstGeom>
                    <a:noFill/>
                    <a:ln w="9525">
                      <a:noFill/>
                      <a:miter lim="800000"/>
                      <a:headEnd/>
                      <a:tailEnd/>
                    </a:ln>
                  </pic:spPr>
                </pic:pic>
              </a:graphicData>
            </a:graphic>
          </wp:inline>
        </w:drawing>
      </w:r>
    </w:p>
    <w:p w:rsidR="00C76A88" w:rsidRPr="00C76A88" w:rsidRDefault="00C76A88" w:rsidP="00C76A88">
      <w:pPr>
        <w:pStyle w:val="Caption"/>
        <w:jc w:val="center"/>
        <w:rPr>
          <w:b w:val="0"/>
          <w:color w:val="auto"/>
          <w:sz w:val="24"/>
          <w:szCs w:val="24"/>
        </w:rPr>
      </w:pPr>
      <w:bookmarkStart w:id="31" w:name="_Toc356413247"/>
      <w:proofErr w:type="gramStart"/>
      <w:r w:rsidRPr="00C76A88">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3</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7</w:t>
      </w:r>
      <w:r w:rsidR="00734461">
        <w:rPr>
          <w:b w:val="0"/>
          <w:color w:val="auto"/>
          <w:sz w:val="24"/>
          <w:szCs w:val="24"/>
        </w:rPr>
        <w:fldChar w:fldCharType="end"/>
      </w:r>
      <w:r w:rsidRPr="00C76A88">
        <w:rPr>
          <w:b w:val="0"/>
          <w:color w:val="auto"/>
          <w:sz w:val="24"/>
          <w:szCs w:val="24"/>
        </w:rPr>
        <w:t xml:space="preserve"> The Chorus of “Tickle It!”</w:t>
      </w:r>
      <w:r w:rsidR="00DB05D7">
        <w:rPr>
          <w:rStyle w:val="FootnoteReference"/>
          <w:b w:val="0"/>
          <w:color w:val="auto"/>
          <w:sz w:val="24"/>
          <w:szCs w:val="24"/>
        </w:rPr>
        <w:footnoteReference w:id="295"/>
      </w:r>
      <w:bookmarkEnd w:id="31"/>
    </w:p>
    <w:p w:rsidR="00C76A88" w:rsidRDefault="00C76A88" w:rsidP="00C76A88">
      <w:pPr>
        <w:spacing w:line="480" w:lineRule="auto"/>
        <w:rPr>
          <w:sz w:val="24"/>
          <w:szCs w:val="24"/>
        </w:rPr>
      </w:pPr>
    </w:p>
    <w:p w:rsidR="007B3705" w:rsidRDefault="00F212C9" w:rsidP="00C17735">
      <w:pPr>
        <w:spacing w:line="480" w:lineRule="auto"/>
        <w:ind w:firstLine="720"/>
        <w:rPr>
          <w:sz w:val="24"/>
          <w:szCs w:val="24"/>
        </w:rPr>
      </w:pPr>
      <w:r>
        <w:rPr>
          <w:sz w:val="24"/>
          <w:szCs w:val="24"/>
        </w:rPr>
        <w:lastRenderedPageBreak/>
        <w:t>Through the voice, parlor performers shared comic character’s names, accents, terms, and ultimately, their identities. Bringing these characters into the parlor soundscape disrupted its highbrow edifying mission. They a</w:t>
      </w:r>
      <w:r w:rsidR="005C18C9">
        <w:rPr>
          <w:sz w:val="24"/>
          <w:szCs w:val="24"/>
        </w:rPr>
        <w:t>cted in direct opposition to the nineteenth-century</w:t>
      </w:r>
      <w:r>
        <w:rPr>
          <w:sz w:val="24"/>
          <w:szCs w:val="24"/>
        </w:rPr>
        <w:t xml:space="preserve"> c</w:t>
      </w:r>
      <w:r w:rsidR="005C18C9">
        <w:rPr>
          <w:sz w:val="24"/>
          <w:szCs w:val="24"/>
        </w:rPr>
        <w:t>ultural forces that Levine discusses, those that advocated for</w:t>
      </w:r>
      <w:r>
        <w:rPr>
          <w:sz w:val="24"/>
          <w:szCs w:val="24"/>
        </w:rPr>
        <w:t xml:space="preserve"> “a force for moral order” and</w:t>
      </w:r>
      <w:r w:rsidR="005C18C9">
        <w:rPr>
          <w:sz w:val="24"/>
          <w:szCs w:val="24"/>
        </w:rPr>
        <w:t xml:space="preserve"> sought to halt</w:t>
      </w:r>
      <w:r>
        <w:rPr>
          <w:sz w:val="24"/>
          <w:szCs w:val="24"/>
        </w:rPr>
        <w:t xml:space="preserve"> “the chaos threatening to envelop the nation.”</w:t>
      </w:r>
      <w:r>
        <w:rPr>
          <w:rStyle w:val="FootnoteReference"/>
          <w:sz w:val="24"/>
          <w:szCs w:val="24"/>
        </w:rPr>
        <w:footnoteReference w:id="296"/>
      </w:r>
      <w:r w:rsidR="005C18C9">
        <w:rPr>
          <w:sz w:val="24"/>
          <w:szCs w:val="24"/>
        </w:rPr>
        <w:t xml:space="preserve"> The</w:t>
      </w:r>
      <w:r>
        <w:rPr>
          <w:sz w:val="24"/>
          <w:szCs w:val="24"/>
        </w:rPr>
        <w:t xml:space="preserve"> musical voices</w:t>
      </w:r>
      <w:r w:rsidR="005C18C9">
        <w:rPr>
          <w:sz w:val="24"/>
          <w:szCs w:val="24"/>
        </w:rPr>
        <w:t xml:space="preserve"> of comic songs</w:t>
      </w:r>
      <w:r>
        <w:rPr>
          <w:sz w:val="24"/>
          <w:szCs w:val="24"/>
        </w:rPr>
        <w:t xml:space="preserve"> were not what John Sull</w:t>
      </w:r>
      <w:r w:rsidR="005C18C9">
        <w:rPr>
          <w:sz w:val="24"/>
          <w:szCs w:val="24"/>
        </w:rPr>
        <w:t>ivan Dwight wrote about in 1870;</w:t>
      </w:r>
      <w:r>
        <w:rPr>
          <w:sz w:val="24"/>
          <w:szCs w:val="24"/>
        </w:rPr>
        <w:t xml:space="preserve"> they were not a “civilizing agency” or a “beauti</w:t>
      </w:r>
      <w:r w:rsidR="005C18C9">
        <w:rPr>
          <w:sz w:val="24"/>
          <w:szCs w:val="24"/>
        </w:rPr>
        <w:t>ful corrective of our crudities;</w:t>
      </w:r>
      <w:r>
        <w:rPr>
          <w:sz w:val="24"/>
          <w:szCs w:val="24"/>
        </w:rPr>
        <w:t>”</w:t>
      </w:r>
      <w:r>
        <w:rPr>
          <w:rStyle w:val="FootnoteReference"/>
          <w:sz w:val="24"/>
          <w:szCs w:val="24"/>
        </w:rPr>
        <w:footnoteReference w:id="297"/>
      </w:r>
      <w:r>
        <w:rPr>
          <w:sz w:val="24"/>
          <w:szCs w:val="24"/>
        </w:rPr>
        <w:t xml:space="preserve"> </w:t>
      </w:r>
      <w:r w:rsidR="005C18C9">
        <w:rPr>
          <w:sz w:val="24"/>
          <w:szCs w:val="24"/>
        </w:rPr>
        <w:t xml:space="preserve">similarly, they did not bring </w:t>
      </w:r>
      <w:r>
        <w:rPr>
          <w:sz w:val="24"/>
          <w:szCs w:val="24"/>
        </w:rPr>
        <w:t xml:space="preserve">harmony to the American nation and </w:t>
      </w:r>
      <w:proofErr w:type="gramStart"/>
      <w:r w:rsidR="005C18C9">
        <w:rPr>
          <w:sz w:val="24"/>
          <w:szCs w:val="24"/>
        </w:rPr>
        <w:t>its</w:t>
      </w:r>
      <w:proofErr w:type="gramEnd"/>
      <w:r w:rsidR="005C18C9">
        <w:rPr>
          <w:sz w:val="24"/>
          <w:szCs w:val="24"/>
        </w:rPr>
        <w:t xml:space="preserve"> </w:t>
      </w:r>
      <w:r>
        <w:rPr>
          <w:sz w:val="24"/>
          <w:szCs w:val="24"/>
        </w:rPr>
        <w:t>“a great mixed people of all races.”</w:t>
      </w:r>
      <w:r>
        <w:rPr>
          <w:rStyle w:val="FootnoteReference"/>
          <w:sz w:val="24"/>
          <w:szCs w:val="24"/>
        </w:rPr>
        <w:footnoteReference w:id="298"/>
      </w:r>
      <w:r>
        <w:rPr>
          <w:sz w:val="24"/>
          <w:szCs w:val="24"/>
        </w:rPr>
        <w:t xml:space="preserve"> </w:t>
      </w:r>
      <w:r w:rsidR="005C18C9">
        <w:rPr>
          <w:sz w:val="24"/>
          <w:szCs w:val="24"/>
        </w:rPr>
        <w:t>Instead, t</w:t>
      </w:r>
      <w:r>
        <w:rPr>
          <w:sz w:val="24"/>
          <w:szCs w:val="24"/>
        </w:rPr>
        <w:t>he disco</w:t>
      </w:r>
      <w:r w:rsidR="005C18C9">
        <w:rPr>
          <w:sz w:val="24"/>
          <w:szCs w:val="24"/>
        </w:rPr>
        <w:t>rdant voices of these songs</w:t>
      </w:r>
      <w:r w:rsidR="00C17735">
        <w:rPr>
          <w:sz w:val="24"/>
          <w:szCs w:val="24"/>
        </w:rPr>
        <w:t xml:space="preserve"> brought chaos into the home. Singing in the first-person transformed the parlor performers into the idiosyncratic </w:t>
      </w:r>
      <w:proofErr w:type="gramStart"/>
      <w:r w:rsidR="00C17735">
        <w:rPr>
          <w:sz w:val="24"/>
          <w:szCs w:val="24"/>
        </w:rPr>
        <w:t>Other</w:t>
      </w:r>
      <w:proofErr w:type="gramEnd"/>
      <w:r w:rsidR="00C17735">
        <w:rPr>
          <w:sz w:val="24"/>
          <w:szCs w:val="24"/>
        </w:rPr>
        <w:t>. Doing so</w:t>
      </w:r>
      <w:r w:rsidR="00697E29">
        <w:rPr>
          <w:sz w:val="24"/>
          <w:szCs w:val="24"/>
        </w:rPr>
        <w:t xml:space="preserve"> accentuated crudities </w:t>
      </w:r>
      <w:r>
        <w:rPr>
          <w:sz w:val="24"/>
          <w:szCs w:val="24"/>
        </w:rPr>
        <w:t>and drew divisive racial lines between peoples</w:t>
      </w:r>
      <w:r w:rsidR="00697E29">
        <w:rPr>
          <w:sz w:val="24"/>
          <w:szCs w:val="24"/>
        </w:rPr>
        <w:t>, b</w:t>
      </w:r>
      <w:r w:rsidR="005C18C9">
        <w:rPr>
          <w:sz w:val="24"/>
          <w:szCs w:val="24"/>
        </w:rPr>
        <w:t>oth defining and maintaining social</w:t>
      </w:r>
      <w:r w:rsidR="00697E29">
        <w:rPr>
          <w:sz w:val="24"/>
          <w:szCs w:val="24"/>
        </w:rPr>
        <w:t xml:space="preserve"> norms via mockery, and subverting them via embodiment.</w:t>
      </w:r>
    </w:p>
    <w:p w:rsidR="007B3705" w:rsidRDefault="007B3705" w:rsidP="007B3705">
      <w:pPr>
        <w:jc w:val="center"/>
        <w:rPr>
          <w:sz w:val="24"/>
          <w:szCs w:val="24"/>
        </w:rPr>
      </w:pPr>
    </w:p>
    <w:p w:rsidR="007B3705" w:rsidRDefault="007B3705" w:rsidP="007B3705">
      <w:pPr>
        <w:jc w:val="center"/>
        <w:rPr>
          <w:sz w:val="24"/>
          <w:szCs w:val="24"/>
        </w:rPr>
      </w:pPr>
    </w:p>
    <w:p w:rsidR="007B3705" w:rsidRDefault="007B3705" w:rsidP="002F1D7D">
      <w:pPr>
        <w:rPr>
          <w:sz w:val="24"/>
          <w:szCs w:val="24"/>
        </w:rPr>
      </w:pPr>
    </w:p>
    <w:p w:rsidR="002F1D7D" w:rsidRDefault="002F1D7D" w:rsidP="002F1D7D">
      <w:pPr>
        <w:rPr>
          <w:sz w:val="24"/>
          <w:szCs w:val="24"/>
        </w:rPr>
      </w:pPr>
    </w:p>
    <w:p w:rsidR="007B3705" w:rsidRDefault="007B3705" w:rsidP="007B3705">
      <w:pPr>
        <w:jc w:val="center"/>
        <w:rPr>
          <w:sz w:val="24"/>
          <w:szCs w:val="24"/>
        </w:rPr>
      </w:pPr>
    </w:p>
    <w:p w:rsidR="003E0724" w:rsidRDefault="003E0724" w:rsidP="007B3705">
      <w:pPr>
        <w:jc w:val="center"/>
        <w:rPr>
          <w:sz w:val="24"/>
          <w:szCs w:val="24"/>
        </w:rPr>
      </w:pPr>
    </w:p>
    <w:p w:rsidR="003E0724" w:rsidRDefault="003E0724" w:rsidP="007B3705">
      <w:pPr>
        <w:jc w:val="center"/>
        <w:rPr>
          <w:sz w:val="24"/>
          <w:szCs w:val="24"/>
        </w:rPr>
      </w:pPr>
    </w:p>
    <w:p w:rsidR="003E0724" w:rsidRDefault="003E0724" w:rsidP="007B3705">
      <w:pPr>
        <w:jc w:val="center"/>
        <w:rPr>
          <w:sz w:val="24"/>
          <w:szCs w:val="24"/>
        </w:rPr>
      </w:pPr>
    </w:p>
    <w:p w:rsidR="00CB6E74" w:rsidRDefault="00CB6E74" w:rsidP="00BE3433">
      <w:pPr>
        <w:rPr>
          <w:sz w:val="24"/>
          <w:szCs w:val="24"/>
        </w:rPr>
      </w:pPr>
    </w:p>
    <w:p w:rsidR="009C1165" w:rsidRPr="005C18C9" w:rsidRDefault="007208C3" w:rsidP="007208C3">
      <w:pPr>
        <w:pStyle w:val="Heading1"/>
        <w:jc w:val="center"/>
        <w:rPr>
          <w:rFonts w:asciiTheme="minorHAnsi" w:hAnsiTheme="minorHAnsi"/>
          <w:color w:val="auto"/>
          <w:sz w:val="24"/>
          <w:szCs w:val="24"/>
        </w:rPr>
      </w:pPr>
      <w:bookmarkStart w:id="32" w:name="_Toc356278699"/>
      <w:r w:rsidRPr="005C18C9">
        <w:rPr>
          <w:rFonts w:asciiTheme="minorHAnsi" w:hAnsiTheme="minorHAnsi"/>
          <w:color w:val="auto"/>
          <w:sz w:val="24"/>
          <w:szCs w:val="24"/>
        </w:rPr>
        <w:lastRenderedPageBreak/>
        <w:t>: Topical Songs: Addressing Reality and Critiquing Utopia</w:t>
      </w:r>
      <w:bookmarkEnd w:id="32"/>
    </w:p>
    <w:p w:rsidR="009C1165" w:rsidRDefault="009C1165" w:rsidP="009C1165">
      <w:pPr>
        <w:jc w:val="center"/>
        <w:rPr>
          <w:sz w:val="24"/>
          <w:szCs w:val="24"/>
        </w:rPr>
      </w:pPr>
    </w:p>
    <w:p w:rsidR="009C1165" w:rsidRDefault="009C1165" w:rsidP="009C1165">
      <w:pPr>
        <w:spacing w:line="480" w:lineRule="auto"/>
        <w:ind w:firstLine="720"/>
        <w:rPr>
          <w:sz w:val="24"/>
          <w:szCs w:val="24"/>
        </w:rPr>
      </w:pPr>
      <w:r>
        <w:rPr>
          <w:sz w:val="24"/>
          <w:szCs w:val="24"/>
        </w:rPr>
        <w:t>In 1895,</w:t>
      </w:r>
      <w:r w:rsidRPr="00FB425C">
        <w:rPr>
          <w:sz w:val="24"/>
          <w:szCs w:val="24"/>
        </w:rPr>
        <w:t xml:space="preserve"> Ludwig </w:t>
      </w:r>
      <w:proofErr w:type="spellStart"/>
      <w:r w:rsidRPr="00FB425C">
        <w:rPr>
          <w:sz w:val="24"/>
          <w:szCs w:val="24"/>
        </w:rPr>
        <w:t>Engl</w:t>
      </w:r>
      <w:r w:rsidRPr="00FB425C">
        <w:rPr>
          <w:rFonts w:cstheme="minorHAnsi"/>
          <w:sz w:val="24"/>
          <w:szCs w:val="24"/>
        </w:rPr>
        <w:t>ä</w:t>
      </w:r>
      <w:r w:rsidRPr="00FB425C">
        <w:rPr>
          <w:sz w:val="24"/>
          <w:szCs w:val="24"/>
        </w:rPr>
        <w:t>nder</w:t>
      </w:r>
      <w:proofErr w:type="spellEnd"/>
      <w:r w:rsidRPr="00FB425C">
        <w:rPr>
          <w:sz w:val="24"/>
          <w:szCs w:val="24"/>
        </w:rPr>
        <w:t xml:space="preserve"> and Sydney Rosenfeld premiered </w:t>
      </w:r>
      <w:r>
        <w:rPr>
          <w:i/>
          <w:sz w:val="24"/>
          <w:szCs w:val="24"/>
        </w:rPr>
        <w:t>T</w:t>
      </w:r>
      <w:r w:rsidRPr="00FB425C">
        <w:rPr>
          <w:i/>
          <w:sz w:val="24"/>
          <w:szCs w:val="24"/>
        </w:rPr>
        <w:t>he 20</w:t>
      </w:r>
      <w:r w:rsidRPr="00FB425C">
        <w:rPr>
          <w:i/>
          <w:sz w:val="24"/>
          <w:szCs w:val="24"/>
          <w:vertAlign w:val="superscript"/>
        </w:rPr>
        <w:t>th</w:t>
      </w:r>
      <w:r w:rsidRPr="00FB425C">
        <w:rPr>
          <w:i/>
          <w:sz w:val="24"/>
          <w:szCs w:val="24"/>
        </w:rPr>
        <w:t xml:space="preserve"> Century Girl</w:t>
      </w:r>
      <w:r>
        <w:rPr>
          <w:sz w:val="24"/>
          <w:szCs w:val="24"/>
        </w:rPr>
        <w:t>,</w:t>
      </w:r>
      <w:r w:rsidRPr="00FB425C">
        <w:rPr>
          <w:sz w:val="24"/>
          <w:szCs w:val="24"/>
        </w:rPr>
        <w:t xml:space="preserve"> </w:t>
      </w:r>
      <w:r>
        <w:rPr>
          <w:sz w:val="24"/>
          <w:szCs w:val="24"/>
        </w:rPr>
        <w:t>“</w:t>
      </w:r>
      <w:r w:rsidRPr="00FB425C">
        <w:rPr>
          <w:sz w:val="24"/>
          <w:szCs w:val="24"/>
        </w:rPr>
        <w:t>a lyrical novelty in two acts”</w:t>
      </w:r>
      <w:r w:rsidRPr="00FB425C">
        <w:rPr>
          <w:rStyle w:val="FootnoteReference"/>
          <w:sz w:val="24"/>
          <w:szCs w:val="24"/>
        </w:rPr>
        <w:footnoteReference w:id="299"/>
      </w:r>
      <w:r w:rsidRPr="00FB425C">
        <w:rPr>
          <w:sz w:val="24"/>
          <w:szCs w:val="24"/>
        </w:rPr>
        <w:t xml:space="preserve"> at the New York Bijou theatre</w:t>
      </w:r>
      <w:r>
        <w:rPr>
          <w:sz w:val="24"/>
          <w:szCs w:val="24"/>
        </w:rPr>
        <w:t xml:space="preserve">, and according to a review in the </w:t>
      </w:r>
      <w:r>
        <w:rPr>
          <w:i/>
          <w:sz w:val="24"/>
          <w:szCs w:val="24"/>
        </w:rPr>
        <w:t>New York Times</w:t>
      </w:r>
      <w:r>
        <w:rPr>
          <w:sz w:val="24"/>
          <w:szCs w:val="24"/>
        </w:rPr>
        <w:t>, it was met with “great applause.</w:t>
      </w:r>
      <w:r w:rsidRPr="00FB425C">
        <w:rPr>
          <w:sz w:val="24"/>
          <w:szCs w:val="24"/>
        </w:rPr>
        <w:t>”</w:t>
      </w:r>
      <w:r w:rsidRPr="00FB425C">
        <w:rPr>
          <w:rStyle w:val="FootnoteReference"/>
          <w:sz w:val="24"/>
          <w:szCs w:val="24"/>
        </w:rPr>
        <w:footnoteReference w:id="300"/>
      </w:r>
      <w:r>
        <w:rPr>
          <w:sz w:val="24"/>
          <w:szCs w:val="24"/>
        </w:rPr>
        <w:t xml:space="preserve"> This “</w:t>
      </w:r>
      <w:proofErr w:type="spellStart"/>
      <w:r>
        <w:rPr>
          <w:sz w:val="24"/>
          <w:szCs w:val="24"/>
        </w:rPr>
        <w:t>burletta</w:t>
      </w:r>
      <w:proofErr w:type="spellEnd"/>
      <w:r>
        <w:rPr>
          <w:sz w:val="24"/>
          <w:szCs w:val="24"/>
        </w:rPr>
        <w:t>” takes an ironic stance on the mod</w:t>
      </w:r>
      <w:r w:rsidR="006D51DC">
        <w:rPr>
          <w:sz w:val="24"/>
          <w:szCs w:val="24"/>
        </w:rPr>
        <w:t xml:space="preserve">ernist promise of the twentieth </w:t>
      </w:r>
      <w:r>
        <w:rPr>
          <w:sz w:val="24"/>
          <w:szCs w:val="24"/>
        </w:rPr>
        <w:t>century as it presents the story of “a girl who apes masculine ways and is nominated for Congress by an Irish-American ‘boss.’”</w:t>
      </w:r>
      <w:r>
        <w:rPr>
          <w:rStyle w:val="FootnoteReference"/>
          <w:sz w:val="24"/>
          <w:szCs w:val="24"/>
        </w:rPr>
        <w:footnoteReference w:id="301"/>
      </w:r>
      <w:r>
        <w:rPr>
          <w:sz w:val="24"/>
          <w:szCs w:val="24"/>
        </w:rPr>
        <w:t xml:space="preserve"> It subverts the utopian promise of the turn-of-the-century as it mocks the imperfect state of women’s roles in society, immigration, and politics, rather than present</w:t>
      </w:r>
      <w:r w:rsidR="006D51DC">
        <w:rPr>
          <w:sz w:val="24"/>
          <w:szCs w:val="24"/>
        </w:rPr>
        <w:t>ing</w:t>
      </w:r>
      <w:r>
        <w:rPr>
          <w:sz w:val="24"/>
          <w:szCs w:val="24"/>
        </w:rPr>
        <w:t xml:space="preserve"> an idealized, harmonious future. The pursuit of an ideal state was a very real concern for many in the nineteenth</w:t>
      </w:r>
      <w:r w:rsidR="00F3534B">
        <w:rPr>
          <w:sz w:val="24"/>
          <w:szCs w:val="24"/>
        </w:rPr>
        <w:t xml:space="preserve"> </w:t>
      </w:r>
      <w:r>
        <w:rPr>
          <w:sz w:val="24"/>
          <w:szCs w:val="24"/>
        </w:rPr>
        <w:t xml:space="preserve">century. Various Americans attempted to create their own versions of Thomas </w:t>
      </w:r>
      <w:proofErr w:type="spellStart"/>
      <w:r>
        <w:rPr>
          <w:sz w:val="24"/>
          <w:szCs w:val="24"/>
        </w:rPr>
        <w:t>More’s</w:t>
      </w:r>
      <w:proofErr w:type="spellEnd"/>
      <w:r>
        <w:rPr>
          <w:sz w:val="24"/>
          <w:szCs w:val="24"/>
        </w:rPr>
        <w:t xml:space="preserve"> utopia, from the famous Reverend Sylvester Graham (1794-1851) and his followers, who championed a popular health movement across the nation,</w:t>
      </w:r>
      <w:r>
        <w:rPr>
          <w:rStyle w:val="FootnoteReference"/>
          <w:sz w:val="24"/>
          <w:szCs w:val="24"/>
        </w:rPr>
        <w:footnoteReference w:id="302"/>
      </w:r>
      <w:r>
        <w:rPr>
          <w:sz w:val="24"/>
          <w:szCs w:val="24"/>
        </w:rPr>
        <w:t xml:space="preserve"> to the Oneida “perfectionists” experiment in communal living in central New York (1848-1881).</w:t>
      </w:r>
      <w:r>
        <w:rPr>
          <w:rStyle w:val="FootnoteReference"/>
          <w:sz w:val="24"/>
          <w:szCs w:val="24"/>
        </w:rPr>
        <w:footnoteReference w:id="303"/>
      </w:r>
      <w:r>
        <w:rPr>
          <w:sz w:val="24"/>
          <w:szCs w:val="24"/>
        </w:rPr>
        <w:t xml:space="preserve"> </w:t>
      </w:r>
      <w:r w:rsidR="006872AA">
        <w:rPr>
          <w:sz w:val="24"/>
          <w:szCs w:val="24"/>
        </w:rPr>
        <w:t>Topical songs, in their explicit presentation of contemporary political and cultural issues and mockery of them</w:t>
      </w:r>
      <w:r w:rsidR="00545A37">
        <w:rPr>
          <w:sz w:val="24"/>
          <w:szCs w:val="24"/>
        </w:rPr>
        <w:t>, critique the supposed move towards a highbrow utopia.</w:t>
      </w:r>
      <w:r w:rsidR="006872AA">
        <w:rPr>
          <w:sz w:val="24"/>
          <w:szCs w:val="24"/>
        </w:rPr>
        <w:t xml:space="preserve"> </w:t>
      </w:r>
      <w:r>
        <w:rPr>
          <w:sz w:val="24"/>
          <w:szCs w:val="24"/>
        </w:rPr>
        <w:t xml:space="preserve">Nineteenth-century American visions of utopia concerned themselves with perfecting society and moving towards a future without the supposed ills of </w:t>
      </w:r>
      <w:r>
        <w:rPr>
          <w:sz w:val="24"/>
          <w:szCs w:val="24"/>
        </w:rPr>
        <w:lastRenderedPageBreak/>
        <w:t>conflict, alcohol, and sexual impulses</w:t>
      </w:r>
      <w:r w:rsidR="00545A37">
        <w:rPr>
          <w:sz w:val="24"/>
          <w:szCs w:val="24"/>
        </w:rPr>
        <w:t xml:space="preserve">, but topical songs revealed that </w:t>
      </w:r>
      <w:r>
        <w:rPr>
          <w:sz w:val="24"/>
          <w:szCs w:val="24"/>
        </w:rPr>
        <w:t>the</w:t>
      </w:r>
      <w:r w:rsidR="00545A37">
        <w:rPr>
          <w:sz w:val="24"/>
          <w:szCs w:val="24"/>
        </w:rPr>
        <w:t>se</w:t>
      </w:r>
      <w:r w:rsidR="007A179D">
        <w:rPr>
          <w:sz w:val="24"/>
          <w:szCs w:val="24"/>
        </w:rPr>
        <w:t xml:space="preserve"> </w:t>
      </w:r>
      <w:r w:rsidR="00545A37">
        <w:rPr>
          <w:sz w:val="24"/>
          <w:szCs w:val="24"/>
        </w:rPr>
        <w:t>lowbrow actions never</w:t>
      </w:r>
      <w:r>
        <w:rPr>
          <w:sz w:val="24"/>
          <w:szCs w:val="24"/>
        </w:rPr>
        <w:t xml:space="preserve"> receded</w:t>
      </w:r>
      <w:r w:rsidR="00545A37">
        <w:rPr>
          <w:sz w:val="24"/>
          <w:szCs w:val="24"/>
        </w:rPr>
        <w:t>.</w:t>
      </w:r>
    </w:p>
    <w:p w:rsidR="009C1165" w:rsidRDefault="009C1165" w:rsidP="009C1165">
      <w:pPr>
        <w:spacing w:line="480" w:lineRule="auto"/>
        <w:ind w:firstLine="720"/>
        <w:rPr>
          <w:sz w:val="24"/>
          <w:szCs w:val="24"/>
        </w:rPr>
      </w:pPr>
      <w:r>
        <w:rPr>
          <w:sz w:val="24"/>
          <w:szCs w:val="24"/>
        </w:rPr>
        <w:t xml:space="preserve"> Not surprisingly, the l</w:t>
      </w:r>
      <w:r w:rsidR="00545A37">
        <w:rPr>
          <w:sz w:val="24"/>
          <w:szCs w:val="24"/>
        </w:rPr>
        <w:t xml:space="preserve">owbrow intruded into the utopia </w:t>
      </w:r>
      <w:r w:rsidR="002111B5">
        <w:rPr>
          <w:sz w:val="24"/>
          <w:szCs w:val="24"/>
        </w:rPr>
        <w:t xml:space="preserve">that </w:t>
      </w:r>
      <w:r>
        <w:rPr>
          <w:sz w:val="24"/>
          <w:szCs w:val="24"/>
        </w:rPr>
        <w:t xml:space="preserve">the parlor attempted to construct. </w:t>
      </w:r>
      <w:r w:rsidRPr="001C5A40">
        <w:rPr>
          <w:sz w:val="24"/>
          <w:szCs w:val="24"/>
        </w:rPr>
        <w:t xml:space="preserve">The same year that </w:t>
      </w:r>
      <w:r w:rsidR="002111B5">
        <w:rPr>
          <w:sz w:val="24"/>
          <w:szCs w:val="24"/>
        </w:rPr>
        <w:t>the</w:t>
      </w:r>
      <w:r w:rsidRPr="001C5A40">
        <w:rPr>
          <w:i/>
          <w:sz w:val="24"/>
          <w:szCs w:val="24"/>
        </w:rPr>
        <w:t xml:space="preserve"> 20</w:t>
      </w:r>
      <w:r w:rsidRPr="001C5A40">
        <w:rPr>
          <w:i/>
          <w:sz w:val="24"/>
          <w:szCs w:val="24"/>
          <w:vertAlign w:val="superscript"/>
        </w:rPr>
        <w:t>th</w:t>
      </w:r>
      <w:r w:rsidRPr="001C5A40">
        <w:rPr>
          <w:i/>
          <w:sz w:val="24"/>
          <w:szCs w:val="24"/>
        </w:rPr>
        <w:t xml:space="preserve"> Century Girl</w:t>
      </w:r>
      <w:r w:rsidRPr="001C5A40">
        <w:rPr>
          <w:sz w:val="24"/>
          <w:szCs w:val="24"/>
        </w:rPr>
        <w:t xml:space="preserve"> premiered, song sheets of the most popular numbers </w:t>
      </w:r>
      <w:r w:rsidR="006D51DC">
        <w:rPr>
          <w:sz w:val="24"/>
          <w:szCs w:val="24"/>
        </w:rPr>
        <w:t xml:space="preserve">from the </w:t>
      </w:r>
      <w:proofErr w:type="spellStart"/>
      <w:r w:rsidR="006D51DC">
        <w:rPr>
          <w:sz w:val="24"/>
          <w:szCs w:val="24"/>
        </w:rPr>
        <w:t>burletta</w:t>
      </w:r>
      <w:proofErr w:type="spellEnd"/>
      <w:r w:rsidR="006D51DC">
        <w:rPr>
          <w:sz w:val="24"/>
          <w:szCs w:val="24"/>
        </w:rPr>
        <w:t xml:space="preserve"> </w:t>
      </w:r>
      <w:r w:rsidRPr="001C5A40">
        <w:rPr>
          <w:sz w:val="24"/>
          <w:szCs w:val="24"/>
        </w:rPr>
        <w:t>circulated across the country.</w:t>
      </w:r>
      <w:r>
        <w:rPr>
          <w:sz w:val="24"/>
          <w:szCs w:val="24"/>
        </w:rPr>
        <w:t xml:space="preserve"> Among them, the “plaintive ballad of ‘The Ambitious Magpie,’” according to the </w:t>
      </w:r>
      <w:r w:rsidRPr="006D51DC">
        <w:rPr>
          <w:i/>
          <w:sz w:val="24"/>
          <w:szCs w:val="24"/>
        </w:rPr>
        <w:t>New York Times</w:t>
      </w:r>
      <w:r>
        <w:rPr>
          <w:sz w:val="24"/>
          <w:szCs w:val="24"/>
        </w:rPr>
        <w:t>, proved “popular.”</w:t>
      </w:r>
      <w:r>
        <w:rPr>
          <w:rStyle w:val="FootnoteReference"/>
          <w:sz w:val="24"/>
          <w:szCs w:val="24"/>
        </w:rPr>
        <w:footnoteReference w:id="304"/>
      </w:r>
      <w:r>
        <w:rPr>
          <w:sz w:val="24"/>
          <w:szCs w:val="24"/>
        </w:rPr>
        <w:t xml:space="preserve"> The magpie’s story has little to do with the plot of t</w:t>
      </w:r>
      <w:r w:rsidRPr="004111F3">
        <w:rPr>
          <w:sz w:val="24"/>
          <w:szCs w:val="24"/>
        </w:rPr>
        <w:t>he</w:t>
      </w:r>
      <w:r w:rsidRPr="004111F3">
        <w:rPr>
          <w:i/>
          <w:sz w:val="24"/>
          <w:szCs w:val="24"/>
        </w:rPr>
        <w:t xml:space="preserve"> 20</w:t>
      </w:r>
      <w:r w:rsidRPr="004111F3">
        <w:rPr>
          <w:i/>
          <w:sz w:val="24"/>
          <w:szCs w:val="24"/>
          <w:vertAlign w:val="superscript"/>
        </w:rPr>
        <w:t>th</w:t>
      </w:r>
      <w:r w:rsidRPr="004111F3">
        <w:rPr>
          <w:i/>
          <w:sz w:val="24"/>
          <w:szCs w:val="24"/>
        </w:rPr>
        <w:t xml:space="preserve"> Century Girl</w:t>
      </w:r>
      <w:r>
        <w:rPr>
          <w:sz w:val="24"/>
          <w:szCs w:val="24"/>
        </w:rPr>
        <w:t xml:space="preserve">, but </w:t>
      </w:r>
      <w:r w:rsidR="002111B5">
        <w:rPr>
          <w:sz w:val="24"/>
          <w:szCs w:val="24"/>
        </w:rPr>
        <w:t>its lyrics reveal the pronounced</w:t>
      </w:r>
      <w:r>
        <w:rPr>
          <w:sz w:val="24"/>
          <w:szCs w:val="24"/>
        </w:rPr>
        <w:t xml:space="preserve"> high and </w:t>
      </w:r>
      <w:r w:rsidR="00782073">
        <w:rPr>
          <w:sz w:val="24"/>
          <w:szCs w:val="24"/>
        </w:rPr>
        <w:t>lowbrow</w:t>
      </w:r>
      <w:r>
        <w:rPr>
          <w:sz w:val="24"/>
          <w:szCs w:val="24"/>
        </w:rPr>
        <w:t xml:space="preserve"> contradictions of late-nineteenth-century America:</w:t>
      </w:r>
    </w:p>
    <w:p w:rsidR="009C1165" w:rsidRDefault="009C1165" w:rsidP="009C1165">
      <w:pPr>
        <w:ind w:firstLine="720"/>
        <w:contextualSpacing/>
        <w:rPr>
          <w:sz w:val="24"/>
          <w:szCs w:val="24"/>
        </w:rPr>
      </w:pPr>
      <w:r>
        <w:rPr>
          <w:sz w:val="24"/>
          <w:szCs w:val="24"/>
        </w:rPr>
        <w:t xml:space="preserve">A magpie once dwelt in a bower of gold, </w:t>
      </w:r>
      <w:proofErr w:type="gramStart"/>
      <w:r>
        <w:rPr>
          <w:sz w:val="24"/>
          <w:szCs w:val="24"/>
        </w:rPr>
        <w:t>A</w:t>
      </w:r>
      <w:proofErr w:type="gramEnd"/>
      <w:r>
        <w:rPr>
          <w:sz w:val="24"/>
          <w:szCs w:val="24"/>
        </w:rPr>
        <w:t xml:space="preserve"> beautiful bird of yore,</w:t>
      </w:r>
    </w:p>
    <w:p w:rsidR="009C1165" w:rsidRDefault="009C1165" w:rsidP="009C1165">
      <w:pPr>
        <w:tabs>
          <w:tab w:val="right" w:pos="9360"/>
        </w:tabs>
        <w:ind w:left="720"/>
        <w:contextualSpacing/>
        <w:rPr>
          <w:sz w:val="24"/>
          <w:szCs w:val="24"/>
        </w:rPr>
      </w:pPr>
      <w:r>
        <w:rPr>
          <w:sz w:val="24"/>
          <w:szCs w:val="24"/>
        </w:rPr>
        <w:t xml:space="preserve">With dainties as full as the bower would hold: A </w:t>
      </w:r>
      <w:proofErr w:type="spellStart"/>
      <w:r>
        <w:rPr>
          <w:sz w:val="24"/>
          <w:szCs w:val="24"/>
        </w:rPr>
        <w:t>pamper’d</w:t>
      </w:r>
      <w:proofErr w:type="spellEnd"/>
      <w:r>
        <w:rPr>
          <w:sz w:val="24"/>
          <w:szCs w:val="24"/>
        </w:rPr>
        <w:t xml:space="preserve"> pet bird of yore!</w:t>
      </w:r>
    </w:p>
    <w:p w:rsidR="009C1165" w:rsidRDefault="009C1165" w:rsidP="009C1165">
      <w:pPr>
        <w:tabs>
          <w:tab w:val="right" w:pos="9360"/>
        </w:tabs>
        <w:ind w:left="720"/>
        <w:contextualSpacing/>
        <w:rPr>
          <w:sz w:val="24"/>
          <w:szCs w:val="24"/>
        </w:rPr>
      </w:pPr>
      <w:r>
        <w:rPr>
          <w:sz w:val="24"/>
          <w:szCs w:val="24"/>
        </w:rPr>
        <w:t xml:space="preserve">With courtliest grace he had </w:t>
      </w:r>
      <w:proofErr w:type="spellStart"/>
      <w:r>
        <w:rPr>
          <w:sz w:val="24"/>
          <w:szCs w:val="24"/>
        </w:rPr>
        <w:t>learn’d</w:t>
      </w:r>
      <w:proofErr w:type="spellEnd"/>
      <w:r>
        <w:rPr>
          <w:sz w:val="24"/>
          <w:szCs w:val="24"/>
        </w:rPr>
        <w:t xml:space="preserve"> to salaam, He’d been taught sweetest words, such as sugar, and jam;</w:t>
      </w:r>
    </w:p>
    <w:p w:rsidR="009C1165" w:rsidRDefault="009C1165" w:rsidP="009C1165">
      <w:pPr>
        <w:tabs>
          <w:tab w:val="right" w:pos="9360"/>
        </w:tabs>
        <w:ind w:left="720"/>
        <w:contextualSpacing/>
        <w:rPr>
          <w:sz w:val="24"/>
          <w:szCs w:val="24"/>
        </w:rPr>
      </w:pPr>
      <w:r>
        <w:rPr>
          <w:sz w:val="24"/>
          <w:szCs w:val="24"/>
        </w:rPr>
        <w:t xml:space="preserve">But he </w:t>
      </w:r>
      <w:proofErr w:type="spellStart"/>
      <w:r>
        <w:rPr>
          <w:sz w:val="24"/>
          <w:szCs w:val="24"/>
        </w:rPr>
        <w:t>pined</w:t>
      </w:r>
      <w:proofErr w:type="spellEnd"/>
      <w:r>
        <w:rPr>
          <w:sz w:val="24"/>
          <w:szCs w:val="24"/>
        </w:rPr>
        <w:t>, in his heart, ‘</w:t>
      </w:r>
      <w:proofErr w:type="gramStart"/>
      <w:r>
        <w:rPr>
          <w:sz w:val="24"/>
          <w:szCs w:val="24"/>
        </w:rPr>
        <w:t>Cause</w:t>
      </w:r>
      <w:proofErr w:type="gramEnd"/>
      <w:r>
        <w:rPr>
          <w:sz w:val="24"/>
          <w:szCs w:val="24"/>
        </w:rPr>
        <w:t xml:space="preserve"> he could not say “damn!” That sorrowful bird of yore!</w:t>
      </w:r>
      <w:r>
        <w:rPr>
          <w:rStyle w:val="FootnoteReference"/>
          <w:sz w:val="24"/>
          <w:szCs w:val="24"/>
        </w:rPr>
        <w:footnoteReference w:id="305"/>
      </w:r>
    </w:p>
    <w:p w:rsidR="009C1165" w:rsidRDefault="009C1165" w:rsidP="009C1165">
      <w:pPr>
        <w:tabs>
          <w:tab w:val="right" w:pos="9360"/>
        </w:tabs>
        <w:ind w:left="720"/>
        <w:contextualSpacing/>
        <w:rPr>
          <w:sz w:val="24"/>
          <w:szCs w:val="24"/>
        </w:rPr>
      </w:pPr>
    </w:p>
    <w:p w:rsidR="009C1165" w:rsidRPr="002F7932" w:rsidRDefault="009C1165" w:rsidP="009C1165">
      <w:pPr>
        <w:tabs>
          <w:tab w:val="right" w:pos="9360"/>
        </w:tabs>
        <w:spacing w:line="480" w:lineRule="auto"/>
        <w:rPr>
          <w:sz w:val="24"/>
          <w:szCs w:val="24"/>
        </w:rPr>
      </w:pPr>
      <w:r>
        <w:rPr>
          <w:sz w:val="24"/>
          <w:szCs w:val="24"/>
        </w:rPr>
        <w:t>As the rather static narrative unfolds, the</w:t>
      </w:r>
      <w:r w:rsidRPr="00AF1EBA">
        <w:rPr>
          <w:sz w:val="24"/>
          <w:szCs w:val="24"/>
        </w:rPr>
        <w:t xml:space="preserve"> magpie</w:t>
      </w:r>
      <w:r>
        <w:rPr>
          <w:sz w:val="24"/>
          <w:szCs w:val="24"/>
        </w:rPr>
        <w:t xml:space="preserve">’s tale presents </w:t>
      </w:r>
      <w:r w:rsidRPr="00AF1EBA">
        <w:rPr>
          <w:sz w:val="24"/>
          <w:szCs w:val="24"/>
        </w:rPr>
        <w:t xml:space="preserve">little more than flimsy pretense to </w:t>
      </w:r>
      <w:r>
        <w:rPr>
          <w:sz w:val="24"/>
          <w:szCs w:val="24"/>
        </w:rPr>
        <w:t>repeatedly say the expletive</w:t>
      </w:r>
      <w:r w:rsidRPr="00AF1EBA">
        <w:rPr>
          <w:sz w:val="24"/>
          <w:szCs w:val="24"/>
        </w:rPr>
        <w:t xml:space="preserve"> “damn!”</w:t>
      </w:r>
      <w:r>
        <w:rPr>
          <w:sz w:val="24"/>
          <w:szCs w:val="24"/>
        </w:rPr>
        <w:t xml:space="preserve"> The song stands out, however, because it paints the bird as a highbrow character, surrounded by extravagant pieces of material culture and putting on graces, yet with a secret desire to transgress. The magpie serves as an apt metaphor for Victorian era American society. The parlor soundscape, with its material items and constructions of genteel behaviors, operated as a kind of bird cage, putting parlor performers on display, but restricting their modes of expression. Performing this type of comic song in the parlor exposes</w:t>
      </w:r>
      <w:r w:rsidRPr="003628DF">
        <w:rPr>
          <w:sz w:val="24"/>
          <w:szCs w:val="24"/>
        </w:rPr>
        <w:t xml:space="preserve"> two </w:t>
      </w:r>
      <w:r>
        <w:rPr>
          <w:sz w:val="24"/>
          <w:szCs w:val="24"/>
        </w:rPr>
        <w:t xml:space="preserve">crucial </w:t>
      </w:r>
      <w:r w:rsidRPr="003628DF">
        <w:rPr>
          <w:sz w:val="24"/>
          <w:szCs w:val="24"/>
        </w:rPr>
        <w:t xml:space="preserve">phenomena: </w:t>
      </w:r>
      <w:r w:rsidR="002111B5">
        <w:rPr>
          <w:sz w:val="24"/>
          <w:szCs w:val="24"/>
        </w:rPr>
        <w:t xml:space="preserve">first, </w:t>
      </w:r>
      <w:r w:rsidRPr="003628DF">
        <w:rPr>
          <w:sz w:val="24"/>
          <w:szCs w:val="24"/>
        </w:rPr>
        <w:t xml:space="preserve">parody and topical songs demonstrate </w:t>
      </w:r>
      <w:r w:rsidRPr="003628DF">
        <w:rPr>
          <w:sz w:val="24"/>
          <w:szCs w:val="24"/>
        </w:rPr>
        <w:lastRenderedPageBreak/>
        <w:t>an acute awareness that nineteenth-century Americ</w:t>
      </w:r>
      <w:r w:rsidR="002111B5">
        <w:rPr>
          <w:sz w:val="24"/>
          <w:szCs w:val="24"/>
        </w:rPr>
        <w:t xml:space="preserve">ans were not living </w:t>
      </w:r>
      <w:proofErr w:type="gramStart"/>
      <w:r w:rsidR="002111B5">
        <w:rPr>
          <w:sz w:val="24"/>
          <w:szCs w:val="24"/>
        </w:rPr>
        <w:t>in a utopia; second, performers</w:t>
      </w:r>
      <w:proofErr w:type="gramEnd"/>
      <w:r w:rsidR="002111B5">
        <w:rPr>
          <w:sz w:val="24"/>
          <w:szCs w:val="24"/>
        </w:rPr>
        <w:t xml:space="preserve"> desired to </w:t>
      </w:r>
      <w:r>
        <w:rPr>
          <w:sz w:val="24"/>
          <w:szCs w:val="24"/>
        </w:rPr>
        <w:t>enact low</w:t>
      </w:r>
      <w:r w:rsidRPr="003628DF">
        <w:rPr>
          <w:sz w:val="24"/>
          <w:szCs w:val="24"/>
        </w:rPr>
        <w:t>brow</w:t>
      </w:r>
      <w:r>
        <w:rPr>
          <w:sz w:val="24"/>
          <w:szCs w:val="24"/>
        </w:rPr>
        <w:t>,</w:t>
      </w:r>
      <w:r w:rsidRPr="003628DF">
        <w:rPr>
          <w:sz w:val="24"/>
          <w:szCs w:val="24"/>
        </w:rPr>
        <w:t xml:space="preserve"> anti-ut</w:t>
      </w:r>
      <w:r>
        <w:rPr>
          <w:sz w:val="24"/>
          <w:szCs w:val="24"/>
        </w:rPr>
        <w:t>opian behaviors. Topical comic songs, in addressing the real world, and not an idealized one, exposed the persistence of the lowbrow. Their place in</w:t>
      </w:r>
      <w:r w:rsidR="002111B5">
        <w:rPr>
          <w:sz w:val="24"/>
          <w:szCs w:val="24"/>
        </w:rPr>
        <w:t xml:space="preserve"> the parlor reveals that</w:t>
      </w:r>
      <w:r>
        <w:rPr>
          <w:sz w:val="24"/>
          <w:szCs w:val="24"/>
        </w:rPr>
        <w:t xml:space="preserve"> the wor</w:t>
      </w:r>
      <w:r w:rsidR="002111B5">
        <w:rPr>
          <w:sz w:val="24"/>
          <w:szCs w:val="24"/>
        </w:rPr>
        <w:t>ld of highbrow manners was not</w:t>
      </w:r>
      <w:r>
        <w:rPr>
          <w:sz w:val="24"/>
          <w:szCs w:val="24"/>
        </w:rPr>
        <w:t xml:space="preserve"> </w:t>
      </w:r>
      <w:r w:rsidR="002111B5">
        <w:rPr>
          <w:sz w:val="24"/>
          <w:szCs w:val="24"/>
        </w:rPr>
        <w:t xml:space="preserve">a universal </w:t>
      </w:r>
      <w:r>
        <w:rPr>
          <w:sz w:val="24"/>
          <w:szCs w:val="24"/>
        </w:rPr>
        <w:t>utopia. Comic songs allowed performers to escape from the highbrow vision of perfection into the subversively desirable realm of the low.</w:t>
      </w:r>
    </w:p>
    <w:p w:rsidR="009C1165" w:rsidRDefault="009C1165" w:rsidP="009C1165">
      <w:pPr>
        <w:spacing w:line="480" w:lineRule="auto"/>
        <w:ind w:firstLine="720"/>
        <w:rPr>
          <w:sz w:val="24"/>
          <w:szCs w:val="24"/>
        </w:rPr>
      </w:pPr>
      <w:r>
        <w:rPr>
          <w:sz w:val="24"/>
          <w:szCs w:val="24"/>
        </w:rPr>
        <w:t>Comic songs proliferated across the country and enough Americans chose to embody alternate identities in their gestu</w:t>
      </w:r>
      <w:r w:rsidR="006D51DC">
        <w:rPr>
          <w:sz w:val="24"/>
          <w:szCs w:val="24"/>
        </w:rPr>
        <w:t>res and voice to support nation</w:t>
      </w:r>
      <w:r>
        <w:rPr>
          <w:sz w:val="24"/>
          <w:szCs w:val="24"/>
        </w:rPr>
        <w:t>wide industries. While the cultural momentum of the time advocated</w:t>
      </w:r>
      <w:r w:rsidR="002111B5">
        <w:rPr>
          <w:sz w:val="24"/>
          <w:szCs w:val="24"/>
        </w:rPr>
        <w:t xml:space="preserve"> for</w:t>
      </w:r>
      <w:r>
        <w:rPr>
          <w:sz w:val="24"/>
          <w:szCs w:val="24"/>
        </w:rPr>
        <w:t xml:space="preserve"> refined identities as a means of gaugi</w:t>
      </w:r>
      <w:r w:rsidR="002111B5">
        <w:rPr>
          <w:sz w:val="24"/>
          <w:szCs w:val="24"/>
        </w:rPr>
        <w:t>ng social value, Americans still chose</w:t>
      </w:r>
      <w:r>
        <w:rPr>
          <w:sz w:val="24"/>
          <w:szCs w:val="24"/>
        </w:rPr>
        <w:t xml:space="preserve"> to entertain themselves with low, crass songs. Embodying such identities offered som</w:t>
      </w:r>
      <w:r w:rsidR="002111B5">
        <w:rPr>
          <w:sz w:val="24"/>
          <w:szCs w:val="24"/>
        </w:rPr>
        <w:t>ething that the highbrow failed to provide</w:t>
      </w:r>
      <w:r>
        <w:rPr>
          <w:sz w:val="24"/>
          <w:szCs w:val="24"/>
        </w:rPr>
        <w:t>.</w:t>
      </w:r>
    </w:p>
    <w:p w:rsidR="009C1165" w:rsidRDefault="009C1165" w:rsidP="009C1165">
      <w:pPr>
        <w:tabs>
          <w:tab w:val="left" w:pos="4200"/>
        </w:tabs>
        <w:spacing w:line="480" w:lineRule="auto"/>
        <w:ind w:firstLine="720"/>
        <w:contextualSpacing/>
        <w:rPr>
          <w:sz w:val="24"/>
          <w:szCs w:val="24"/>
        </w:rPr>
      </w:pPr>
      <w:r>
        <w:rPr>
          <w:sz w:val="24"/>
          <w:szCs w:val="24"/>
        </w:rPr>
        <w:t>The multiple</w:t>
      </w:r>
      <w:r w:rsidRPr="00A0455E">
        <w:rPr>
          <w:sz w:val="24"/>
          <w:szCs w:val="24"/>
        </w:rPr>
        <w:t xml:space="preserve"> layers </w:t>
      </w:r>
      <w:r>
        <w:rPr>
          <w:sz w:val="24"/>
          <w:szCs w:val="24"/>
        </w:rPr>
        <w:t xml:space="preserve">of meaning and significations in parlor songs </w:t>
      </w:r>
      <w:r w:rsidRPr="00A0455E">
        <w:rPr>
          <w:sz w:val="24"/>
          <w:szCs w:val="24"/>
        </w:rPr>
        <w:t>act</w:t>
      </w:r>
      <w:r>
        <w:rPr>
          <w:sz w:val="24"/>
          <w:szCs w:val="24"/>
        </w:rPr>
        <w:t>ed out broader soci</w:t>
      </w:r>
      <w:r w:rsidRPr="00A0455E">
        <w:rPr>
          <w:sz w:val="24"/>
          <w:szCs w:val="24"/>
        </w:rPr>
        <w:t>al conflicts.</w:t>
      </w:r>
      <w:r>
        <w:rPr>
          <w:sz w:val="24"/>
          <w:szCs w:val="24"/>
        </w:rPr>
        <w:t xml:space="preserve"> British film scholar Richard Dyer believes entertainment is capable of enacting these conflicts by allowing people to escape into the realizations of external forms. Dyer specifically studies the genre of musicals, but in his</w:t>
      </w:r>
      <w:r w:rsidRPr="00A0455E">
        <w:rPr>
          <w:sz w:val="24"/>
          <w:szCs w:val="24"/>
        </w:rPr>
        <w:t xml:space="preserve"> influential monograph</w:t>
      </w:r>
      <w:r>
        <w:rPr>
          <w:sz w:val="24"/>
          <w:szCs w:val="24"/>
        </w:rPr>
        <w:t>,</w:t>
      </w:r>
      <w:r w:rsidRPr="00A0455E">
        <w:rPr>
          <w:sz w:val="24"/>
          <w:szCs w:val="24"/>
        </w:rPr>
        <w:t xml:space="preserve"> </w:t>
      </w:r>
      <w:r>
        <w:rPr>
          <w:i/>
          <w:sz w:val="24"/>
          <w:szCs w:val="24"/>
        </w:rPr>
        <w:t>Only</w:t>
      </w:r>
      <w:r>
        <w:rPr>
          <w:sz w:val="24"/>
          <w:szCs w:val="24"/>
        </w:rPr>
        <w:t xml:space="preserve"> </w:t>
      </w:r>
      <w:r w:rsidRPr="00C6109B">
        <w:rPr>
          <w:i/>
          <w:sz w:val="24"/>
          <w:szCs w:val="24"/>
        </w:rPr>
        <w:t>Entertainment</w:t>
      </w:r>
      <w:r>
        <w:rPr>
          <w:sz w:val="24"/>
          <w:szCs w:val="24"/>
        </w:rPr>
        <w:t>, he theorizes</w:t>
      </w:r>
      <w:r w:rsidRPr="00A0455E">
        <w:rPr>
          <w:sz w:val="24"/>
          <w:szCs w:val="24"/>
        </w:rPr>
        <w:t xml:space="preserve"> that </w:t>
      </w:r>
      <w:r w:rsidR="0094502B">
        <w:rPr>
          <w:sz w:val="24"/>
          <w:szCs w:val="24"/>
        </w:rPr>
        <w:t xml:space="preserve">the </w:t>
      </w:r>
      <w:r>
        <w:rPr>
          <w:sz w:val="24"/>
          <w:szCs w:val="24"/>
        </w:rPr>
        <w:t>description of</w:t>
      </w:r>
      <w:r w:rsidR="0094502B">
        <w:rPr>
          <w:sz w:val="24"/>
          <w:szCs w:val="24"/>
        </w:rPr>
        <w:t xml:space="preserve"> entertainment as “escape” underlines </w:t>
      </w:r>
      <w:proofErr w:type="gramStart"/>
      <w:r w:rsidR="0094502B">
        <w:rPr>
          <w:sz w:val="24"/>
          <w:szCs w:val="24"/>
        </w:rPr>
        <w:t>entertainment’s</w:t>
      </w:r>
      <w:proofErr w:type="gramEnd"/>
      <w:r w:rsidRPr="00A0455E">
        <w:rPr>
          <w:sz w:val="24"/>
          <w:szCs w:val="24"/>
        </w:rPr>
        <w:t xml:space="preserve"> </w:t>
      </w:r>
      <w:r w:rsidR="0094502B">
        <w:rPr>
          <w:sz w:val="24"/>
          <w:szCs w:val="24"/>
        </w:rPr>
        <w:t>“</w:t>
      </w:r>
      <w:r w:rsidRPr="00A0455E">
        <w:rPr>
          <w:sz w:val="24"/>
          <w:szCs w:val="24"/>
        </w:rPr>
        <w:t>central thrust…utopianism.”</w:t>
      </w:r>
      <w:r w:rsidRPr="00A0455E">
        <w:rPr>
          <w:rStyle w:val="FootnoteReference"/>
          <w:sz w:val="24"/>
          <w:szCs w:val="24"/>
        </w:rPr>
        <w:footnoteReference w:id="306"/>
      </w:r>
      <w:r>
        <w:rPr>
          <w:sz w:val="24"/>
          <w:szCs w:val="24"/>
        </w:rPr>
        <w:t xml:space="preserve"> </w:t>
      </w:r>
      <w:r w:rsidRPr="00A0455E">
        <w:rPr>
          <w:sz w:val="24"/>
          <w:szCs w:val="24"/>
        </w:rPr>
        <w:t>Dyer believes this utopianism manifests itself in entertainment because it “offers the image of ‘something better’ to escape into, or something we want deeply that our day-to-day lives don’t provide.”</w:t>
      </w:r>
      <w:r w:rsidRPr="00A0455E">
        <w:rPr>
          <w:rStyle w:val="FootnoteReference"/>
          <w:sz w:val="24"/>
          <w:szCs w:val="24"/>
        </w:rPr>
        <w:footnoteReference w:id="307"/>
      </w:r>
      <w:r w:rsidRPr="00A0455E">
        <w:rPr>
          <w:sz w:val="24"/>
          <w:szCs w:val="24"/>
        </w:rPr>
        <w:t xml:space="preserve"> En</w:t>
      </w:r>
      <w:r>
        <w:rPr>
          <w:sz w:val="24"/>
          <w:szCs w:val="24"/>
        </w:rPr>
        <w:t>tertainment forms like parlor musicales</w:t>
      </w:r>
      <w:r w:rsidRPr="00A0455E">
        <w:rPr>
          <w:sz w:val="24"/>
          <w:szCs w:val="24"/>
        </w:rPr>
        <w:t xml:space="preserve"> give a </w:t>
      </w:r>
      <w:r w:rsidRPr="00A0455E">
        <w:rPr>
          <w:sz w:val="24"/>
          <w:szCs w:val="24"/>
        </w:rPr>
        <w:lastRenderedPageBreak/>
        <w:t>sense “that something other than what is can be imagined and maybe realized.”</w:t>
      </w:r>
      <w:r w:rsidRPr="00A0455E">
        <w:rPr>
          <w:rStyle w:val="FootnoteReference"/>
          <w:sz w:val="24"/>
          <w:szCs w:val="24"/>
        </w:rPr>
        <w:footnoteReference w:id="308"/>
      </w:r>
      <w:r>
        <w:rPr>
          <w:sz w:val="24"/>
          <w:szCs w:val="24"/>
        </w:rPr>
        <w:t xml:space="preserve"> As Dyer explains elsewhere, they accomplish this not by directly depicting utopia, but “what utopia would feel like.”</w:t>
      </w:r>
      <w:r>
        <w:rPr>
          <w:rStyle w:val="FootnoteReference"/>
          <w:sz w:val="24"/>
          <w:szCs w:val="24"/>
        </w:rPr>
        <w:footnoteReference w:id="309"/>
      </w:r>
      <w:r>
        <w:rPr>
          <w:sz w:val="24"/>
          <w:szCs w:val="24"/>
        </w:rPr>
        <w:t xml:space="preserve"> The “utopian sensibility” of entertainment, according to Dyer</w:t>
      </w:r>
      <w:r w:rsidR="0094502B">
        <w:rPr>
          <w:sz w:val="24"/>
          <w:szCs w:val="24"/>
        </w:rPr>
        <w:t>,</w:t>
      </w:r>
      <w:r>
        <w:rPr>
          <w:sz w:val="24"/>
          <w:szCs w:val="24"/>
        </w:rPr>
        <w:t xml:space="preserve"> corresponds to “specific inadequacies in society.”</w:t>
      </w:r>
      <w:r>
        <w:rPr>
          <w:rStyle w:val="FootnoteReference"/>
          <w:sz w:val="24"/>
          <w:szCs w:val="24"/>
        </w:rPr>
        <w:footnoteReference w:id="310"/>
      </w:r>
      <w:r>
        <w:rPr>
          <w:sz w:val="24"/>
          <w:szCs w:val="24"/>
        </w:rPr>
        <w:t xml:space="preserve"> Thus, if there is a sense of “social tension/inadequacy/absence” such as “dreariness</w:t>
      </w:r>
      <w:r w:rsidR="006D51DC">
        <w:rPr>
          <w:sz w:val="24"/>
          <w:szCs w:val="24"/>
        </w:rPr>
        <w:t>,</w:t>
      </w:r>
      <w:r>
        <w:rPr>
          <w:sz w:val="24"/>
          <w:szCs w:val="24"/>
        </w:rPr>
        <w:t>” then entertainment will present a feeling of “intensity.”</w:t>
      </w:r>
      <w:r>
        <w:rPr>
          <w:rStyle w:val="FootnoteReference"/>
          <w:sz w:val="24"/>
          <w:szCs w:val="24"/>
        </w:rPr>
        <w:footnoteReference w:id="311"/>
      </w:r>
      <w:r>
        <w:rPr>
          <w:sz w:val="24"/>
          <w:szCs w:val="24"/>
        </w:rPr>
        <w:t xml:space="preserve"> </w:t>
      </w:r>
      <w:r w:rsidR="0094502B">
        <w:rPr>
          <w:sz w:val="24"/>
          <w:szCs w:val="24"/>
        </w:rPr>
        <w:t>Whatever the perceived ills of society are, entertainment allows an escape into their inverse. In Dyer’s theory of entertainment, a</w:t>
      </w:r>
      <w:r>
        <w:rPr>
          <w:sz w:val="24"/>
          <w:szCs w:val="24"/>
        </w:rPr>
        <w:t xml:space="preserve">s nineteenth-century America struggled with the construction of class, </w:t>
      </w:r>
      <w:r w:rsidR="00CB6659">
        <w:rPr>
          <w:sz w:val="24"/>
          <w:szCs w:val="24"/>
        </w:rPr>
        <w:t>then entertainment should</w:t>
      </w:r>
      <w:r>
        <w:rPr>
          <w:sz w:val="24"/>
          <w:szCs w:val="24"/>
        </w:rPr>
        <w:t xml:space="preserve"> address this tension by presenting how an ordered, harmonious, and g</w:t>
      </w:r>
      <w:r w:rsidR="00CB6659">
        <w:rPr>
          <w:sz w:val="24"/>
          <w:szCs w:val="24"/>
        </w:rPr>
        <w:t xml:space="preserve">enteel </w:t>
      </w:r>
      <w:r w:rsidR="00CA786B">
        <w:rPr>
          <w:sz w:val="24"/>
          <w:szCs w:val="24"/>
        </w:rPr>
        <w:t>society would feel. Uniquely,</w:t>
      </w:r>
      <w:r w:rsidR="00CB6659">
        <w:rPr>
          <w:sz w:val="24"/>
          <w:szCs w:val="24"/>
        </w:rPr>
        <w:t xml:space="preserve"> comic songs worked in opposition to this model, presenting critiques of reality rather than utopian escapism</w:t>
      </w:r>
      <w:r>
        <w:rPr>
          <w:sz w:val="24"/>
          <w:szCs w:val="24"/>
        </w:rPr>
        <w:t>.</w:t>
      </w:r>
    </w:p>
    <w:p w:rsidR="009C1165" w:rsidRDefault="004436D6" w:rsidP="009C1165">
      <w:pPr>
        <w:tabs>
          <w:tab w:val="left" w:pos="4200"/>
        </w:tabs>
        <w:spacing w:line="480" w:lineRule="auto"/>
        <w:ind w:firstLine="720"/>
        <w:contextualSpacing/>
        <w:rPr>
          <w:sz w:val="24"/>
          <w:szCs w:val="24"/>
        </w:rPr>
      </w:pPr>
      <w:r>
        <w:rPr>
          <w:sz w:val="24"/>
          <w:szCs w:val="24"/>
        </w:rPr>
        <w:t>Examining o</w:t>
      </w:r>
      <w:r w:rsidR="009C1165">
        <w:rPr>
          <w:sz w:val="24"/>
          <w:szCs w:val="24"/>
        </w:rPr>
        <w:t>ther cont</w:t>
      </w:r>
      <w:r w:rsidR="00CA786B">
        <w:rPr>
          <w:sz w:val="24"/>
          <w:szCs w:val="24"/>
        </w:rPr>
        <w:t>emporary entertainment forms</w:t>
      </w:r>
      <w:r w:rsidR="009C1165">
        <w:rPr>
          <w:sz w:val="24"/>
          <w:szCs w:val="24"/>
        </w:rPr>
        <w:t xml:space="preserve"> such as melodrama, a theatrical practice characterized by exaggeratedly clear characters, emotio</w:t>
      </w:r>
      <w:r>
        <w:rPr>
          <w:sz w:val="24"/>
          <w:szCs w:val="24"/>
        </w:rPr>
        <w:t>ns, and plots,</w:t>
      </w:r>
      <w:r w:rsidR="00CA786B">
        <w:rPr>
          <w:sz w:val="24"/>
          <w:szCs w:val="24"/>
        </w:rPr>
        <w:t xml:space="preserve"> </w:t>
      </w:r>
      <w:r>
        <w:rPr>
          <w:sz w:val="24"/>
          <w:szCs w:val="24"/>
        </w:rPr>
        <w:t xml:space="preserve">reveals how the </w:t>
      </w:r>
      <w:r w:rsidR="009C1165">
        <w:rPr>
          <w:sz w:val="24"/>
          <w:szCs w:val="24"/>
        </w:rPr>
        <w:t>extremes of identities represented</w:t>
      </w:r>
      <w:r>
        <w:rPr>
          <w:sz w:val="24"/>
          <w:szCs w:val="24"/>
        </w:rPr>
        <w:t xml:space="preserve"> in performances</w:t>
      </w:r>
      <w:r w:rsidR="009C1165">
        <w:rPr>
          <w:sz w:val="24"/>
          <w:szCs w:val="24"/>
        </w:rPr>
        <w:t xml:space="preserve"> allow</w:t>
      </w:r>
      <w:r w:rsidR="00CA786B">
        <w:rPr>
          <w:sz w:val="24"/>
          <w:szCs w:val="24"/>
        </w:rPr>
        <w:t>ed</w:t>
      </w:r>
      <w:r w:rsidR="009C1165">
        <w:rPr>
          <w:sz w:val="24"/>
          <w:szCs w:val="24"/>
        </w:rPr>
        <w:t xml:space="preserve"> the overflow of social ten</w:t>
      </w:r>
      <w:r w:rsidR="00CA786B">
        <w:rPr>
          <w:sz w:val="24"/>
          <w:szCs w:val="24"/>
        </w:rPr>
        <w:t>sions to emerge</w:t>
      </w:r>
      <w:r w:rsidR="009C1165">
        <w:rPr>
          <w:sz w:val="24"/>
          <w:szCs w:val="24"/>
        </w:rPr>
        <w:t>. The clearly signified identities of nineteenth-century song and melodrama provided powerful means of confronting tensions, and their extremes of representation in music and gestures</w:t>
      </w:r>
      <w:r w:rsidR="009C1165" w:rsidRPr="00A0455E">
        <w:rPr>
          <w:sz w:val="24"/>
          <w:szCs w:val="24"/>
        </w:rPr>
        <w:t xml:space="preserve"> have led numerous scholars to connect </w:t>
      </w:r>
      <w:r w:rsidR="009C1165">
        <w:rPr>
          <w:sz w:val="24"/>
          <w:szCs w:val="24"/>
        </w:rPr>
        <w:t>these types of entertainments to</w:t>
      </w:r>
      <w:r w:rsidR="009C1165" w:rsidRPr="00A0455E">
        <w:rPr>
          <w:sz w:val="24"/>
          <w:szCs w:val="24"/>
        </w:rPr>
        <w:t xml:space="preserve"> Freudian analysis. </w:t>
      </w:r>
      <w:r w:rsidR="009C1165">
        <w:rPr>
          <w:sz w:val="24"/>
          <w:szCs w:val="24"/>
        </w:rPr>
        <w:t xml:space="preserve">In studying melodrama, </w:t>
      </w:r>
      <w:r w:rsidR="009C1165" w:rsidRPr="00A0455E">
        <w:rPr>
          <w:sz w:val="24"/>
          <w:szCs w:val="24"/>
        </w:rPr>
        <w:t xml:space="preserve">Geoffrey </w:t>
      </w:r>
      <w:proofErr w:type="spellStart"/>
      <w:r w:rsidR="009C1165" w:rsidRPr="00A0455E">
        <w:rPr>
          <w:sz w:val="24"/>
          <w:szCs w:val="24"/>
        </w:rPr>
        <w:t>Nowell</w:t>
      </w:r>
      <w:proofErr w:type="spellEnd"/>
      <w:r w:rsidR="009C1165" w:rsidRPr="00A0455E">
        <w:rPr>
          <w:sz w:val="24"/>
          <w:szCs w:val="24"/>
        </w:rPr>
        <w:t>-Smith compared</w:t>
      </w:r>
      <w:r w:rsidR="009C1165">
        <w:rPr>
          <w:sz w:val="24"/>
          <w:szCs w:val="24"/>
        </w:rPr>
        <w:t xml:space="preserve"> the excesses of the form to</w:t>
      </w:r>
      <w:r w:rsidR="009C1165" w:rsidRPr="00A0455E">
        <w:rPr>
          <w:sz w:val="24"/>
          <w:szCs w:val="24"/>
        </w:rPr>
        <w:t xml:space="preserve"> Freud’s concept of “conversion hysteria,” where repressed emotions emerge “as physical </w:t>
      </w:r>
      <w:r w:rsidR="009C1165" w:rsidRPr="00A0455E">
        <w:rPr>
          <w:sz w:val="24"/>
          <w:szCs w:val="24"/>
        </w:rPr>
        <w:lastRenderedPageBreak/>
        <w:t>symptoms.”</w:t>
      </w:r>
      <w:r w:rsidR="009C1165" w:rsidRPr="00A0455E">
        <w:rPr>
          <w:rStyle w:val="FootnoteReference"/>
          <w:sz w:val="24"/>
          <w:szCs w:val="24"/>
        </w:rPr>
        <w:footnoteReference w:id="312"/>
      </w:r>
      <w:r w:rsidR="009C1165" w:rsidRPr="00A0455E">
        <w:rPr>
          <w:sz w:val="24"/>
          <w:szCs w:val="24"/>
        </w:rPr>
        <w:t xml:space="preserve"> Similarly,</w:t>
      </w:r>
      <w:r w:rsidR="009C1165">
        <w:rPr>
          <w:sz w:val="24"/>
          <w:szCs w:val="24"/>
        </w:rPr>
        <w:t xml:space="preserve"> melodrama historian Peter</w:t>
      </w:r>
      <w:r w:rsidR="009C1165" w:rsidRPr="00A0455E">
        <w:rPr>
          <w:sz w:val="24"/>
          <w:szCs w:val="24"/>
        </w:rPr>
        <w:t xml:space="preserve"> Brooks connected melodrama to “the psychoanalytic concept of ‘acting out,’” which uses the body along with “its actions, gestures, its sites of irritation and excitation, to represent meanings that might otherwise be unavailabl</w:t>
      </w:r>
      <w:r w:rsidR="009C1165">
        <w:rPr>
          <w:sz w:val="24"/>
          <w:szCs w:val="24"/>
        </w:rPr>
        <w:t>e to representation because they</w:t>
      </w:r>
      <w:r w:rsidR="009C1165" w:rsidRPr="00A0455E">
        <w:rPr>
          <w:sz w:val="24"/>
          <w:szCs w:val="24"/>
        </w:rPr>
        <w:t xml:space="preserve"> are somehow under the bar of repression.”</w:t>
      </w:r>
      <w:r w:rsidR="009C1165" w:rsidRPr="00A0455E">
        <w:rPr>
          <w:rStyle w:val="FootnoteReference"/>
          <w:sz w:val="24"/>
          <w:szCs w:val="24"/>
        </w:rPr>
        <w:footnoteReference w:id="313"/>
      </w:r>
      <w:r w:rsidR="009C1165">
        <w:rPr>
          <w:sz w:val="24"/>
          <w:szCs w:val="24"/>
        </w:rPr>
        <w:t xml:space="preserve"> The central conflict for melodrama’s heroes and heroines is often repression, and an inability to express </w:t>
      </w:r>
      <w:proofErr w:type="gramStart"/>
      <w:r w:rsidR="009C1165">
        <w:rPr>
          <w:sz w:val="24"/>
          <w:szCs w:val="24"/>
        </w:rPr>
        <w:t>oneself</w:t>
      </w:r>
      <w:proofErr w:type="gramEnd"/>
      <w:r w:rsidR="009C1165">
        <w:rPr>
          <w:sz w:val="24"/>
          <w:szCs w:val="24"/>
        </w:rPr>
        <w:t>, just as those living in the Victorian era, with its emphasis on highbro</w:t>
      </w:r>
      <w:r>
        <w:rPr>
          <w:sz w:val="24"/>
          <w:szCs w:val="24"/>
        </w:rPr>
        <w:t>w, genteel ideas, may repressed</w:t>
      </w:r>
      <w:r w:rsidR="009C1165">
        <w:rPr>
          <w:sz w:val="24"/>
          <w:szCs w:val="24"/>
        </w:rPr>
        <w:t xml:space="preserve"> certain types of expression</w:t>
      </w:r>
      <w:r w:rsidR="009C1165" w:rsidRPr="00A0455E">
        <w:rPr>
          <w:sz w:val="24"/>
          <w:szCs w:val="24"/>
        </w:rPr>
        <w:t>. As</w:t>
      </w:r>
      <w:r w:rsidR="009C1165">
        <w:rPr>
          <w:sz w:val="24"/>
          <w:szCs w:val="24"/>
        </w:rPr>
        <w:t xml:space="preserve"> John</w:t>
      </w:r>
      <w:r w:rsidR="009C1165" w:rsidRPr="00A0455E">
        <w:rPr>
          <w:sz w:val="24"/>
          <w:szCs w:val="24"/>
        </w:rPr>
        <w:t xml:space="preserve"> Mercer and</w:t>
      </w:r>
      <w:r w:rsidR="009C1165">
        <w:rPr>
          <w:sz w:val="24"/>
          <w:szCs w:val="24"/>
        </w:rPr>
        <w:t xml:space="preserve"> Martin</w:t>
      </w:r>
      <w:r w:rsidR="009C1165" w:rsidRPr="00A0455E">
        <w:rPr>
          <w:sz w:val="24"/>
          <w:szCs w:val="24"/>
        </w:rPr>
        <w:t xml:space="preserve"> </w:t>
      </w:r>
      <w:proofErr w:type="spellStart"/>
      <w:r w:rsidR="009C1165" w:rsidRPr="00A0455E">
        <w:rPr>
          <w:sz w:val="24"/>
          <w:szCs w:val="24"/>
        </w:rPr>
        <w:t>Shingler</w:t>
      </w:r>
      <w:proofErr w:type="spellEnd"/>
      <w:r w:rsidR="009C1165" w:rsidRPr="00A0455E">
        <w:rPr>
          <w:sz w:val="24"/>
          <w:szCs w:val="24"/>
        </w:rPr>
        <w:t xml:space="preserve"> observe</w:t>
      </w:r>
      <w:r w:rsidR="009C1165">
        <w:rPr>
          <w:sz w:val="24"/>
          <w:szCs w:val="24"/>
        </w:rPr>
        <w:t>d</w:t>
      </w:r>
      <w:r w:rsidR="009C1165" w:rsidRPr="00A0455E">
        <w:rPr>
          <w:sz w:val="24"/>
          <w:szCs w:val="24"/>
        </w:rPr>
        <w:t>, “</w:t>
      </w:r>
      <w:proofErr w:type="gramStart"/>
      <w:r w:rsidR="009C1165" w:rsidRPr="00A0455E">
        <w:rPr>
          <w:sz w:val="24"/>
          <w:szCs w:val="24"/>
        </w:rPr>
        <w:t>melodrama’s</w:t>
      </w:r>
      <w:proofErr w:type="gramEnd"/>
      <w:r w:rsidR="009C1165" w:rsidRPr="00A0455E">
        <w:rPr>
          <w:sz w:val="24"/>
          <w:szCs w:val="24"/>
        </w:rPr>
        <w:t xml:space="preserve"> characters are noted by their inability to take action to resolve their problems; they are effectively oppressed and repressed individuals.”</w:t>
      </w:r>
      <w:r w:rsidR="009C1165" w:rsidRPr="00A0455E">
        <w:rPr>
          <w:rStyle w:val="FootnoteReference"/>
          <w:sz w:val="24"/>
          <w:szCs w:val="24"/>
        </w:rPr>
        <w:footnoteReference w:id="314"/>
      </w:r>
      <w:r w:rsidR="009C1165" w:rsidRPr="00A0455E">
        <w:rPr>
          <w:sz w:val="24"/>
          <w:szCs w:val="24"/>
        </w:rPr>
        <w:t xml:space="preserve"> As a consequence, “we see emotions and tensions build up that cannot be turned into action,” and according to Mercer and </w:t>
      </w:r>
      <w:proofErr w:type="spellStart"/>
      <w:r w:rsidR="009C1165" w:rsidRPr="00A0455E">
        <w:rPr>
          <w:sz w:val="24"/>
          <w:szCs w:val="24"/>
        </w:rPr>
        <w:t>Shingler</w:t>
      </w:r>
      <w:proofErr w:type="spellEnd"/>
      <w:r w:rsidR="009C1165" w:rsidRPr="00A0455E">
        <w:rPr>
          <w:sz w:val="24"/>
          <w:szCs w:val="24"/>
        </w:rPr>
        <w:t xml:space="preserve">, these emotions manifest themselves in the “music and </w:t>
      </w:r>
      <w:proofErr w:type="spellStart"/>
      <w:r w:rsidR="009C1165" w:rsidRPr="00A0455E">
        <w:rPr>
          <w:i/>
          <w:sz w:val="24"/>
          <w:szCs w:val="24"/>
        </w:rPr>
        <w:t>mise</w:t>
      </w:r>
      <w:proofErr w:type="spellEnd"/>
      <w:r w:rsidR="009C1165" w:rsidRPr="00A0455E">
        <w:rPr>
          <w:i/>
          <w:sz w:val="24"/>
          <w:szCs w:val="24"/>
        </w:rPr>
        <w:t>-en-sc</w:t>
      </w:r>
      <w:r w:rsidR="009C1165" w:rsidRPr="00A0455E">
        <w:rPr>
          <w:rFonts w:cstheme="minorHAnsi"/>
          <w:i/>
          <w:sz w:val="24"/>
          <w:szCs w:val="24"/>
        </w:rPr>
        <w:t>è</w:t>
      </w:r>
      <w:r w:rsidR="009C1165" w:rsidRPr="00A0455E">
        <w:rPr>
          <w:i/>
          <w:sz w:val="24"/>
          <w:szCs w:val="24"/>
        </w:rPr>
        <w:t>ne</w:t>
      </w:r>
      <w:r w:rsidR="009C1165" w:rsidRPr="00A0455E">
        <w:rPr>
          <w:sz w:val="24"/>
          <w:szCs w:val="24"/>
        </w:rPr>
        <w:t>.”</w:t>
      </w:r>
      <w:r w:rsidR="009C1165" w:rsidRPr="00A0455E">
        <w:rPr>
          <w:rStyle w:val="FootnoteReference"/>
          <w:sz w:val="24"/>
          <w:szCs w:val="24"/>
        </w:rPr>
        <w:footnoteReference w:id="315"/>
      </w:r>
      <w:r w:rsidR="009C1165" w:rsidRPr="00A0455E">
        <w:rPr>
          <w:sz w:val="24"/>
          <w:szCs w:val="24"/>
        </w:rPr>
        <w:t xml:space="preserve"> Mercer and </w:t>
      </w:r>
      <w:proofErr w:type="spellStart"/>
      <w:r w:rsidR="009C1165" w:rsidRPr="00A0455E">
        <w:rPr>
          <w:sz w:val="24"/>
          <w:szCs w:val="24"/>
        </w:rPr>
        <w:t>Shingler</w:t>
      </w:r>
      <w:proofErr w:type="spellEnd"/>
      <w:r w:rsidR="009C1165" w:rsidRPr="00A0455E">
        <w:rPr>
          <w:sz w:val="24"/>
          <w:szCs w:val="24"/>
        </w:rPr>
        <w:t xml:space="preserve"> concur with </w:t>
      </w:r>
      <w:proofErr w:type="spellStart"/>
      <w:r w:rsidR="009C1165" w:rsidRPr="00A0455E">
        <w:rPr>
          <w:sz w:val="24"/>
          <w:szCs w:val="24"/>
        </w:rPr>
        <w:t>Nowell</w:t>
      </w:r>
      <w:proofErr w:type="spellEnd"/>
      <w:r w:rsidR="009C1165" w:rsidRPr="00A0455E">
        <w:rPr>
          <w:sz w:val="24"/>
          <w:szCs w:val="24"/>
        </w:rPr>
        <w:t xml:space="preserve">-Smith’s supposition that “the </w:t>
      </w:r>
      <w:proofErr w:type="spellStart"/>
      <w:r w:rsidR="009C1165" w:rsidRPr="00A0455E">
        <w:rPr>
          <w:sz w:val="24"/>
          <w:szCs w:val="24"/>
        </w:rPr>
        <w:t>undischarged</w:t>
      </w:r>
      <w:proofErr w:type="spellEnd"/>
      <w:r w:rsidR="009C1165" w:rsidRPr="00A0455E">
        <w:rPr>
          <w:sz w:val="24"/>
          <w:szCs w:val="24"/>
        </w:rPr>
        <w:t xml:space="preserve"> emotion” that overflows its way into “the music and…</w:t>
      </w:r>
      <w:proofErr w:type="spellStart"/>
      <w:r w:rsidR="009C1165" w:rsidRPr="00A0455E">
        <w:rPr>
          <w:i/>
          <w:sz w:val="24"/>
          <w:szCs w:val="24"/>
        </w:rPr>
        <w:t>mise</w:t>
      </w:r>
      <w:proofErr w:type="spellEnd"/>
      <w:r w:rsidR="009C1165" w:rsidRPr="00A0455E">
        <w:rPr>
          <w:i/>
          <w:sz w:val="24"/>
          <w:szCs w:val="24"/>
        </w:rPr>
        <w:t>-en-sc</w:t>
      </w:r>
      <w:r w:rsidR="009C1165" w:rsidRPr="00A0455E">
        <w:rPr>
          <w:rFonts w:cstheme="minorHAnsi"/>
          <w:i/>
          <w:sz w:val="24"/>
          <w:szCs w:val="24"/>
        </w:rPr>
        <w:t>è</w:t>
      </w:r>
      <w:r w:rsidR="009C1165" w:rsidRPr="00A0455E">
        <w:rPr>
          <w:i/>
          <w:sz w:val="24"/>
          <w:szCs w:val="24"/>
        </w:rPr>
        <w:t>ne</w:t>
      </w:r>
      <w:r w:rsidR="009C1165" w:rsidRPr="00A0455E">
        <w:rPr>
          <w:sz w:val="24"/>
          <w:szCs w:val="24"/>
        </w:rPr>
        <w:t>”</w:t>
      </w:r>
      <w:r w:rsidR="009C1165" w:rsidRPr="00A0455E">
        <w:rPr>
          <w:rStyle w:val="FootnoteReference"/>
          <w:sz w:val="24"/>
          <w:szCs w:val="24"/>
        </w:rPr>
        <w:footnoteReference w:id="316"/>
      </w:r>
      <w:r w:rsidR="009C1165" w:rsidRPr="00A0455E">
        <w:rPr>
          <w:sz w:val="24"/>
          <w:szCs w:val="24"/>
        </w:rPr>
        <w:t xml:space="preserve"> represents a siphoning off of the “ideological contradictions that cannot be resolved in the narrative of the melodrama.”</w:t>
      </w:r>
      <w:r w:rsidR="009C1165" w:rsidRPr="00A0455E">
        <w:rPr>
          <w:rStyle w:val="FootnoteReference"/>
          <w:sz w:val="24"/>
          <w:szCs w:val="24"/>
        </w:rPr>
        <w:footnoteReference w:id="317"/>
      </w:r>
      <w:r w:rsidR="009C1165" w:rsidRPr="00A0455E">
        <w:rPr>
          <w:sz w:val="24"/>
          <w:szCs w:val="24"/>
        </w:rPr>
        <w:t xml:space="preserve"> </w:t>
      </w:r>
      <w:r w:rsidR="009C1165">
        <w:rPr>
          <w:sz w:val="24"/>
          <w:szCs w:val="24"/>
        </w:rPr>
        <w:t>T</w:t>
      </w:r>
      <w:r w:rsidR="009C1165" w:rsidRPr="00A0455E">
        <w:rPr>
          <w:sz w:val="24"/>
          <w:szCs w:val="24"/>
        </w:rPr>
        <w:t>he excessive nature of melodrama is “a safety valve”</w:t>
      </w:r>
      <w:r w:rsidR="009C1165" w:rsidRPr="00A0455E">
        <w:rPr>
          <w:rStyle w:val="FootnoteReference"/>
          <w:sz w:val="24"/>
          <w:szCs w:val="24"/>
        </w:rPr>
        <w:footnoteReference w:id="318"/>
      </w:r>
      <w:r w:rsidR="009C1165" w:rsidRPr="00A0455E">
        <w:rPr>
          <w:sz w:val="24"/>
          <w:szCs w:val="24"/>
        </w:rPr>
        <w:t xml:space="preserve"> that resolves deep societal and psychological conflicts.</w:t>
      </w:r>
      <w:r>
        <w:rPr>
          <w:sz w:val="24"/>
          <w:szCs w:val="24"/>
        </w:rPr>
        <w:t xml:space="preserve"> C</w:t>
      </w:r>
      <w:r w:rsidR="009C1165">
        <w:rPr>
          <w:sz w:val="24"/>
          <w:szCs w:val="24"/>
        </w:rPr>
        <w:t xml:space="preserve">omic songs, in their exaggerated characters and music, operated in a similar fashion, siphoning off the </w:t>
      </w:r>
      <w:r w:rsidR="00782073">
        <w:rPr>
          <w:sz w:val="24"/>
          <w:szCs w:val="24"/>
        </w:rPr>
        <w:t>lowbrow</w:t>
      </w:r>
      <w:r w:rsidR="009C1165">
        <w:rPr>
          <w:sz w:val="24"/>
          <w:szCs w:val="24"/>
        </w:rPr>
        <w:t xml:space="preserve"> actions that conflicted with late-nineteenth-century </w:t>
      </w:r>
      <w:r>
        <w:rPr>
          <w:sz w:val="24"/>
          <w:szCs w:val="24"/>
        </w:rPr>
        <w:t xml:space="preserve">highbrow </w:t>
      </w:r>
      <w:r w:rsidR="009C1165">
        <w:rPr>
          <w:sz w:val="24"/>
          <w:szCs w:val="24"/>
        </w:rPr>
        <w:t>ideals.</w:t>
      </w:r>
    </w:p>
    <w:p w:rsidR="009C1165" w:rsidRPr="00CA5EDE" w:rsidRDefault="006D51DC" w:rsidP="009C1165">
      <w:pPr>
        <w:tabs>
          <w:tab w:val="left" w:pos="4200"/>
        </w:tabs>
        <w:spacing w:line="480" w:lineRule="auto"/>
        <w:ind w:firstLine="720"/>
        <w:rPr>
          <w:sz w:val="24"/>
          <w:szCs w:val="24"/>
        </w:rPr>
      </w:pPr>
      <w:r>
        <w:rPr>
          <w:sz w:val="24"/>
          <w:szCs w:val="24"/>
        </w:rPr>
        <w:lastRenderedPageBreak/>
        <w:t>Many</w:t>
      </w:r>
      <w:r w:rsidR="009C1165">
        <w:rPr>
          <w:sz w:val="24"/>
          <w:szCs w:val="24"/>
        </w:rPr>
        <w:t xml:space="preserve"> of the musical presentations in</w:t>
      </w:r>
      <w:r>
        <w:rPr>
          <w:sz w:val="24"/>
          <w:szCs w:val="24"/>
        </w:rPr>
        <w:t xml:space="preserve"> nineteenth-century America</w:t>
      </w:r>
      <w:r w:rsidR="009C1165">
        <w:rPr>
          <w:sz w:val="24"/>
          <w:szCs w:val="24"/>
        </w:rPr>
        <w:t xml:space="preserve"> aimed towards achieving a specific set of ideals, “improving” society</w:t>
      </w:r>
      <w:r>
        <w:rPr>
          <w:sz w:val="24"/>
          <w:szCs w:val="24"/>
        </w:rPr>
        <w:t>,</w:t>
      </w:r>
      <w:r w:rsidR="009C1165">
        <w:rPr>
          <w:sz w:val="24"/>
          <w:szCs w:val="24"/>
        </w:rPr>
        <w:t xml:space="preserve"> and removing the </w:t>
      </w:r>
      <w:r w:rsidR="00782073">
        <w:rPr>
          <w:sz w:val="24"/>
          <w:szCs w:val="24"/>
        </w:rPr>
        <w:t>lowbrow</w:t>
      </w:r>
      <w:r w:rsidR="009C1165">
        <w:rPr>
          <w:sz w:val="24"/>
          <w:szCs w:val="24"/>
        </w:rPr>
        <w:t>. Arguably, the process of cultural “sacralization”</w:t>
      </w:r>
      <w:r w:rsidR="009C1165">
        <w:rPr>
          <w:rStyle w:val="FootnoteReference"/>
          <w:sz w:val="24"/>
          <w:szCs w:val="24"/>
        </w:rPr>
        <w:footnoteReference w:id="319"/>
      </w:r>
      <w:r w:rsidR="009C1165">
        <w:rPr>
          <w:sz w:val="24"/>
          <w:szCs w:val="24"/>
        </w:rPr>
        <w:t xml:space="preserve"> that Lawrence Levine found in nineteenth-century America, </w:t>
      </w:r>
      <w:r w:rsidR="00271B9A">
        <w:rPr>
          <w:sz w:val="24"/>
          <w:szCs w:val="24"/>
        </w:rPr>
        <w:t>and that I have</w:t>
      </w:r>
      <w:r w:rsidR="009C1165">
        <w:rPr>
          <w:sz w:val="24"/>
          <w:szCs w:val="24"/>
        </w:rPr>
        <w:t xml:space="preserve"> built upon in the previous chapters, was an attempt to bring about a utopia or ideal type. Levine observed a broad thrust to reorganize American aesthetics to create a type of enlightenment. </w:t>
      </w:r>
      <w:r w:rsidR="009C1165" w:rsidRPr="00C44BFF">
        <w:rPr>
          <w:sz w:val="24"/>
          <w:szCs w:val="24"/>
        </w:rPr>
        <w:t>The achievement of an ideal society, in nineteenth-century Weste</w:t>
      </w:r>
      <w:r w:rsidR="009C1165">
        <w:rPr>
          <w:sz w:val="24"/>
          <w:szCs w:val="24"/>
        </w:rPr>
        <w:t>rn thought, guided a drive for “improvement.”</w:t>
      </w:r>
      <w:r w:rsidR="009C1165" w:rsidRPr="00C44BFF">
        <w:rPr>
          <w:sz w:val="24"/>
          <w:szCs w:val="24"/>
        </w:rPr>
        <w:t xml:space="preserve"> Th</w:t>
      </w:r>
      <w:r w:rsidR="009C1165">
        <w:rPr>
          <w:sz w:val="24"/>
          <w:szCs w:val="24"/>
        </w:rPr>
        <w:t>e end goal of this “improvement”</w:t>
      </w:r>
      <w:r w:rsidR="009C1165" w:rsidRPr="00C44BFF">
        <w:rPr>
          <w:sz w:val="24"/>
          <w:szCs w:val="24"/>
        </w:rPr>
        <w:t xml:space="preserve"> was </w:t>
      </w:r>
      <w:r w:rsidR="007C725F">
        <w:rPr>
          <w:sz w:val="24"/>
          <w:szCs w:val="24"/>
        </w:rPr>
        <w:t xml:space="preserve">social </w:t>
      </w:r>
      <w:r w:rsidR="009C1165" w:rsidRPr="00C44BFF">
        <w:rPr>
          <w:sz w:val="24"/>
          <w:szCs w:val="24"/>
        </w:rPr>
        <w:t>harmony. Pol</w:t>
      </w:r>
      <w:r w:rsidR="009C1165">
        <w:rPr>
          <w:sz w:val="24"/>
          <w:szCs w:val="24"/>
        </w:rPr>
        <w:t>i</w:t>
      </w:r>
      <w:r w:rsidR="009C1165" w:rsidRPr="00C44BFF">
        <w:rPr>
          <w:sz w:val="24"/>
          <w:szCs w:val="24"/>
        </w:rPr>
        <w:t xml:space="preserve">tical theorist George </w:t>
      </w:r>
      <w:proofErr w:type="spellStart"/>
      <w:r w:rsidR="009C1165" w:rsidRPr="00C44BFF">
        <w:rPr>
          <w:sz w:val="24"/>
          <w:szCs w:val="24"/>
        </w:rPr>
        <w:t>Kateb</w:t>
      </w:r>
      <w:proofErr w:type="spellEnd"/>
      <w:r w:rsidR="009C1165" w:rsidRPr="00C44BFF">
        <w:rPr>
          <w:sz w:val="24"/>
          <w:szCs w:val="24"/>
        </w:rPr>
        <w:t xml:space="preserve"> wrote that in Western thought, utopia is conceived as “a world permanently without strife, poverty, constraint, stultifying labor, irrational authority [and] sensual deprivation.”</w:t>
      </w:r>
      <w:r w:rsidR="009C1165">
        <w:rPr>
          <w:rStyle w:val="FootnoteReference"/>
          <w:sz w:val="24"/>
          <w:szCs w:val="24"/>
        </w:rPr>
        <w:footnoteReference w:id="320"/>
      </w:r>
      <w:r w:rsidR="009C1165">
        <w:rPr>
          <w:sz w:val="24"/>
          <w:szCs w:val="24"/>
        </w:rPr>
        <w:t xml:space="preserve"> </w:t>
      </w:r>
      <w:r w:rsidR="009C1165" w:rsidRPr="00C44BFF">
        <w:rPr>
          <w:sz w:val="24"/>
          <w:szCs w:val="24"/>
        </w:rPr>
        <w:t xml:space="preserve">Conversely, </w:t>
      </w:r>
      <w:proofErr w:type="spellStart"/>
      <w:r w:rsidR="009C1165" w:rsidRPr="00C44BFF">
        <w:rPr>
          <w:sz w:val="24"/>
          <w:szCs w:val="24"/>
        </w:rPr>
        <w:t>Kateb</w:t>
      </w:r>
      <w:proofErr w:type="spellEnd"/>
      <w:r w:rsidR="009C1165" w:rsidRPr="00C44BFF">
        <w:rPr>
          <w:sz w:val="24"/>
          <w:szCs w:val="24"/>
        </w:rPr>
        <w:t xml:space="preserve"> lays out the common conception of “imperfection” as the “presence of authority and constraint, hierarchy and class, slavery and war, property and scarcity, labor and pain, disease and mutation.”</w:t>
      </w:r>
      <w:r w:rsidR="009C1165">
        <w:rPr>
          <w:rStyle w:val="FootnoteReference"/>
          <w:sz w:val="24"/>
          <w:szCs w:val="24"/>
        </w:rPr>
        <w:footnoteReference w:id="321"/>
      </w:r>
      <w:r w:rsidR="009C1165">
        <w:rPr>
          <w:sz w:val="24"/>
          <w:szCs w:val="24"/>
        </w:rPr>
        <w:t xml:space="preserve"> In </w:t>
      </w:r>
      <w:r w:rsidR="009C1165" w:rsidRPr="00C44BFF">
        <w:rPr>
          <w:sz w:val="24"/>
          <w:szCs w:val="24"/>
        </w:rPr>
        <w:t xml:space="preserve">political scientist Elisabeth </w:t>
      </w:r>
      <w:proofErr w:type="spellStart"/>
      <w:r w:rsidR="009C1165" w:rsidRPr="00C44BFF">
        <w:rPr>
          <w:sz w:val="24"/>
          <w:szCs w:val="24"/>
        </w:rPr>
        <w:t>Hansot</w:t>
      </w:r>
      <w:r w:rsidR="009C1165">
        <w:rPr>
          <w:sz w:val="24"/>
          <w:szCs w:val="24"/>
        </w:rPr>
        <w:t>’s</w:t>
      </w:r>
      <w:proofErr w:type="spellEnd"/>
      <w:r w:rsidR="009C1165" w:rsidRPr="00C44BFF">
        <w:rPr>
          <w:sz w:val="24"/>
          <w:szCs w:val="24"/>
        </w:rPr>
        <w:t xml:space="preserve"> analysis of the changing conceptions of utopia across time,</w:t>
      </w:r>
      <w:r w:rsidR="009C1165">
        <w:rPr>
          <w:sz w:val="24"/>
          <w:szCs w:val="24"/>
        </w:rPr>
        <w:t xml:space="preserve"> she</w:t>
      </w:r>
      <w:r w:rsidR="009C1165" w:rsidRPr="00C44BFF">
        <w:rPr>
          <w:sz w:val="24"/>
          <w:szCs w:val="24"/>
        </w:rPr>
        <w:t xml:space="preserve"> found </w:t>
      </w:r>
      <w:r w:rsidR="009C1165">
        <w:rPr>
          <w:sz w:val="24"/>
          <w:szCs w:val="24"/>
        </w:rPr>
        <w:t>that by the nineteenth-century</w:t>
      </w:r>
      <w:r w:rsidR="009C1165" w:rsidRPr="00C44BFF">
        <w:rPr>
          <w:sz w:val="24"/>
          <w:szCs w:val="24"/>
        </w:rPr>
        <w:t xml:space="preserve"> utopias were primarily concerned with “changing the arrangements of society</w:t>
      </w:r>
      <w:r w:rsidR="009C1165">
        <w:rPr>
          <w:sz w:val="24"/>
          <w:szCs w:val="24"/>
        </w:rPr>
        <w:t xml:space="preserve">” in order to </w:t>
      </w:r>
      <w:r w:rsidR="009C1165" w:rsidRPr="00C44BFF">
        <w:rPr>
          <w:sz w:val="24"/>
          <w:szCs w:val="24"/>
        </w:rPr>
        <w:t>better humanity.</w:t>
      </w:r>
      <w:r w:rsidR="009C1165" w:rsidRPr="00D17DA7">
        <w:rPr>
          <w:rStyle w:val="FootnoteReference"/>
          <w:sz w:val="24"/>
          <w:szCs w:val="24"/>
        </w:rPr>
        <w:t xml:space="preserve"> </w:t>
      </w:r>
      <w:r w:rsidR="009C1165">
        <w:rPr>
          <w:rStyle w:val="FootnoteReference"/>
          <w:sz w:val="24"/>
          <w:szCs w:val="24"/>
        </w:rPr>
        <w:footnoteReference w:id="322"/>
      </w:r>
      <w:r w:rsidR="009C1165">
        <w:rPr>
          <w:sz w:val="24"/>
          <w:szCs w:val="24"/>
        </w:rPr>
        <w:t xml:space="preserve"> T</w:t>
      </w:r>
      <w:r w:rsidR="009C1165" w:rsidRPr="00C44BFF">
        <w:rPr>
          <w:sz w:val="24"/>
          <w:szCs w:val="24"/>
        </w:rPr>
        <w:t xml:space="preserve">his “modern” </w:t>
      </w:r>
      <w:r w:rsidR="009C1165">
        <w:rPr>
          <w:sz w:val="24"/>
          <w:szCs w:val="24"/>
        </w:rPr>
        <w:t xml:space="preserve">conception of </w:t>
      </w:r>
      <w:r w:rsidR="009C1165" w:rsidRPr="00C44BFF">
        <w:rPr>
          <w:sz w:val="24"/>
          <w:szCs w:val="24"/>
        </w:rPr>
        <w:t>utopia, acco</w:t>
      </w:r>
      <w:r w:rsidR="009C1165">
        <w:rPr>
          <w:sz w:val="24"/>
          <w:szCs w:val="24"/>
        </w:rPr>
        <w:t xml:space="preserve">rding to </w:t>
      </w:r>
      <w:proofErr w:type="spellStart"/>
      <w:r w:rsidR="009C1165">
        <w:rPr>
          <w:sz w:val="24"/>
          <w:szCs w:val="24"/>
        </w:rPr>
        <w:t>Hansot</w:t>
      </w:r>
      <w:proofErr w:type="spellEnd"/>
      <w:r w:rsidR="009C1165">
        <w:rPr>
          <w:sz w:val="24"/>
          <w:szCs w:val="24"/>
        </w:rPr>
        <w:t>,</w:t>
      </w:r>
      <w:r w:rsidR="009C1165" w:rsidRPr="00C44BFF">
        <w:rPr>
          <w:sz w:val="24"/>
          <w:szCs w:val="24"/>
        </w:rPr>
        <w:t xml:space="preserve"> “argued that men will become better as they deliberately attempt to change their society in the direction indicated by utopia.”</w:t>
      </w:r>
      <w:r w:rsidR="009C1165">
        <w:rPr>
          <w:rStyle w:val="FootnoteReference"/>
          <w:sz w:val="24"/>
          <w:szCs w:val="24"/>
        </w:rPr>
        <w:footnoteReference w:id="323"/>
      </w:r>
      <w:r w:rsidR="009C1165">
        <w:rPr>
          <w:sz w:val="24"/>
          <w:szCs w:val="24"/>
        </w:rPr>
        <w:t xml:space="preserve"> The process Levine uncovered, of constructing a </w:t>
      </w:r>
      <w:r w:rsidR="00782073">
        <w:rPr>
          <w:sz w:val="24"/>
          <w:szCs w:val="24"/>
        </w:rPr>
        <w:t>highbrow</w:t>
      </w:r>
      <w:r w:rsidR="004A34F8">
        <w:rPr>
          <w:sz w:val="24"/>
          <w:szCs w:val="24"/>
        </w:rPr>
        <w:t xml:space="preserve"> identity</w:t>
      </w:r>
      <w:r w:rsidR="009C1165">
        <w:rPr>
          <w:sz w:val="24"/>
          <w:szCs w:val="24"/>
        </w:rPr>
        <w:t xml:space="preserve"> was an attempt to deliberately reorder society for its “improvement.” Comic songs disrupted this process, however, by putting imperfection on </w:t>
      </w:r>
      <w:r w:rsidR="009C1165">
        <w:rPr>
          <w:sz w:val="24"/>
          <w:szCs w:val="24"/>
        </w:rPr>
        <w:lastRenderedPageBreak/>
        <w:t>display</w:t>
      </w:r>
      <w:r w:rsidR="009C1165" w:rsidRPr="00C44BFF">
        <w:rPr>
          <w:sz w:val="24"/>
          <w:szCs w:val="24"/>
        </w:rPr>
        <w:t>. Mo</w:t>
      </w:r>
      <w:r w:rsidR="009C1165">
        <w:rPr>
          <w:sz w:val="24"/>
          <w:szCs w:val="24"/>
        </w:rPr>
        <w:t>cking these imperfections allowed</w:t>
      </w:r>
      <w:r w:rsidR="009C1165" w:rsidRPr="00C44BFF">
        <w:rPr>
          <w:sz w:val="24"/>
          <w:szCs w:val="24"/>
        </w:rPr>
        <w:t xml:space="preserve"> a level of control ove</w:t>
      </w:r>
      <w:r w:rsidR="009C1165">
        <w:rPr>
          <w:sz w:val="24"/>
          <w:szCs w:val="24"/>
        </w:rPr>
        <w:t>r them, but did not resolve them or remove them from</w:t>
      </w:r>
      <w:r w:rsidR="009C1165" w:rsidRPr="00C44BFF">
        <w:rPr>
          <w:sz w:val="24"/>
          <w:szCs w:val="24"/>
        </w:rPr>
        <w:t xml:space="preserve"> society.</w:t>
      </w:r>
    </w:p>
    <w:p w:rsidR="009C1165" w:rsidRPr="00327AA0" w:rsidRDefault="009C1165" w:rsidP="009C1165">
      <w:pPr>
        <w:tabs>
          <w:tab w:val="left" w:pos="4200"/>
        </w:tabs>
        <w:spacing w:line="480" w:lineRule="auto"/>
        <w:ind w:firstLine="720"/>
        <w:rPr>
          <w:sz w:val="24"/>
          <w:szCs w:val="24"/>
        </w:rPr>
      </w:pPr>
      <w:r>
        <w:rPr>
          <w:sz w:val="24"/>
          <w:szCs w:val="24"/>
        </w:rPr>
        <w:t xml:space="preserve">Music held a prominent place in the construction of the nineteenth-century American highbrow utopian ideal. Levine’s work clarifies the beliefs surrounding German symphonic music and its supposed power to elevate humanity. Delving further into these ideas clarifies music’s role in shaping the American enlightened, utopian ideal, and thus the disruptive power of comic songs. Levine cites notable personages such as music critic Henry </w:t>
      </w:r>
      <w:proofErr w:type="spellStart"/>
      <w:r>
        <w:rPr>
          <w:sz w:val="24"/>
          <w:szCs w:val="24"/>
        </w:rPr>
        <w:t>Theophilus</w:t>
      </w:r>
      <w:proofErr w:type="spellEnd"/>
      <w:r>
        <w:rPr>
          <w:sz w:val="24"/>
          <w:szCs w:val="24"/>
        </w:rPr>
        <w:t xml:space="preserve"> </w:t>
      </w:r>
      <w:proofErr w:type="spellStart"/>
      <w:r>
        <w:rPr>
          <w:sz w:val="24"/>
          <w:szCs w:val="24"/>
        </w:rPr>
        <w:t>Finck</w:t>
      </w:r>
      <w:proofErr w:type="spellEnd"/>
      <w:r>
        <w:rPr>
          <w:sz w:val="24"/>
          <w:szCs w:val="24"/>
        </w:rPr>
        <w:t>, who stated in the 1860s that hearing an orchestra made him feel “nearer to the immortal God,”</w:t>
      </w:r>
      <w:r>
        <w:rPr>
          <w:rStyle w:val="FootnoteReference"/>
          <w:sz w:val="24"/>
          <w:szCs w:val="24"/>
        </w:rPr>
        <w:footnoteReference w:id="324"/>
      </w:r>
      <w:r>
        <w:rPr>
          <w:sz w:val="24"/>
          <w:szCs w:val="24"/>
        </w:rPr>
        <w:t xml:space="preserve"> and the 1848 report of the Philharmonic Society of New York, which posited that “the science of Music as it exists in nature is not of human invention, but of divine appointment.”</w:t>
      </w:r>
      <w:r>
        <w:rPr>
          <w:rStyle w:val="FootnoteReference"/>
          <w:sz w:val="24"/>
          <w:szCs w:val="24"/>
        </w:rPr>
        <w:footnoteReference w:id="325"/>
      </w:r>
      <w:r>
        <w:rPr>
          <w:sz w:val="24"/>
          <w:szCs w:val="24"/>
        </w:rPr>
        <w:t xml:space="preserve"> </w:t>
      </w:r>
      <w:proofErr w:type="spellStart"/>
      <w:r>
        <w:rPr>
          <w:sz w:val="24"/>
          <w:szCs w:val="24"/>
        </w:rPr>
        <w:t>Sacralized</w:t>
      </w:r>
      <w:proofErr w:type="spellEnd"/>
      <w:r>
        <w:rPr>
          <w:sz w:val="24"/>
          <w:szCs w:val="24"/>
        </w:rPr>
        <w:t xml:space="preserve"> high-art held the transcendent power to bring humanity closer to the divine. Concurrently, the “priests” of this art sought to remove lowbrow behaviors from their high-art utopian vision. Levine supports his discussion with anecdotes about conductor Theodor Thomas, who</w:t>
      </w:r>
      <w:r w:rsidRPr="00327AA0">
        <w:rPr>
          <w:rFonts w:cs="Times New Roman"/>
          <w:sz w:val="24"/>
          <w:szCs w:val="24"/>
        </w:rPr>
        <w:t xml:space="preserve"> understood his musical endeavors as the hei</w:t>
      </w:r>
      <w:r>
        <w:rPr>
          <w:rFonts w:cs="Times New Roman"/>
          <w:sz w:val="24"/>
          <w:szCs w:val="24"/>
        </w:rPr>
        <w:t>ght of moral superiority. According to Levine, Thomas refused</w:t>
      </w:r>
      <w:r w:rsidRPr="00327AA0">
        <w:rPr>
          <w:rFonts w:cs="Times New Roman"/>
          <w:sz w:val="24"/>
          <w:szCs w:val="24"/>
        </w:rPr>
        <w:t xml:space="preserve"> “to listen to vulgar talk, go to ‘questionable</w:t>
      </w:r>
      <w:r>
        <w:rPr>
          <w:rFonts w:cs="Times New Roman"/>
          <w:sz w:val="24"/>
          <w:szCs w:val="24"/>
        </w:rPr>
        <w:t>’</w:t>
      </w:r>
      <w:r w:rsidRPr="00327AA0">
        <w:rPr>
          <w:rFonts w:cs="Times New Roman"/>
          <w:sz w:val="24"/>
          <w:szCs w:val="24"/>
        </w:rPr>
        <w:t xml:space="preserve"> plays, or read immoral books, for fear of poisoning his mind and rendering himself unfit to interpret the music of the classic masters.”</w:t>
      </w:r>
      <w:r w:rsidRPr="00327AA0">
        <w:rPr>
          <w:rStyle w:val="FootnoteReference"/>
          <w:rFonts w:cs="Times New Roman"/>
          <w:sz w:val="24"/>
          <w:szCs w:val="24"/>
        </w:rPr>
        <w:footnoteReference w:id="326"/>
      </w:r>
      <w:r w:rsidRPr="00327AA0">
        <w:rPr>
          <w:rFonts w:cs="Times New Roman"/>
          <w:sz w:val="24"/>
          <w:szCs w:val="24"/>
        </w:rPr>
        <w:t xml:space="preserve"> When a friend began to tell Thomas an “off-color story,” he promptly stopped him, proclaiming,</w:t>
      </w:r>
    </w:p>
    <w:p w:rsidR="009C1165" w:rsidRPr="00327AA0" w:rsidRDefault="009C1165" w:rsidP="009C1165">
      <w:pPr>
        <w:ind w:left="720"/>
        <w:rPr>
          <w:rFonts w:cs="Times New Roman"/>
          <w:sz w:val="24"/>
          <w:szCs w:val="24"/>
        </w:rPr>
      </w:pPr>
      <w:r w:rsidRPr="00327AA0">
        <w:rPr>
          <w:rFonts w:cs="Times New Roman"/>
          <w:sz w:val="24"/>
          <w:szCs w:val="24"/>
        </w:rPr>
        <w:t xml:space="preserve">Suppose you tell me this story and tonight when I am about to conduct some work of beauty and purity I catch sight of your face…Do you not see that involuntarily my mental </w:t>
      </w:r>
      <w:r w:rsidRPr="00327AA0">
        <w:rPr>
          <w:rFonts w:cs="Times New Roman"/>
          <w:sz w:val="24"/>
          <w:szCs w:val="24"/>
        </w:rPr>
        <w:lastRenderedPageBreak/>
        <w:t>state is distorted from the idea of purity I ought to have, and it will not be possible for me to give that composition the interpretation of perfect purity that it demands?</w:t>
      </w:r>
      <w:r w:rsidRPr="00327AA0">
        <w:rPr>
          <w:rStyle w:val="FootnoteReference"/>
          <w:rFonts w:cs="Times New Roman"/>
          <w:sz w:val="24"/>
          <w:szCs w:val="24"/>
        </w:rPr>
        <w:footnoteReference w:id="327"/>
      </w:r>
    </w:p>
    <w:p w:rsidR="009C1165" w:rsidRPr="007A3383" w:rsidRDefault="009C1165" w:rsidP="009C1165">
      <w:pPr>
        <w:tabs>
          <w:tab w:val="left" w:pos="4200"/>
        </w:tabs>
        <w:spacing w:line="480" w:lineRule="auto"/>
        <w:rPr>
          <w:sz w:val="24"/>
          <w:szCs w:val="24"/>
        </w:rPr>
      </w:pPr>
      <w:r>
        <w:rPr>
          <w:sz w:val="24"/>
          <w:szCs w:val="24"/>
        </w:rPr>
        <w:t>Certain music held the power to move humanity beyond its current state to perfection. Other influences had the power to des</w:t>
      </w:r>
      <w:r w:rsidR="004A34F8">
        <w:rPr>
          <w:sz w:val="24"/>
          <w:szCs w:val="24"/>
        </w:rPr>
        <w:t>ecrate the Self, separating it</w:t>
      </w:r>
      <w:r>
        <w:rPr>
          <w:sz w:val="24"/>
          <w:szCs w:val="24"/>
        </w:rPr>
        <w:t xml:space="preserve"> from an idealized purity.</w:t>
      </w:r>
    </w:p>
    <w:p w:rsidR="009C1165" w:rsidRDefault="009C1165" w:rsidP="009C1165">
      <w:pPr>
        <w:spacing w:line="480" w:lineRule="auto"/>
        <w:ind w:firstLine="720"/>
        <w:rPr>
          <w:rFonts w:cs="Times New Roman"/>
          <w:sz w:val="24"/>
          <w:szCs w:val="24"/>
        </w:rPr>
      </w:pPr>
      <w:r>
        <w:rPr>
          <w:rFonts w:cs="Times New Roman"/>
          <w:sz w:val="24"/>
          <w:szCs w:val="24"/>
        </w:rPr>
        <w:t>Comic songs disrupted the conception of an ideal society as they presented the vulgar, the questionable, and the imperfections of reality. They worked in opposition to the supposed corrective power of highbrow music. Nineteenth-century</w:t>
      </w:r>
      <w:r w:rsidRPr="00694284">
        <w:rPr>
          <w:rFonts w:cs="Times New Roman"/>
          <w:sz w:val="24"/>
          <w:szCs w:val="24"/>
        </w:rPr>
        <w:t xml:space="preserve"> American music critics sought to address an aesth</w:t>
      </w:r>
      <w:r>
        <w:rPr>
          <w:rFonts w:cs="Times New Roman"/>
          <w:sz w:val="24"/>
          <w:szCs w:val="24"/>
        </w:rPr>
        <w:t xml:space="preserve">etic problem heuristically by </w:t>
      </w:r>
      <w:r>
        <w:rPr>
          <w:rFonts w:cs="Times New Roman"/>
          <w:bCs/>
          <w:sz w:val="24"/>
          <w:szCs w:val="24"/>
        </w:rPr>
        <w:t xml:space="preserve">purporting an ideal musical model </w:t>
      </w:r>
      <w:r w:rsidRPr="00694284">
        <w:rPr>
          <w:rFonts w:cs="Times New Roman"/>
          <w:bCs/>
          <w:sz w:val="24"/>
          <w:szCs w:val="24"/>
        </w:rPr>
        <w:t>as a solution to t</w:t>
      </w:r>
      <w:r>
        <w:rPr>
          <w:rFonts w:cs="Times New Roman"/>
          <w:bCs/>
          <w:sz w:val="24"/>
          <w:szCs w:val="24"/>
        </w:rPr>
        <w:t>he new problem of social class</w:t>
      </w:r>
      <w:r>
        <w:rPr>
          <w:rFonts w:cs="Times New Roman"/>
          <w:sz w:val="24"/>
          <w:szCs w:val="24"/>
        </w:rPr>
        <w:t xml:space="preserve">. Social theorist Max </w:t>
      </w:r>
      <w:r w:rsidRPr="00694284">
        <w:rPr>
          <w:rFonts w:cs="Times New Roman"/>
          <w:sz w:val="24"/>
          <w:szCs w:val="24"/>
        </w:rPr>
        <w:t>Weber described the “ideal type” as “an internally consistent system…a utopia which has been arrived at by the analytical accentuation of certain elements of reality.”</w:t>
      </w:r>
      <w:r w:rsidRPr="00694284">
        <w:rPr>
          <w:rStyle w:val="FootnoteReference"/>
          <w:rFonts w:cs="Times New Roman"/>
          <w:sz w:val="24"/>
          <w:szCs w:val="24"/>
        </w:rPr>
        <w:footnoteReference w:id="328"/>
      </w:r>
      <w:r w:rsidRPr="00694284">
        <w:rPr>
          <w:rFonts w:cs="Times New Roman"/>
          <w:sz w:val="24"/>
          <w:szCs w:val="24"/>
        </w:rPr>
        <w:t xml:space="preserve"> Nineteenth-century American music critics such as John Sullivan D</w:t>
      </w:r>
      <w:r>
        <w:rPr>
          <w:rFonts w:cs="Times New Roman"/>
          <w:sz w:val="24"/>
          <w:szCs w:val="24"/>
        </w:rPr>
        <w:t xml:space="preserve">wight accentuated certain Germanic symphonic traditions to construct a musical ideal type. The external </w:t>
      </w:r>
      <w:r w:rsidRPr="00694284">
        <w:rPr>
          <w:rFonts w:cs="Times New Roman"/>
          <w:sz w:val="24"/>
          <w:szCs w:val="24"/>
        </w:rPr>
        <w:t>nature of this construction is essential, for as Weber states, “in its conceptual purity, this mental construct [</w:t>
      </w:r>
      <w:proofErr w:type="spellStart"/>
      <w:r w:rsidRPr="00694284">
        <w:rPr>
          <w:rFonts w:cs="Times New Roman"/>
          <w:sz w:val="24"/>
          <w:szCs w:val="24"/>
        </w:rPr>
        <w:t>Gedankenbild</w:t>
      </w:r>
      <w:proofErr w:type="spellEnd"/>
      <w:r w:rsidRPr="00694284">
        <w:rPr>
          <w:rFonts w:cs="Times New Roman"/>
          <w:sz w:val="24"/>
          <w:szCs w:val="24"/>
        </w:rPr>
        <w:t xml:space="preserve">] cannot be found empirically anywhere in </w:t>
      </w:r>
      <w:proofErr w:type="gramStart"/>
      <w:r w:rsidRPr="00694284">
        <w:rPr>
          <w:rFonts w:cs="Times New Roman"/>
          <w:sz w:val="24"/>
          <w:szCs w:val="24"/>
        </w:rPr>
        <w:t>reality</w:t>
      </w:r>
      <w:r w:rsidR="004A34F8">
        <w:rPr>
          <w:rFonts w:cs="Times New Roman"/>
          <w:sz w:val="24"/>
          <w:szCs w:val="24"/>
        </w:rPr>
        <w:t>.</w:t>
      </w:r>
      <w:r w:rsidRPr="00694284">
        <w:rPr>
          <w:rFonts w:cs="Times New Roman"/>
          <w:sz w:val="24"/>
          <w:szCs w:val="24"/>
        </w:rPr>
        <w:t>…It</w:t>
      </w:r>
      <w:proofErr w:type="gramEnd"/>
      <w:r w:rsidRPr="00694284">
        <w:rPr>
          <w:rFonts w:cs="Times New Roman"/>
          <w:sz w:val="24"/>
          <w:szCs w:val="24"/>
        </w:rPr>
        <w:t xml:space="preserve"> is a utopia.”</w:t>
      </w:r>
      <w:r w:rsidRPr="00694284">
        <w:rPr>
          <w:rStyle w:val="FootnoteReference"/>
          <w:rFonts w:cs="Times New Roman"/>
          <w:sz w:val="24"/>
          <w:szCs w:val="24"/>
        </w:rPr>
        <w:footnoteReference w:id="329"/>
      </w:r>
      <w:r w:rsidRPr="00694284">
        <w:rPr>
          <w:rFonts w:cs="Times New Roman"/>
          <w:sz w:val="24"/>
          <w:szCs w:val="24"/>
        </w:rPr>
        <w:t xml:space="preserve"> </w:t>
      </w:r>
      <w:r>
        <w:rPr>
          <w:rFonts w:cs="Times New Roman"/>
          <w:sz w:val="24"/>
          <w:szCs w:val="24"/>
        </w:rPr>
        <w:t>Music considered sacred and outside of daily-life was presumed to help achieve</w:t>
      </w:r>
      <w:r w:rsidRPr="00694284">
        <w:rPr>
          <w:rFonts w:cs="Times New Roman"/>
          <w:sz w:val="24"/>
          <w:szCs w:val="24"/>
        </w:rPr>
        <w:t xml:space="preserve"> </w:t>
      </w:r>
      <w:r>
        <w:rPr>
          <w:rFonts w:cs="Times New Roman"/>
          <w:sz w:val="24"/>
          <w:szCs w:val="24"/>
        </w:rPr>
        <w:t>a state of idealized perfection. In this framework, comic songs that directly touched upon daily life, and even the baser sides of life</w:t>
      </w:r>
      <w:r w:rsidR="004A34F8">
        <w:rPr>
          <w:rFonts w:cs="Times New Roman"/>
          <w:sz w:val="24"/>
          <w:szCs w:val="24"/>
        </w:rPr>
        <w:t>, then,</w:t>
      </w:r>
      <w:r>
        <w:rPr>
          <w:rFonts w:cs="Times New Roman"/>
          <w:sz w:val="24"/>
          <w:szCs w:val="24"/>
        </w:rPr>
        <w:t xml:space="preserve"> diametrically opposed the progress toward a utopian ideal.</w:t>
      </w:r>
    </w:p>
    <w:p w:rsidR="009C1165" w:rsidRPr="000E2C26" w:rsidRDefault="00842522" w:rsidP="009C1165">
      <w:pPr>
        <w:tabs>
          <w:tab w:val="left" w:pos="4200"/>
        </w:tabs>
        <w:spacing w:line="480" w:lineRule="auto"/>
        <w:ind w:firstLine="720"/>
        <w:contextualSpacing/>
        <w:rPr>
          <w:sz w:val="24"/>
          <w:szCs w:val="24"/>
        </w:rPr>
      </w:pPr>
      <w:r>
        <w:rPr>
          <w:sz w:val="24"/>
          <w:szCs w:val="24"/>
        </w:rPr>
        <w:t>Parlor performances held greater power in this discourse than attending public entertainments, as they brought the lowbrow into the home.</w:t>
      </w:r>
      <w:r w:rsidR="009C1165">
        <w:rPr>
          <w:sz w:val="24"/>
          <w:szCs w:val="24"/>
        </w:rPr>
        <w:t xml:space="preserve"> </w:t>
      </w:r>
      <w:r w:rsidR="009C1165" w:rsidRPr="000E2C26">
        <w:rPr>
          <w:sz w:val="24"/>
          <w:szCs w:val="24"/>
        </w:rPr>
        <w:t xml:space="preserve">David </w:t>
      </w:r>
      <w:proofErr w:type="spellStart"/>
      <w:r w:rsidR="009C1165" w:rsidRPr="000E2C26">
        <w:rPr>
          <w:sz w:val="24"/>
          <w:szCs w:val="24"/>
        </w:rPr>
        <w:t>Nasaw</w:t>
      </w:r>
      <w:proofErr w:type="spellEnd"/>
      <w:r w:rsidR="009C1165">
        <w:rPr>
          <w:sz w:val="24"/>
          <w:szCs w:val="24"/>
        </w:rPr>
        <w:t xml:space="preserve"> cited a</w:t>
      </w:r>
      <w:r w:rsidR="009C1165" w:rsidRPr="000E2C26">
        <w:rPr>
          <w:sz w:val="24"/>
          <w:szCs w:val="24"/>
        </w:rPr>
        <w:t xml:space="preserve"> kind of </w:t>
      </w:r>
      <w:r w:rsidR="009C1165" w:rsidRPr="000E2C26">
        <w:rPr>
          <w:sz w:val="24"/>
          <w:szCs w:val="24"/>
        </w:rPr>
        <w:lastRenderedPageBreak/>
        <w:t>utopian feeling as the impetus for attending pu</w:t>
      </w:r>
      <w:r w:rsidR="00F3534B">
        <w:rPr>
          <w:sz w:val="24"/>
          <w:szCs w:val="24"/>
        </w:rPr>
        <w:t xml:space="preserve">blic entertainments in the late nineteenth </w:t>
      </w:r>
      <w:r w:rsidR="009C1165" w:rsidRPr="000E2C26">
        <w:rPr>
          <w:sz w:val="24"/>
          <w:szCs w:val="24"/>
        </w:rPr>
        <w:t>century. He claimed that:</w:t>
      </w:r>
    </w:p>
    <w:p w:rsidR="009C1165" w:rsidRDefault="009C1165" w:rsidP="009C1165">
      <w:pPr>
        <w:tabs>
          <w:tab w:val="left" w:pos="4200"/>
        </w:tabs>
        <w:ind w:left="720"/>
        <w:contextualSpacing/>
        <w:rPr>
          <w:sz w:val="24"/>
          <w:szCs w:val="24"/>
        </w:rPr>
      </w:pPr>
      <w:proofErr w:type="gramStart"/>
      <w:r w:rsidRPr="000E2C26">
        <w:rPr>
          <w:sz w:val="24"/>
          <w:szCs w:val="24"/>
        </w:rPr>
        <w:t>for</w:t>
      </w:r>
      <w:proofErr w:type="gramEnd"/>
      <w:r w:rsidRPr="000E2C26">
        <w:rPr>
          <w:sz w:val="24"/>
          <w:szCs w:val="24"/>
        </w:rPr>
        <w:t xml:space="preserve"> urban Americans in general, and white-collar and ethnic workers in particular, the world of commercial amusements represented a privileged sphere of daily life outside the mundane social world with its confusions and contradictions. Everywhere else…they straddled the social divisions of class and ethnicity….Only in…the show…could they submerge themselves in a corporate body…that transcended these divisions.</w:t>
      </w:r>
      <w:r w:rsidRPr="000E2C26">
        <w:rPr>
          <w:rStyle w:val="FootnoteReference"/>
          <w:sz w:val="24"/>
          <w:szCs w:val="24"/>
        </w:rPr>
        <w:footnoteReference w:id="330"/>
      </w:r>
    </w:p>
    <w:p w:rsidR="009C1165" w:rsidRDefault="009C1165" w:rsidP="009C1165">
      <w:pPr>
        <w:tabs>
          <w:tab w:val="left" w:pos="4200"/>
        </w:tabs>
        <w:ind w:left="720"/>
        <w:contextualSpacing/>
        <w:rPr>
          <w:sz w:val="24"/>
          <w:szCs w:val="24"/>
        </w:rPr>
      </w:pPr>
    </w:p>
    <w:p w:rsidR="009C1165" w:rsidRPr="008E6F41" w:rsidRDefault="009C1165" w:rsidP="009C1165">
      <w:pPr>
        <w:tabs>
          <w:tab w:val="left" w:pos="4200"/>
        </w:tabs>
        <w:spacing w:line="480" w:lineRule="auto"/>
        <w:rPr>
          <w:sz w:val="24"/>
          <w:szCs w:val="24"/>
        </w:rPr>
      </w:pPr>
      <w:proofErr w:type="spellStart"/>
      <w:r>
        <w:rPr>
          <w:sz w:val="24"/>
          <w:szCs w:val="24"/>
        </w:rPr>
        <w:t>Nasaw</w:t>
      </w:r>
      <w:proofErr w:type="spellEnd"/>
      <w:r>
        <w:rPr>
          <w:sz w:val="24"/>
          <w:szCs w:val="24"/>
        </w:rPr>
        <w:t xml:space="preserve"> and Dyer focus on the utopian feeling from </w:t>
      </w:r>
      <w:r w:rsidR="00FE4A8C">
        <w:rPr>
          <w:sz w:val="24"/>
          <w:szCs w:val="24"/>
        </w:rPr>
        <w:t xml:space="preserve">attending public </w:t>
      </w:r>
      <w:r>
        <w:rPr>
          <w:sz w:val="24"/>
          <w:szCs w:val="24"/>
        </w:rPr>
        <w:t>entertainments, but I assert that we should also hold this lens up to amateur performance</w:t>
      </w:r>
      <w:r w:rsidR="00354200">
        <w:rPr>
          <w:sz w:val="24"/>
          <w:szCs w:val="24"/>
        </w:rPr>
        <w:t>s of entertainment</w:t>
      </w:r>
      <w:r>
        <w:rPr>
          <w:sz w:val="24"/>
          <w:szCs w:val="24"/>
        </w:rPr>
        <w:t>, as in the nineteenth-century American parlor. Hypothetically, nineteenth-century Americans seeking to resolve the societal tensions c</w:t>
      </w:r>
      <w:r w:rsidR="00354200">
        <w:rPr>
          <w:sz w:val="24"/>
          <w:szCs w:val="24"/>
        </w:rPr>
        <w:t>oncerning their identities might</w:t>
      </w:r>
      <w:r>
        <w:rPr>
          <w:sz w:val="24"/>
          <w:szCs w:val="24"/>
        </w:rPr>
        <w:t xml:space="preserve"> seek to escape solely into a </w:t>
      </w:r>
      <w:proofErr w:type="spellStart"/>
      <w:r>
        <w:rPr>
          <w:sz w:val="24"/>
          <w:szCs w:val="24"/>
        </w:rPr>
        <w:t>utopic</w:t>
      </w:r>
      <w:proofErr w:type="spellEnd"/>
      <w:r>
        <w:rPr>
          <w:sz w:val="24"/>
          <w:szCs w:val="24"/>
        </w:rPr>
        <w:t xml:space="preserve"> presentation of a corrective highbrow world. Yet, parlor musicians were not escaping exclusively into the idealized realms of sentimental songs; they were enacting the very tensions and inadequacies of vulgarity and violence in their performance of comic songs.</w:t>
      </w:r>
    </w:p>
    <w:p w:rsidR="009C1165" w:rsidRPr="00DD0EEB" w:rsidRDefault="009C1165" w:rsidP="009C1165">
      <w:pPr>
        <w:spacing w:line="480" w:lineRule="auto"/>
        <w:ind w:firstLine="720"/>
        <w:rPr>
          <w:sz w:val="24"/>
          <w:szCs w:val="24"/>
        </w:rPr>
      </w:pPr>
      <w:r>
        <w:rPr>
          <w:sz w:val="24"/>
          <w:szCs w:val="24"/>
        </w:rPr>
        <w:t>Participating in and identifying with comic songs in nineteenth-century America offered opportunities to engage in conduct that highbrow ideals prohibited, releasing the overflow of repressed desires into present</w:t>
      </w:r>
      <w:r w:rsidR="00271B9A">
        <w:rPr>
          <w:sz w:val="24"/>
          <w:szCs w:val="24"/>
        </w:rPr>
        <w:t>able, external forms. As</w:t>
      </w:r>
      <w:r w:rsidR="007B29F5">
        <w:rPr>
          <w:sz w:val="24"/>
          <w:szCs w:val="24"/>
        </w:rPr>
        <w:t xml:space="preserve"> explicated in Chapter T</w:t>
      </w:r>
      <w:r>
        <w:rPr>
          <w:sz w:val="24"/>
          <w:szCs w:val="24"/>
        </w:rPr>
        <w:t>wo, Karl Miller’s research on Tin Pan Alley songs argued that the genre of “coon songs,” a late form of minstrelsy that portrayed African-Americans in an extremely negative light—often as “violent-simpletons”</w:t>
      </w:r>
      <w:r>
        <w:rPr>
          <w:rStyle w:val="FootnoteReference"/>
          <w:sz w:val="24"/>
          <w:szCs w:val="24"/>
        </w:rPr>
        <w:footnoteReference w:id="331"/>
      </w:r>
      <w:r>
        <w:rPr>
          <w:sz w:val="24"/>
          <w:szCs w:val="24"/>
        </w:rPr>
        <w:t>—</w:t>
      </w:r>
      <w:r w:rsidR="00354200">
        <w:rPr>
          <w:sz w:val="24"/>
          <w:szCs w:val="24"/>
        </w:rPr>
        <w:t xml:space="preserve">, </w:t>
      </w:r>
      <w:r>
        <w:rPr>
          <w:sz w:val="24"/>
          <w:szCs w:val="24"/>
        </w:rPr>
        <w:t xml:space="preserve">gave white Southerners an opportunity to embody this identity. “Coon songs,” in Miller’s opinion, allowed whites to “revel in the physical and expressive freedom they associated with African American culture,” and “commit all [the] sins” of the black protagonists </w:t>
      </w:r>
      <w:r>
        <w:rPr>
          <w:sz w:val="24"/>
          <w:szCs w:val="24"/>
        </w:rPr>
        <w:lastRenderedPageBreak/>
        <w:t>in these songs, who “drank and ate too much…gambled</w:t>
      </w:r>
      <w:proofErr w:type="gramStart"/>
      <w:r>
        <w:rPr>
          <w:sz w:val="24"/>
          <w:szCs w:val="24"/>
        </w:rPr>
        <w:t>…[</w:t>
      </w:r>
      <w:proofErr w:type="gramEnd"/>
      <w:r>
        <w:rPr>
          <w:sz w:val="24"/>
          <w:szCs w:val="24"/>
        </w:rPr>
        <w:t>and] stole.”</w:t>
      </w:r>
      <w:r>
        <w:rPr>
          <w:rStyle w:val="FootnoteReference"/>
          <w:sz w:val="24"/>
          <w:szCs w:val="24"/>
        </w:rPr>
        <w:footnoteReference w:id="332"/>
      </w:r>
      <w:r>
        <w:rPr>
          <w:sz w:val="24"/>
          <w:szCs w:val="24"/>
        </w:rPr>
        <w:t xml:space="preserve"> Some songs even allowed the fictional enactment of the “violent assault and murder of African Americans,”</w:t>
      </w:r>
      <w:r>
        <w:rPr>
          <w:rStyle w:val="FootnoteReference"/>
          <w:sz w:val="24"/>
          <w:szCs w:val="24"/>
        </w:rPr>
        <w:footnoteReference w:id="333"/>
      </w:r>
      <w:r>
        <w:rPr>
          <w:sz w:val="24"/>
          <w:szCs w:val="24"/>
        </w:rPr>
        <w:t xml:space="preserve"> as with 1895’s “The Coon That I Suspected.” In the </w:t>
      </w:r>
      <w:r w:rsidR="00041C4B">
        <w:rPr>
          <w:sz w:val="24"/>
          <w:szCs w:val="24"/>
        </w:rPr>
        <w:t xml:space="preserve">song, the stereotyped African </w:t>
      </w:r>
      <w:r>
        <w:rPr>
          <w:sz w:val="24"/>
          <w:szCs w:val="24"/>
        </w:rPr>
        <w:t xml:space="preserve">American protagonist chases after another man who stole his wife, proclaiming that when they meet “they’ll be a strange coon sent to heaven, </w:t>
      </w:r>
      <w:proofErr w:type="gramStart"/>
      <w:r>
        <w:rPr>
          <w:sz w:val="24"/>
          <w:szCs w:val="24"/>
        </w:rPr>
        <w:t>And</w:t>
      </w:r>
      <w:proofErr w:type="gramEnd"/>
      <w:r>
        <w:rPr>
          <w:sz w:val="24"/>
          <w:szCs w:val="24"/>
        </w:rPr>
        <w:t xml:space="preserve"> a new black angel looking for a seat.”</w:t>
      </w:r>
      <w:r>
        <w:rPr>
          <w:rStyle w:val="FootnoteReference"/>
          <w:sz w:val="24"/>
          <w:szCs w:val="24"/>
        </w:rPr>
        <w:footnoteReference w:id="334"/>
      </w:r>
      <w:r>
        <w:rPr>
          <w:sz w:val="24"/>
          <w:szCs w:val="24"/>
        </w:rPr>
        <w:t xml:space="preserve"> Embodying these characters in so</w:t>
      </w:r>
      <w:r w:rsidR="00354200">
        <w:rPr>
          <w:sz w:val="24"/>
          <w:szCs w:val="24"/>
        </w:rPr>
        <w:t>ng allowed whites</w:t>
      </w:r>
      <w:r>
        <w:rPr>
          <w:sz w:val="24"/>
          <w:szCs w:val="24"/>
        </w:rPr>
        <w:t xml:space="preserve"> to enact an idealized freer physic</w:t>
      </w:r>
      <w:r w:rsidR="00354200">
        <w:rPr>
          <w:sz w:val="24"/>
          <w:szCs w:val="24"/>
        </w:rPr>
        <w:t xml:space="preserve">al culture and </w:t>
      </w:r>
      <w:r>
        <w:rPr>
          <w:sz w:val="24"/>
          <w:szCs w:val="24"/>
        </w:rPr>
        <w:t xml:space="preserve">the resolution of social tensions in </w:t>
      </w:r>
      <w:r w:rsidR="00354200">
        <w:rPr>
          <w:sz w:val="24"/>
          <w:szCs w:val="24"/>
        </w:rPr>
        <w:t xml:space="preserve">both </w:t>
      </w:r>
      <w:r>
        <w:rPr>
          <w:sz w:val="24"/>
          <w:szCs w:val="24"/>
        </w:rPr>
        <w:t>the mocking of African-Americans and the assertion of white supremacy. Miller ultimately uses such songs to demonstrate the emerging definitions of “southern cultural distinctiveness in the age of Jim Crow.”</w:t>
      </w:r>
      <w:r>
        <w:rPr>
          <w:rStyle w:val="FootnoteReference"/>
          <w:sz w:val="24"/>
          <w:szCs w:val="24"/>
        </w:rPr>
        <w:footnoteReference w:id="335"/>
      </w:r>
      <w:r>
        <w:rPr>
          <w:sz w:val="24"/>
          <w:szCs w:val="24"/>
        </w:rPr>
        <w:t xml:space="preserve"> For white supremacists, this distinctiveness and segregation was its own type of utopia,</w:t>
      </w:r>
      <w:r w:rsidR="00354200">
        <w:rPr>
          <w:sz w:val="24"/>
          <w:szCs w:val="24"/>
        </w:rPr>
        <w:t xml:space="preserve"> achieved by</w:t>
      </w:r>
      <w:r>
        <w:rPr>
          <w:sz w:val="24"/>
          <w:szCs w:val="24"/>
        </w:rPr>
        <w:t xml:space="preserve"> removing those they unfairly labeled as negative influences on white society. Performing comic songs, even when the mockery is intended to control a </w:t>
      </w:r>
      <w:proofErr w:type="spellStart"/>
      <w:r>
        <w:rPr>
          <w:sz w:val="24"/>
          <w:szCs w:val="24"/>
        </w:rPr>
        <w:t>transgressive</w:t>
      </w:r>
      <w:proofErr w:type="spellEnd"/>
      <w:r>
        <w:rPr>
          <w:sz w:val="24"/>
          <w:szCs w:val="24"/>
        </w:rPr>
        <w:t xml:space="preserve"> </w:t>
      </w:r>
      <w:proofErr w:type="gramStart"/>
      <w:r>
        <w:rPr>
          <w:sz w:val="24"/>
          <w:szCs w:val="24"/>
        </w:rPr>
        <w:t>Other</w:t>
      </w:r>
      <w:proofErr w:type="gramEnd"/>
      <w:r>
        <w:rPr>
          <w:sz w:val="24"/>
          <w:szCs w:val="24"/>
        </w:rPr>
        <w:t xml:space="preserve">, allows the Self to experiment with the desire to embody the lowbrow. Comic songs </w:t>
      </w:r>
      <w:r w:rsidR="00290EFF">
        <w:rPr>
          <w:sz w:val="24"/>
          <w:szCs w:val="24"/>
        </w:rPr>
        <w:t>gave surface to</w:t>
      </w:r>
      <w:r>
        <w:rPr>
          <w:sz w:val="24"/>
          <w:szCs w:val="24"/>
        </w:rPr>
        <w:t xml:space="preserve"> the tension that Victorian era highbrow beliefs repressed.</w:t>
      </w:r>
    </w:p>
    <w:p w:rsidR="009C1165" w:rsidRDefault="009C1165" w:rsidP="009C1165">
      <w:pPr>
        <w:tabs>
          <w:tab w:val="left" w:pos="4200"/>
        </w:tabs>
        <w:spacing w:line="480" w:lineRule="auto"/>
        <w:ind w:firstLine="720"/>
        <w:rPr>
          <w:sz w:val="24"/>
          <w:szCs w:val="24"/>
        </w:rPr>
      </w:pPr>
      <w:r>
        <w:rPr>
          <w:sz w:val="24"/>
          <w:szCs w:val="24"/>
        </w:rPr>
        <w:t>Comic songs, especial</w:t>
      </w:r>
      <w:r w:rsidR="007B29F5">
        <w:rPr>
          <w:sz w:val="24"/>
          <w:szCs w:val="24"/>
        </w:rPr>
        <w:t>ly topical songs—as defined in Chapter O</w:t>
      </w:r>
      <w:r>
        <w:rPr>
          <w:sz w:val="24"/>
          <w:szCs w:val="24"/>
        </w:rPr>
        <w:t>ne—subvert norms and rebut ideals. Topical songs, by definition, do not present an external idealized realm; they present reality as they directly name and mock real subjects. The frank treatment of daily life in topical comic s</w:t>
      </w:r>
      <w:r w:rsidR="00271B9A">
        <w:rPr>
          <w:sz w:val="24"/>
          <w:szCs w:val="24"/>
        </w:rPr>
        <w:t>ongs challenges the move toward</w:t>
      </w:r>
      <w:r>
        <w:rPr>
          <w:sz w:val="24"/>
          <w:szCs w:val="24"/>
        </w:rPr>
        <w:t xml:space="preserve"> an ideal type found in other parlor songs. They do not create a world outside reality to esca</w:t>
      </w:r>
      <w:r w:rsidR="006F6736">
        <w:rPr>
          <w:sz w:val="24"/>
          <w:szCs w:val="24"/>
        </w:rPr>
        <w:t>pe into; instead,</w:t>
      </w:r>
      <w:r>
        <w:rPr>
          <w:sz w:val="24"/>
          <w:szCs w:val="24"/>
        </w:rPr>
        <w:t xml:space="preserve"> </w:t>
      </w:r>
      <w:r w:rsidRPr="009622BD">
        <w:rPr>
          <w:sz w:val="24"/>
          <w:szCs w:val="24"/>
        </w:rPr>
        <w:t>they take reality head on.</w:t>
      </w:r>
      <w:r>
        <w:rPr>
          <w:sz w:val="24"/>
          <w:szCs w:val="24"/>
        </w:rPr>
        <w:t xml:space="preserve"> In </w:t>
      </w:r>
      <w:r>
        <w:rPr>
          <w:sz w:val="24"/>
          <w:szCs w:val="24"/>
        </w:rPr>
        <w:lastRenderedPageBreak/>
        <w:t xml:space="preserve">naming current celebrities, such as politicians and authors, topical songs directly </w:t>
      </w:r>
      <w:r w:rsidR="006F6736">
        <w:rPr>
          <w:sz w:val="24"/>
          <w:szCs w:val="24"/>
        </w:rPr>
        <w:t>situate themselves in the existing</w:t>
      </w:r>
      <w:r>
        <w:rPr>
          <w:sz w:val="24"/>
          <w:szCs w:val="24"/>
        </w:rPr>
        <w:t xml:space="preserve"> present, not an ideal realm. They are less an escape and more of a direct engagement.</w:t>
      </w:r>
      <w:r>
        <w:rPr>
          <w:rFonts w:cstheme="minorHAnsi"/>
          <w:sz w:val="24"/>
          <w:szCs w:val="24"/>
        </w:rPr>
        <w:t xml:space="preserve"> For example, “Little Billie’s Sweetheart” criticizes American society at large as it indicts those who are caught up in the craze surrounding George du </w:t>
      </w:r>
      <w:proofErr w:type="spellStart"/>
      <w:r>
        <w:rPr>
          <w:rFonts w:cstheme="minorHAnsi"/>
          <w:sz w:val="24"/>
          <w:szCs w:val="24"/>
        </w:rPr>
        <w:t>Maurier’s</w:t>
      </w:r>
      <w:proofErr w:type="spellEnd"/>
      <w:r>
        <w:rPr>
          <w:rFonts w:cstheme="minorHAnsi"/>
          <w:sz w:val="24"/>
          <w:szCs w:val="24"/>
        </w:rPr>
        <w:t xml:space="preserve"> wildly successful 1894 novel </w:t>
      </w:r>
      <w:r>
        <w:rPr>
          <w:rFonts w:cstheme="minorHAnsi"/>
          <w:i/>
          <w:sz w:val="24"/>
          <w:szCs w:val="24"/>
        </w:rPr>
        <w:t>Trilby</w:t>
      </w:r>
      <w:r>
        <w:rPr>
          <w:rFonts w:cstheme="minorHAnsi"/>
          <w:sz w:val="24"/>
          <w:szCs w:val="24"/>
        </w:rPr>
        <w:t>. The characte</w:t>
      </w:r>
      <w:r w:rsidR="006F6736">
        <w:rPr>
          <w:rFonts w:cstheme="minorHAnsi"/>
          <w:sz w:val="24"/>
          <w:szCs w:val="24"/>
        </w:rPr>
        <w:t>rs in the song are too consumed with</w:t>
      </w:r>
      <w:r>
        <w:rPr>
          <w:rFonts w:cstheme="minorHAnsi"/>
          <w:sz w:val="24"/>
          <w:szCs w:val="24"/>
        </w:rPr>
        <w:t xml:space="preserve"> reading the novel to pursue anything else, and the singer even witnesses a house burn down without anyone assisting, because “each fireman’s reading Trilby.”</w:t>
      </w:r>
      <w:r>
        <w:rPr>
          <w:rStyle w:val="FootnoteReference"/>
          <w:rFonts w:cstheme="minorHAnsi"/>
          <w:sz w:val="24"/>
          <w:szCs w:val="24"/>
        </w:rPr>
        <w:footnoteReference w:id="336"/>
      </w:r>
      <w:r>
        <w:rPr>
          <w:rFonts w:cstheme="minorHAnsi"/>
          <w:sz w:val="24"/>
          <w:szCs w:val="24"/>
        </w:rPr>
        <w:t xml:space="preserve"> The composer’s </w:t>
      </w:r>
      <w:r>
        <w:rPr>
          <w:rFonts w:cstheme="minorHAnsi"/>
          <w:i/>
          <w:sz w:val="24"/>
          <w:szCs w:val="24"/>
        </w:rPr>
        <w:t>nom de plume</w:t>
      </w:r>
      <w:r>
        <w:rPr>
          <w:rFonts w:cstheme="minorHAnsi"/>
          <w:sz w:val="24"/>
          <w:szCs w:val="24"/>
        </w:rPr>
        <w:t xml:space="preserve">, </w:t>
      </w:r>
      <w:r w:rsidRPr="00E12A60">
        <w:rPr>
          <w:rFonts w:cstheme="minorHAnsi"/>
          <w:sz w:val="24"/>
          <w:szCs w:val="24"/>
        </w:rPr>
        <w:t xml:space="preserve">S.V. </w:t>
      </w:r>
      <w:proofErr w:type="spellStart"/>
      <w:r w:rsidRPr="00E12A60">
        <w:rPr>
          <w:rFonts w:cstheme="minorHAnsi"/>
          <w:sz w:val="24"/>
          <w:szCs w:val="24"/>
        </w:rPr>
        <w:t>Engali</w:t>
      </w:r>
      <w:proofErr w:type="spellEnd"/>
      <w:r w:rsidRPr="00E12A60">
        <w:rPr>
          <w:rFonts w:cstheme="minorHAnsi"/>
          <w:sz w:val="24"/>
          <w:szCs w:val="24"/>
        </w:rPr>
        <w:t>, is even a jab at the book</w:t>
      </w:r>
      <w:r>
        <w:rPr>
          <w:rFonts w:cstheme="minorHAnsi"/>
          <w:sz w:val="24"/>
          <w:szCs w:val="24"/>
        </w:rPr>
        <w:t xml:space="preserve">, </w:t>
      </w:r>
      <w:r w:rsidRPr="00A14E4D">
        <w:rPr>
          <w:rFonts w:cstheme="minorHAnsi"/>
          <w:sz w:val="24"/>
          <w:szCs w:val="24"/>
        </w:rPr>
        <w:t xml:space="preserve">parodying the hypnotist and antagonist of the novel, </w:t>
      </w:r>
      <w:proofErr w:type="spellStart"/>
      <w:r w:rsidRPr="00A14E4D">
        <w:rPr>
          <w:rFonts w:cstheme="minorHAnsi"/>
          <w:sz w:val="24"/>
          <w:szCs w:val="24"/>
        </w:rPr>
        <w:t>Svengali</w:t>
      </w:r>
      <w:proofErr w:type="spellEnd"/>
      <w:r w:rsidRPr="00A14E4D">
        <w:rPr>
          <w:rFonts w:cstheme="minorHAnsi"/>
          <w:sz w:val="24"/>
          <w:szCs w:val="24"/>
        </w:rPr>
        <w:t>.</w:t>
      </w:r>
      <w:r>
        <w:rPr>
          <w:rStyle w:val="FootnoteReference"/>
          <w:rFonts w:cstheme="minorHAnsi"/>
          <w:sz w:val="24"/>
          <w:szCs w:val="24"/>
        </w:rPr>
        <w:footnoteReference w:id="337"/>
      </w:r>
      <w:r w:rsidRPr="00A14E4D">
        <w:rPr>
          <w:rFonts w:cstheme="minorHAnsi"/>
          <w:sz w:val="24"/>
          <w:szCs w:val="24"/>
        </w:rPr>
        <w:t xml:space="preserve"> The popularity of </w:t>
      </w:r>
      <w:r w:rsidRPr="00A14E4D">
        <w:rPr>
          <w:rFonts w:cstheme="minorHAnsi"/>
          <w:i/>
          <w:sz w:val="24"/>
          <w:szCs w:val="24"/>
        </w:rPr>
        <w:t>Trilby</w:t>
      </w:r>
      <w:r w:rsidRPr="00A14E4D">
        <w:rPr>
          <w:sz w:val="24"/>
          <w:szCs w:val="24"/>
        </w:rPr>
        <w:t xml:space="preserve"> was so </w:t>
      </w:r>
      <w:r>
        <w:rPr>
          <w:sz w:val="24"/>
          <w:szCs w:val="24"/>
        </w:rPr>
        <w:t>pervasive</w:t>
      </w:r>
      <w:r w:rsidRPr="00A14E4D">
        <w:rPr>
          <w:sz w:val="24"/>
          <w:szCs w:val="24"/>
        </w:rPr>
        <w:t xml:space="preserve"> </w:t>
      </w:r>
      <w:r>
        <w:rPr>
          <w:sz w:val="24"/>
          <w:szCs w:val="24"/>
        </w:rPr>
        <w:t xml:space="preserve">that the chorus even warns, “if you </w:t>
      </w:r>
      <w:proofErr w:type="spellStart"/>
      <w:r>
        <w:rPr>
          <w:sz w:val="24"/>
          <w:szCs w:val="24"/>
        </w:rPr>
        <w:t>hav’nt</w:t>
      </w:r>
      <w:proofErr w:type="spellEnd"/>
      <w:r>
        <w:rPr>
          <w:sz w:val="24"/>
          <w:szCs w:val="24"/>
        </w:rPr>
        <w:t xml:space="preserve"> [read it] don’t admit it, or they’ll brand you for a jay.”</w:t>
      </w:r>
      <w:r>
        <w:rPr>
          <w:rStyle w:val="FootnoteReference"/>
          <w:sz w:val="24"/>
          <w:szCs w:val="24"/>
        </w:rPr>
        <w:footnoteReference w:id="338"/>
      </w:r>
      <w:r w:rsidRPr="00A14E4D">
        <w:rPr>
          <w:rFonts w:cstheme="minorHAnsi"/>
          <w:sz w:val="24"/>
          <w:szCs w:val="24"/>
        </w:rPr>
        <w:t xml:space="preserve"> </w:t>
      </w:r>
      <w:r w:rsidRPr="00E12A60">
        <w:rPr>
          <w:rFonts w:cstheme="minorHAnsi"/>
          <w:sz w:val="24"/>
          <w:szCs w:val="24"/>
        </w:rPr>
        <w:t xml:space="preserve">A plethora of advertisements from 1895 reveal that the extreme popularity of </w:t>
      </w:r>
      <w:r w:rsidRPr="00E12A60">
        <w:rPr>
          <w:rFonts w:cstheme="minorHAnsi"/>
          <w:i/>
          <w:sz w:val="24"/>
          <w:szCs w:val="24"/>
        </w:rPr>
        <w:t>Trilby</w:t>
      </w:r>
      <w:r w:rsidRPr="00E12A60">
        <w:rPr>
          <w:sz w:val="24"/>
          <w:szCs w:val="24"/>
        </w:rPr>
        <w:t xml:space="preserve"> was matched with an equally popular fad of parodying the novel.</w:t>
      </w:r>
      <w:r>
        <w:rPr>
          <w:sz w:val="24"/>
          <w:szCs w:val="24"/>
        </w:rPr>
        <w:t xml:space="preserve"> There were songs such as “Trilby and Little Billie,”</w:t>
      </w:r>
      <w:r>
        <w:rPr>
          <w:rStyle w:val="FootnoteReference"/>
          <w:sz w:val="24"/>
          <w:szCs w:val="24"/>
        </w:rPr>
        <w:footnoteReference w:id="339"/>
      </w:r>
      <w:r>
        <w:rPr>
          <w:sz w:val="24"/>
          <w:szCs w:val="24"/>
        </w:rPr>
        <w:t xml:space="preserve"> “Like Trilby,”</w:t>
      </w:r>
      <w:r>
        <w:rPr>
          <w:rStyle w:val="FootnoteReference"/>
          <w:sz w:val="24"/>
          <w:szCs w:val="24"/>
        </w:rPr>
        <w:footnoteReference w:id="340"/>
      </w:r>
      <w:r>
        <w:rPr>
          <w:sz w:val="24"/>
          <w:szCs w:val="24"/>
        </w:rPr>
        <w:t xml:space="preserve"> “Who’s Trilby? She’s a Corker,”</w:t>
      </w:r>
      <w:r>
        <w:rPr>
          <w:rStyle w:val="FootnoteReference"/>
          <w:sz w:val="24"/>
          <w:szCs w:val="24"/>
        </w:rPr>
        <w:footnoteReference w:id="341"/>
      </w:r>
      <w:r>
        <w:rPr>
          <w:sz w:val="24"/>
          <w:szCs w:val="24"/>
        </w:rPr>
        <w:t xml:space="preserve"> “Who Hypnotized O’Leary?,”</w:t>
      </w:r>
      <w:r>
        <w:rPr>
          <w:rStyle w:val="FootnoteReference"/>
          <w:sz w:val="24"/>
          <w:szCs w:val="24"/>
        </w:rPr>
        <w:footnoteReference w:id="342"/>
      </w:r>
      <w:r>
        <w:rPr>
          <w:sz w:val="24"/>
          <w:szCs w:val="24"/>
        </w:rPr>
        <w:t xml:space="preserve"> “I am a Hypnotizer a la Trilby,”</w:t>
      </w:r>
      <w:r>
        <w:rPr>
          <w:rStyle w:val="FootnoteReference"/>
          <w:sz w:val="24"/>
          <w:szCs w:val="24"/>
        </w:rPr>
        <w:footnoteReference w:id="343"/>
      </w:r>
      <w:r>
        <w:rPr>
          <w:sz w:val="24"/>
          <w:szCs w:val="24"/>
        </w:rPr>
        <w:t xml:space="preserve"> and even a touring singing donkey named Trilby, whose master “as </w:t>
      </w:r>
      <w:proofErr w:type="spellStart"/>
      <w:r>
        <w:rPr>
          <w:sz w:val="24"/>
          <w:szCs w:val="24"/>
        </w:rPr>
        <w:t>Svengali</w:t>
      </w:r>
      <w:proofErr w:type="spellEnd"/>
      <w:r>
        <w:rPr>
          <w:sz w:val="24"/>
          <w:szCs w:val="24"/>
        </w:rPr>
        <w:t>, walks Trilby down to the foot lights and hypnotizes her to sing.”</w:t>
      </w:r>
      <w:r>
        <w:rPr>
          <w:rStyle w:val="FootnoteReference"/>
          <w:sz w:val="24"/>
          <w:szCs w:val="24"/>
        </w:rPr>
        <w:footnoteReference w:id="344"/>
      </w:r>
      <w:r>
        <w:rPr>
          <w:sz w:val="24"/>
          <w:szCs w:val="24"/>
        </w:rPr>
        <w:t xml:space="preserve"> Each advertisement highlights the “novelty” of the songs,</w:t>
      </w:r>
      <w:r w:rsidR="006F6736">
        <w:rPr>
          <w:sz w:val="24"/>
          <w:szCs w:val="24"/>
        </w:rPr>
        <w:t xml:space="preserve"> emphasizing its newness and direct</w:t>
      </w:r>
      <w:r>
        <w:rPr>
          <w:sz w:val="24"/>
          <w:szCs w:val="24"/>
        </w:rPr>
        <w:t xml:space="preserve"> connection to what was currently happening, not an external realm.</w:t>
      </w:r>
    </w:p>
    <w:p w:rsidR="009C1165" w:rsidRDefault="009C1165" w:rsidP="00BD61E3">
      <w:pPr>
        <w:spacing w:line="480" w:lineRule="auto"/>
        <w:ind w:firstLine="720"/>
        <w:rPr>
          <w:rFonts w:cstheme="minorHAnsi"/>
          <w:sz w:val="24"/>
          <w:szCs w:val="24"/>
        </w:rPr>
      </w:pPr>
      <w:r>
        <w:rPr>
          <w:sz w:val="24"/>
          <w:szCs w:val="24"/>
        </w:rPr>
        <w:lastRenderedPageBreak/>
        <w:t>Many of these topical songs not only capitalized on the current, but unveiled the flaws in it as well. Th</w:t>
      </w:r>
      <w:r w:rsidR="00F3534B">
        <w:rPr>
          <w:sz w:val="24"/>
          <w:szCs w:val="24"/>
        </w:rPr>
        <w:t xml:space="preserve">e latter half of the nineteenth </w:t>
      </w:r>
      <w:r>
        <w:rPr>
          <w:sz w:val="24"/>
          <w:szCs w:val="24"/>
        </w:rPr>
        <w:t xml:space="preserve">century is frequently referred to as the Gilded Age, because a thin layer of cultural optimism—or gold—covered deep social and political flaws in the Reconstruction era. Topical songs peel back this gilding by performing distinct critiques. In the case of 1909’s “Possum,” a particularly stilted minstrel dialect </w:t>
      </w:r>
      <w:r w:rsidR="006F6736">
        <w:rPr>
          <w:sz w:val="24"/>
          <w:szCs w:val="24"/>
        </w:rPr>
        <w:t>lightly veils a political critique</w:t>
      </w:r>
      <w:r>
        <w:rPr>
          <w:sz w:val="24"/>
          <w:szCs w:val="24"/>
        </w:rPr>
        <w:t xml:space="preserve"> of Presidents Theodore Roosevelt and William Taft. The </w:t>
      </w:r>
      <w:r>
        <w:rPr>
          <w:rFonts w:cstheme="minorHAnsi"/>
          <w:sz w:val="24"/>
          <w:szCs w:val="24"/>
        </w:rPr>
        <w:t>chorus sings the praises of</w:t>
      </w:r>
      <w:r w:rsidRPr="005E5C1C">
        <w:rPr>
          <w:rFonts w:cstheme="minorHAnsi"/>
          <w:sz w:val="24"/>
          <w:szCs w:val="24"/>
        </w:rPr>
        <w:t xml:space="preserve"> eating possum</w:t>
      </w:r>
      <w:r>
        <w:rPr>
          <w:rFonts w:cstheme="minorHAnsi"/>
          <w:sz w:val="24"/>
          <w:szCs w:val="24"/>
        </w:rPr>
        <w:t>, which has become “all de</w:t>
      </w:r>
      <w:r w:rsidRPr="005E5C1C">
        <w:rPr>
          <w:rFonts w:cstheme="minorHAnsi"/>
          <w:sz w:val="24"/>
          <w:szCs w:val="24"/>
        </w:rPr>
        <w:t xml:space="preserve"> rage</w:t>
      </w:r>
      <w:r>
        <w:rPr>
          <w:rFonts w:cstheme="minorHAnsi"/>
          <w:sz w:val="24"/>
          <w:szCs w:val="24"/>
        </w:rPr>
        <w:t>”</w:t>
      </w:r>
      <w:r w:rsidRPr="005E5C1C">
        <w:rPr>
          <w:rFonts w:cstheme="minorHAnsi"/>
          <w:sz w:val="24"/>
          <w:szCs w:val="24"/>
        </w:rPr>
        <w:t xml:space="preserve"> </w:t>
      </w:r>
      <w:r>
        <w:rPr>
          <w:rFonts w:cstheme="minorHAnsi"/>
          <w:sz w:val="24"/>
          <w:szCs w:val="24"/>
        </w:rPr>
        <w:t xml:space="preserve">since “Bill </w:t>
      </w:r>
      <w:proofErr w:type="spellStart"/>
      <w:r>
        <w:rPr>
          <w:rFonts w:cstheme="minorHAnsi"/>
          <w:sz w:val="24"/>
          <w:szCs w:val="24"/>
        </w:rPr>
        <w:t>Tafts</w:t>
      </w:r>
      <w:proofErr w:type="spellEnd"/>
      <w:r>
        <w:rPr>
          <w:rFonts w:cstheme="minorHAnsi"/>
          <w:sz w:val="24"/>
          <w:szCs w:val="24"/>
        </w:rPr>
        <w:t xml:space="preserve"> </w:t>
      </w:r>
      <w:r w:rsidR="00BD61E3">
        <w:rPr>
          <w:rFonts w:cstheme="minorHAnsi"/>
          <w:sz w:val="24"/>
          <w:szCs w:val="24"/>
        </w:rPr>
        <w:t>cum to Washington.</w:t>
      </w:r>
      <w:r>
        <w:rPr>
          <w:rFonts w:cstheme="minorHAnsi"/>
          <w:sz w:val="24"/>
          <w:szCs w:val="24"/>
        </w:rPr>
        <w:t>”</w:t>
      </w:r>
      <w:r w:rsidR="006F6736">
        <w:rPr>
          <w:rStyle w:val="FootnoteReference"/>
          <w:rFonts w:cstheme="minorHAnsi"/>
          <w:sz w:val="24"/>
          <w:szCs w:val="24"/>
        </w:rPr>
        <w:footnoteReference w:id="345"/>
      </w:r>
      <w:r w:rsidR="00BD61E3">
        <w:rPr>
          <w:rFonts w:cstheme="minorHAnsi"/>
          <w:sz w:val="24"/>
          <w:szCs w:val="24"/>
        </w:rPr>
        <w:t xml:space="preserve"> The possum was Taft’s unofficial mascot, an affiliation cemented in 1909, the same year as the song’s publication, when the Atlanta Cha</w:t>
      </w:r>
      <w:r w:rsidR="006F6736">
        <w:rPr>
          <w:rFonts w:cstheme="minorHAnsi"/>
          <w:sz w:val="24"/>
          <w:szCs w:val="24"/>
        </w:rPr>
        <w:t>mber of Commerce hosted a</w:t>
      </w:r>
      <w:r w:rsidR="00BD61E3">
        <w:rPr>
          <w:rFonts w:cstheme="minorHAnsi"/>
          <w:sz w:val="24"/>
          <w:szCs w:val="24"/>
        </w:rPr>
        <w:t xml:space="preserve"> “Possum dinner” in the White House, where they did not eat possum, but rather lined the tables with stuff</w:t>
      </w:r>
      <w:r w:rsidR="001212F2">
        <w:rPr>
          <w:rFonts w:cstheme="minorHAnsi"/>
          <w:sz w:val="24"/>
          <w:szCs w:val="24"/>
        </w:rPr>
        <w:t>ed possums for the guests (see F</w:t>
      </w:r>
      <w:r w:rsidR="00BD61E3">
        <w:rPr>
          <w:rFonts w:cstheme="minorHAnsi"/>
          <w:sz w:val="24"/>
          <w:szCs w:val="24"/>
        </w:rPr>
        <w:t>igure</w:t>
      </w:r>
      <w:r w:rsidR="007208C3">
        <w:rPr>
          <w:rFonts w:cstheme="minorHAnsi"/>
          <w:sz w:val="24"/>
          <w:szCs w:val="24"/>
        </w:rPr>
        <w:t xml:space="preserve"> 4.1</w:t>
      </w:r>
      <w:r w:rsidR="00BD61E3">
        <w:rPr>
          <w:rFonts w:cstheme="minorHAnsi"/>
          <w:sz w:val="24"/>
          <w:szCs w:val="24"/>
        </w:rPr>
        <w:t>).</w:t>
      </w:r>
      <w:r w:rsidR="00BD61E3">
        <w:rPr>
          <w:rStyle w:val="FootnoteReference"/>
          <w:rFonts w:cstheme="minorHAnsi"/>
          <w:sz w:val="24"/>
          <w:szCs w:val="24"/>
        </w:rPr>
        <w:footnoteReference w:id="346"/>
      </w:r>
      <w:r w:rsidR="00BD61E3">
        <w:rPr>
          <w:rFonts w:cstheme="minorHAnsi"/>
          <w:sz w:val="24"/>
          <w:szCs w:val="24"/>
        </w:rPr>
        <w:t xml:space="preserve"> </w:t>
      </w:r>
      <w:r w:rsidR="007F0D29">
        <w:rPr>
          <w:rFonts w:cstheme="minorHAnsi"/>
          <w:sz w:val="24"/>
          <w:szCs w:val="24"/>
        </w:rPr>
        <w:t xml:space="preserve">Subtitled, “the latest craze,” the song “Possum” was published </w:t>
      </w:r>
      <w:r w:rsidR="00BD61E3">
        <w:rPr>
          <w:rFonts w:cstheme="minorHAnsi"/>
          <w:sz w:val="24"/>
          <w:szCs w:val="24"/>
        </w:rPr>
        <w:t>at the peak of rel</w:t>
      </w:r>
      <w:r w:rsidR="007F0D29">
        <w:rPr>
          <w:rFonts w:cstheme="minorHAnsi"/>
          <w:sz w:val="24"/>
          <w:szCs w:val="24"/>
        </w:rPr>
        <w:t>e</w:t>
      </w:r>
      <w:r w:rsidR="006F6736">
        <w:rPr>
          <w:rFonts w:cstheme="minorHAnsi"/>
          <w:sz w:val="24"/>
          <w:szCs w:val="24"/>
        </w:rPr>
        <w:t>vancy. It flips the significance of Taft’s own mascot</w:t>
      </w:r>
      <w:r w:rsidR="007F0D29">
        <w:rPr>
          <w:rFonts w:cstheme="minorHAnsi"/>
          <w:sz w:val="24"/>
          <w:szCs w:val="24"/>
        </w:rPr>
        <w:t>, though, and uses it as a source of derision. The song registers disapproval, claiming that even though Taft defeated “Teddy Bar,” an obvi</w:t>
      </w:r>
      <w:r w:rsidR="006F6736">
        <w:rPr>
          <w:rFonts w:cstheme="minorHAnsi"/>
          <w:sz w:val="24"/>
          <w:szCs w:val="24"/>
        </w:rPr>
        <w:t>ous reference to Roosevelt, Taft remains the weaker political figure. The song</w:t>
      </w:r>
      <w:r w:rsidR="007F0D29">
        <w:rPr>
          <w:rFonts w:cstheme="minorHAnsi"/>
          <w:sz w:val="24"/>
          <w:szCs w:val="24"/>
        </w:rPr>
        <w:t xml:space="preserve"> even subtly accuses Taft of handing out</w:t>
      </w:r>
      <w:r w:rsidRPr="005E5C1C">
        <w:rPr>
          <w:rFonts w:cstheme="minorHAnsi"/>
          <w:sz w:val="24"/>
          <w:szCs w:val="24"/>
        </w:rPr>
        <w:t xml:space="preserve"> boondo</w:t>
      </w:r>
      <w:r>
        <w:rPr>
          <w:rFonts w:cstheme="minorHAnsi"/>
          <w:sz w:val="24"/>
          <w:szCs w:val="24"/>
        </w:rPr>
        <w:t>ggle government jobs, claiming:</w:t>
      </w:r>
    </w:p>
    <w:p w:rsidR="009C1165" w:rsidRDefault="009C1165" w:rsidP="009C1165">
      <w:pPr>
        <w:ind w:firstLine="720"/>
        <w:contextualSpacing/>
        <w:rPr>
          <w:rFonts w:cstheme="minorHAnsi"/>
          <w:sz w:val="24"/>
          <w:szCs w:val="24"/>
        </w:rPr>
      </w:pPr>
      <w:proofErr w:type="spellStart"/>
      <w:r>
        <w:rPr>
          <w:rFonts w:cstheme="minorHAnsi"/>
          <w:sz w:val="24"/>
          <w:szCs w:val="24"/>
        </w:rPr>
        <w:t>Jes</w:t>
      </w:r>
      <w:proofErr w:type="spellEnd"/>
      <w:r>
        <w:rPr>
          <w:rFonts w:cstheme="minorHAnsi"/>
          <w:sz w:val="24"/>
          <w:szCs w:val="24"/>
        </w:rPr>
        <w:t xml:space="preserve"> get in touch </w:t>
      </w:r>
      <w:proofErr w:type="spellStart"/>
      <w:r>
        <w:rPr>
          <w:rFonts w:cstheme="minorHAnsi"/>
          <w:sz w:val="24"/>
          <w:szCs w:val="24"/>
        </w:rPr>
        <w:t>wit</w:t>
      </w:r>
      <w:proofErr w:type="spellEnd"/>
      <w:r>
        <w:rPr>
          <w:rFonts w:cstheme="minorHAnsi"/>
          <w:sz w:val="24"/>
          <w:szCs w:val="24"/>
        </w:rPr>
        <w:t>’ de President</w:t>
      </w:r>
    </w:p>
    <w:p w:rsidR="009C1165" w:rsidRDefault="009C1165" w:rsidP="009C1165">
      <w:pPr>
        <w:ind w:firstLine="720"/>
        <w:contextualSpacing/>
        <w:rPr>
          <w:rFonts w:cstheme="minorHAnsi"/>
          <w:sz w:val="24"/>
          <w:szCs w:val="24"/>
        </w:rPr>
      </w:pPr>
      <w:r>
        <w:rPr>
          <w:rFonts w:cstheme="minorHAnsi"/>
          <w:sz w:val="24"/>
          <w:szCs w:val="24"/>
        </w:rPr>
        <w:t>Eat Possum when you dine</w:t>
      </w:r>
    </w:p>
    <w:p w:rsidR="009C1165" w:rsidRDefault="009C1165" w:rsidP="009C1165">
      <w:pPr>
        <w:ind w:firstLine="720"/>
        <w:contextualSpacing/>
        <w:rPr>
          <w:rFonts w:cstheme="minorHAnsi"/>
          <w:sz w:val="24"/>
          <w:szCs w:val="24"/>
        </w:rPr>
      </w:pPr>
      <w:r>
        <w:rPr>
          <w:rFonts w:cstheme="minorHAnsi"/>
          <w:sz w:val="24"/>
          <w:szCs w:val="24"/>
        </w:rPr>
        <w:t>Den ask a Job of de Government</w:t>
      </w:r>
    </w:p>
    <w:p w:rsidR="009C1165" w:rsidRDefault="009C1165" w:rsidP="009C1165">
      <w:pPr>
        <w:ind w:firstLine="720"/>
        <w:contextualSpacing/>
        <w:rPr>
          <w:sz w:val="24"/>
          <w:szCs w:val="24"/>
        </w:rPr>
      </w:pPr>
      <w:r>
        <w:rPr>
          <w:rFonts w:cstheme="minorHAnsi"/>
          <w:sz w:val="24"/>
          <w:szCs w:val="24"/>
        </w:rPr>
        <w:t xml:space="preserve">An you’ll </w:t>
      </w:r>
      <w:proofErr w:type="spellStart"/>
      <w:r>
        <w:rPr>
          <w:rFonts w:cstheme="minorHAnsi"/>
          <w:sz w:val="24"/>
          <w:szCs w:val="24"/>
        </w:rPr>
        <w:t>cert’ly</w:t>
      </w:r>
      <w:proofErr w:type="spellEnd"/>
      <w:r>
        <w:rPr>
          <w:rFonts w:cstheme="minorHAnsi"/>
          <w:sz w:val="24"/>
          <w:szCs w:val="24"/>
        </w:rPr>
        <w:t xml:space="preserve"> be in line.</w:t>
      </w:r>
      <w:r>
        <w:rPr>
          <w:rStyle w:val="FootnoteReference"/>
          <w:rFonts w:cstheme="minorHAnsi"/>
          <w:sz w:val="24"/>
          <w:szCs w:val="24"/>
        </w:rPr>
        <w:footnoteReference w:id="347"/>
      </w:r>
    </w:p>
    <w:p w:rsidR="009C1165" w:rsidRDefault="009C1165" w:rsidP="009C1165">
      <w:pPr>
        <w:ind w:firstLine="720"/>
        <w:contextualSpacing/>
        <w:rPr>
          <w:sz w:val="24"/>
          <w:szCs w:val="24"/>
        </w:rPr>
      </w:pPr>
    </w:p>
    <w:p w:rsidR="009C1165" w:rsidRDefault="009C1165" w:rsidP="009C1165">
      <w:pPr>
        <w:spacing w:line="480" w:lineRule="auto"/>
        <w:rPr>
          <w:sz w:val="24"/>
          <w:szCs w:val="24"/>
        </w:rPr>
      </w:pPr>
      <w:r>
        <w:rPr>
          <w:sz w:val="24"/>
          <w:szCs w:val="24"/>
        </w:rPr>
        <w:lastRenderedPageBreak/>
        <w:t>Minstrel songs, especially, had a long history of political commentary. Dale Cockrell noted that “Jim Crow,” one of the very first minstrel songs and characters, was at its “base a political song,” and that the “Jim Crow [character] would lend his name to political agendas for the rest of the [nineteenth] century.”</w:t>
      </w:r>
      <w:r>
        <w:rPr>
          <w:rStyle w:val="FootnoteReference"/>
          <w:sz w:val="24"/>
          <w:szCs w:val="24"/>
        </w:rPr>
        <w:footnoteReference w:id="348"/>
      </w:r>
      <w:r>
        <w:rPr>
          <w:sz w:val="24"/>
          <w:szCs w:val="24"/>
        </w:rPr>
        <w:t xml:space="preserve"> Topical son</w:t>
      </w:r>
      <w:r w:rsidR="006F6736">
        <w:rPr>
          <w:sz w:val="24"/>
          <w:szCs w:val="24"/>
        </w:rPr>
        <w:t>gs came in every dialect</w:t>
      </w:r>
      <w:r>
        <w:rPr>
          <w:sz w:val="24"/>
          <w:szCs w:val="24"/>
        </w:rPr>
        <w:t xml:space="preserve"> and expressed every possible opinion</w:t>
      </w:r>
      <w:r w:rsidR="007F0D29">
        <w:rPr>
          <w:sz w:val="24"/>
          <w:szCs w:val="24"/>
        </w:rPr>
        <w:t xml:space="preserve">. </w:t>
      </w:r>
      <w:r w:rsidR="00F1469C">
        <w:rPr>
          <w:sz w:val="24"/>
          <w:szCs w:val="24"/>
        </w:rPr>
        <w:t>Song sheet publishers all over the country produced a</w:t>
      </w:r>
      <w:r w:rsidR="007F0D29">
        <w:rPr>
          <w:sz w:val="24"/>
          <w:szCs w:val="24"/>
        </w:rPr>
        <w:t xml:space="preserve"> cornucopia of </w:t>
      </w:r>
      <w:r w:rsidR="00F1469C">
        <w:rPr>
          <w:sz w:val="24"/>
          <w:szCs w:val="24"/>
        </w:rPr>
        <w:t>topical songs each year,</w:t>
      </w:r>
      <w:r w:rsidR="007F0D29">
        <w:rPr>
          <w:sz w:val="24"/>
          <w:szCs w:val="24"/>
        </w:rPr>
        <w:t xml:space="preserve"> reflect</w:t>
      </w:r>
      <w:r w:rsidR="00F1469C">
        <w:rPr>
          <w:sz w:val="24"/>
          <w:szCs w:val="24"/>
        </w:rPr>
        <w:t>ing a</w:t>
      </w:r>
      <w:r w:rsidR="007F0D29">
        <w:rPr>
          <w:sz w:val="24"/>
          <w:szCs w:val="24"/>
        </w:rPr>
        <w:t xml:space="preserve"> wide breadth of beliefs</w:t>
      </w:r>
      <w:r>
        <w:rPr>
          <w:sz w:val="24"/>
          <w:szCs w:val="24"/>
        </w:rPr>
        <w:t xml:space="preserve">. The 1890 song “All on Account of the Tariff” criticizes both the Democratic and Republican parties as they debate </w:t>
      </w:r>
      <w:proofErr w:type="spellStart"/>
      <w:r>
        <w:rPr>
          <w:sz w:val="24"/>
          <w:szCs w:val="24"/>
        </w:rPr>
        <w:t>Mckinley’s</w:t>
      </w:r>
      <w:proofErr w:type="spellEnd"/>
      <w:r>
        <w:rPr>
          <w:sz w:val="24"/>
          <w:szCs w:val="24"/>
        </w:rPr>
        <w:t xml:space="preserve"> Tariff Act of the same year. Laying the debate out in plain speech, one verse explicates:</w:t>
      </w:r>
    </w:p>
    <w:p w:rsidR="009C1165" w:rsidRDefault="009C1165" w:rsidP="009C1165">
      <w:pPr>
        <w:ind w:left="720"/>
        <w:contextualSpacing/>
        <w:rPr>
          <w:sz w:val="24"/>
          <w:szCs w:val="24"/>
        </w:rPr>
      </w:pPr>
      <w:r>
        <w:rPr>
          <w:sz w:val="24"/>
          <w:szCs w:val="24"/>
        </w:rPr>
        <w:t>The Democrat says prices will be higher,</w:t>
      </w:r>
    </w:p>
    <w:p w:rsidR="009C1165" w:rsidRDefault="009C1165" w:rsidP="009C1165">
      <w:pPr>
        <w:ind w:left="720"/>
        <w:contextualSpacing/>
        <w:rPr>
          <w:sz w:val="24"/>
          <w:szCs w:val="24"/>
        </w:rPr>
      </w:pPr>
      <w:r>
        <w:rPr>
          <w:sz w:val="24"/>
          <w:szCs w:val="24"/>
        </w:rPr>
        <w:t>All on account of the Tariff;</w:t>
      </w:r>
    </w:p>
    <w:p w:rsidR="009C1165" w:rsidRDefault="009C1165" w:rsidP="009C1165">
      <w:pPr>
        <w:ind w:left="720"/>
        <w:contextualSpacing/>
        <w:rPr>
          <w:sz w:val="24"/>
          <w:szCs w:val="24"/>
        </w:rPr>
      </w:pPr>
      <w:r>
        <w:rPr>
          <w:sz w:val="24"/>
          <w:szCs w:val="24"/>
        </w:rPr>
        <w:t>The Republican says, “Democrat, you’re a liar,”</w:t>
      </w:r>
    </w:p>
    <w:p w:rsidR="009C1165" w:rsidRDefault="009C1165" w:rsidP="009C1165">
      <w:pPr>
        <w:ind w:left="720"/>
        <w:contextualSpacing/>
        <w:rPr>
          <w:sz w:val="24"/>
          <w:szCs w:val="24"/>
        </w:rPr>
      </w:pPr>
      <w:proofErr w:type="gramStart"/>
      <w:r>
        <w:rPr>
          <w:sz w:val="24"/>
          <w:szCs w:val="24"/>
        </w:rPr>
        <w:t>All on account of the Tariff.</w:t>
      </w:r>
      <w:proofErr w:type="gramEnd"/>
      <w:r>
        <w:rPr>
          <w:rStyle w:val="FootnoteReference"/>
          <w:sz w:val="24"/>
          <w:szCs w:val="24"/>
        </w:rPr>
        <w:footnoteReference w:id="349"/>
      </w:r>
    </w:p>
    <w:p w:rsidR="009C1165" w:rsidRDefault="009C1165" w:rsidP="009C1165">
      <w:pPr>
        <w:contextualSpacing/>
        <w:rPr>
          <w:sz w:val="24"/>
          <w:szCs w:val="24"/>
        </w:rPr>
      </w:pPr>
    </w:p>
    <w:p w:rsidR="009C1165" w:rsidRDefault="009C1165" w:rsidP="009C1165">
      <w:pPr>
        <w:spacing w:line="480" w:lineRule="auto"/>
        <w:contextualSpacing/>
        <w:rPr>
          <w:sz w:val="24"/>
          <w:szCs w:val="24"/>
        </w:rPr>
      </w:pPr>
      <w:r>
        <w:rPr>
          <w:sz w:val="24"/>
          <w:szCs w:val="24"/>
        </w:rPr>
        <w:t xml:space="preserve">These songs allowed parlor performers to directly deal with the pressing issues of an imperfect society, and even add their own voice to the discourse, choosing which </w:t>
      </w:r>
      <w:r w:rsidR="00271B9A">
        <w:rPr>
          <w:sz w:val="24"/>
          <w:szCs w:val="24"/>
        </w:rPr>
        <w:t>song sheets to purchase and which</w:t>
      </w:r>
      <w:r>
        <w:rPr>
          <w:sz w:val="24"/>
          <w:szCs w:val="24"/>
        </w:rPr>
        <w:t xml:space="preserve"> topical issues and opinions to incorporate into their own performances.</w:t>
      </w:r>
    </w:p>
    <w:p w:rsidR="00F20DD4" w:rsidRDefault="00F20DD4" w:rsidP="00F20DD4">
      <w:pPr>
        <w:keepNext/>
        <w:tabs>
          <w:tab w:val="left" w:pos="4200"/>
        </w:tabs>
        <w:spacing w:line="480" w:lineRule="auto"/>
        <w:jc w:val="center"/>
      </w:pPr>
      <w:r>
        <w:rPr>
          <w:noProof/>
        </w:rPr>
        <w:lastRenderedPageBreak/>
        <w:drawing>
          <wp:inline distT="0" distB="0" distL="0" distR="0">
            <wp:extent cx="5943600" cy="4731723"/>
            <wp:effectExtent l="19050" t="0" r="0" b="0"/>
            <wp:docPr id="16" name="Picture 7" descr="http://lcweb2.loc.gov/service/pnp/cph/3c00000/3c01000/3c01500/3c0155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cweb2.loc.gov/service/pnp/cph/3c00000/3c01000/3c01500/3c01551v.jpg"/>
                    <pic:cNvPicPr>
                      <a:picLocks noChangeAspect="1" noChangeArrowheads="1"/>
                    </pic:cNvPicPr>
                  </pic:nvPicPr>
                  <pic:blipFill>
                    <a:blip r:embed="rId21" cstate="print"/>
                    <a:srcRect/>
                    <a:stretch>
                      <a:fillRect/>
                    </a:stretch>
                  </pic:blipFill>
                  <pic:spPr bwMode="auto">
                    <a:xfrm>
                      <a:off x="0" y="0"/>
                      <a:ext cx="5943600" cy="4731723"/>
                    </a:xfrm>
                    <a:prstGeom prst="rect">
                      <a:avLst/>
                    </a:prstGeom>
                    <a:noFill/>
                    <a:ln w="9525">
                      <a:noFill/>
                      <a:miter lim="800000"/>
                      <a:headEnd/>
                      <a:tailEnd/>
                    </a:ln>
                  </pic:spPr>
                </pic:pic>
              </a:graphicData>
            </a:graphic>
          </wp:inline>
        </w:drawing>
      </w:r>
    </w:p>
    <w:p w:rsidR="00F20DD4" w:rsidRPr="00F20DD4" w:rsidRDefault="00F20DD4" w:rsidP="00F20DD4">
      <w:pPr>
        <w:pStyle w:val="Caption"/>
        <w:jc w:val="center"/>
        <w:rPr>
          <w:b w:val="0"/>
          <w:color w:val="auto"/>
          <w:sz w:val="24"/>
          <w:szCs w:val="24"/>
        </w:rPr>
      </w:pPr>
      <w:bookmarkStart w:id="33" w:name="_Toc356413248"/>
      <w:proofErr w:type="gramStart"/>
      <w:r w:rsidRPr="00F20DD4">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4</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1</w:t>
      </w:r>
      <w:r w:rsidR="00734461">
        <w:rPr>
          <w:b w:val="0"/>
          <w:color w:val="auto"/>
          <w:sz w:val="24"/>
          <w:szCs w:val="24"/>
        </w:rPr>
        <w:fldChar w:fldCharType="end"/>
      </w:r>
      <w:r w:rsidRPr="00F20DD4">
        <w:rPr>
          <w:b w:val="0"/>
          <w:color w:val="auto"/>
          <w:sz w:val="24"/>
          <w:szCs w:val="24"/>
        </w:rPr>
        <w:t xml:space="preserve"> </w:t>
      </w:r>
      <w:r>
        <w:rPr>
          <w:b w:val="0"/>
          <w:color w:val="auto"/>
          <w:sz w:val="24"/>
          <w:szCs w:val="24"/>
        </w:rPr>
        <w:t>“’Possum’</w:t>
      </w:r>
      <w:r w:rsidRPr="00F20DD4">
        <w:rPr>
          <w:b w:val="0"/>
          <w:color w:val="auto"/>
          <w:sz w:val="24"/>
          <w:szCs w:val="24"/>
        </w:rPr>
        <w:t xml:space="preserve"> Dinner Tendered to President-Elect William Howard Taft by the Atlanta Chamber of Commerce, January 15, 1909</w:t>
      </w:r>
      <w:r w:rsidR="00F2452D">
        <w:rPr>
          <w:b w:val="0"/>
          <w:color w:val="auto"/>
          <w:sz w:val="24"/>
          <w:szCs w:val="24"/>
        </w:rPr>
        <w:t>”</w:t>
      </w:r>
      <w:r w:rsidR="007208C3">
        <w:rPr>
          <w:rStyle w:val="FootnoteReference"/>
          <w:b w:val="0"/>
          <w:color w:val="auto"/>
          <w:sz w:val="24"/>
          <w:szCs w:val="24"/>
        </w:rPr>
        <w:footnoteReference w:id="350"/>
      </w:r>
      <w:bookmarkEnd w:id="33"/>
    </w:p>
    <w:p w:rsidR="00F20DD4" w:rsidRDefault="00F20DD4" w:rsidP="009C1165">
      <w:pPr>
        <w:tabs>
          <w:tab w:val="left" w:pos="4200"/>
        </w:tabs>
        <w:spacing w:line="480" w:lineRule="auto"/>
        <w:ind w:firstLine="720"/>
        <w:rPr>
          <w:sz w:val="24"/>
          <w:szCs w:val="24"/>
        </w:rPr>
      </w:pPr>
    </w:p>
    <w:p w:rsidR="009C1165" w:rsidRDefault="00271B9A" w:rsidP="009C1165">
      <w:pPr>
        <w:tabs>
          <w:tab w:val="left" w:pos="4200"/>
        </w:tabs>
        <w:spacing w:line="480" w:lineRule="auto"/>
        <w:ind w:firstLine="720"/>
        <w:rPr>
          <w:sz w:val="24"/>
          <w:szCs w:val="24"/>
        </w:rPr>
      </w:pPr>
      <w:r>
        <w:rPr>
          <w:sz w:val="24"/>
          <w:szCs w:val="24"/>
        </w:rPr>
        <w:t>Commenting on m</w:t>
      </w:r>
      <w:r w:rsidR="009C1165">
        <w:rPr>
          <w:sz w:val="24"/>
          <w:szCs w:val="24"/>
        </w:rPr>
        <w:t xml:space="preserve">ore than just political problems in America, topical songs also addressed the contentious emerging high and low divide by revealing the lack of utopian harmony in society. Gus B. Brigham, a noted topical song writer, took on a plethora of contemporary issues in his 1892 song, “That’s a Fact, Did You Notice It?” The song’s observational humor reveals that America is not an ideal society, as it mocks “the mud from the </w:t>
      </w:r>
      <w:r w:rsidR="009C1165">
        <w:rPr>
          <w:sz w:val="24"/>
          <w:szCs w:val="24"/>
        </w:rPr>
        <w:lastRenderedPageBreak/>
        <w:t xml:space="preserve">streets,” the corruption of New York’s government, and troublesome mothers-in-law. </w:t>
      </w:r>
      <w:r w:rsidR="00BB6917">
        <w:rPr>
          <w:sz w:val="24"/>
          <w:szCs w:val="24"/>
        </w:rPr>
        <w:t>Understood in terms of Dyer’s model of entertainment, the song</w:t>
      </w:r>
      <w:r w:rsidR="009C1165">
        <w:rPr>
          <w:sz w:val="24"/>
          <w:szCs w:val="24"/>
        </w:rPr>
        <w:t xml:space="preserve"> presents</w:t>
      </w:r>
      <w:r w:rsidR="00BB6917">
        <w:rPr>
          <w:sz w:val="24"/>
          <w:szCs w:val="24"/>
        </w:rPr>
        <w:t xml:space="preserve"> a physical</w:t>
      </w:r>
      <w:r w:rsidR="009C1165">
        <w:rPr>
          <w:sz w:val="24"/>
          <w:szCs w:val="24"/>
        </w:rPr>
        <w:t xml:space="preserve"> absence in the form of poverty, but does not resolve it with a </w:t>
      </w:r>
      <w:proofErr w:type="spellStart"/>
      <w:r w:rsidR="009C1165">
        <w:rPr>
          <w:sz w:val="24"/>
          <w:szCs w:val="24"/>
        </w:rPr>
        <w:t>utopic</w:t>
      </w:r>
      <w:proofErr w:type="spellEnd"/>
      <w:r w:rsidR="009C1165">
        <w:rPr>
          <w:sz w:val="24"/>
          <w:szCs w:val="24"/>
        </w:rPr>
        <w:t xml:space="preserve"> overabundance:</w:t>
      </w:r>
    </w:p>
    <w:p w:rsidR="009C1165" w:rsidRDefault="009C1165" w:rsidP="009C1165">
      <w:pPr>
        <w:tabs>
          <w:tab w:val="left" w:pos="4200"/>
        </w:tabs>
        <w:ind w:firstLine="720"/>
        <w:contextualSpacing/>
        <w:rPr>
          <w:sz w:val="24"/>
          <w:szCs w:val="24"/>
        </w:rPr>
      </w:pPr>
      <w:r>
        <w:rPr>
          <w:sz w:val="24"/>
          <w:szCs w:val="24"/>
        </w:rPr>
        <w:t>You pass a poor blind beggar who is strictly “out of sight,”</w:t>
      </w:r>
    </w:p>
    <w:p w:rsidR="009C1165" w:rsidRDefault="009C1165" w:rsidP="009C1165">
      <w:pPr>
        <w:tabs>
          <w:tab w:val="left" w:pos="4200"/>
        </w:tabs>
        <w:ind w:firstLine="720"/>
        <w:contextualSpacing/>
        <w:rPr>
          <w:sz w:val="24"/>
          <w:szCs w:val="24"/>
        </w:rPr>
      </w:pPr>
      <w:r>
        <w:rPr>
          <w:sz w:val="24"/>
          <w:szCs w:val="24"/>
        </w:rPr>
        <w:t>That’s a fact, did you notice it?</w:t>
      </w:r>
    </w:p>
    <w:p w:rsidR="009C1165" w:rsidRDefault="009C1165" w:rsidP="009C1165">
      <w:pPr>
        <w:tabs>
          <w:tab w:val="left" w:pos="4200"/>
        </w:tabs>
        <w:ind w:firstLine="720"/>
        <w:contextualSpacing/>
        <w:rPr>
          <w:sz w:val="24"/>
          <w:szCs w:val="24"/>
        </w:rPr>
      </w:pPr>
      <w:r>
        <w:rPr>
          <w:sz w:val="24"/>
          <w:szCs w:val="24"/>
        </w:rPr>
        <w:t>He hobbles on his crutches through the day and through the night;</w:t>
      </w:r>
    </w:p>
    <w:p w:rsidR="009C1165" w:rsidRDefault="009C1165" w:rsidP="009C1165">
      <w:pPr>
        <w:tabs>
          <w:tab w:val="left" w:pos="4200"/>
        </w:tabs>
        <w:ind w:firstLine="720"/>
        <w:contextualSpacing/>
        <w:rPr>
          <w:sz w:val="24"/>
          <w:szCs w:val="24"/>
        </w:rPr>
      </w:pPr>
      <w:r>
        <w:rPr>
          <w:sz w:val="24"/>
          <w:szCs w:val="24"/>
        </w:rPr>
        <w:t>That’s a fact, did you notice it?</w:t>
      </w:r>
    </w:p>
    <w:p w:rsidR="009C1165" w:rsidRDefault="009C1165" w:rsidP="009C1165">
      <w:pPr>
        <w:tabs>
          <w:tab w:val="left" w:pos="4200"/>
        </w:tabs>
        <w:ind w:firstLine="720"/>
        <w:contextualSpacing/>
        <w:rPr>
          <w:sz w:val="24"/>
          <w:szCs w:val="24"/>
        </w:rPr>
      </w:pPr>
      <w:r>
        <w:rPr>
          <w:sz w:val="24"/>
          <w:szCs w:val="24"/>
        </w:rPr>
        <w:t xml:space="preserve">You blow your stuff at billiards and at pool, </w:t>
      </w:r>
      <w:proofErr w:type="spellStart"/>
      <w:proofErr w:type="gramStart"/>
      <w:r>
        <w:rPr>
          <w:sz w:val="24"/>
          <w:szCs w:val="24"/>
        </w:rPr>
        <w:t>its</w:t>
      </w:r>
      <w:proofErr w:type="spellEnd"/>
      <w:proofErr w:type="gramEnd"/>
      <w:r>
        <w:rPr>
          <w:sz w:val="24"/>
          <w:szCs w:val="24"/>
        </w:rPr>
        <w:t xml:space="preserve"> very strange,</w:t>
      </w:r>
    </w:p>
    <w:p w:rsidR="009C1165" w:rsidRDefault="009C1165" w:rsidP="009C1165">
      <w:pPr>
        <w:tabs>
          <w:tab w:val="left" w:pos="4200"/>
        </w:tabs>
        <w:ind w:firstLine="720"/>
        <w:contextualSpacing/>
        <w:rPr>
          <w:sz w:val="24"/>
          <w:szCs w:val="24"/>
        </w:rPr>
      </w:pPr>
      <w:r>
        <w:rPr>
          <w:sz w:val="24"/>
          <w:szCs w:val="24"/>
        </w:rPr>
        <w:t>You “dally” with a rifle in a shooting gallery’s range,</w:t>
      </w:r>
    </w:p>
    <w:p w:rsidR="009C1165" w:rsidRDefault="009C1165" w:rsidP="009C1165">
      <w:pPr>
        <w:tabs>
          <w:tab w:val="left" w:pos="4200"/>
        </w:tabs>
        <w:ind w:firstLine="720"/>
        <w:contextualSpacing/>
        <w:rPr>
          <w:sz w:val="24"/>
          <w:szCs w:val="24"/>
        </w:rPr>
      </w:pPr>
      <w:r>
        <w:rPr>
          <w:sz w:val="24"/>
          <w:szCs w:val="24"/>
        </w:rPr>
        <w:t>But when he asks you for a dime you “haven’t any change.”</w:t>
      </w:r>
    </w:p>
    <w:p w:rsidR="009C1165" w:rsidRDefault="009C1165" w:rsidP="009C1165">
      <w:pPr>
        <w:tabs>
          <w:tab w:val="left" w:pos="4200"/>
        </w:tabs>
        <w:ind w:firstLine="720"/>
        <w:contextualSpacing/>
        <w:rPr>
          <w:sz w:val="24"/>
          <w:szCs w:val="24"/>
        </w:rPr>
      </w:pPr>
      <w:r>
        <w:rPr>
          <w:sz w:val="24"/>
          <w:szCs w:val="24"/>
        </w:rPr>
        <w:t>That’s a fact, did you notice it?</w:t>
      </w:r>
      <w:r>
        <w:rPr>
          <w:rStyle w:val="FootnoteReference"/>
          <w:sz w:val="24"/>
          <w:szCs w:val="24"/>
        </w:rPr>
        <w:footnoteReference w:id="351"/>
      </w:r>
    </w:p>
    <w:p w:rsidR="009C1165" w:rsidRDefault="009C1165" w:rsidP="009C1165">
      <w:pPr>
        <w:tabs>
          <w:tab w:val="left" w:pos="4200"/>
        </w:tabs>
        <w:contextualSpacing/>
        <w:rPr>
          <w:sz w:val="24"/>
          <w:szCs w:val="24"/>
        </w:rPr>
      </w:pPr>
    </w:p>
    <w:p w:rsidR="009C1165" w:rsidRDefault="00BB6917" w:rsidP="009C1165">
      <w:pPr>
        <w:tabs>
          <w:tab w:val="left" w:pos="4200"/>
        </w:tabs>
        <w:spacing w:line="480" w:lineRule="auto"/>
        <w:contextualSpacing/>
        <w:rPr>
          <w:sz w:val="24"/>
          <w:szCs w:val="24"/>
        </w:rPr>
      </w:pPr>
      <w:r>
        <w:rPr>
          <w:sz w:val="24"/>
          <w:szCs w:val="24"/>
        </w:rPr>
        <w:t>So many other entertainment forms of the time, such as melodrama or penny dreadful novels, correct the</w:t>
      </w:r>
      <w:r w:rsidR="00981D27">
        <w:rPr>
          <w:sz w:val="24"/>
          <w:szCs w:val="24"/>
        </w:rPr>
        <w:t xml:space="preserve"> social ill of poverty by steering the protagonist somehow toward</w:t>
      </w:r>
      <w:r>
        <w:rPr>
          <w:sz w:val="24"/>
          <w:szCs w:val="24"/>
        </w:rPr>
        <w:t xml:space="preserve"> at a surfeit of wealth and a happy ending. </w:t>
      </w:r>
      <w:r w:rsidR="00981D27">
        <w:rPr>
          <w:sz w:val="24"/>
          <w:szCs w:val="24"/>
        </w:rPr>
        <w:t>On the other hand, t</w:t>
      </w:r>
      <w:r>
        <w:rPr>
          <w:sz w:val="24"/>
          <w:szCs w:val="24"/>
        </w:rPr>
        <w:t xml:space="preserve">opical songs like this one present the problem, but not the utopian correction. </w:t>
      </w:r>
      <w:r w:rsidR="009C1165">
        <w:rPr>
          <w:sz w:val="24"/>
          <w:szCs w:val="24"/>
        </w:rPr>
        <w:t>The continuous interjection of the refrain “that’s a fact, did you notice it?”</w:t>
      </w:r>
      <w:r w:rsidR="009C1165">
        <w:rPr>
          <w:rStyle w:val="FootnoteReference"/>
          <w:sz w:val="24"/>
          <w:szCs w:val="24"/>
        </w:rPr>
        <w:footnoteReference w:id="352"/>
      </w:r>
      <w:r w:rsidR="009C1165">
        <w:rPr>
          <w:sz w:val="24"/>
          <w:szCs w:val="24"/>
        </w:rPr>
        <w:t xml:space="preserve"> </w:t>
      </w:r>
      <w:proofErr w:type="gramStart"/>
      <w:r w:rsidR="009C1165">
        <w:rPr>
          <w:sz w:val="24"/>
          <w:szCs w:val="24"/>
        </w:rPr>
        <w:t>enforces</w:t>
      </w:r>
      <w:proofErr w:type="gramEnd"/>
      <w:r w:rsidR="009C1165">
        <w:rPr>
          <w:sz w:val="24"/>
          <w:szCs w:val="24"/>
        </w:rPr>
        <w:t xml:space="preserve"> the immediacy of the song’s complaints and gives them a sense of actuality. The strain of these imperfections </w:t>
      </w:r>
      <w:r w:rsidR="00271B9A">
        <w:rPr>
          <w:sz w:val="24"/>
          <w:szCs w:val="24"/>
        </w:rPr>
        <w:t>up</w:t>
      </w:r>
      <w:r w:rsidR="009C1165">
        <w:rPr>
          <w:sz w:val="24"/>
          <w:szCs w:val="24"/>
        </w:rPr>
        <w:t>on American society presents itself in another of Brigham’s songs, 1889’s “It Is a Terrible Deal: A Topical Song.” The song revisits the common comical tropes of mothers-in-law and slipping on banana peels, while also offering</w:t>
      </w:r>
      <w:r w:rsidR="009C1165" w:rsidRPr="009622BD">
        <w:rPr>
          <w:sz w:val="24"/>
          <w:szCs w:val="24"/>
        </w:rPr>
        <w:t xml:space="preserve"> complaints </w:t>
      </w:r>
      <w:r w:rsidR="009C1165">
        <w:rPr>
          <w:sz w:val="24"/>
          <w:szCs w:val="24"/>
        </w:rPr>
        <w:t>on various other, more specific facets of modern life, such as</w:t>
      </w:r>
      <w:r w:rsidR="009C1165" w:rsidRPr="009622BD">
        <w:rPr>
          <w:sz w:val="24"/>
          <w:szCs w:val="24"/>
        </w:rPr>
        <w:t xml:space="preserve"> the debate over the location of the upcoming world’s fair</w:t>
      </w:r>
      <w:r w:rsidR="009C1165">
        <w:rPr>
          <w:rStyle w:val="FootnoteReference"/>
          <w:sz w:val="24"/>
          <w:szCs w:val="24"/>
        </w:rPr>
        <w:footnoteReference w:id="353"/>
      </w:r>
      <w:r w:rsidR="009C1165">
        <w:rPr>
          <w:sz w:val="24"/>
          <w:szCs w:val="24"/>
        </w:rPr>
        <w:t xml:space="preserve"> and</w:t>
      </w:r>
      <w:r w:rsidR="009C1165" w:rsidRPr="009622BD">
        <w:rPr>
          <w:sz w:val="24"/>
          <w:szCs w:val="24"/>
        </w:rPr>
        <w:t xml:space="preserve"> scandalous women’s bathing suits.</w:t>
      </w:r>
      <w:r w:rsidR="009C1165">
        <w:rPr>
          <w:sz w:val="24"/>
          <w:szCs w:val="24"/>
        </w:rPr>
        <w:t xml:space="preserve"> As the song relates the </w:t>
      </w:r>
      <w:r w:rsidR="009C1165">
        <w:rPr>
          <w:sz w:val="24"/>
          <w:szCs w:val="24"/>
        </w:rPr>
        <w:lastRenderedPageBreak/>
        <w:t>story of going to a “bathing resort” and seeing “a young girl in the breakers disport,” it titillates the audience with the information that:</w:t>
      </w:r>
    </w:p>
    <w:p w:rsidR="009C1165" w:rsidRDefault="009C1165" w:rsidP="009C1165">
      <w:pPr>
        <w:tabs>
          <w:tab w:val="left" w:pos="4200"/>
        </w:tabs>
        <w:ind w:firstLine="720"/>
        <w:contextualSpacing/>
        <w:rPr>
          <w:sz w:val="24"/>
          <w:szCs w:val="24"/>
        </w:rPr>
      </w:pPr>
      <w:r>
        <w:rPr>
          <w:sz w:val="24"/>
          <w:szCs w:val="24"/>
        </w:rPr>
        <w:t>Her bathing-dress caused the old ladies to frown,</w:t>
      </w:r>
    </w:p>
    <w:p w:rsidR="009C1165" w:rsidRDefault="009C1165" w:rsidP="009C1165">
      <w:pPr>
        <w:tabs>
          <w:tab w:val="left" w:pos="4200"/>
        </w:tabs>
        <w:ind w:firstLine="720"/>
        <w:contextualSpacing/>
        <w:rPr>
          <w:sz w:val="24"/>
          <w:szCs w:val="24"/>
        </w:rPr>
      </w:pPr>
      <w:proofErr w:type="spellStart"/>
      <w:r>
        <w:rPr>
          <w:sz w:val="24"/>
          <w:szCs w:val="24"/>
        </w:rPr>
        <w:t>‘Twas</w:t>
      </w:r>
      <w:proofErr w:type="spellEnd"/>
      <w:r>
        <w:rPr>
          <w:sz w:val="24"/>
          <w:szCs w:val="24"/>
        </w:rPr>
        <w:t xml:space="preserve"> just of the size of a small wax doll’s gown,</w:t>
      </w:r>
    </w:p>
    <w:p w:rsidR="009C1165" w:rsidRDefault="009C1165" w:rsidP="009C1165">
      <w:pPr>
        <w:tabs>
          <w:tab w:val="left" w:pos="4200"/>
        </w:tabs>
        <w:ind w:firstLine="720"/>
        <w:contextualSpacing/>
        <w:rPr>
          <w:sz w:val="24"/>
          <w:szCs w:val="24"/>
        </w:rPr>
      </w:pPr>
      <w:r>
        <w:rPr>
          <w:sz w:val="24"/>
          <w:szCs w:val="24"/>
        </w:rPr>
        <w:t>I think it was made of a neck-tie cut down.</w:t>
      </w:r>
      <w:r>
        <w:rPr>
          <w:rStyle w:val="FootnoteReference"/>
          <w:sz w:val="24"/>
          <w:szCs w:val="24"/>
        </w:rPr>
        <w:footnoteReference w:id="354"/>
      </w:r>
    </w:p>
    <w:p w:rsidR="009C1165" w:rsidRPr="009622BD" w:rsidRDefault="009C1165" w:rsidP="009C1165">
      <w:pPr>
        <w:tabs>
          <w:tab w:val="left" w:pos="4200"/>
        </w:tabs>
        <w:ind w:firstLine="720"/>
        <w:contextualSpacing/>
        <w:rPr>
          <w:sz w:val="24"/>
          <w:szCs w:val="24"/>
        </w:rPr>
      </w:pPr>
    </w:p>
    <w:p w:rsidR="009C1165" w:rsidRDefault="009C1165" w:rsidP="009C1165">
      <w:pPr>
        <w:tabs>
          <w:tab w:val="left" w:pos="4200"/>
        </w:tabs>
        <w:spacing w:line="480" w:lineRule="auto"/>
        <w:rPr>
          <w:sz w:val="24"/>
          <w:szCs w:val="24"/>
        </w:rPr>
      </w:pPr>
      <w:r>
        <w:rPr>
          <w:sz w:val="24"/>
          <w:szCs w:val="24"/>
        </w:rPr>
        <w:t xml:space="preserve">The lyrics move the young girl’s </w:t>
      </w:r>
      <w:proofErr w:type="spellStart"/>
      <w:r>
        <w:rPr>
          <w:sz w:val="24"/>
          <w:szCs w:val="24"/>
        </w:rPr>
        <w:t>transgressive</w:t>
      </w:r>
      <w:proofErr w:type="spellEnd"/>
      <w:r>
        <w:rPr>
          <w:sz w:val="24"/>
          <w:szCs w:val="24"/>
        </w:rPr>
        <w:t xml:space="preserve"> behaviors from potentiality to materiality as they also discuss the reactions to it. The “old ladies” frowning disapproval situates the young girl’s bathing suit in opposition to the desired genteel behavior and signifies that this is not a utopian world—there is strife. The narrator’s voice further reveals the high and low contradictions, for even as he censures the girl’s behavior, he is en</w:t>
      </w:r>
      <w:r w:rsidR="00BC0168">
        <w:rPr>
          <w:sz w:val="24"/>
          <w:szCs w:val="24"/>
        </w:rPr>
        <w:t>gaging in the vulgar</w:t>
      </w:r>
      <w:r>
        <w:rPr>
          <w:sz w:val="24"/>
          <w:szCs w:val="24"/>
        </w:rPr>
        <w:t xml:space="preserve"> himself. As he sings about her bathing suit and what “loveliness did it reveal,”</w:t>
      </w:r>
      <w:r>
        <w:rPr>
          <w:rStyle w:val="FootnoteReference"/>
          <w:sz w:val="24"/>
          <w:szCs w:val="24"/>
        </w:rPr>
        <w:footnoteReference w:id="355"/>
      </w:r>
      <w:r>
        <w:rPr>
          <w:sz w:val="24"/>
          <w:szCs w:val="24"/>
        </w:rPr>
        <w:t xml:space="preserve"> he derives pleasure from leering at her exposed body. The song is ambiguous enough to operate discursively, allowing performers and audiences to either deride the woman’s bathing suit or the stodgy disapproval of the supercilious “old ladies.”</w:t>
      </w:r>
      <w:r>
        <w:rPr>
          <w:rStyle w:val="FootnoteReference"/>
          <w:sz w:val="24"/>
          <w:szCs w:val="24"/>
        </w:rPr>
        <w:footnoteReference w:id="356"/>
      </w:r>
      <w:r>
        <w:rPr>
          <w:sz w:val="24"/>
          <w:szCs w:val="24"/>
        </w:rPr>
        <w:t xml:space="preserve"> Low and highbrow actions met and clashed, both in public and in song.</w:t>
      </w:r>
    </w:p>
    <w:p w:rsidR="009C1165" w:rsidRDefault="009C1165" w:rsidP="009C1165">
      <w:pPr>
        <w:spacing w:line="480" w:lineRule="auto"/>
        <w:contextualSpacing/>
        <w:rPr>
          <w:sz w:val="24"/>
          <w:szCs w:val="24"/>
        </w:rPr>
      </w:pPr>
      <w:r>
        <w:rPr>
          <w:sz w:val="24"/>
          <w:szCs w:val="24"/>
        </w:rPr>
        <w:tab/>
        <w:t>By breaking away from the standard content of nineteenth-century songs, comic songs allowed the subversive expression of repressed desires. They reveal that</w:t>
      </w:r>
      <w:r w:rsidR="00271B9A">
        <w:rPr>
          <w:sz w:val="24"/>
          <w:szCs w:val="24"/>
        </w:rPr>
        <w:t xml:space="preserve"> the extremes of human behavior still lie</w:t>
      </w:r>
      <w:r>
        <w:rPr>
          <w:sz w:val="24"/>
          <w:szCs w:val="24"/>
        </w:rPr>
        <w:t xml:space="preserve"> just below the g</w:t>
      </w:r>
      <w:r w:rsidR="00271B9A">
        <w:rPr>
          <w:sz w:val="24"/>
          <w:szCs w:val="24"/>
        </w:rPr>
        <w:t>uise of an ordered high culture</w:t>
      </w:r>
      <w:r>
        <w:rPr>
          <w:sz w:val="24"/>
          <w:szCs w:val="24"/>
        </w:rPr>
        <w:t>. Nineteenth-century Americans still yearned for what lay under the cloak of culture, just as wit</w:t>
      </w:r>
      <w:r w:rsidR="00271B9A">
        <w:rPr>
          <w:sz w:val="24"/>
          <w:szCs w:val="24"/>
        </w:rPr>
        <w:t>h Brigham’s bathing-suit-</w:t>
      </w:r>
      <w:r>
        <w:rPr>
          <w:sz w:val="24"/>
          <w:szCs w:val="24"/>
        </w:rPr>
        <w:t xml:space="preserve">spying protagonist in “It Is </w:t>
      </w:r>
      <w:proofErr w:type="gramStart"/>
      <w:r>
        <w:rPr>
          <w:sz w:val="24"/>
          <w:szCs w:val="24"/>
        </w:rPr>
        <w:t>A</w:t>
      </w:r>
      <w:proofErr w:type="gramEnd"/>
      <w:r>
        <w:rPr>
          <w:sz w:val="24"/>
          <w:szCs w:val="24"/>
        </w:rPr>
        <w:t xml:space="preserve"> Terrible Deal” or the singer of the 1896 song, “Her Skirt Went </w:t>
      </w:r>
      <w:r>
        <w:rPr>
          <w:sz w:val="24"/>
          <w:szCs w:val="24"/>
        </w:rPr>
        <w:lastRenderedPageBreak/>
        <w:t>A Little Bit Higher.” They yearn to see what lay just beneath the “modest and neat” costume of a “proper” lady, “staid and demure.”</w:t>
      </w:r>
      <w:r>
        <w:rPr>
          <w:rStyle w:val="FootnoteReference"/>
          <w:sz w:val="24"/>
          <w:szCs w:val="24"/>
        </w:rPr>
        <w:footnoteReference w:id="357"/>
      </w:r>
      <w:r>
        <w:rPr>
          <w:sz w:val="24"/>
          <w:szCs w:val="24"/>
        </w:rPr>
        <w:t xml:space="preserve"> On the cover of “Her Skirt </w:t>
      </w:r>
      <w:r w:rsidR="001212F2">
        <w:rPr>
          <w:sz w:val="24"/>
          <w:szCs w:val="24"/>
        </w:rPr>
        <w:t>Went A Little Bit Higher” (see F</w:t>
      </w:r>
      <w:r>
        <w:rPr>
          <w:sz w:val="24"/>
          <w:szCs w:val="24"/>
        </w:rPr>
        <w:t>igure</w:t>
      </w:r>
      <w:r w:rsidR="001212F2">
        <w:rPr>
          <w:sz w:val="24"/>
          <w:szCs w:val="24"/>
        </w:rPr>
        <w:t xml:space="preserve"> 4.2</w:t>
      </w:r>
      <w:r>
        <w:rPr>
          <w:sz w:val="24"/>
          <w:szCs w:val="24"/>
        </w:rPr>
        <w:t>), a young woman lifts up the heavy layers of her elaborate costuming to barely reveal her ankles.</w:t>
      </w:r>
      <w:r>
        <w:rPr>
          <w:rStyle w:val="FootnoteReference"/>
          <w:sz w:val="24"/>
          <w:szCs w:val="24"/>
        </w:rPr>
        <w:footnoteReference w:id="358"/>
      </w:r>
      <w:r>
        <w:rPr>
          <w:color w:val="FF0000"/>
          <w:sz w:val="24"/>
          <w:szCs w:val="24"/>
        </w:rPr>
        <w:t xml:space="preserve"> </w:t>
      </w:r>
      <w:r>
        <w:rPr>
          <w:sz w:val="24"/>
          <w:szCs w:val="24"/>
        </w:rPr>
        <w:t>Beneath the oppressive, constructed layers of her refined clothing still lay a site of desire. In these moments, comic songs act out repressed desires and emotions, converting them into alternate physical forms as in melodrama, and releasing tension. The slightest bit of female flesh became a metaphor for repressed, lowbrow sexual urges. Comic songs provided the opportunity to explore this lowbrow utopia.</w:t>
      </w:r>
    </w:p>
    <w:p w:rsidR="009C1165" w:rsidRDefault="009C1165" w:rsidP="00BC0168">
      <w:pPr>
        <w:spacing w:line="480" w:lineRule="auto"/>
        <w:contextualSpacing/>
        <w:rPr>
          <w:sz w:val="24"/>
          <w:szCs w:val="24"/>
        </w:rPr>
      </w:pPr>
    </w:p>
    <w:p w:rsidR="00CD5B36" w:rsidRDefault="00BC0168" w:rsidP="00CD5B36">
      <w:pPr>
        <w:keepNext/>
        <w:spacing w:line="480" w:lineRule="auto"/>
        <w:contextualSpacing/>
        <w:jc w:val="center"/>
      </w:pPr>
      <w:r>
        <w:rPr>
          <w:noProof/>
          <w:sz w:val="24"/>
          <w:szCs w:val="24"/>
        </w:rPr>
        <w:lastRenderedPageBreak/>
        <w:drawing>
          <wp:inline distT="0" distB="0" distL="0" distR="0">
            <wp:extent cx="2924175" cy="3895725"/>
            <wp:effectExtent l="19050" t="0" r="9525"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2924175" cy="3895725"/>
                    </a:xfrm>
                    <a:prstGeom prst="rect">
                      <a:avLst/>
                    </a:prstGeom>
                    <a:noFill/>
                    <a:ln w="9525">
                      <a:noFill/>
                      <a:miter lim="800000"/>
                      <a:headEnd/>
                      <a:tailEnd/>
                    </a:ln>
                  </pic:spPr>
                </pic:pic>
              </a:graphicData>
            </a:graphic>
          </wp:inline>
        </w:drawing>
      </w:r>
    </w:p>
    <w:p w:rsidR="00BC0168" w:rsidRPr="008E60DA" w:rsidRDefault="00CD5B36" w:rsidP="00CD5B36">
      <w:pPr>
        <w:pStyle w:val="Caption"/>
        <w:jc w:val="center"/>
        <w:rPr>
          <w:b w:val="0"/>
          <w:color w:val="auto"/>
          <w:sz w:val="24"/>
          <w:szCs w:val="24"/>
        </w:rPr>
      </w:pPr>
      <w:bookmarkStart w:id="34" w:name="_Toc354114591"/>
      <w:bookmarkStart w:id="35" w:name="_Toc356413249"/>
      <w:proofErr w:type="gramStart"/>
      <w:r w:rsidRPr="008E60DA">
        <w:rPr>
          <w:b w:val="0"/>
          <w:color w:val="auto"/>
          <w:sz w:val="24"/>
          <w:szCs w:val="24"/>
        </w:rPr>
        <w:t xml:space="preserve">Figure </w:t>
      </w:r>
      <w:r w:rsidR="00734461">
        <w:rPr>
          <w:b w:val="0"/>
          <w:color w:val="auto"/>
          <w:sz w:val="24"/>
          <w:szCs w:val="24"/>
        </w:rPr>
        <w:fldChar w:fldCharType="begin"/>
      </w:r>
      <w:r w:rsidR="002566BD">
        <w:rPr>
          <w:b w:val="0"/>
          <w:color w:val="auto"/>
          <w:sz w:val="24"/>
          <w:szCs w:val="24"/>
        </w:rPr>
        <w:instrText xml:space="preserve"> STYLEREF 1 \s </w:instrText>
      </w:r>
      <w:r w:rsidR="00734461">
        <w:rPr>
          <w:b w:val="0"/>
          <w:color w:val="auto"/>
          <w:sz w:val="24"/>
          <w:szCs w:val="24"/>
        </w:rPr>
        <w:fldChar w:fldCharType="separate"/>
      </w:r>
      <w:r w:rsidR="002566BD">
        <w:rPr>
          <w:b w:val="0"/>
          <w:noProof/>
          <w:color w:val="auto"/>
          <w:sz w:val="24"/>
          <w:szCs w:val="24"/>
        </w:rPr>
        <w:t>4</w:t>
      </w:r>
      <w:r w:rsidR="00734461">
        <w:rPr>
          <w:b w:val="0"/>
          <w:color w:val="auto"/>
          <w:sz w:val="24"/>
          <w:szCs w:val="24"/>
        </w:rPr>
        <w:fldChar w:fldCharType="end"/>
      </w:r>
      <w:r w:rsidR="002566BD">
        <w:rPr>
          <w:b w:val="0"/>
          <w:color w:val="auto"/>
          <w:sz w:val="24"/>
          <w:szCs w:val="24"/>
        </w:rPr>
        <w:t>.</w:t>
      </w:r>
      <w:proofErr w:type="gramEnd"/>
      <w:r w:rsidR="00734461">
        <w:rPr>
          <w:b w:val="0"/>
          <w:color w:val="auto"/>
          <w:sz w:val="24"/>
          <w:szCs w:val="24"/>
        </w:rPr>
        <w:fldChar w:fldCharType="begin"/>
      </w:r>
      <w:r w:rsidR="002566BD">
        <w:rPr>
          <w:b w:val="0"/>
          <w:color w:val="auto"/>
          <w:sz w:val="24"/>
          <w:szCs w:val="24"/>
        </w:rPr>
        <w:instrText xml:space="preserve"> SEQ Figure \* ARABIC \s 1 </w:instrText>
      </w:r>
      <w:r w:rsidR="00734461">
        <w:rPr>
          <w:b w:val="0"/>
          <w:color w:val="auto"/>
          <w:sz w:val="24"/>
          <w:szCs w:val="24"/>
        </w:rPr>
        <w:fldChar w:fldCharType="separate"/>
      </w:r>
      <w:r w:rsidR="002566BD">
        <w:rPr>
          <w:b w:val="0"/>
          <w:noProof/>
          <w:color w:val="auto"/>
          <w:sz w:val="24"/>
          <w:szCs w:val="24"/>
        </w:rPr>
        <w:t>2</w:t>
      </w:r>
      <w:r w:rsidR="00734461">
        <w:rPr>
          <w:b w:val="0"/>
          <w:color w:val="auto"/>
          <w:sz w:val="24"/>
          <w:szCs w:val="24"/>
        </w:rPr>
        <w:fldChar w:fldCharType="end"/>
      </w:r>
      <w:r w:rsidRPr="008E60DA">
        <w:rPr>
          <w:b w:val="0"/>
          <w:color w:val="auto"/>
          <w:sz w:val="24"/>
          <w:szCs w:val="24"/>
        </w:rPr>
        <w:t xml:space="preserve"> </w:t>
      </w:r>
      <w:r w:rsidR="006B2830" w:rsidRPr="008E60DA">
        <w:rPr>
          <w:b w:val="0"/>
          <w:color w:val="auto"/>
          <w:sz w:val="24"/>
          <w:szCs w:val="24"/>
        </w:rPr>
        <w:t xml:space="preserve">Photo from the cover of </w:t>
      </w:r>
      <w:r w:rsidRPr="008E60DA">
        <w:rPr>
          <w:b w:val="0"/>
          <w:color w:val="auto"/>
          <w:sz w:val="24"/>
          <w:szCs w:val="24"/>
        </w:rPr>
        <w:t>“Her</w:t>
      </w:r>
      <w:r w:rsidR="00981D27">
        <w:rPr>
          <w:b w:val="0"/>
          <w:color w:val="auto"/>
          <w:sz w:val="24"/>
          <w:szCs w:val="24"/>
        </w:rPr>
        <w:t xml:space="preserve"> Skirt Went A Little Bit Higher</w:t>
      </w:r>
      <w:r w:rsidRPr="008E60DA">
        <w:rPr>
          <w:b w:val="0"/>
          <w:color w:val="auto"/>
          <w:sz w:val="24"/>
          <w:szCs w:val="24"/>
        </w:rPr>
        <w:t>”</w:t>
      </w:r>
      <w:bookmarkEnd w:id="34"/>
      <w:r w:rsidR="007208C3">
        <w:rPr>
          <w:rStyle w:val="FootnoteReference"/>
          <w:b w:val="0"/>
          <w:color w:val="auto"/>
          <w:sz w:val="24"/>
          <w:szCs w:val="24"/>
        </w:rPr>
        <w:footnoteReference w:id="359"/>
      </w:r>
      <w:bookmarkEnd w:id="35"/>
    </w:p>
    <w:p w:rsidR="00CD5B36" w:rsidRPr="00F048C0" w:rsidRDefault="00CD5B36" w:rsidP="00BC0168">
      <w:pPr>
        <w:spacing w:line="480" w:lineRule="auto"/>
        <w:contextualSpacing/>
        <w:rPr>
          <w:sz w:val="24"/>
          <w:szCs w:val="24"/>
        </w:rPr>
      </w:pPr>
    </w:p>
    <w:p w:rsidR="009C1165" w:rsidRPr="00940852" w:rsidRDefault="009C1165" w:rsidP="009C1165">
      <w:pPr>
        <w:spacing w:line="480" w:lineRule="auto"/>
        <w:ind w:firstLine="720"/>
        <w:contextualSpacing/>
        <w:rPr>
          <w:sz w:val="24"/>
          <w:szCs w:val="24"/>
        </w:rPr>
      </w:pPr>
      <w:r>
        <w:rPr>
          <w:sz w:val="24"/>
          <w:szCs w:val="24"/>
        </w:rPr>
        <w:t>Taken as metaphors for society at large, comic songs illustrate the ways that highbrow actions were merely a masque or excuse to cover lowbrow urges.</w:t>
      </w:r>
      <w:r>
        <w:rPr>
          <w:color w:val="FF0000"/>
          <w:sz w:val="24"/>
          <w:szCs w:val="24"/>
        </w:rPr>
        <w:t xml:space="preserve"> </w:t>
      </w:r>
      <w:r w:rsidR="007B29F5">
        <w:rPr>
          <w:sz w:val="24"/>
          <w:szCs w:val="24"/>
        </w:rPr>
        <w:t>As discussed in Chapter T</w:t>
      </w:r>
      <w:r>
        <w:rPr>
          <w:sz w:val="24"/>
          <w:szCs w:val="24"/>
        </w:rPr>
        <w:t>hree, embodyi</w:t>
      </w:r>
      <w:r w:rsidR="00981D27">
        <w:rPr>
          <w:sz w:val="24"/>
          <w:szCs w:val="24"/>
        </w:rPr>
        <w:t>ng a comic persona in the first-</w:t>
      </w:r>
      <w:r>
        <w:rPr>
          <w:sz w:val="24"/>
          <w:szCs w:val="24"/>
        </w:rPr>
        <w:t>person allowed parlor performers to act on these urges, taking on an alternate identity and enacting desires outside of the Self. Examples like 1889’s “Close to it” allowed performers to drink, cheat on their spouse, and steal.</w:t>
      </w:r>
      <w:r>
        <w:rPr>
          <w:rStyle w:val="FootnoteReference"/>
          <w:sz w:val="24"/>
          <w:szCs w:val="24"/>
        </w:rPr>
        <w:footnoteReference w:id="360"/>
      </w:r>
      <w:r>
        <w:rPr>
          <w:sz w:val="24"/>
          <w:szCs w:val="24"/>
        </w:rPr>
        <w:t xml:space="preserve"> Son</w:t>
      </w:r>
      <w:r w:rsidR="00981D27">
        <w:rPr>
          <w:sz w:val="24"/>
          <w:szCs w:val="24"/>
        </w:rPr>
        <w:t>gs not necessarily in the first-</w:t>
      </w:r>
      <w:r>
        <w:rPr>
          <w:sz w:val="24"/>
          <w:szCs w:val="24"/>
        </w:rPr>
        <w:t xml:space="preserve">person, but critiquing the low behaviors of </w:t>
      </w:r>
      <w:proofErr w:type="gramStart"/>
      <w:r>
        <w:rPr>
          <w:sz w:val="24"/>
          <w:szCs w:val="24"/>
        </w:rPr>
        <w:t>Others</w:t>
      </w:r>
      <w:proofErr w:type="gramEnd"/>
      <w:r>
        <w:rPr>
          <w:sz w:val="24"/>
          <w:szCs w:val="24"/>
        </w:rPr>
        <w:t xml:space="preserve">, further reveal the extent of the contradictions in American society, and just how aware Americans were that they </w:t>
      </w:r>
      <w:r>
        <w:rPr>
          <w:sz w:val="24"/>
          <w:szCs w:val="24"/>
        </w:rPr>
        <w:lastRenderedPageBreak/>
        <w:t xml:space="preserve">were not living in a utopia. The 1878 song “What </w:t>
      </w:r>
      <w:r w:rsidRPr="00E15920">
        <w:rPr>
          <w:sz w:val="24"/>
          <w:szCs w:val="24"/>
        </w:rPr>
        <w:t xml:space="preserve">They Do at the Springs” </w:t>
      </w:r>
      <w:r>
        <w:rPr>
          <w:sz w:val="24"/>
          <w:szCs w:val="24"/>
        </w:rPr>
        <w:t>i</w:t>
      </w:r>
      <w:r w:rsidRPr="00E15920">
        <w:rPr>
          <w:sz w:val="24"/>
          <w:szCs w:val="24"/>
        </w:rPr>
        <w:t>ndicts the way the wealthy “drink…eat…flirt</w:t>
      </w:r>
      <w:proofErr w:type="gramStart"/>
      <w:r w:rsidRPr="00E15920">
        <w:rPr>
          <w:sz w:val="24"/>
          <w:szCs w:val="24"/>
        </w:rPr>
        <w:t>…[</w:t>
      </w:r>
      <w:proofErr w:type="gramEnd"/>
      <w:r w:rsidRPr="00E15920">
        <w:rPr>
          <w:sz w:val="24"/>
          <w:szCs w:val="24"/>
        </w:rPr>
        <w:t>and] waltz</w:t>
      </w:r>
      <w:r>
        <w:rPr>
          <w:sz w:val="24"/>
          <w:szCs w:val="24"/>
        </w:rPr>
        <w:t>.</w:t>
      </w:r>
      <w:r w:rsidRPr="00E15920">
        <w:rPr>
          <w:sz w:val="24"/>
          <w:szCs w:val="24"/>
        </w:rPr>
        <w:t>”</w:t>
      </w:r>
      <w:r>
        <w:rPr>
          <w:rStyle w:val="FootnoteReference"/>
          <w:sz w:val="24"/>
          <w:szCs w:val="24"/>
        </w:rPr>
        <w:footnoteReference w:id="361"/>
      </w:r>
      <w:r>
        <w:rPr>
          <w:sz w:val="24"/>
          <w:szCs w:val="24"/>
        </w:rPr>
        <w:t xml:space="preserve"> It pulls away the cloak of culture, exposing the hypocritical behavio</w:t>
      </w:r>
      <w:r w:rsidR="00981D27">
        <w:rPr>
          <w:sz w:val="24"/>
          <w:szCs w:val="24"/>
        </w:rPr>
        <w:t xml:space="preserve">rs the supposed members of high </w:t>
      </w:r>
      <w:r>
        <w:rPr>
          <w:sz w:val="24"/>
          <w:szCs w:val="24"/>
        </w:rPr>
        <w:t>society exhibit as they engage in lowbrow activities. The song prods at the elite’s incongruous actions</w:t>
      </w:r>
      <w:r w:rsidR="00981D27">
        <w:rPr>
          <w:sz w:val="24"/>
          <w:szCs w:val="24"/>
        </w:rPr>
        <w:t>,</w:t>
      </w:r>
      <w:r>
        <w:rPr>
          <w:sz w:val="24"/>
          <w:szCs w:val="24"/>
        </w:rPr>
        <w:t xml:space="preserve"> such as believing</w:t>
      </w:r>
      <w:r w:rsidR="00271B9A">
        <w:rPr>
          <w:sz w:val="24"/>
          <w:szCs w:val="24"/>
        </w:rPr>
        <w:t xml:space="preserve"> that</w:t>
      </w:r>
      <w:r w:rsidR="00E364BD">
        <w:rPr>
          <w:sz w:val="24"/>
          <w:szCs w:val="24"/>
        </w:rPr>
        <w:t xml:space="preserve"> swimming in springs full of</w:t>
      </w:r>
      <w:r>
        <w:rPr>
          <w:sz w:val="24"/>
          <w:szCs w:val="24"/>
        </w:rPr>
        <w:t xml:space="preserve"> “wholesome medical things”</w:t>
      </w:r>
      <w:r w:rsidRPr="00AF04B7">
        <w:rPr>
          <w:rStyle w:val="FootnoteReference"/>
          <w:sz w:val="24"/>
          <w:szCs w:val="24"/>
        </w:rPr>
        <w:t xml:space="preserve"> </w:t>
      </w:r>
      <w:r w:rsidR="00981D27">
        <w:rPr>
          <w:sz w:val="24"/>
          <w:szCs w:val="24"/>
        </w:rPr>
        <w:t>allows them to</w:t>
      </w:r>
      <w:r>
        <w:rPr>
          <w:sz w:val="24"/>
          <w:szCs w:val="24"/>
        </w:rPr>
        <w:t xml:space="preserve"> drink heavily.</w:t>
      </w:r>
      <w:r w:rsidRPr="00F048C0">
        <w:rPr>
          <w:rStyle w:val="FootnoteReference"/>
          <w:sz w:val="24"/>
          <w:szCs w:val="24"/>
        </w:rPr>
        <w:t xml:space="preserve"> </w:t>
      </w:r>
      <w:r>
        <w:rPr>
          <w:rStyle w:val="FootnoteReference"/>
          <w:sz w:val="24"/>
          <w:szCs w:val="24"/>
        </w:rPr>
        <w:footnoteReference w:id="362"/>
      </w:r>
      <w:r>
        <w:rPr>
          <w:sz w:val="24"/>
          <w:szCs w:val="24"/>
        </w:rPr>
        <w:t xml:space="preserve"> Their refined and genteel behav</w:t>
      </w:r>
      <w:r w:rsidR="00981D27">
        <w:rPr>
          <w:sz w:val="24"/>
          <w:szCs w:val="24"/>
        </w:rPr>
        <w:t>iors thinly</w:t>
      </w:r>
      <w:r w:rsidR="00BC0168">
        <w:rPr>
          <w:sz w:val="24"/>
          <w:szCs w:val="24"/>
        </w:rPr>
        <w:t xml:space="preserve"> covered their indecorous</w:t>
      </w:r>
      <w:r>
        <w:rPr>
          <w:sz w:val="24"/>
          <w:szCs w:val="24"/>
        </w:rPr>
        <w:t xml:space="preserve"> actions as they over-indulge in food, drink, and sexual relations. </w:t>
      </w:r>
      <w:r w:rsidR="00E364BD">
        <w:rPr>
          <w:sz w:val="24"/>
          <w:szCs w:val="24"/>
        </w:rPr>
        <w:t>A four-</w:t>
      </w:r>
      <w:r w:rsidRPr="00940852">
        <w:rPr>
          <w:sz w:val="24"/>
          <w:szCs w:val="24"/>
        </w:rPr>
        <w:t>part chorus allows others to join in and h</w:t>
      </w:r>
      <w:r>
        <w:rPr>
          <w:sz w:val="24"/>
          <w:szCs w:val="24"/>
        </w:rPr>
        <w:t>armonize, potentially creati</w:t>
      </w:r>
      <w:r w:rsidR="00981D27">
        <w:rPr>
          <w:sz w:val="24"/>
          <w:szCs w:val="24"/>
        </w:rPr>
        <w:t>ng a group feeling, letting performers</w:t>
      </w:r>
      <w:r>
        <w:rPr>
          <w:sz w:val="24"/>
          <w:szCs w:val="24"/>
        </w:rPr>
        <w:t xml:space="preserve"> add their voice</w:t>
      </w:r>
      <w:r w:rsidR="00981D27">
        <w:rPr>
          <w:sz w:val="24"/>
          <w:szCs w:val="24"/>
        </w:rPr>
        <w:t>s</w:t>
      </w:r>
      <w:r>
        <w:rPr>
          <w:sz w:val="24"/>
          <w:szCs w:val="24"/>
        </w:rPr>
        <w:t xml:space="preserve"> to the critique. Their combined voices coming together to sound a unified critique of an</w:t>
      </w:r>
      <w:r w:rsidRPr="00940852">
        <w:rPr>
          <w:sz w:val="24"/>
          <w:szCs w:val="24"/>
        </w:rPr>
        <w:t xml:space="preserve"> i</w:t>
      </w:r>
      <w:r>
        <w:rPr>
          <w:sz w:val="24"/>
          <w:szCs w:val="24"/>
        </w:rPr>
        <w:t>magined identity</w:t>
      </w:r>
      <w:r w:rsidRPr="00940852">
        <w:rPr>
          <w:sz w:val="24"/>
          <w:szCs w:val="24"/>
        </w:rPr>
        <w:t>.</w:t>
      </w:r>
    </w:p>
    <w:p w:rsidR="009C1165" w:rsidRDefault="009C1165" w:rsidP="009C1165">
      <w:pPr>
        <w:tabs>
          <w:tab w:val="left" w:pos="7830"/>
        </w:tabs>
        <w:spacing w:line="480" w:lineRule="auto"/>
        <w:ind w:firstLine="720"/>
        <w:rPr>
          <w:sz w:val="24"/>
          <w:szCs w:val="24"/>
        </w:rPr>
      </w:pPr>
      <w:r>
        <w:rPr>
          <w:sz w:val="24"/>
          <w:szCs w:val="24"/>
        </w:rPr>
        <w:t>Some topical songs not only attacked the inconsistencies of the genteel elite but advocated for the low. Alcohol was frequently seen as a stumbling block to progress and enlightenment in the nineteenth-century United States, and numerous songs and musicians championed the cause of prohibition. Certain comic songs, however, allowed parlor musicians to iden</w:t>
      </w:r>
      <w:r w:rsidR="00C1726F">
        <w:rPr>
          <w:sz w:val="24"/>
          <w:szCs w:val="24"/>
        </w:rPr>
        <w:t>tify with the opposite position</w:t>
      </w:r>
      <w:r>
        <w:rPr>
          <w:sz w:val="24"/>
          <w:szCs w:val="24"/>
        </w:rPr>
        <w:t xml:space="preserve"> and register their support for alcohol consumption. The lyrics of 1886’s </w:t>
      </w:r>
      <w:r w:rsidRPr="004F6037">
        <w:rPr>
          <w:sz w:val="24"/>
          <w:szCs w:val="24"/>
        </w:rPr>
        <w:t>“Turn the Crank!! A Plea for Personal Liberty”</w:t>
      </w:r>
      <w:r>
        <w:rPr>
          <w:rStyle w:val="FootnoteReference"/>
          <w:sz w:val="24"/>
          <w:szCs w:val="24"/>
        </w:rPr>
        <w:footnoteReference w:id="363"/>
      </w:r>
      <w:r>
        <w:rPr>
          <w:sz w:val="24"/>
          <w:szCs w:val="24"/>
        </w:rPr>
        <w:t xml:space="preserve"> </w:t>
      </w:r>
      <w:proofErr w:type="gramStart"/>
      <w:r>
        <w:rPr>
          <w:sz w:val="24"/>
          <w:szCs w:val="24"/>
        </w:rPr>
        <w:t>attack</w:t>
      </w:r>
      <w:proofErr w:type="gramEnd"/>
      <w:r>
        <w:rPr>
          <w:sz w:val="24"/>
          <w:szCs w:val="24"/>
        </w:rPr>
        <w:t xml:space="preserve"> the logic of prohibitionists and advocate helping “them scoot out on all fours…with your boot.”</w:t>
      </w:r>
      <w:r>
        <w:rPr>
          <w:rStyle w:val="FootnoteReference"/>
          <w:sz w:val="24"/>
          <w:szCs w:val="24"/>
        </w:rPr>
        <w:footnoteReference w:id="364"/>
      </w:r>
      <w:r>
        <w:rPr>
          <w:sz w:val="24"/>
          <w:szCs w:val="24"/>
        </w:rPr>
        <w:t xml:space="preserve"> The lyrics argue against prohibition by extending it </w:t>
      </w:r>
      <w:r>
        <w:rPr>
          <w:i/>
          <w:sz w:val="24"/>
          <w:szCs w:val="24"/>
        </w:rPr>
        <w:t>ad absurdum</w:t>
      </w:r>
      <w:r>
        <w:rPr>
          <w:sz w:val="24"/>
          <w:szCs w:val="24"/>
        </w:rPr>
        <w:t>, saying:</w:t>
      </w:r>
    </w:p>
    <w:p w:rsidR="009C1165" w:rsidRDefault="009C1165" w:rsidP="009C1165">
      <w:pPr>
        <w:tabs>
          <w:tab w:val="left" w:pos="7830"/>
        </w:tabs>
        <w:ind w:firstLine="720"/>
        <w:contextualSpacing/>
        <w:rPr>
          <w:sz w:val="24"/>
          <w:szCs w:val="24"/>
        </w:rPr>
      </w:pPr>
      <w:r>
        <w:rPr>
          <w:sz w:val="24"/>
          <w:szCs w:val="24"/>
        </w:rPr>
        <w:t xml:space="preserve">Suppose you gave your freedom up, </w:t>
      </w:r>
      <w:proofErr w:type="gramStart"/>
      <w:r>
        <w:rPr>
          <w:sz w:val="24"/>
          <w:szCs w:val="24"/>
        </w:rPr>
        <w:t>To</w:t>
      </w:r>
      <w:proofErr w:type="gramEnd"/>
      <w:r>
        <w:rPr>
          <w:sz w:val="24"/>
          <w:szCs w:val="24"/>
        </w:rPr>
        <w:t xml:space="preserve"> imbeciles erratic,</w:t>
      </w:r>
    </w:p>
    <w:p w:rsidR="009C1165" w:rsidRDefault="009C1165" w:rsidP="009C1165">
      <w:pPr>
        <w:tabs>
          <w:tab w:val="left" w:pos="7830"/>
        </w:tabs>
        <w:ind w:firstLine="720"/>
        <w:contextualSpacing/>
        <w:rPr>
          <w:sz w:val="24"/>
          <w:szCs w:val="24"/>
        </w:rPr>
      </w:pPr>
      <w:r>
        <w:rPr>
          <w:sz w:val="24"/>
          <w:szCs w:val="24"/>
        </w:rPr>
        <w:lastRenderedPageBreak/>
        <w:t xml:space="preserve">What next fool thing would they demand, </w:t>
      </w:r>
      <w:proofErr w:type="gramStart"/>
      <w:r>
        <w:rPr>
          <w:sz w:val="24"/>
          <w:szCs w:val="24"/>
        </w:rPr>
        <w:t>These</w:t>
      </w:r>
      <w:proofErr w:type="gramEnd"/>
      <w:r>
        <w:rPr>
          <w:sz w:val="24"/>
          <w:szCs w:val="24"/>
        </w:rPr>
        <w:t xml:space="preserve"> partisans fanatic?</w:t>
      </w:r>
    </w:p>
    <w:p w:rsidR="009C1165" w:rsidRDefault="009C1165" w:rsidP="009C1165">
      <w:pPr>
        <w:tabs>
          <w:tab w:val="left" w:pos="7830"/>
        </w:tabs>
        <w:ind w:firstLine="720"/>
        <w:contextualSpacing/>
        <w:rPr>
          <w:sz w:val="24"/>
          <w:szCs w:val="24"/>
        </w:rPr>
      </w:pPr>
      <w:r>
        <w:rPr>
          <w:sz w:val="24"/>
          <w:szCs w:val="24"/>
        </w:rPr>
        <w:t xml:space="preserve">What next would these old grannies ask? I do not </w:t>
      </w:r>
      <w:proofErr w:type="gramStart"/>
      <w:r>
        <w:rPr>
          <w:sz w:val="24"/>
          <w:szCs w:val="24"/>
        </w:rPr>
        <w:t>doubt,</w:t>
      </w:r>
      <w:proofErr w:type="gramEnd"/>
      <w:r>
        <w:rPr>
          <w:sz w:val="24"/>
          <w:szCs w:val="24"/>
        </w:rPr>
        <w:t xml:space="preserve"> great land’s sakes!</w:t>
      </w:r>
    </w:p>
    <w:p w:rsidR="009C1165" w:rsidRPr="00A4513E" w:rsidRDefault="009C1165" w:rsidP="009C1165">
      <w:pPr>
        <w:tabs>
          <w:tab w:val="left" w:pos="7830"/>
        </w:tabs>
        <w:ind w:firstLine="720"/>
        <w:contextualSpacing/>
        <w:rPr>
          <w:sz w:val="24"/>
          <w:szCs w:val="24"/>
        </w:rPr>
      </w:pPr>
      <w:r>
        <w:rPr>
          <w:sz w:val="24"/>
          <w:szCs w:val="24"/>
        </w:rPr>
        <w:t xml:space="preserve">If you for them should give up beer, </w:t>
      </w:r>
      <w:proofErr w:type="gramStart"/>
      <w:r>
        <w:rPr>
          <w:sz w:val="24"/>
          <w:szCs w:val="24"/>
        </w:rPr>
        <w:t>They’d</w:t>
      </w:r>
      <w:proofErr w:type="gramEnd"/>
      <w:r>
        <w:rPr>
          <w:sz w:val="24"/>
          <w:szCs w:val="24"/>
        </w:rPr>
        <w:t xml:space="preserve"> then abolish pancakes.</w:t>
      </w:r>
      <w:r>
        <w:rPr>
          <w:rStyle w:val="FootnoteReference"/>
          <w:sz w:val="24"/>
          <w:szCs w:val="24"/>
        </w:rPr>
        <w:footnoteReference w:id="365"/>
      </w:r>
    </w:p>
    <w:p w:rsidR="009C1165" w:rsidRDefault="009C1165" w:rsidP="009C1165">
      <w:pPr>
        <w:contextualSpacing/>
        <w:rPr>
          <w:sz w:val="24"/>
          <w:szCs w:val="24"/>
        </w:rPr>
      </w:pPr>
    </w:p>
    <w:p w:rsidR="009C1165" w:rsidRDefault="009C1165" w:rsidP="009C1165">
      <w:pPr>
        <w:spacing w:line="480" w:lineRule="auto"/>
        <w:contextualSpacing/>
        <w:rPr>
          <w:sz w:val="24"/>
          <w:szCs w:val="24"/>
        </w:rPr>
      </w:pPr>
      <w:r>
        <w:rPr>
          <w:sz w:val="24"/>
          <w:szCs w:val="24"/>
        </w:rPr>
        <w:t xml:space="preserve">The song </w:t>
      </w:r>
      <w:r w:rsidR="00BB6917">
        <w:rPr>
          <w:sz w:val="24"/>
          <w:szCs w:val="24"/>
        </w:rPr>
        <w:t>gives surface to</w:t>
      </w:r>
      <w:r w:rsidR="00207145">
        <w:rPr>
          <w:sz w:val="24"/>
          <w:szCs w:val="24"/>
        </w:rPr>
        <w:t xml:space="preserve"> a tense social problem,</w:t>
      </w:r>
      <w:r>
        <w:rPr>
          <w:sz w:val="24"/>
          <w:szCs w:val="24"/>
        </w:rPr>
        <w:t xml:space="preserve"> </w:t>
      </w:r>
      <w:r w:rsidRPr="00A4513E">
        <w:rPr>
          <w:i/>
          <w:sz w:val="24"/>
          <w:szCs w:val="24"/>
        </w:rPr>
        <w:t>a la</w:t>
      </w:r>
      <w:r w:rsidR="00C1726F">
        <w:rPr>
          <w:sz w:val="24"/>
          <w:szCs w:val="24"/>
        </w:rPr>
        <w:t xml:space="preserve"> Dyer’s utopian model</w:t>
      </w:r>
      <w:r w:rsidR="00207145">
        <w:rPr>
          <w:sz w:val="24"/>
          <w:szCs w:val="24"/>
        </w:rPr>
        <w:t>,</w:t>
      </w:r>
      <w:r>
        <w:rPr>
          <w:sz w:val="24"/>
          <w:szCs w:val="24"/>
        </w:rPr>
        <w:t xml:space="preserve"> but</w:t>
      </w:r>
      <w:r w:rsidR="00D26FB1">
        <w:rPr>
          <w:sz w:val="24"/>
          <w:szCs w:val="24"/>
        </w:rPr>
        <w:t xml:space="preserve"> it turns </w:t>
      </w:r>
      <w:r>
        <w:rPr>
          <w:sz w:val="24"/>
          <w:szCs w:val="24"/>
        </w:rPr>
        <w:t>against the highbrow. It labels the elite impetus as oppressive and seeks to correct it with the personal freedom to engage in the low.</w:t>
      </w:r>
    </w:p>
    <w:p w:rsidR="009C1165" w:rsidRDefault="009C1165" w:rsidP="009C1165">
      <w:pPr>
        <w:spacing w:line="480" w:lineRule="auto"/>
        <w:ind w:firstLine="720"/>
        <w:contextualSpacing/>
        <w:rPr>
          <w:sz w:val="24"/>
          <w:szCs w:val="24"/>
        </w:rPr>
      </w:pPr>
      <w:r>
        <w:rPr>
          <w:sz w:val="24"/>
          <w:szCs w:val="24"/>
        </w:rPr>
        <w:t xml:space="preserve">High and lowbrow metaphorically clash again in 1870’s “All </w:t>
      </w:r>
      <w:proofErr w:type="gramStart"/>
      <w:r>
        <w:rPr>
          <w:sz w:val="24"/>
          <w:szCs w:val="24"/>
        </w:rPr>
        <w:t>Among</w:t>
      </w:r>
      <w:proofErr w:type="gramEnd"/>
      <w:r>
        <w:rPr>
          <w:sz w:val="24"/>
          <w:szCs w:val="24"/>
        </w:rPr>
        <w:t xml:space="preserve"> the Hay,” with the low triumphing. Told from the point view of a “swell”</w:t>
      </w:r>
      <w:r>
        <w:rPr>
          <w:rStyle w:val="FootnoteReference"/>
          <w:sz w:val="24"/>
          <w:szCs w:val="24"/>
        </w:rPr>
        <w:footnoteReference w:id="366"/>
      </w:r>
      <w:r w:rsidR="00F3534B">
        <w:rPr>
          <w:sz w:val="24"/>
          <w:szCs w:val="24"/>
        </w:rPr>
        <w:t>—a nineteenth-</w:t>
      </w:r>
      <w:r>
        <w:rPr>
          <w:sz w:val="24"/>
          <w:szCs w:val="24"/>
        </w:rPr>
        <w:t>century slang term for an effete, upper-class man—who meets and then falls in love with a “country” girl, the narrative demonstrates an overwhelming attraction to the low, even for a self-admitted privileged individual. The “swell” takes a “sup” from the girl’s “cask of barley corn,” and has “a ‘jolly spree’ when all among the hay.”</w:t>
      </w:r>
      <w:r>
        <w:rPr>
          <w:rStyle w:val="FootnoteReference"/>
          <w:sz w:val="24"/>
          <w:szCs w:val="24"/>
        </w:rPr>
        <w:footnoteReference w:id="367"/>
      </w:r>
      <w:r>
        <w:rPr>
          <w:sz w:val="24"/>
          <w:szCs w:val="24"/>
        </w:rPr>
        <w:t xml:space="preserve"> The inebriated “swell” then ends up thrashing a “rival raw” like a “load of straw” before winning the “woman with his tongue” and sowing his “wildest ‘oats’ all among the hay.”</w:t>
      </w:r>
      <w:r>
        <w:rPr>
          <w:rStyle w:val="FootnoteReference"/>
          <w:sz w:val="24"/>
          <w:szCs w:val="24"/>
        </w:rPr>
        <w:footnoteReference w:id="368"/>
      </w:r>
      <w:r>
        <w:rPr>
          <w:sz w:val="24"/>
          <w:szCs w:val="24"/>
        </w:rPr>
        <w:t xml:space="preserve"> Rather than escaping into a harmonious utopia, the character of this song gladly slips into a world of drinking, violence, and sex.</w:t>
      </w:r>
    </w:p>
    <w:p w:rsidR="009C1165" w:rsidRDefault="009C1165" w:rsidP="009C1165">
      <w:pPr>
        <w:spacing w:line="480" w:lineRule="auto"/>
        <w:ind w:firstLine="720"/>
        <w:rPr>
          <w:sz w:val="24"/>
          <w:szCs w:val="24"/>
        </w:rPr>
      </w:pPr>
      <w:r>
        <w:rPr>
          <w:sz w:val="24"/>
          <w:szCs w:val="24"/>
        </w:rPr>
        <w:t>The dangerous challen</w:t>
      </w:r>
      <w:r w:rsidR="00E364BD">
        <w:rPr>
          <w:sz w:val="24"/>
          <w:szCs w:val="24"/>
        </w:rPr>
        <w:t xml:space="preserve">ge </w:t>
      </w:r>
      <w:r w:rsidR="00423184">
        <w:rPr>
          <w:sz w:val="24"/>
          <w:szCs w:val="24"/>
        </w:rPr>
        <w:t xml:space="preserve">that </w:t>
      </w:r>
      <w:r w:rsidR="00E364BD">
        <w:rPr>
          <w:sz w:val="24"/>
          <w:szCs w:val="24"/>
        </w:rPr>
        <w:t>these songs provide to soci</w:t>
      </w:r>
      <w:r>
        <w:rPr>
          <w:sz w:val="24"/>
          <w:szCs w:val="24"/>
        </w:rPr>
        <w:t>al norms are diffused by the fact that they are comedic. Mocking these phenomena allows the tension</w:t>
      </w:r>
      <w:r w:rsidR="00423184">
        <w:rPr>
          <w:sz w:val="24"/>
          <w:szCs w:val="24"/>
        </w:rPr>
        <w:t>s</w:t>
      </w:r>
      <w:r>
        <w:rPr>
          <w:sz w:val="24"/>
          <w:szCs w:val="24"/>
        </w:rPr>
        <w:t xml:space="preserve"> surrounding them to flow out in a psychologically acceptable manner. Th</w:t>
      </w:r>
      <w:r w:rsidR="00423184">
        <w:rPr>
          <w:sz w:val="24"/>
          <w:szCs w:val="24"/>
        </w:rPr>
        <w:t>e excessive nature of such song</w:t>
      </w:r>
      <w:r>
        <w:rPr>
          <w:sz w:val="24"/>
          <w:szCs w:val="24"/>
        </w:rPr>
        <w:t>s</w:t>
      </w:r>
      <w:r w:rsidR="00423184">
        <w:rPr>
          <w:sz w:val="24"/>
          <w:szCs w:val="24"/>
        </w:rPr>
        <w:t>’</w:t>
      </w:r>
      <w:r>
        <w:rPr>
          <w:sz w:val="24"/>
          <w:szCs w:val="24"/>
        </w:rPr>
        <w:t xml:space="preserve"> lyrics and music facilitate the overflow of th</w:t>
      </w:r>
      <w:r w:rsidR="00811F65">
        <w:rPr>
          <w:sz w:val="24"/>
          <w:szCs w:val="24"/>
        </w:rPr>
        <w:t>e pent up social tensions of late-</w:t>
      </w:r>
      <w:r>
        <w:rPr>
          <w:sz w:val="24"/>
          <w:szCs w:val="24"/>
        </w:rPr>
        <w:t xml:space="preserve">nineteenth-century American society. Making these identities foolish and laughing at them gave performers and audiences </w:t>
      </w:r>
      <w:r>
        <w:rPr>
          <w:sz w:val="24"/>
          <w:szCs w:val="24"/>
        </w:rPr>
        <w:lastRenderedPageBreak/>
        <w:t xml:space="preserve">power over them. High and lowbrow identities were delineated, but the low was not removed. The low’s challenge was left unresolved as it continually reappeared in the parlor across </w:t>
      </w:r>
      <w:r w:rsidR="00F3534B">
        <w:rPr>
          <w:sz w:val="24"/>
          <w:szCs w:val="24"/>
        </w:rPr>
        <w:t xml:space="preserve">the last half of the nineteenth </w:t>
      </w:r>
      <w:r>
        <w:rPr>
          <w:sz w:val="24"/>
          <w:szCs w:val="24"/>
        </w:rPr>
        <w:t xml:space="preserve">century and into the twentieth. The presence of the lowbrow in the parlor suggests that it offered a pleasure that perhaps even a refined utopia could not. Parlor performers desired experiencing such low identities, even when it meant potentially tainting the Self. At the end of </w:t>
      </w:r>
      <w:proofErr w:type="spellStart"/>
      <w:r w:rsidRPr="00AF1EBA">
        <w:rPr>
          <w:sz w:val="24"/>
          <w:szCs w:val="24"/>
        </w:rPr>
        <w:t>Engl</w:t>
      </w:r>
      <w:r w:rsidRPr="00AF1EBA">
        <w:rPr>
          <w:rFonts w:cstheme="minorHAnsi"/>
          <w:sz w:val="24"/>
          <w:szCs w:val="24"/>
        </w:rPr>
        <w:t>ä</w:t>
      </w:r>
      <w:r w:rsidRPr="00AF1EBA">
        <w:rPr>
          <w:sz w:val="24"/>
          <w:szCs w:val="24"/>
        </w:rPr>
        <w:t>nder</w:t>
      </w:r>
      <w:r>
        <w:rPr>
          <w:sz w:val="24"/>
          <w:szCs w:val="24"/>
        </w:rPr>
        <w:t>’s</w:t>
      </w:r>
      <w:proofErr w:type="spellEnd"/>
      <w:r>
        <w:rPr>
          <w:sz w:val="24"/>
          <w:szCs w:val="24"/>
        </w:rPr>
        <w:t xml:space="preserve"> “The Ambitious Magpie</w:t>
      </w:r>
      <w:r w:rsidR="00811F65">
        <w:rPr>
          <w:sz w:val="24"/>
          <w:szCs w:val="24"/>
        </w:rPr>
        <w:t>,</w:t>
      </w:r>
      <w:r>
        <w:rPr>
          <w:sz w:val="24"/>
          <w:szCs w:val="24"/>
        </w:rPr>
        <w:t xml:space="preserve">” the bird dies in ecstasy when it is finally able to utter “damn!” In that moment, he: </w:t>
      </w:r>
    </w:p>
    <w:p w:rsidR="009C1165" w:rsidRDefault="009C1165" w:rsidP="009C1165">
      <w:pPr>
        <w:ind w:firstLine="720"/>
        <w:contextualSpacing/>
        <w:rPr>
          <w:sz w:val="24"/>
          <w:szCs w:val="24"/>
        </w:rPr>
      </w:pPr>
      <w:proofErr w:type="spellStart"/>
      <w:r>
        <w:rPr>
          <w:sz w:val="24"/>
          <w:szCs w:val="24"/>
        </w:rPr>
        <w:t>Open’d</w:t>
      </w:r>
      <w:proofErr w:type="spellEnd"/>
      <w:r>
        <w:rPr>
          <w:sz w:val="24"/>
          <w:szCs w:val="24"/>
        </w:rPr>
        <w:t xml:space="preserve"> his </w:t>
      </w:r>
      <w:proofErr w:type="gramStart"/>
      <w:r>
        <w:rPr>
          <w:sz w:val="24"/>
          <w:szCs w:val="24"/>
        </w:rPr>
        <w:t>mouth,</w:t>
      </w:r>
      <w:proofErr w:type="gramEnd"/>
      <w:r>
        <w:rPr>
          <w:sz w:val="24"/>
          <w:szCs w:val="24"/>
        </w:rPr>
        <w:t xml:space="preserve"> </w:t>
      </w:r>
      <w:proofErr w:type="spellStart"/>
      <w:r>
        <w:rPr>
          <w:sz w:val="24"/>
          <w:szCs w:val="24"/>
        </w:rPr>
        <w:t>lean’d</w:t>
      </w:r>
      <w:proofErr w:type="spellEnd"/>
      <w:r>
        <w:rPr>
          <w:sz w:val="24"/>
          <w:szCs w:val="24"/>
        </w:rPr>
        <w:t xml:space="preserve"> his head on one side, His face lit up with a glorious pride</w:t>
      </w:r>
    </w:p>
    <w:p w:rsidR="009C1165" w:rsidRDefault="00811F65" w:rsidP="009C1165">
      <w:pPr>
        <w:ind w:firstLine="720"/>
        <w:contextualSpacing/>
        <w:rPr>
          <w:sz w:val="24"/>
          <w:szCs w:val="24"/>
        </w:rPr>
      </w:pPr>
      <w:r>
        <w:rPr>
          <w:sz w:val="24"/>
          <w:szCs w:val="24"/>
        </w:rPr>
        <w:t>And crying out, “Damn!”</w:t>
      </w:r>
      <w:r w:rsidR="009C1165">
        <w:rPr>
          <w:sz w:val="24"/>
          <w:szCs w:val="24"/>
        </w:rPr>
        <w:t xml:space="preserve"> in triumph he died, </w:t>
      </w:r>
      <w:proofErr w:type="gramStart"/>
      <w:r w:rsidR="009C1165">
        <w:rPr>
          <w:sz w:val="24"/>
          <w:szCs w:val="24"/>
        </w:rPr>
        <w:t>That</w:t>
      </w:r>
      <w:proofErr w:type="gramEnd"/>
      <w:r w:rsidR="009C1165">
        <w:rPr>
          <w:sz w:val="24"/>
          <w:szCs w:val="24"/>
        </w:rPr>
        <w:t xml:space="preserve"> satisfied bird of yore!</w:t>
      </w:r>
      <w:r w:rsidR="009C1165">
        <w:rPr>
          <w:rStyle w:val="FootnoteReference"/>
          <w:sz w:val="24"/>
          <w:szCs w:val="24"/>
        </w:rPr>
        <w:footnoteReference w:id="369"/>
      </w:r>
    </w:p>
    <w:p w:rsidR="009C1165" w:rsidRDefault="009C1165" w:rsidP="009C1165">
      <w:pPr>
        <w:contextualSpacing/>
        <w:rPr>
          <w:sz w:val="24"/>
          <w:szCs w:val="24"/>
        </w:rPr>
      </w:pPr>
    </w:p>
    <w:p w:rsidR="007B3705" w:rsidRDefault="009C1165" w:rsidP="00806E40">
      <w:pPr>
        <w:spacing w:line="480" w:lineRule="auto"/>
        <w:contextualSpacing/>
        <w:rPr>
          <w:sz w:val="24"/>
          <w:szCs w:val="24"/>
        </w:rPr>
      </w:pPr>
      <w:r>
        <w:rPr>
          <w:sz w:val="24"/>
          <w:szCs w:val="24"/>
        </w:rPr>
        <w:t>His pride and his satisfaction came from his uncivilized action. He achieved a personal utopia by transgressing societal norms.</w:t>
      </w:r>
    </w:p>
    <w:p w:rsidR="00806E40" w:rsidRDefault="00806E40" w:rsidP="00806E40">
      <w:pPr>
        <w:spacing w:line="480" w:lineRule="auto"/>
        <w:contextualSpacing/>
        <w:rPr>
          <w:sz w:val="24"/>
          <w:szCs w:val="24"/>
        </w:rPr>
      </w:pPr>
    </w:p>
    <w:p w:rsidR="002F1D7D" w:rsidRDefault="002F1D7D" w:rsidP="00FB0A40">
      <w:pPr>
        <w:rPr>
          <w:sz w:val="24"/>
          <w:szCs w:val="24"/>
        </w:rPr>
      </w:pPr>
    </w:p>
    <w:p w:rsidR="007208C3" w:rsidRDefault="007208C3" w:rsidP="00FB0A40">
      <w:pPr>
        <w:rPr>
          <w:sz w:val="24"/>
          <w:szCs w:val="24"/>
        </w:rPr>
      </w:pPr>
    </w:p>
    <w:p w:rsidR="007208C3" w:rsidRDefault="007208C3" w:rsidP="00FB0A40">
      <w:pPr>
        <w:rPr>
          <w:sz w:val="24"/>
          <w:szCs w:val="24"/>
        </w:rPr>
      </w:pPr>
    </w:p>
    <w:p w:rsidR="007208C3" w:rsidRDefault="007208C3" w:rsidP="00FB0A40">
      <w:pPr>
        <w:rPr>
          <w:sz w:val="24"/>
          <w:szCs w:val="24"/>
        </w:rPr>
      </w:pPr>
    </w:p>
    <w:p w:rsidR="007208C3" w:rsidRDefault="007208C3" w:rsidP="00FB0A40">
      <w:pPr>
        <w:rPr>
          <w:sz w:val="24"/>
          <w:szCs w:val="24"/>
        </w:rPr>
      </w:pPr>
    </w:p>
    <w:p w:rsidR="007208C3" w:rsidRDefault="007208C3" w:rsidP="00FB0A40">
      <w:pPr>
        <w:rPr>
          <w:sz w:val="24"/>
          <w:szCs w:val="24"/>
        </w:rPr>
      </w:pPr>
    </w:p>
    <w:p w:rsidR="007208C3" w:rsidRDefault="007208C3" w:rsidP="00FB0A40">
      <w:pPr>
        <w:rPr>
          <w:sz w:val="24"/>
          <w:szCs w:val="24"/>
        </w:rPr>
      </w:pPr>
    </w:p>
    <w:p w:rsidR="007208C3" w:rsidRDefault="007208C3" w:rsidP="00FB0A40">
      <w:pPr>
        <w:rPr>
          <w:sz w:val="24"/>
          <w:szCs w:val="24"/>
        </w:rPr>
      </w:pPr>
    </w:p>
    <w:p w:rsidR="007208C3" w:rsidRDefault="007208C3" w:rsidP="00FB0A40">
      <w:pPr>
        <w:rPr>
          <w:sz w:val="24"/>
          <w:szCs w:val="24"/>
        </w:rPr>
      </w:pPr>
    </w:p>
    <w:p w:rsidR="00FB0A40" w:rsidRPr="00A370AC" w:rsidRDefault="007208C3" w:rsidP="00A370AC">
      <w:pPr>
        <w:pStyle w:val="Heading1"/>
        <w:jc w:val="center"/>
        <w:rPr>
          <w:rFonts w:asciiTheme="minorHAnsi" w:hAnsiTheme="minorHAnsi"/>
          <w:color w:val="auto"/>
          <w:sz w:val="24"/>
          <w:szCs w:val="24"/>
        </w:rPr>
      </w:pPr>
      <w:bookmarkStart w:id="36" w:name="_Toc356278700"/>
      <w:r w:rsidRPr="00A370AC">
        <w:rPr>
          <w:rFonts w:asciiTheme="minorHAnsi" w:hAnsiTheme="minorHAnsi"/>
          <w:color w:val="auto"/>
          <w:sz w:val="24"/>
          <w:szCs w:val="24"/>
        </w:rPr>
        <w:lastRenderedPageBreak/>
        <w:t>: Conclusions, a.k.a. The Punch Line</w:t>
      </w:r>
      <w:bookmarkEnd w:id="36"/>
    </w:p>
    <w:p w:rsidR="00FB0A40" w:rsidRPr="008F73AA" w:rsidRDefault="00FB0A40" w:rsidP="00FB0A40">
      <w:pPr>
        <w:jc w:val="center"/>
        <w:rPr>
          <w:rFonts w:cs="Times New Roman"/>
          <w:sz w:val="24"/>
          <w:szCs w:val="24"/>
        </w:rPr>
      </w:pPr>
    </w:p>
    <w:p w:rsidR="00FB0A40" w:rsidRPr="008F73AA" w:rsidRDefault="00FB0A40" w:rsidP="00FB0A40">
      <w:pPr>
        <w:spacing w:line="480" w:lineRule="auto"/>
        <w:ind w:firstLine="720"/>
        <w:rPr>
          <w:rFonts w:cs="Times New Roman"/>
          <w:sz w:val="24"/>
          <w:szCs w:val="24"/>
        </w:rPr>
      </w:pPr>
      <w:r w:rsidRPr="008F73AA">
        <w:rPr>
          <w:rFonts w:cs="Times New Roman"/>
          <w:sz w:val="24"/>
          <w:szCs w:val="24"/>
        </w:rPr>
        <w:t>The late</w:t>
      </w:r>
      <w:r w:rsidR="00461038">
        <w:rPr>
          <w:rFonts w:cs="Times New Roman"/>
          <w:sz w:val="24"/>
          <w:szCs w:val="24"/>
        </w:rPr>
        <w:t xml:space="preserve">-nineteenth and early-twentieth </w:t>
      </w:r>
      <w:proofErr w:type="spellStart"/>
      <w:r w:rsidRPr="008F73AA">
        <w:rPr>
          <w:rFonts w:cs="Times New Roman"/>
          <w:sz w:val="24"/>
          <w:szCs w:val="24"/>
        </w:rPr>
        <w:t>centuries</w:t>
      </w:r>
      <w:proofErr w:type="spellEnd"/>
      <w:r w:rsidRPr="008F73AA">
        <w:rPr>
          <w:rFonts w:cs="Times New Roman"/>
          <w:sz w:val="24"/>
          <w:szCs w:val="24"/>
        </w:rPr>
        <w:t xml:space="preserve"> were a time of shifting ideologies for the United Sta</w:t>
      </w:r>
      <w:r w:rsidR="00461038">
        <w:rPr>
          <w:rFonts w:cs="Times New Roman"/>
          <w:sz w:val="24"/>
          <w:szCs w:val="24"/>
        </w:rPr>
        <w:t>tes of America. These beliefs</w:t>
      </w:r>
      <w:r w:rsidRPr="008F73AA">
        <w:rPr>
          <w:rFonts w:cs="Times New Roman"/>
          <w:sz w:val="24"/>
          <w:szCs w:val="24"/>
        </w:rPr>
        <w:t xml:space="preserve"> expres</w:t>
      </w:r>
      <w:r>
        <w:rPr>
          <w:rFonts w:cs="Times New Roman"/>
          <w:sz w:val="24"/>
          <w:szCs w:val="24"/>
        </w:rPr>
        <w:t>sed themselves in a multitude of cultural forms. Within the world of music</w:t>
      </w:r>
      <w:r w:rsidR="00E364BD">
        <w:rPr>
          <w:rFonts w:cs="Times New Roman"/>
          <w:sz w:val="24"/>
          <w:szCs w:val="24"/>
        </w:rPr>
        <w:t>,</w:t>
      </w:r>
      <w:r w:rsidR="00461038">
        <w:rPr>
          <w:rFonts w:cs="Times New Roman"/>
          <w:sz w:val="24"/>
          <w:szCs w:val="24"/>
        </w:rPr>
        <w:t xml:space="preserve"> shifting</w:t>
      </w:r>
      <w:r w:rsidRPr="008F73AA">
        <w:rPr>
          <w:rFonts w:cs="Times New Roman"/>
          <w:sz w:val="24"/>
          <w:szCs w:val="24"/>
        </w:rPr>
        <w:t xml:space="preserve"> </w:t>
      </w:r>
      <w:r w:rsidR="00461038">
        <w:rPr>
          <w:rFonts w:cs="Times New Roman"/>
          <w:sz w:val="24"/>
          <w:szCs w:val="24"/>
        </w:rPr>
        <w:t>distinctions</w:t>
      </w:r>
      <w:r w:rsidR="00E364BD">
        <w:rPr>
          <w:rFonts w:cs="Times New Roman"/>
          <w:sz w:val="24"/>
          <w:szCs w:val="24"/>
        </w:rPr>
        <w:t xml:space="preserve"> separated which</w:t>
      </w:r>
      <w:r w:rsidRPr="008F73AA">
        <w:rPr>
          <w:rFonts w:cs="Times New Roman"/>
          <w:sz w:val="24"/>
          <w:szCs w:val="24"/>
        </w:rPr>
        <w:t xml:space="preserve"> music could be performed where, how it should be performed, and what its performance meant for society at large. The</w:t>
      </w:r>
      <w:r>
        <w:rPr>
          <w:rFonts w:cs="Times New Roman"/>
          <w:sz w:val="24"/>
          <w:szCs w:val="24"/>
        </w:rPr>
        <w:t xml:space="preserve"> high and low</w:t>
      </w:r>
      <w:r w:rsidR="00461038">
        <w:rPr>
          <w:rFonts w:cs="Times New Roman"/>
          <w:sz w:val="24"/>
          <w:szCs w:val="24"/>
        </w:rPr>
        <w:t>brow divide that emerged at this time was</w:t>
      </w:r>
      <w:r>
        <w:rPr>
          <w:rFonts w:cs="Times New Roman"/>
          <w:sz w:val="24"/>
          <w:szCs w:val="24"/>
        </w:rPr>
        <w:t xml:space="preserve"> centered on the drive to refine society, removing</w:t>
      </w:r>
      <w:r w:rsidRPr="008F73AA">
        <w:rPr>
          <w:rFonts w:cs="Times New Roman"/>
          <w:sz w:val="24"/>
          <w:szCs w:val="24"/>
        </w:rPr>
        <w:t xml:space="preserve"> the contaminating low from the high. Comic songs, as I have demonstrated, both contributed to and disrupted t</w:t>
      </w:r>
      <w:r>
        <w:rPr>
          <w:rFonts w:cs="Times New Roman"/>
          <w:sz w:val="24"/>
          <w:szCs w:val="24"/>
        </w:rPr>
        <w:t xml:space="preserve">his process. In mocking foolish and </w:t>
      </w:r>
      <w:proofErr w:type="spellStart"/>
      <w:r>
        <w:rPr>
          <w:rFonts w:cs="Times New Roman"/>
          <w:sz w:val="24"/>
          <w:szCs w:val="24"/>
        </w:rPr>
        <w:t>transgressive</w:t>
      </w:r>
      <w:proofErr w:type="spellEnd"/>
      <w:r>
        <w:rPr>
          <w:rFonts w:cs="Times New Roman"/>
          <w:sz w:val="24"/>
          <w:szCs w:val="24"/>
        </w:rPr>
        <w:t xml:space="preserve"> </w:t>
      </w:r>
      <w:r w:rsidRPr="008F73AA">
        <w:rPr>
          <w:rFonts w:cs="Times New Roman"/>
          <w:sz w:val="24"/>
          <w:szCs w:val="24"/>
        </w:rPr>
        <w:t xml:space="preserve">subjects, comic songs helped delineate the distinctions. In providing opportunities to embody the comic identity, however, in both body and voice, they disrupted this process. </w:t>
      </w:r>
    </w:p>
    <w:p w:rsidR="00FB0A40" w:rsidRPr="004219FB" w:rsidRDefault="00FB0A40" w:rsidP="00FB0A40">
      <w:pPr>
        <w:spacing w:line="480" w:lineRule="auto"/>
        <w:ind w:firstLine="720"/>
        <w:rPr>
          <w:rFonts w:cstheme="minorHAnsi"/>
          <w:sz w:val="24"/>
          <w:szCs w:val="24"/>
        </w:rPr>
      </w:pPr>
      <w:r w:rsidRPr="008F73AA">
        <w:rPr>
          <w:rFonts w:cs="Times New Roman"/>
          <w:sz w:val="24"/>
          <w:szCs w:val="24"/>
        </w:rPr>
        <w:t>Altering the Self</w:t>
      </w:r>
      <w:r>
        <w:rPr>
          <w:rFonts w:cs="Times New Roman"/>
          <w:sz w:val="24"/>
          <w:szCs w:val="24"/>
        </w:rPr>
        <w:t xml:space="preserve"> to embody comic identities</w:t>
      </w:r>
      <w:r w:rsidRPr="008F73AA">
        <w:rPr>
          <w:rFonts w:cs="Times New Roman"/>
          <w:sz w:val="24"/>
          <w:szCs w:val="24"/>
        </w:rPr>
        <w:t xml:space="preserve"> allowed parlor perf</w:t>
      </w:r>
      <w:r>
        <w:rPr>
          <w:rFonts w:cs="Times New Roman"/>
          <w:sz w:val="24"/>
          <w:szCs w:val="24"/>
        </w:rPr>
        <w:t>ormers to explore repressed low</w:t>
      </w:r>
      <w:r w:rsidRPr="008F73AA">
        <w:rPr>
          <w:rFonts w:cs="Times New Roman"/>
          <w:sz w:val="24"/>
          <w:szCs w:val="24"/>
        </w:rPr>
        <w:t>brow actions eve</w:t>
      </w:r>
      <w:r>
        <w:rPr>
          <w:rFonts w:cs="Times New Roman"/>
          <w:sz w:val="24"/>
          <w:szCs w:val="24"/>
        </w:rPr>
        <w:t>n as Americans pushed to remove them</w:t>
      </w:r>
      <w:r w:rsidRPr="008F73AA">
        <w:rPr>
          <w:rFonts w:cs="Times New Roman"/>
          <w:sz w:val="24"/>
          <w:szCs w:val="24"/>
        </w:rPr>
        <w:t xml:space="preserve"> from society. The songs, made acceptable by their mocking nature, served as a potent psychological release valve for the tensions in Victoria</w:t>
      </w:r>
      <w:r w:rsidR="00461038">
        <w:rPr>
          <w:rFonts w:cs="Times New Roman"/>
          <w:sz w:val="24"/>
          <w:szCs w:val="24"/>
        </w:rPr>
        <w:t>n</w:t>
      </w:r>
      <w:r w:rsidRPr="008F73AA">
        <w:rPr>
          <w:rFonts w:cs="Times New Roman"/>
          <w:sz w:val="24"/>
          <w:szCs w:val="24"/>
        </w:rPr>
        <w:t xml:space="preserve"> era society. Performers could safely distance themselves from comic identities by deriding them, yet still incorporate the experience of being </w:t>
      </w:r>
      <w:r>
        <w:rPr>
          <w:rFonts w:cs="Times New Roman"/>
          <w:sz w:val="24"/>
          <w:szCs w:val="24"/>
        </w:rPr>
        <w:t>lowbrow by embodying it through performance</w:t>
      </w:r>
      <w:r w:rsidRPr="008F73AA">
        <w:rPr>
          <w:rFonts w:cs="Times New Roman"/>
          <w:sz w:val="24"/>
          <w:szCs w:val="24"/>
        </w:rPr>
        <w:t>.</w:t>
      </w:r>
      <w:r w:rsidR="007B29F5">
        <w:rPr>
          <w:rFonts w:cs="Times New Roman"/>
          <w:sz w:val="24"/>
          <w:szCs w:val="24"/>
        </w:rPr>
        <w:t xml:space="preserve"> As established in Chapter O</w:t>
      </w:r>
      <w:r w:rsidR="00461038">
        <w:rPr>
          <w:rFonts w:cs="Times New Roman"/>
          <w:sz w:val="24"/>
          <w:szCs w:val="24"/>
        </w:rPr>
        <w:t>ne, many American</w:t>
      </w:r>
      <w:r>
        <w:rPr>
          <w:rFonts w:cs="Times New Roman"/>
          <w:sz w:val="24"/>
          <w:szCs w:val="24"/>
        </w:rPr>
        <w:t>s linked their assessments of social value to engagement with what Hiram M. Stanley called the “higher pleasures.”</w:t>
      </w:r>
      <w:r w:rsidRPr="0012002A">
        <w:rPr>
          <w:rStyle w:val="FootnoteReference"/>
          <w:rFonts w:cstheme="minorHAnsi"/>
          <w:sz w:val="24"/>
          <w:szCs w:val="24"/>
        </w:rPr>
        <w:footnoteReference w:id="370"/>
      </w:r>
      <w:r w:rsidR="00F3534B">
        <w:rPr>
          <w:rFonts w:cs="Times New Roman"/>
          <w:sz w:val="24"/>
          <w:szCs w:val="24"/>
        </w:rPr>
        <w:t xml:space="preserve"> </w:t>
      </w:r>
      <w:r>
        <w:rPr>
          <w:rFonts w:cs="Times New Roman"/>
          <w:sz w:val="24"/>
          <w:szCs w:val="24"/>
        </w:rPr>
        <w:t xml:space="preserve">But, as the examples I have explored, and a plentitude of others demonstrate, </w:t>
      </w:r>
      <w:r>
        <w:rPr>
          <w:rFonts w:cs="Times New Roman"/>
          <w:sz w:val="24"/>
          <w:szCs w:val="24"/>
        </w:rPr>
        <w:lastRenderedPageBreak/>
        <w:t xml:space="preserve">comic songs brought the low “pleasures” of </w:t>
      </w:r>
      <w:r w:rsidRPr="0012002A">
        <w:rPr>
          <w:rFonts w:cstheme="minorHAnsi"/>
          <w:sz w:val="24"/>
          <w:szCs w:val="24"/>
        </w:rPr>
        <w:t>“eating, drinking, smoking,</w:t>
      </w:r>
      <w:r>
        <w:rPr>
          <w:rFonts w:cstheme="minorHAnsi"/>
          <w:sz w:val="24"/>
          <w:szCs w:val="24"/>
        </w:rPr>
        <w:t xml:space="preserve"> society of the other sex</w:t>
      </w:r>
      <w:proofErr w:type="gramStart"/>
      <w:r>
        <w:rPr>
          <w:rFonts w:cstheme="minorHAnsi"/>
          <w:sz w:val="24"/>
          <w:szCs w:val="24"/>
        </w:rPr>
        <w:t>,…</w:t>
      </w:r>
      <w:proofErr w:type="gramEnd"/>
      <w:r w:rsidRPr="0012002A">
        <w:rPr>
          <w:rFonts w:cstheme="minorHAnsi"/>
          <w:sz w:val="24"/>
          <w:szCs w:val="24"/>
        </w:rPr>
        <w:t xml:space="preserve">dancing, [and] music </w:t>
      </w:r>
      <w:r>
        <w:rPr>
          <w:rFonts w:cstheme="minorHAnsi"/>
          <w:sz w:val="24"/>
          <w:szCs w:val="24"/>
        </w:rPr>
        <w:t>of a noisy and lively character</w:t>
      </w:r>
      <w:r w:rsidRPr="0012002A">
        <w:rPr>
          <w:rFonts w:cstheme="minorHAnsi"/>
          <w:sz w:val="24"/>
          <w:szCs w:val="24"/>
        </w:rPr>
        <w:t>”</w:t>
      </w:r>
      <w:r>
        <w:rPr>
          <w:rStyle w:val="FootnoteReference"/>
          <w:rFonts w:cstheme="minorHAnsi"/>
          <w:sz w:val="24"/>
          <w:szCs w:val="24"/>
        </w:rPr>
        <w:footnoteReference w:id="371"/>
      </w:r>
      <w:r>
        <w:rPr>
          <w:rFonts w:cs="Times New Roman"/>
          <w:sz w:val="24"/>
          <w:szCs w:val="24"/>
        </w:rPr>
        <w:t xml:space="preserve"> into the home.</w:t>
      </w:r>
    </w:p>
    <w:p w:rsidR="00FB0A40" w:rsidRDefault="00FB0A40" w:rsidP="00FB0A40">
      <w:pPr>
        <w:spacing w:line="480" w:lineRule="auto"/>
        <w:ind w:firstLine="720"/>
        <w:rPr>
          <w:rFonts w:eastAsia="Times New Roman" w:cs="Times New Roman"/>
          <w:color w:val="000000"/>
          <w:sz w:val="24"/>
          <w:szCs w:val="24"/>
        </w:rPr>
      </w:pPr>
      <w:r>
        <w:rPr>
          <w:rFonts w:cs="Times New Roman"/>
          <w:sz w:val="24"/>
          <w:szCs w:val="24"/>
        </w:rPr>
        <w:t xml:space="preserve">While attending a public performance allowed audiences to deride and laugh at the staged presentation of an </w:t>
      </w:r>
      <w:proofErr w:type="gramStart"/>
      <w:r>
        <w:rPr>
          <w:rFonts w:cs="Times New Roman"/>
          <w:sz w:val="24"/>
          <w:szCs w:val="24"/>
        </w:rPr>
        <w:t>Other</w:t>
      </w:r>
      <w:proofErr w:type="gramEnd"/>
      <w:r>
        <w:rPr>
          <w:rFonts w:cs="Times New Roman"/>
          <w:sz w:val="24"/>
          <w:szCs w:val="24"/>
        </w:rPr>
        <w:t xml:space="preserve">, home performances allowed consumers to try an identity on, embodying it at least temporarily via mimesis. </w:t>
      </w:r>
      <w:r w:rsidRPr="008F73AA">
        <w:rPr>
          <w:rFonts w:eastAsia="Times New Roman" w:cs="Times New Roman"/>
          <w:color w:val="000000"/>
          <w:sz w:val="24"/>
          <w:szCs w:val="24"/>
        </w:rPr>
        <w:t>The import</w:t>
      </w:r>
      <w:r w:rsidR="00E364BD">
        <w:rPr>
          <w:rFonts w:eastAsia="Times New Roman" w:cs="Times New Roman"/>
          <w:color w:val="000000"/>
          <w:sz w:val="24"/>
          <w:szCs w:val="24"/>
        </w:rPr>
        <w:t>ance of considering home-</w:t>
      </w:r>
      <w:r w:rsidRPr="008F73AA">
        <w:rPr>
          <w:rFonts w:eastAsia="Times New Roman" w:cs="Times New Roman"/>
          <w:color w:val="000000"/>
          <w:sz w:val="24"/>
          <w:szCs w:val="24"/>
        </w:rPr>
        <w:t xml:space="preserve">life in the study of musical cultures cannot be overstated. As Candace M. </w:t>
      </w:r>
      <w:proofErr w:type="spellStart"/>
      <w:r w:rsidRPr="008F73AA">
        <w:rPr>
          <w:rFonts w:eastAsia="Times New Roman" w:cs="Times New Roman"/>
          <w:color w:val="000000"/>
          <w:sz w:val="24"/>
          <w:szCs w:val="24"/>
        </w:rPr>
        <w:t>Volz</w:t>
      </w:r>
      <w:proofErr w:type="spellEnd"/>
      <w:r w:rsidRPr="008F73AA">
        <w:rPr>
          <w:rFonts w:eastAsia="Times New Roman" w:cs="Times New Roman"/>
          <w:color w:val="000000"/>
          <w:sz w:val="24"/>
          <w:szCs w:val="24"/>
        </w:rPr>
        <w:t xml:space="preserve"> </w:t>
      </w:r>
      <w:r>
        <w:rPr>
          <w:rFonts w:eastAsia="Times New Roman" w:cs="Times New Roman"/>
          <w:color w:val="000000"/>
          <w:sz w:val="24"/>
          <w:szCs w:val="24"/>
        </w:rPr>
        <w:t xml:space="preserve">argued </w:t>
      </w:r>
      <w:r w:rsidRPr="008F73AA">
        <w:rPr>
          <w:rFonts w:eastAsia="Times New Roman" w:cs="Times New Roman"/>
          <w:color w:val="000000"/>
          <w:sz w:val="24"/>
          <w:szCs w:val="24"/>
        </w:rPr>
        <w:t xml:space="preserve">in her essay on </w:t>
      </w:r>
      <w:r w:rsidR="00461038">
        <w:rPr>
          <w:rFonts w:eastAsia="Times New Roman" w:cs="Times New Roman"/>
          <w:color w:val="000000"/>
          <w:sz w:val="24"/>
          <w:szCs w:val="24"/>
        </w:rPr>
        <w:t>early twentieth-century homes, “</w:t>
      </w:r>
      <w:r w:rsidRPr="008F73AA">
        <w:rPr>
          <w:rFonts w:eastAsia="Times New Roman" w:cs="Times New Roman"/>
          <w:color w:val="000000"/>
          <w:sz w:val="24"/>
          <w:szCs w:val="24"/>
        </w:rPr>
        <w:t>to study the domestic life of any era is to hold a mirror to its culture.</w:t>
      </w:r>
      <w:r w:rsidR="00461038">
        <w:rPr>
          <w:rFonts w:eastAsia="Times New Roman" w:cs="Times New Roman"/>
          <w:color w:val="000000"/>
          <w:sz w:val="24"/>
          <w:szCs w:val="24"/>
        </w:rPr>
        <w:t>”</w:t>
      </w:r>
      <w:r w:rsidRPr="008F73AA">
        <w:rPr>
          <w:rStyle w:val="FootnoteReference"/>
          <w:rFonts w:eastAsia="Times New Roman" w:cs="Times New Roman"/>
          <w:color w:val="000000"/>
          <w:sz w:val="24"/>
          <w:szCs w:val="24"/>
        </w:rPr>
        <w:footnoteReference w:id="372"/>
      </w:r>
      <w:r w:rsidRPr="008F73AA">
        <w:rPr>
          <w:rFonts w:eastAsia="Times New Roman" w:cs="Times New Roman"/>
          <w:color w:val="000000"/>
          <w:sz w:val="24"/>
          <w:szCs w:val="24"/>
        </w:rPr>
        <w:t xml:space="preserve"> There is perhaps no greater insight into a people’s life-ways than</w:t>
      </w:r>
      <w:r w:rsidR="00461038">
        <w:rPr>
          <w:rFonts w:eastAsia="Times New Roman" w:cs="Times New Roman"/>
          <w:color w:val="000000"/>
          <w:sz w:val="24"/>
          <w:szCs w:val="24"/>
        </w:rPr>
        <w:t xml:space="preserve"> studying the behaviors of the home</w:t>
      </w:r>
      <w:r w:rsidRPr="008F73AA">
        <w:rPr>
          <w:rFonts w:eastAsia="Times New Roman" w:cs="Times New Roman"/>
          <w:color w:val="000000"/>
          <w:sz w:val="24"/>
          <w:szCs w:val="24"/>
        </w:rPr>
        <w:t>. A</w:t>
      </w:r>
      <w:r>
        <w:rPr>
          <w:rFonts w:eastAsia="Times New Roman" w:cs="Times New Roman"/>
          <w:color w:val="000000"/>
          <w:sz w:val="24"/>
          <w:szCs w:val="24"/>
        </w:rPr>
        <w:t xml:space="preserve">t home we engage with our </w:t>
      </w:r>
      <w:r w:rsidR="00461038">
        <w:rPr>
          <w:rFonts w:eastAsia="Times New Roman" w:cs="Times New Roman"/>
          <w:color w:val="000000"/>
          <w:sz w:val="24"/>
          <w:szCs w:val="24"/>
        </w:rPr>
        <w:t>intimate</w:t>
      </w:r>
      <w:r w:rsidRPr="008F73AA">
        <w:rPr>
          <w:rFonts w:eastAsia="Times New Roman" w:cs="Times New Roman"/>
          <w:color w:val="000000"/>
          <w:sz w:val="24"/>
          <w:szCs w:val="24"/>
        </w:rPr>
        <w:t xml:space="preserve"> personal relations and in the activitie</w:t>
      </w:r>
      <w:r>
        <w:rPr>
          <w:rFonts w:eastAsia="Times New Roman" w:cs="Times New Roman"/>
          <w:color w:val="000000"/>
          <w:sz w:val="24"/>
          <w:szCs w:val="24"/>
        </w:rPr>
        <w:t>s that most define us. The home</w:t>
      </w:r>
      <w:r w:rsidRPr="008F73AA">
        <w:rPr>
          <w:rFonts w:eastAsia="Times New Roman" w:cs="Times New Roman"/>
          <w:color w:val="000000"/>
          <w:sz w:val="24"/>
          <w:szCs w:val="24"/>
        </w:rPr>
        <w:t xml:space="preserve"> is also a unique set of </w:t>
      </w:r>
      <w:proofErr w:type="spellStart"/>
      <w:r w:rsidRPr="008F73AA">
        <w:rPr>
          <w:rFonts w:eastAsia="Times New Roman" w:cs="Times New Roman"/>
          <w:color w:val="000000"/>
          <w:sz w:val="24"/>
          <w:szCs w:val="24"/>
        </w:rPr>
        <w:t>soundscapes</w:t>
      </w:r>
      <w:proofErr w:type="spellEnd"/>
      <w:r w:rsidRPr="008F73AA">
        <w:rPr>
          <w:rFonts w:eastAsia="Times New Roman" w:cs="Times New Roman"/>
          <w:color w:val="000000"/>
          <w:sz w:val="24"/>
          <w:szCs w:val="24"/>
        </w:rPr>
        <w:t xml:space="preserve">. </w:t>
      </w:r>
      <w:r>
        <w:rPr>
          <w:rFonts w:eastAsia="Times New Roman" w:cs="Times New Roman"/>
          <w:color w:val="000000"/>
          <w:sz w:val="24"/>
          <w:szCs w:val="24"/>
        </w:rPr>
        <w:t xml:space="preserve">Each room engenders special sets of abstract behaviors and expectations. Thomas J. </w:t>
      </w:r>
      <w:proofErr w:type="spellStart"/>
      <w:r w:rsidRPr="008F73AA">
        <w:rPr>
          <w:rFonts w:eastAsia="Times New Roman" w:cs="Times New Roman"/>
          <w:color w:val="000000"/>
          <w:sz w:val="24"/>
          <w:szCs w:val="24"/>
        </w:rPr>
        <w:t>Schlere</w:t>
      </w:r>
      <w:r>
        <w:rPr>
          <w:rFonts w:eastAsia="Times New Roman" w:cs="Times New Roman"/>
          <w:color w:val="000000"/>
          <w:sz w:val="24"/>
          <w:szCs w:val="24"/>
        </w:rPr>
        <w:t>th</w:t>
      </w:r>
      <w:proofErr w:type="spellEnd"/>
      <w:r w:rsidR="005B002C">
        <w:rPr>
          <w:rFonts w:eastAsia="Times New Roman" w:cs="Times New Roman"/>
          <w:color w:val="000000"/>
          <w:sz w:val="24"/>
          <w:szCs w:val="24"/>
        </w:rPr>
        <w:t xml:space="preserve"> found, in his study of American home-life, “how </w:t>
      </w:r>
      <w:r w:rsidRPr="008F73AA">
        <w:rPr>
          <w:rFonts w:eastAsia="Times New Roman" w:cs="Times New Roman"/>
          <w:color w:val="000000"/>
          <w:sz w:val="24"/>
          <w:szCs w:val="24"/>
        </w:rPr>
        <w:t>special rooms, some for special people…and ofte</w:t>
      </w:r>
      <w:r>
        <w:rPr>
          <w:rFonts w:eastAsia="Times New Roman" w:cs="Times New Roman"/>
          <w:color w:val="000000"/>
          <w:sz w:val="24"/>
          <w:szCs w:val="24"/>
        </w:rPr>
        <w:t>n requiring s</w:t>
      </w:r>
      <w:r w:rsidR="00461038">
        <w:rPr>
          <w:rFonts w:eastAsia="Times New Roman" w:cs="Times New Roman"/>
          <w:color w:val="000000"/>
          <w:sz w:val="24"/>
          <w:szCs w:val="24"/>
        </w:rPr>
        <w:t>pecial furnishings, conditioned…</w:t>
      </w:r>
      <w:r w:rsidRPr="008F73AA">
        <w:rPr>
          <w:rFonts w:eastAsia="Times New Roman" w:cs="Times New Roman"/>
          <w:color w:val="000000"/>
          <w:sz w:val="24"/>
          <w:szCs w:val="24"/>
        </w:rPr>
        <w:t>special behaviors.”</w:t>
      </w:r>
      <w:r w:rsidRPr="008F73AA">
        <w:rPr>
          <w:rStyle w:val="FootnoteReference"/>
          <w:rFonts w:eastAsia="Times New Roman" w:cs="Times New Roman"/>
          <w:color w:val="000000"/>
          <w:sz w:val="24"/>
          <w:szCs w:val="24"/>
        </w:rPr>
        <w:footnoteReference w:id="373"/>
      </w:r>
      <w:r w:rsidRPr="008F73AA">
        <w:rPr>
          <w:rFonts w:eastAsia="Times New Roman" w:cs="Times New Roman"/>
          <w:color w:val="000000"/>
          <w:sz w:val="24"/>
          <w:szCs w:val="24"/>
        </w:rPr>
        <w:t xml:space="preserve"> </w:t>
      </w:r>
      <w:r>
        <w:rPr>
          <w:rFonts w:eastAsia="Times New Roman" w:cs="Times New Roman"/>
          <w:color w:val="000000"/>
          <w:sz w:val="24"/>
          <w:szCs w:val="24"/>
        </w:rPr>
        <w:t xml:space="preserve">The items that went into the parlor were shaped by constructed ideologies and the room itself </w:t>
      </w:r>
      <w:r w:rsidR="00956A5C">
        <w:rPr>
          <w:rFonts w:eastAsia="Times New Roman" w:cs="Times New Roman"/>
          <w:color w:val="000000"/>
          <w:sz w:val="24"/>
          <w:szCs w:val="24"/>
        </w:rPr>
        <w:t xml:space="preserve">prescribed </w:t>
      </w:r>
      <w:r>
        <w:rPr>
          <w:rFonts w:eastAsia="Times New Roman" w:cs="Times New Roman"/>
          <w:color w:val="000000"/>
          <w:sz w:val="24"/>
          <w:szCs w:val="24"/>
        </w:rPr>
        <w:t>the behaviors displayed there.</w:t>
      </w:r>
    </w:p>
    <w:p w:rsidR="00FB0A40" w:rsidRPr="00956A5C" w:rsidRDefault="00FB0A40" w:rsidP="00956A5C">
      <w:pPr>
        <w:spacing w:line="480" w:lineRule="auto"/>
        <w:ind w:firstLine="720"/>
        <w:rPr>
          <w:rFonts w:eastAsia="Times New Roman" w:cs="Times New Roman"/>
          <w:color w:val="000000"/>
          <w:sz w:val="24"/>
          <w:szCs w:val="24"/>
        </w:rPr>
      </w:pPr>
      <w:r w:rsidRPr="008F73AA">
        <w:rPr>
          <w:rFonts w:eastAsia="Times New Roman" w:cs="Times New Roman"/>
          <w:color w:val="000000"/>
          <w:sz w:val="24"/>
          <w:szCs w:val="24"/>
        </w:rPr>
        <w:t>The parlor was a powerful microcosm</w:t>
      </w:r>
      <w:r w:rsidR="00956A5C">
        <w:rPr>
          <w:rFonts w:eastAsia="Times New Roman" w:cs="Times New Roman"/>
          <w:color w:val="000000"/>
          <w:sz w:val="24"/>
          <w:szCs w:val="24"/>
        </w:rPr>
        <w:t>—</w:t>
      </w:r>
      <w:r w:rsidR="00F22FE7">
        <w:rPr>
          <w:rFonts w:eastAsia="Times New Roman" w:cs="Times New Roman"/>
          <w:color w:val="000000"/>
          <w:sz w:val="24"/>
          <w:szCs w:val="24"/>
        </w:rPr>
        <w:t>a potent site for the political, gender</w:t>
      </w:r>
      <w:r w:rsidR="00956A5C">
        <w:rPr>
          <w:rFonts w:eastAsia="Times New Roman" w:cs="Times New Roman"/>
          <w:color w:val="000000"/>
          <w:sz w:val="24"/>
          <w:szCs w:val="24"/>
        </w:rPr>
        <w:t>ed</w:t>
      </w:r>
      <w:r w:rsidR="00F22FE7">
        <w:rPr>
          <w:rFonts w:eastAsia="Times New Roman" w:cs="Times New Roman"/>
          <w:color w:val="000000"/>
          <w:sz w:val="24"/>
          <w:szCs w:val="24"/>
        </w:rPr>
        <w:t xml:space="preserve">, racial, and class </w:t>
      </w:r>
      <w:r>
        <w:rPr>
          <w:rFonts w:eastAsia="Times New Roman" w:cs="Times New Roman"/>
          <w:color w:val="000000"/>
          <w:sz w:val="24"/>
          <w:szCs w:val="24"/>
        </w:rPr>
        <w:t>discourse</w:t>
      </w:r>
      <w:r w:rsidR="00F22FE7">
        <w:rPr>
          <w:rFonts w:eastAsia="Times New Roman" w:cs="Times New Roman"/>
          <w:color w:val="000000"/>
          <w:sz w:val="24"/>
          <w:szCs w:val="24"/>
        </w:rPr>
        <w:t>s</w:t>
      </w:r>
      <w:r w:rsidR="00E364BD">
        <w:rPr>
          <w:rFonts w:eastAsia="Times New Roman" w:cs="Times New Roman"/>
          <w:color w:val="000000"/>
          <w:sz w:val="24"/>
          <w:szCs w:val="24"/>
        </w:rPr>
        <w:t xml:space="preserve"> observed at larger soci</w:t>
      </w:r>
      <w:r w:rsidRPr="008F73AA">
        <w:rPr>
          <w:rFonts w:eastAsia="Times New Roman" w:cs="Times New Roman"/>
          <w:color w:val="000000"/>
          <w:sz w:val="24"/>
          <w:szCs w:val="24"/>
        </w:rPr>
        <w:t>al levels. While the majority of sources provide easy access to commercial processes (stage programs, theatre reviews, printed music), I argue that</w:t>
      </w:r>
      <w:r w:rsidR="00956A5C">
        <w:rPr>
          <w:rFonts w:eastAsia="Times New Roman" w:cs="Times New Roman"/>
          <w:color w:val="000000"/>
          <w:sz w:val="24"/>
          <w:szCs w:val="24"/>
        </w:rPr>
        <w:t xml:space="preserve"> </w:t>
      </w:r>
      <w:r w:rsidRPr="008F73AA">
        <w:rPr>
          <w:rFonts w:eastAsia="Times New Roman" w:cs="Times New Roman"/>
          <w:color w:val="000000"/>
          <w:sz w:val="24"/>
          <w:szCs w:val="24"/>
        </w:rPr>
        <w:t xml:space="preserve">the individual consumer who engages these sources needs more consideration. The music of </w:t>
      </w:r>
      <w:r w:rsidRPr="008F73AA">
        <w:rPr>
          <w:rFonts w:eastAsia="Times New Roman" w:cs="Times New Roman"/>
          <w:color w:val="000000"/>
          <w:sz w:val="24"/>
          <w:szCs w:val="24"/>
        </w:rPr>
        <w:lastRenderedPageBreak/>
        <w:t xml:space="preserve">this era has been expertly treated </w:t>
      </w:r>
      <w:r>
        <w:rPr>
          <w:rFonts w:eastAsia="Times New Roman" w:cs="Times New Roman"/>
          <w:sz w:val="24"/>
          <w:szCs w:val="24"/>
        </w:rPr>
        <w:t xml:space="preserve">by authors such as Hamm, </w:t>
      </w:r>
      <w:proofErr w:type="spellStart"/>
      <w:r>
        <w:rPr>
          <w:rFonts w:eastAsia="Times New Roman" w:cs="Times New Roman"/>
          <w:sz w:val="24"/>
          <w:szCs w:val="24"/>
        </w:rPr>
        <w:t>Finson</w:t>
      </w:r>
      <w:proofErr w:type="spellEnd"/>
      <w:r>
        <w:rPr>
          <w:rFonts w:eastAsia="Times New Roman" w:cs="Times New Roman"/>
          <w:sz w:val="24"/>
          <w:szCs w:val="24"/>
        </w:rPr>
        <w:t xml:space="preserve">, and </w:t>
      </w:r>
      <w:proofErr w:type="spellStart"/>
      <w:r>
        <w:rPr>
          <w:rFonts w:eastAsia="Times New Roman" w:cs="Times New Roman"/>
          <w:sz w:val="24"/>
          <w:szCs w:val="24"/>
        </w:rPr>
        <w:t>Sanjek</w:t>
      </w:r>
      <w:proofErr w:type="spellEnd"/>
      <w:r>
        <w:rPr>
          <w:rFonts w:eastAsia="Times New Roman" w:cs="Times New Roman"/>
          <w:sz w:val="24"/>
          <w:szCs w:val="24"/>
        </w:rPr>
        <w:t xml:space="preserve">, </w:t>
      </w:r>
      <w:r w:rsidRPr="008F73AA">
        <w:rPr>
          <w:rFonts w:eastAsia="Times New Roman" w:cs="Times New Roman"/>
          <w:sz w:val="24"/>
          <w:szCs w:val="24"/>
        </w:rPr>
        <w:t>but how people have interac</w:t>
      </w:r>
      <w:r>
        <w:rPr>
          <w:rFonts w:eastAsia="Times New Roman" w:cs="Times New Roman"/>
          <w:sz w:val="24"/>
          <w:szCs w:val="24"/>
        </w:rPr>
        <w:t xml:space="preserve">ted with this music and </w:t>
      </w:r>
      <w:r w:rsidR="00E364BD">
        <w:rPr>
          <w:rFonts w:eastAsia="Times New Roman" w:cs="Times New Roman"/>
          <w:sz w:val="24"/>
          <w:szCs w:val="24"/>
        </w:rPr>
        <w:t xml:space="preserve">how </w:t>
      </w:r>
      <w:r>
        <w:rPr>
          <w:rFonts w:eastAsia="Times New Roman" w:cs="Times New Roman"/>
          <w:sz w:val="24"/>
          <w:szCs w:val="24"/>
        </w:rPr>
        <w:t xml:space="preserve">they used it in </w:t>
      </w:r>
      <w:r w:rsidRPr="008F73AA">
        <w:rPr>
          <w:rFonts w:eastAsia="Times New Roman" w:cs="Times New Roman"/>
          <w:sz w:val="24"/>
          <w:szCs w:val="24"/>
        </w:rPr>
        <w:t>constructing their own, individual worlds, has received less attention.</w:t>
      </w:r>
    </w:p>
    <w:p w:rsidR="00FB0A40" w:rsidRDefault="00FB0A40" w:rsidP="00FB0A40">
      <w:pPr>
        <w:spacing w:line="480" w:lineRule="auto"/>
        <w:ind w:firstLine="720"/>
        <w:rPr>
          <w:rFonts w:cs="Times New Roman"/>
          <w:sz w:val="24"/>
          <w:szCs w:val="24"/>
        </w:rPr>
      </w:pPr>
      <w:r w:rsidRPr="008F73AA">
        <w:rPr>
          <w:rFonts w:cs="Times New Roman"/>
          <w:sz w:val="24"/>
          <w:szCs w:val="24"/>
        </w:rPr>
        <w:t>Parlor musicales hold a special position in American musical history as one of the most interactive popular musical form</w:t>
      </w:r>
      <w:r>
        <w:rPr>
          <w:rFonts w:cs="Times New Roman"/>
          <w:sz w:val="24"/>
          <w:szCs w:val="24"/>
        </w:rPr>
        <w:t>s</w:t>
      </w:r>
      <w:r w:rsidRPr="008F73AA">
        <w:rPr>
          <w:rFonts w:cs="Times New Roman"/>
          <w:sz w:val="24"/>
          <w:szCs w:val="24"/>
        </w:rPr>
        <w:t xml:space="preserve">. </w:t>
      </w:r>
      <w:r w:rsidR="00956A5C">
        <w:rPr>
          <w:rFonts w:cs="Times New Roman"/>
          <w:sz w:val="24"/>
          <w:szCs w:val="24"/>
        </w:rPr>
        <w:t>The scope of my</w:t>
      </w:r>
      <w:r>
        <w:rPr>
          <w:rFonts w:cs="Times New Roman"/>
          <w:sz w:val="24"/>
          <w:szCs w:val="24"/>
        </w:rPr>
        <w:t xml:space="preserve"> research, 1865 to 1917, corresponds not just with </w:t>
      </w:r>
      <w:r w:rsidR="00956A5C">
        <w:rPr>
          <w:rFonts w:cs="Times New Roman"/>
          <w:sz w:val="24"/>
          <w:szCs w:val="24"/>
        </w:rPr>
        <w:t xml:space="preserve">the subject of </w:t>
      </w:r>
      <w:r>
        <w:rPr>
          <w:rFonts w:cs="Times New Roman"/>
          <w:sz w:val="24"/>
          <w:szCs w:val="24"/>
        </w:rPr>
        <w:t>L</w:t>
      </w:r>
      <w:r w:rsidR="00956A5C">
        <w:rPr>
          <w:rFonts w:cs="Times New Roman"/>
          <w:sz w:val="24"/>
          <w:szCs w:val="24"/>
        </w:rPr>
        <w:t>evine’s study</w:t>
      </w:r>
      <w:r>
        <w:rPr>
          <w:rFonts w:cs="Times New Roman"/>
          <w:sz w:val="24"/>
          <w:szCs w:val="24"/>
        </w:rPr>
        <w:t xml:space="preserve">, but also the height of popularity for </w:t>
      </w:r>
      <w:r w:rsidR="00782073">
        <w:rPr>
          <w:rFonts w:cs="Times New Roman"/>
          <w:sz w:val="24"/>
          <w:szCs w:val="24"/>
        </w:rPr>
        <w:t>song sheet</w:t>
      </w:r>
      <w:r>
        <w:rPr>
          <w:rFonts w:cs="Times New Roman"/>
          <w:sz w:val="24"/>
          <w:szCs w:val="24"/>
        </w:rPr>
        <w:t xml:space="preserve"> performance in the parlor. Song sheets reached more homes than ever at this time due to technological advances in printing and the vast expansions of railways in the United States. While consumers still interact and identify with popular </w:t>
      </w:r>
      <w:proofErr w:type="spellStart"/>
      <w:r>
        <w:rPr>
          <w:rFonts w:cs="Times New Roman"/>
          <w:sz w:val="24"/>
          <w:szCs w:val="24"/>
        </w:rPr>
        <w:t>musics</w:t>
      </w:r>
      <w:proofErr w:type="spellEnd"/>
      <w:r>
        <w:rPr>
          <w:rFonts w:cs="Times New Roman"/>
          <w:sz w:val="24"/>
          <w:szCs w:val="24"/>
        </w:rPr>
        <w:t xml:space="preserve"> today, home performance of song sheets involved a tremendous amount of identification. Song sheets</w:t>
      </w:r>
      <w:r w:rsidR="00E364BD">
        <w:rPr>
          <w:rFonts w:cs="Times New Roman"/>
          <w:sz w:val="24"/>
          <w:szCs w:val="24"/>
        </w:rPr>
        <w:t xml:space="preserve"> were mass produced, but</w:t>
      </w:r>
      <w:r w:rsidRPr="008F73AA">
        <w:rPr>
          <w:rFonts w:cs="Times New Roman"/>
          <w:sz w:val="24"/>
          <w:szCs w:val="24"/>
        </w:rPr>
        <w:t xml:space="preserve"> required production and i</w:t>
      </w:r>
      <w:r w:rsidR="00956A5C">
        <w:rPr>
          <w:rFonts w:cs="Times New Roman"/>
          <w:sz w:val="24"/>
          <w:szCs w:val="24"/>
        </w:rPr>
        <w:t>nteraction at every level. Song</w:t>
      </w:r>
      <w:r w:rsidRPr="008F73AA">
        <w:rPr>
          <w:rFonts w:cs="Times New Roman"/>
          <w:sz w:val="24"/>
          <w:szCs w:val="24"/>
        </w:rPr>
        <w:t>writers and publishing houses had to create songs they f</w:t>
      </w:r>
      <w:r w:rsidR="00956A5C">
        <w:rPr>
          <w:rFonts w:cs="Times New Roman"/>
          <w:sz w:val="24"/>
          <w:szCs w:val="24"/>
        </w:rPr>
        <w:t>elt would have resonance across</w:t>
      </w:r>
      <w:r w:rsidRPr="008F73AA">
        <w:rPr>
          <w:rFonts w:cs="Times New Roman"/>
          <w:sz w:val="24"/>
          <w:szCs w:val="24"/>
        </w:rPr>
        <w:t xml:space="preserve"> a broad and diverse population. Consumers would have felt some sense of identification with a piece in order to purc</w:t>
      </w:r>
      <w:r w:rsidR="00E364BD">
        <w:rPr>
          <w:rFonts w:cs="Times New Roman"/>
          <w:sz w:val="24"/>
          <w:szCs w:val="24"/>
        </w:rPr>
        <w:t>hase it. They also</w:t>
      </w:r>
      <w:r w:rsidRPr="008F73AA">
        <w:rPr>
          <w:rFonts w:cs="Times New Roman"/>
          <w:sz w:val="24"/>
          <w:szCs w:val="24"/>
        </w:rPr>
        <w:t xml:space="preserve"> </w:t>
      </w:r>
      <w:r w:rsidR="00956A5C">
        <w:rPr>
          <w:rFonts w:cs="Times New Roman"/>
          <w:sz w:val="24"/>
          <w:szCs w:val="24"/>
        </w:rPr>
        <w:t>would</w:t>
      </w:r>
      <w:r w:rsidR="00956A5C" w:rsidRPr="008F73AA">
        <w:rPr>
          <w:rFonts w:cs="Times New Roman"/>
          <w:sz w:val="24"/>
          <w:szCs w:val="24"/>
        </w:rPr>
        <w:t xml:space="preserve"> </w:t>
      </w:r>
      <w:r w:rsidR="00956A5C">
        <w:rPr>
          <w:rFonts w:cs="Times New Roman"/>
          <w:sz w:val="24"/>
          <w:szCs w:val="24"/>
        </w:rPr>
        <w:t xml:space="preserve">have </w:t>
      </w:r>
      <w:r w:rsidRPr="008F73AA">
        <w:rPr>
          <w:rFonts w:cs="Times New Roman"/>
          <w:sz w:val="24"/>
          <w:szCs w:val="24"/>
        </w:rPr>
        <w:t>create</w:t>
      </w:r>
      <w:r w:rsidR="00956A5C">
        <w:rPr>
          <w:rFonts w:cs="Times New Roman"/>
          <w:sz w:val="24"/>
          <w:szCs w:val="24"/>
        </w:rPr>
        <w:t>d</w:t>
      </w:r>
      <w:r w:rsidRPr="008F73AA">
        <w:rPr>
          <w:rFonts w:cs="Times New Roman"/>
          <w:sz w:val="24"/>
          <w:szCs w:val="24"/>
        </w:rPr>
        <w:t xml:space="preserve"> all of the music themselves, in their own homes, using their own voices and instruments. Every performance was unique and mired in deep, overlapping layers of s</w:t>
      </w:r>
      <w:r w:rsidR="00956A5C">
        <w:rPr>
          <w:rFonts w:cs="Times New Roman"/>
          <w:sz w:val="24"/>
          <w:szCs w:val="24"/>
        </w:rPr>
        <w:t>ocial meaning. I have accounted, where possible,</w:t>
      </w:r>
      <w:r w:rsidRPr="008F73AA">
        <w:rPr>
          <w:rFonts w:cs="Times New Roman"/>
          <w:sz w:val="24"/>
          <w:szCs w:val="24"/>
        </w:rPr>
        <w:t xml:space="preserve"> for the multiplicity of meanings achievable from individual performances. How performers interacted with these texts, inserting their own gestural accompaniment or vocal intonations, would have given the pieces unique meaning to them and their audiences.</w:t>
      </w:r>
    </w:p>
    <w:p w:rsidR="00FB0A40" w:rsidRPr="008F73AA" w:rsidRDefault="00956A5C" w:rsidP="00FB0A40">
      <w:pPr>
        <w:spacing w:line="480" w:lineRule="auto"/>
        <w:ind w:firstLine="720"/>
        <w:rPr>
          <w:rFonts w:cs="Times New Roman"/>
          <w:sz w:val="24"/>
          <w:szCs w:val="24"/>
        </w:rPr>
      </w:pPr>
      <w:r>
        <w:rPr>
          <w:rFonts w:cs="Times New Roman"/>
          <w:sz w:val="24"/>
          <w:szCs w:val="24"/>
        </w:rPr>
        <w:t>Since</w:t>
      </w:r>
      <w:r w:rsidR="00FB0A40" w:rsidRPr="008F73AA">
        <w:rPr>
          <w:rFonts w:cs="Times New Roman"/>
          <w:sz w:val="24"/>
          <w:szCs w:val="24"/>
        </w:rPr>
        <w:t xml:space="preserve"> we do not have audio</w:t>
      </w:r>
      <w:r w:rsidR="00FB0A40">
        <w:rPr>
          <w:rFonts w:cs="Times New Roman"/>
          <w:sz w:val="24"/>
          <w:szCs w:val="24"/>
        </w:rPr>
        <w:t xml:space="preserve"> or</w:t>
      </w:r>
      <w:r w:rsidR="00FB0A40" w:rsidRPr="008F73AA">
        <w:rPr>
          <w:rFonts w:cs="Times New Roman"/>
          <w:sz w:val="24"/>
          <w:szCs w:val="24"/>
        </w:rPr>
        <w:t xml:space="preserve"> video recordings of the parlor at this time, the</w:t>
      </w:r>
      <w:r>
        <w:rPr>
          <w:rFonts w:cs="Times New Roman"/>
          <w:sz w:val="24"/>
          <w:szCs w:val="24"/>
        </w:rPr>
        <w:t xml:space="preserve"> development of phenomenological approaches is</w:t>
      </w:r>
      <w:r w:rsidR="00FB0A40" w:rsidRPr="008F73AA">
        <w:rPr>
          <w:rFonts w:cs="Times New Roman"/>
          <w:sz w:val="24"/>
          <w:szCs w:val="24"/>
        </w:rPr>
        <w:t xml:space="preserve"> important.</w:t>
      </w:r>
      <w:r w:rsidR="00FB0A40">
        <w:rPr>
          <w:rFonts w:cs="Times New Roman"/>
          <w:sz w:val="24"/>
          <w:szCs w:val="24"/>
        </w:rPr>
        <w:t xml:space="preserve"> While much of my evidence comes </w:t>
      </w:r>
      <w:r w:rsidR="00FB0A40">
        <w:rPr>
          <w:rFonts w:cs="Times New Roman"/>
          <w:sz w:val="24"/>
          <w:szCs w:val="24"/>
        </w:rPr>
        <w:lastRenderedPageBreak/>
        <w:t>from song sheets, these objects are not merely scores, they are guides to production.</w:t>
      </w:r>
      <w:r w:rsidR="00FB0A40" w:rsidRPr="008F73AA">
        <w:rPr>
          <w:rFonts w:cs="Times New Roman"/>
          <w:sz w:val="24"/>
          <w:szCs w:val="24"/>
        </w:rPr>
        <w:t xml:space="preserve"> </w:t>
      </w:r>
      <w:r w:rsidR="00FB0A40">
        <w:rPr>
          <w:rFonts w:cs="Times New Roman"/>
          <w:sz w:val="24"/>
          <w:szCs w:val="24"/>
        </w:rPr>
        <w:t>Additionally, performing in the parlor was about more than just producing the notes on the</w:t>
      </w:r>
      <w:r w:rsidR="00E364BD">
        <w:rPr>
          <w:rFonts w:cs="Times New Roman"/>
          <w:sz w:val="24"/>
          <w:szCs w:val="24"/>
        </w:rPr>
        <w:t xml:space="preserve"> page;</w:t>
      </w:r>
      <w:r w:rsidR="00FB0A40">
        <w:rPr>
          <w:rFonts w:cs="Times New Roman"/>
          <w:sz w:val="24"/>
          <w:szCs w:val="24"/>
        </w:rPr>
        <w:t xml:space="preserve"> thus </w:t>
      </w:r>
      <w:r w:rsidR="00E364BD">
        <w:rPr>
          <w:rFonts w:cs="Times New Roman"/>
          <w:sz w:val="24"/>
          <w:szCs w:val="24"/>
        </w:rPr>
        <w:t>I have sought out examples that</w:t>
      </w:r>
      <w:r w:rsidR="00FB0A40">
        <w:rPr>
          <w:rFonts w:cs="Times New Roman"/>
          <w:sz w:val="24"/>
          <w:szCs w:val="24"/>
        </w:rPr>
        <w:t xml:space="preserve"> clarify the important role of the body and voice in musical production. I also </w:t>
      </w:r>
      <w:r>
        <w:rPr>
          <w:rFonts w:cs="Times New Roman"/>
          <w:sz w:val="24"/>
          <w:szCs w:val="24"/>
        </w:rPr>
        <w:t xml:space="preserve">have </w:t>
      </w:r>
      <w:r w:rsidR="00FB0A40">
        <w:rPr>
          <w:rFonts w:cs="Times New Roman"/>
          <w:sz w:val="24"/>
          <w:szCs w:val="24"/>
        </w:rPr>
        <w:t>placed the music within the parlor soundscape and the</w:t>
      </w:r>
      <w:r w:rsidR="00FB0A40" w:rsidRPr="008F73AA">
        <w:rPr>
          <w:rFonts w:cs="Times New Roman"/>
          <w:sz w:val="24"/>
          <w:szCs w:val="24"/>
        </w:rPr>
        <w:t xml:space="preserve"> set of</w:t>
      </w:r>
      <w:r w:rsidR="00FB0A40">
        <w:rPr>
          <w:rFonts w:cs="Times New Roman"/>
          <w:sz w:val="24"/>
          <w:szCs w:val="24"/>
        </w:rPr>
        <w:t xml:space="preserve"> conditioned behaviors that gave meaning to parlor performances</w:t>
      </w:r>
      <w:r w:rsidR="00FB0A40" w:rsidRPr="008F73AA">
        <w:rPr>
          <w:rFonts w:cs="Times New Roman"/>
          <w:sz w:val="24"/>
          <w:szCs w:val="24"/>
        </w:rPr>
        <w:t xml:space="preserve">. As demonstrated by the examination of popular trends such as </w:t>
      </w:r>
      <w:proofErr w:type="spellStart"/>
      <w:r w:rsidR="00FB0A40" w:rsidRPr="008F73AA">
        <w:rPr>
          <w:rFonts w:cs="Times New Roman"/>
          <w:sz w:val="24"/>
          <w:szCs w:val="24"/>
        </w:rPr>
        <w:t>Delsartism</w:t>
      </w:r>
      <w:proofErr w:type="spellEnd"/>
      <w:r w:rsidR="00FB0A40" w:rsidRPr="008F73AA">
        <w:rPr>
          <w:rFonts w:cs="Times New Roman"/>
          <w:sz w:val="24"/>
          <w:szCs w:val="24"/>
        </w:rPr>
        <w:t xml:space="preserve">, the way the body moved and the way the voice sounded carried deep, informative meaning. The presentation of the body, as I have extended from the arguments of Butler, </w:t>
      </w:r>
      <w:proofErr w:type="spellStart"/>
      <w:r w:rsidR="00FB0A40" w:rsidRPr="008F73AA">
        <w:rPr>
          <w:rFonts w:cs="Times New Roman"/>
          <w:sz w:val="24"/>
          <w:szCs w:val="24"/>
        </w:rPr>
        <w:t>Taussig</w:t>
      </w:r>
      <w:proofErr w:type="spellEnd"/>
      <w:r w:rsidR="00FB0A40" w:rsidRPr="008F73AA">
        <w:rPr>
          <w:rFonts w:cs="Times New Roman"/>
          <w:sz w:val="24"/>
          <w:szCs w:val="24"/>
        </w:rPr>
        <w:t xml:space="preserve">, and Le </w:t>
      </w:r>
      <w:proofErr w:type="spellStart"/>
      <w:r w:rsidR="00FB0A40" w:rsidRPr="008F73AA">
        <w:rPr>
          <w:rFonts w:cs="Times New Roman"/>
          <w:sz w:val="24"/>
          <w:szCs w:val="24"/>
        </w:rPr>
        <w:t>G</w:t>
      </w:r>
      <w:r>
        <w:rPr>
          <w:rFonts w:cs="Times New Roman"/>
          <w:sz w:val="24"/>
          <w:szCs w:val="24"/>
        </w:rPr>
        <w:t>uin</w:t>
      </w:r>
      <w:proofErr w:type="spellEnd"/>
      <w:r>
        <w:rPr>
          <w:rFonts w:cs="Times New Roman"/>
          <w:sz w:val="24"/>
          <w:szCs w:val="24"/>
        </w:rPr>
        <w:t>, informs o</w:t>
      </w:r>
      <w:r w:rsidR="00FB0A40" w:rsidRPr="008F73AA">
        <w:rPr>
          <w:rFonts w:cs="Times New Roman"/>
          <w:sz w:val="24"/>
          <w:szCs w:val="24"/>
        </w:rPr>
        <w:t>thers of identities</w:t>
      </w:r>
      <w:r>
        <w:rPr>
          <w:rFonts w:cs="Times New Roman"/>
          <w:sz w:val="24"/>
          <w:szCs w:val="24"/>
        </w:rPr>
        <w:t xml:space="preserve"> in the representation</w:t>
      </w:r>
      <w:r w:rsidR="007F0A8C">
        <w:rPr>
          <w:rFonts w:cs="Times New Roman"/>
          <w:sz w:val="24"/>
          <w:szCs w:val="24"/>
        </w:rPr>
        <w:t>al</w:t>
      </w:r>
      <w:r>
        <w:rPr>
          <w:rFonts w:cs="Times New Roman"/>
          <w:sz w:val="24"/>
          <w:szCs w:val="24"/>
        </w:rPr>
        <w:t xml:space="preserve"> framework of what is seen and heard</w:t>
      </w:r>
      <w:r w:rsidR="00FB0A40" w:rsidRPr="008F73AA">
        <w:rPr>
          <w:rFonts w:cs="Times New Roman"/>
          <w:sz w:val="24"/>
          <w:szCs w:val="24"/>
        </w:rPr>
        <w:t>, and assists the Self in</w:t>
      </w:r>
      <w:r>
        <w:rPr>
          <w:rFonts w:cs="Times New Roman"/>
          <w:sz w:val="24"/>
          <w:szCs w:val="24"/>
        </w:rPr>
        <w:t xml:space="preserve"> constructing its own identity</w:t>
      </w:r>
      <w:r w:rsidR="00FB0A40" w:rsidRPr="008F73AA">
        <w:rPr>
          <w:rFonts w:cs="Times New Roman"/>
          <w:sz w:val="24"/>
          <w:szCs w:val="24"/>
        </w:rPr>
        <w:t xml:space="preserve"> through the e</w:t>
      </w:r>
      <w:r w:rsidR="007F0A8C">
        <w:rPr>
          <w:rFonts w:cs="Times New Roman"/>
          <w:sz w:val="24"/>
          <w:szCs w:val="24"/>
        </w:rPr>
        <w:t>xperiences it incorporates. Through</w:t>
      </w:r>
      <w:r w:rsidR="00FB0A40" w:rsidRPr="008F73AA">
        <w:rPr>
          <w:rFonts w:cs="Times New Roman"/>
          <w:sz w:val="24"/>
          <w:szCs w:val="24"/>
        </w:rPr>
        <w:t xml:space="preserve"> movements and vocalizations</w:t>
      </w:r>
      <w:r w:rsidR="007F0A8C">
        <w:rPr>
          <w:rFonts w:cs="Times New Roman"/>
          <w:sz w:val="24"/>
          <w:szCs w:val="24"/>
        </w:rPr>
        <w:t>,</w:t>
      </w:r>
      <w:r w:rsidR="00FB0A40" w:rsidRPr="008F73AA">
        <w:rPr>
          <w:rFonts w:cs="Times New Roman"/>
          <w:sz w:val="24"/>
          <w:szCs w:val="24"/>
        </w:rPr>
        <w:t xml:space="preserve"> parlo</w:t>
      </w:r>
      <w:r w:rsidR="007F0A8C">
        <w:rPr>
          <w:rFonts w:cs="Times New Roman"/>
          <w:sz w:val="24"/>
          <w:szCs w:val="24"/>
        </w:rPr>
        <w:t>r performers took on an altered</w:t>
      </w:r>
      <w:r w:rsidR="00FB0A40" w:rsidRPr="008F73AA">
        <w:rPr>
          <w:rFonts w:cs="Times New Roman"/>
          <w:sz w:val="24"/>
          <w:szCs w:val="24"/>
        </w:rPr>
        <w:t xml:space="preserve"> Self.</w:t>
      </w:r>
    </w:p>
    <w:p w:rsidR="00FB0A40" w:rsidRPr="008F73AA" w:rsidRDefault="00FB0A40" w:rsidP="00FB0A40">
      <w:pPr>
        <w:spacing w:line="480" w:lineRule="auto"/>
        <w:rPr>
          <w:rFonts w:cs="Times New Roman"/>
          <w:sz w:val="24"/>
          <w:szCs w:val="24"/>
        </w:rPr>
      </w:pPr>
      <w:r w:rsidRPr="008F73AA">
        <w:rPr>
          <w:rFonts w:cs="Times New Roman"/>
          <w:sz w:val="24"/>
          <w:szCs w:val="24"/>
        </w:rPr>
        <w:tab/>
      </w:r>
      <w:r>
        <w:rPr>
          <w:rFonts w:cs="Times New Roman"/>
          <w:sz w:val="24"/>
          <w:szCs w:val="24"/>
        </w:rPr>
        <w:t>The presentatio</w:t>
      </w:r>
      <w:r w:rsidR="007F0A8C">
        <w:rPr>
          <w:rFonts w:cs="Times New Roman"/>
          <w:sz w:val="24"/>
          <w:szCs w:val="24"/>
        </w:rPr>
        <w:t>n of the body and voice were guided by</w:t>
      </w:r>
      <w:r>
        <w:rPr>
          <w:rFonts w:cs="Times New Roman"/>
          <w:sz w:val="24"/>
          <w:szCs w:val="24"/>
        </w:rPr>
        <w:t xml:space="preserve"> </w:t>
      </w:r>
      <w:r w:rsidR="007F0A8C">
        <w:rPr>
          <w:rFonts w:cs="Times New Roman"/>
          <w:sz w:val="24"/>
          <w:szCs w:val="24"/>
        </w:rPr>
        <w:t>the influence of Victorian-</w:t>
      </w:r>
      <w:r>
        <w:rPr>
          <w:rFonts w:cs="Times New Roman"/>
          <w:sz w:val="24"/>
          <w:szCs w:val="24"/>
        </w:rPr>
        <w:t>era genteel beliefs. Comic characters, however, could operate outside of the structured, controlled highbrow body. The comic body could be clumsy, inelegant, grotesque, diseased, sexualized, criminal, over-indulgent, violent, and even animal; it was humorous because it was everything the ideal Victorian body was not. The comic voice could express that which the highbrow could not; it could swear, stutter, engage in bodily functions (e.g., cough or belch), make innuendo, critici</w:t>
      </w:r>
      <w:r w:rsidR="007F0A8C">
        <w:rPr>
          <w:rFonts w:cs="Times New Roman"/>
          <w:sz w:val="24"/>
          <w:szCs w:val="24"/>
        </w:rPr>
        <w:t>ze others, and express thoughts</w:t>
      </w:r>
      <w:r>
        <w:rPr>
          <w:rFonts w:cs="Times New Roman"/>
          <w:sz w:val="24"/>
          <w:szCs w:val="24"/>
        </w:rPr>
        <w:t xml:space="preserve"> which hi</w:t>
      </w:r>
      <w:r w:rsidR="007F0A8C">
        <w:rPr>
          <w:rFonts w:cs="Times New Roman"/>
          <w:sz w:val="24"/>
          <w:szCs w:val="24"/>
        </w:rPr>
        <w:t>ghbrow ideals repressed. P</w:t>
      </w:r>
      <w:r>
        <w:rPr>
          <w:rFonts w:cs="Times New Roman"/>
          <w:sz w:val="24"/>
          <w:szCs w:val="24"/>
        </w:rPr>
        <w:t>erforming the comic character</w:t>
      </w:r>
      <w:r w:rsidR="007F0A8C">
        <w:rPr>
          <w:rFonts w:cs="Times New Roman"/>
          <w:sz w:val="24"/>
          <w:szCs w:val="24"/>
        </w:rPr>
        <w:t xml:space="preserve"> allowed performers a taste of freedom from the</w:t>
      </w:r>
      <w:r>
        <w:rPr>
          <w:rFonts w:cs="Times New Roman"/>
          <w:sz w:val="24"/>
          <w:szCs w:val="24"/>
        </w:rPr>
        <w:t xml:space="preserve"> high ideals that guided their bodies in other daily interactions.</w:t>
      </w:r>
    </w:p>
    <w:p w:rsidR="00FB0A40" w:rsidRPr="008F73AA" w:rsidRDefault="00FB0A40" w:rsidP="00FB0A40">
      <w:pPr>
        <w:spacing w:line="480" w:lineRule="auto"/>
        <w:rPr>
          <w:rFonts w:cs="Times New Roman"/>
          <w:sz w:val="24"/>
          <w:szCs w:val="24"/>
        </w:rPr>
      </w:pPr>
      <w:r>
        <w:rPr>
          <w:rFonts w:cs="Times New Roman"/>
          <w:sz w:val="24"/>
          <w:szCs w:val="24"/>
        </w:rPr>
        <w:lastRenderedPageBreak/>
        <w:tab/>
        <w:t>Many comic identities and much of nineteenth-century humor came from stereotyped ethnicities. The ethnic, in nineteenth-century Western thought, was not only a potent method of exploring idiosyncratic and exaggerated extremes of human behavior; it was a pressing social issue for Americans. White Americans expressed ethnic tensions in songs, asserting white supremacy via mockery, and as Eric Lott has explored, a sense of “love”</w:t>
      </w:r>
      <w:r>
        <w:rPr>
          <w:rStyle w:val="FootnoteReference"/>
          <w:rFonts w:cs="Times New Roman"/>
          <w:sz w:val="24"/>
          <w:szCs w:val="24"/>
        </w:rPr>
        <w:footnoteReference w:id="374"/>
      </w:r>
      <w:r>
        <w:rPr>
          <w:rFonts w:cs="Times New Roman"/>
          <w:sz w:val="24"/>
          <w:szCs w:val="24"/>
        </w:rPr>
        <w:t xml:space="preserve"> in their appropriation. White Americans both pushed </w:t>
      </w:r>
      <w:r w:rsidR="007F0A8C">
        <w:rPr>
          <w:rFonts w:cs="Times New Roman"/>
          <w:sz w:val="24"/>
          <w:szCs w:val="24"/>
        </w:rPr>
        <w:t xml:space="preserve">away </w:t>
      </w:r>
      <w:r>
        <w:rPr>
          <w:rFonts w:cs="Times New Roman"/>
          <w:sz w:val="24"/>
          <w:szCs w:val="24"/>
        </w:rPr>
        <w:t>the ethnic identities th</w:t>
      </w:r>
      <w:r w:rsidR="00F3534B">
        <w:rPr>
          <w:rFonts w:cs="Times New Roman"/>
          <w:sz w:val="24"/>
          <w:szCs w:val="24"/>
        </w:rPr>
        <w:t xml:space="preserve">ey confronted in the nineteenth </w:t>
      </w:r>
      <w:r>
        <w:rPr>
          <w:rFonts w:cs="Times New Roman"/>
          <w:sz w:val="24"/>
          <w:szCs w:val="24"/>
        </w:rPr>
        <w:t>cen</w:t>
      </w:r>
      <w:r w:rsidR="007F0A8C">
        <w:rPr>
          <w:rFonts w:cs="Times New Roman"/>
          <w:sz w:val="24"/>
          <w:szCs w:val="24"/>
        </w:rPr>
        <w:t xml:space="preserve">tury, and drew them </w:t>
      </w:r>
      <w:r>
        <w:rPr>
          <w:rFonts w:cs="Times New Roman"/>
          <w:sz w:val="24"/>
          <w:szCs w:val="24"/>
        </w:rPr>
        <w:t>closer, by embodying them in performance.</w:t>
      </w:r>
    </w:p>
    <w:p w:rsidR="00FB0A40" w:rsidRPr="008F73AA" w:rsidRDefault="00FB0A40" w:rsidP="00FB0A40">
      <w:pPr>
        <w:spacing w:line="480" w:lineRule="auto"/>
        <w:ind w:firstLine="720"/>
        <w:rPr>
          <w:rFonts w:cs="Times New Roman"/>
          <w:sz w:val="24"/>
          <w:szCs w:val="24"/>
        </w:rPr>
      </w:pPr>
      <w:r w:rsidRPr="008F73AA">
        <w:rPr>
          <w:rFonts w:cs="Times New Roman"/>
          <w:sz w:val="24"/>
          <w:szCs w:val="24"/>
        </w:rPr>
        <w:t>Parlor performers, in taking on alternate identities and how they ide</w:t>
      </w:r>
      <w:r w:rsidR="007F0A8C">
        <w:rPr>
          <w:rFonts w:cs="Times New Roman"/>
          <w:sz w:val="24"/>
          <w:szCs w:val="24"/>
        </w:rPr>
        <w:t>ntified with popular music</w:t>
      </w:r>
      <w:r w:rsidRPr="008F73AA">
        <w:rPr>
          <w:rFonts w:cs="Times New Roman"/>
          <w:sz w:val="24"/>
          <w:szCs w:val="24"/>
        </w:rPr>
        <w:t xml:space="preserve"> further define</w:t>
      </w:r>
      <w:r w:rsidR="007F0A8C">
        <w:rPr>
          <w:rFonts w:cs="Times New Roman"/>
          <w:sz w:val="24"/>
          <w:szCs w:val="24"/>
        </w:rPr>
        <w:t>d</w:t>
      </w:r>
      <w:r w:rsidRPr="008F73AA">
        <w:rPr>
          <w:rFonts w:cs="Times New Roman"/>
          <w:sz w:val="24"/>
          <w:szCs w:val="24"/>
        </w:rPr>
        <w:t xml:space="preserve"> their own identities. In his study of “postmodern” popular music, George </w:t>
      </w:r>
      <w:proofErr w:type="spellStart"/>
      <w:r w:rsidRPr="008F73AA">
        <w:rPr>
          <w:rFonts w:cs="Times New Roman"/>
          <w:sz w:val="24"/>
          <w:szCs w:val="24"/>
        </w:rPr>
        <w:t>Lipsitz</w:t>
      </w:r>
      <w:proofErr w:type="spellEnd"/>
      <w:r w:rsidRPr="008F73AA">
        <w:rPr>
          <w:rFonts w:cs="Times New Roman"/>
          <w:sz w:val="24"/>
          <w:szCs w:val="24"/>
        </w:rPr>
        <w:t xml:space="preserve"> used the cases of “Puerto Rican musicians playing Black-oriented Latin </w:t>
      </w:r>
      <w:proofErr w:type="spellStart"/>
      <w:r w:rsidRPr="008F73AA">
        <w:rPr>
          <w:rFonts w:cs="Times New Roman"/>
          <w:sz w:val="24"/>
          <w:szCs w:val="24"/>
        </w:rPr>
        <w:t>Bugalu</w:t>
      </w:r>
      <w:proofErr w:type="spellEnd"/>
      <w:r w:rsidRPr="008F73AA">
        <w:rPr>
          <w:rFonts w:cs="Times New Roman"/>
          <w:sz w:val="24"/>
          <w:szCs w:val="24"/>
        </w:rPr>
        <w:t xml:space="preserve"> music in New York” and “Chicano punk rockers in Los Angeles” to argue that these groups “can become ‘more themselves’ by appearing to be something other than themselves.”</w:t>
      </w:r>
      <w:r w:rsidRPr="008F73AA">
        <w:rPr>
          <w:rStyle w:val="FootnoteReference"/>
          <w:rFonts w:cs="Times New Roman"/>
          <w:sz w:val="24"/>
          <w:szCs w:val="24"/>
        </w:rPr>
        <w:footnoteReference w:id="375"/>
      </w:r>
      <w:r w:rsidRPr="008F73AA">
        <w:rPr>
          <w:rFonts w:cs="Times New Roman"/>
          <w:sz w:val="24"/>
          <w:szCs w:val="24"/>
        </w:rPr>
        <w:t xml:space="preserve"> He compared their “strategic anti-essentialism,”</w:t>
      </w:r>
      <w:r w:rsidRPr="008F73AA">
        <w:rPr>
          <w:rStyle w:val="FootnoteReference"/>
          <w:rFonts w:cs="Times New Roman"/>
          <w:sz w:val="24"/>
          <w:szCs w:val="24"/>
        </w:rPr>
        <w:footnoteReference w:id="376"/>
      </w:r>
      <w:r w:rsidRPr="008F73AA">
        <w:rPr>
          <w:rFonts w:cs="Times New Roman"/>
          <w:sz w:val="24"/>
          <w:szCs w:val="24"/>
        </w:rPr>
        <w:t xml:space="preserve"> their use of another’s identity</w:t>
      </w:r>
      <w:r>
        <w:rPr>
          <w:rFonts w:cs="Times New Roman"/>
          <w:sz w:val="24"/>
          <w:szCs w:val="24"/>
        </w:rPr>
        <w:t>,</w:t>
      </w:r>
      <w:r w:rsidRPr="008F73AA">
        <w:rPr>
          <w:rFonts w:cs="Times New Roman"/>
          <w:sz w:val="24"/>
          <w:szCs w:val="24"/>
        </w:rPr>
        <w:t xml:space="preserve"> to nineteenth-century minstrelsy. </w:t>
      </w:r>
      <w:proofErr w:type="spellStart"/>
      <w:r w:rsidRPr="008F73AA">
        <w:rPr>
          <w:rFonts w:cs="Times New Roman"/>
          <w:sz w:val="24"/>
          <w:szCs w:val="24"/>
        </w:rPr>
        <w:t>Lipsitz</w:t>
      </w:r>
      <w:proofErr w:type="spellEnd"/>
      <w:r w:rsidRPr="008F73AA">
        <w:rPr>
          <w:rFonts w:cs="Times New Roman"/>
          <w:sz w:val="24"/>
          <w:szCs w:val="24"/>
        </w:rPr>
        <w:t xml:space="preserve"> pointed to how “the white man in blackface…was the first self-consciously ‘white’ stage performer in history; his whiteness could be created only by imitating and then denying blackness.”</w:t>
      </w:r>
      <w:r w:rsidRPr="008F73AA">
        <w:rPr>
          <w:rStyle w:val="FootnoteReference"/>
          <w:rFonts w:cs="Times New Roman"/>
          <w:sz w:val="24"/>
          <w:szCs w:val="24"/>
        </w:rPr>
        <w:footnoteReference w:id="377"/>
      </w:r>
      <w:r w:rsidRPr="008F73AA">
        <w:rPr>
          <w:rFonts w:cs="Times New Roman"/>
          <w:sz w:val="24"/>
          <w:szCs w:val="24"/>
        </w:rPr>
        <w:t xml:space="preserve"> In the same way, performers in every sub-genre of comic songs used Otherness to define themselves. Their </w:t>
      </w:r>
      <w:r w:rsidR="00E364BD">
        <w:rPr>
          <w:rFonts w:cs="Times New Roman"/>
          <w:sz w:val="24"/>
          <w:szCs w:val="24"/>
        </w:rPr>
        <w:t>own ideals and identities beca</w:t>
      </w:r>
      <w:r w:rsidRPr="008F73AA">
        <w:rPr>
          <w:rFonts w:cs="Times New Roman"/>
          <w:sz w:val="24"/>
          <w:szCs w:val="24"/>
        </w:rPr>
        <w:t xml:space="preserve">me clearer by mocking </w:t>
      </w:r>
      <w:proofErr w:type="gramStart"/>
      <w:r w:rsidRPr="008F73AA">
        <w:rPr>
          <w:rFonts w:cs="Times New Roman"/>
          <w:sz w:val="24"/>
          <w:szCs w:val="24"/>
        </w:rPr>
        <w:t>Others</w:t>
      </w:r>
      <w:proofErr w:type="gramEnd"/>
      <w:r w:rsidRPr="008F73AA">
        <w:rPr>
          <w:rFonts w:cs="Times New Roman"/>
          <w:sz w:val="24"/>
          <w:szCs w:val="24"/>
        </w:rPr>
        <w:t>.</w:t>
      </w:r>
    </w:p>
    <w:p w:rsidR="00FB0A40" w:rsidRDefault="00FB0A40" w:rsidP="00FB0A40">
      <w:pPr>
        <w:spacing w:line="480" w:lineRule="auto"/>
        <w:rPr>
          <w:sz w:val="24"/>
          <w:szCs w:val="24"/>
        </w:rPr>
      </w:pPr>
      <w:r>
        <w:rPr>
          <w:sz w:val="24"/>
          <w:szCs w:val="24"/>
        </w:rPr>
        <w:lastRenderedPageBreak/>
        <w:tab/>
      </w:r>
      <w:r w:rsidR="00782073">
        <w:rPr>
          <w:sz w:val="24"/>
          <w:szCs w:val="24"/>
        </w:rPr>
        <w:t>Highbrow</w:t>
      </w:r>
      <w:r>
        <w:rPr>
          <w:sz w:val="24"/>
          <w:szCs w:val="24"/>
        </w:rPr>
        <w:t xml:space="preserve"> and </w:t>
      </w:r>
      <w:r w:rsidR="00782073">
        <w:rPr>
          <w:sz w:val="24"/>
          <w:szCs w:val="24"/>
        </w:rPr>
        <w:t>lowbrow</w:t>
      </w:r>
      <w:r>
        <w:rPr>
          <w:sz w:val="24"/>
          <w:szCs w:val="24"/>
        </w:rPr>
        <w:t xml:space="preserve"> identities only become clear when juxtaposed. There cannot be one without the other, because they are, in fact, defined in opposition to another. The highbrow position requires a</w:t>
      </w:r>
      <w:r w:rsidR="00E364BD">
        <w:rPr>
          <w:sz w:val="24"/>
          <w:szCs w:val="24"/>
        </w:rPr>
        <w:t xml:space="preserve"> lowbrow to build itself above—</w:t>
      </w:r>
      <w:r>
        <w:rPr>
          <w:sz w:val="24"/>
          <w:szCs w:val="24"/>
        </w:rPr>
        <w:t xml:space="preserve">something to scoff at </w:t>
      </w:r>
      <w:proofErr w:type="spellStart"/>
      <w:r>
        <w:rPr>
          <w:sz w:val="24"/>
          <w:szCs w:val="24"/>
        </w:rPr>
        <w:t>and</w:t>
      </w:r>
      <w:proofErr w:type="spellEnd"/>
      <w:r>
        <w:rPr>
          <w:sz w:val="24"/>
          <w:szCs w:val="24"/>
        </w:rPr>
        <w:t xml:space="preserve"> attempt to remove from society via refinement. The lowbrow requires</w:t>
      </w:r>
      <w:r w:rsidR="00E364BD">
        <w:rPr>
          <w:sz w:val="24"/>
          <w:szCs w:val="24"/>
        </w:rPr>
        <w:t xml:space="preserve"> a highbrow to break away from—some</w:t>
      </w:r>
      <w:r>
        <w:rPr>
          <w:sz w:val="24"/>
          <w:szCs w:val="24"/>
        </w:rPr>
        <w:t xml:space="preserve"> repressive belief tha</w:t>
      </w:r>
      <w:r w:rsidR="00E364BD">
        <w:rPr>
          <w:sz w:val="24"/>
          <w:szCs w:val="24"/>
        </w:rPr>
        <w:t>t labels an activity as a soci</w:t>
      </w:r>
      <w:r>
        <w:rPr>
          <w:sz w:val="24"/>
          <w:szCs w:val="24"/>
        </w:rPr>
        <w:t xml:space="preserve">al ill. Comic songs provided a fertile ground to explore all of these conflicts. They </w:t>
      </w:r>
      <w:r w:rsidR="007F0A8C">
        <w:rPr>
          <w:sz w:val="24"/>
          <w:szCs w:val="24"/>
        </w:rPr>
        <w:t>positioned the low</w:t>
      </w:r>
      <w:r>
        <w:rPr>
          <w:sz w:val="24"/>
          <w:szCs w:val="24"/>
        </w:rPr>
        <w:t xml:space="preserve"> as a subject of derision, but</w:t>
      </w:r>
      <w:r w:rsidR="007F0A8C">
        <w:rPr>
          <w:sz w:val="24"/>
          <w:szCs w:val="24"/>
        </w:rPr>
        <w:t xml:space="preserve"> simultaneously</w:t>
      </w:r>
      <w:r>
        <w:rPr>
          <w:sz w:val="24"/>
          <w:szCs w:val="24"/>
        </w:rPr>
        <w:t xml:space="preserve"> kept it alive, allowing performers to escape into it. Returning to George </w:t>
      </w:r>
      <w:proofErr w:type="spellStart"/>
      <w:r>
        <w:rPr>
          <w:sz w:val="24"/>
          <w:szCs w:val="24"/>
        </w:rPr>
        <w:t>Foertsch’s</w:t>
      </w:r>
      <w:proofErr w:type="spellEnd"/>
      <w:r>
        <w:rPr>
          <w:sz w:val="24"/>
          <w:szCs w:val="24"/>
        </w:rPr>
        <w:t xml:space="preserve"> 1892 song, “Laugh, Ha-Ha, Ha-Ha,” laughter may just have been the best medicine for the</w:t>
      </w:r>
      <w:r w:rsidR="007F0A8C">
        <w:rPr>
          <w:sz w:val="24"/>
          <w:szCs w:val="24"/>
        </w:rPr>
        <w:t xml:space="preserve"> ills of the</w:t>
      </w:r>
      <w:r>
        <w:rPr>
          <w:sz w:val="24"/>
          <w:szCs w:val="24"/>
        </w:rPr>
        <w:t xml:space="preserve"> late-nineteenth and</w:t>
      </w:r>
      <w:r w:rsidR="007F0A8C">
        <w:rPr>
          <w:sz w:val="24"/>
          <w:szCs w:val="24"/>
        </w:rPr>
        <w:t xml:space="preserve"> early-twentieth </w:t>
      </w:r>
      <w:proofErr w:type="spellStart"/>
      <w:r w:rsidR="007F0A8C">
        <w:rPr>
          <w:sz w:val="24"/>
          <w:szCs w:val="24"/>
        </w:rPr>
        <w:t>centuries</w:t>
      </w:r>
      <w:proofErr w:type="spellEnd"/>
      <w:r>
        <w:rPr>
          <w:sz w:val="24"/>
          <w:szCs w:val="24"/>
        </w:rPr>
        <w:t>, for even those struggling with the new social distinctions of the era could still laugh at their problems:</w:t>
      </w:r>
    </w:p>
    <w:p w:rsidR="00FB0A40" w:rsidRDefault="00FB0A40" w:rsidP="00FB0A40">
      <w:pPr>
        <w:ind w:left="720"/>
        <w:contextualSpacing/>
        <w:rPr>
          <w:sz w:val="24"/>
          <w:szCs w:val="24"/>
        </w:rPr>
      </w:pPr>
      <w:r>
        <w:rPr>
          <w:sz w:val="24"/>
          <w:szCs w:val="24"/>
        </w:rPr>
        <w:t>Who cares if wealth is hard to earn,</w:t>
      </w:r>
    </w:p>
    <w:p w:rsidR="00FB0A40" w:rsidRDefault="00FB0A40" w:rsidP="00FB0A40">
      <w:pPr>
        <w:ind w:left="720"/>
        <w:contextualSpacing/>
        <w:rPr>
          <w:sz w:val="24"/>
          <w:szCs w:val="24"/>
        </w:rPr>
      </w:pPr>
      <w:r>
        <w:rPr>
          <w:sz w:val="24"/>
          <w:szCs w:val="24"/>
        </w:rPr>
        <w:t>What odds if books are dull to learn,</w:t>
      </w:r>
    </w:p>
    <w:p w:rsidR="00FB0A40" w:rsidRDefault="00FB0A40" w:rsidP="00FB0A40">
      <w:pPr>
        <w:ind w:left="720"/>
        <w:contextualSpacing/>
        <w:rPr>
          <w:sz w:val="24"/>
          <w:szCs w:val="24"/>
        </w:rPr>
      </w:pPr>
      <w:r>
        <w:rPr>
          <w:sz w:val="24"/>
          <w:szCs w:val="24"/>
        </w:rPr>
        <w:t>Why fret because our clothes are old,</w:t>
      </w:r>
    </w:p>
    <w:p w:rsidR="00FB0A40" w:rsidRDefault="00FB0A40" w:rsidP="00FB0A40">
      <w:pPr>
        <w:ind w:left="720"/>
        <w:contextualSpacing/>
        <w:rPr>
          <w:sz w:val="24"/>
          <w:szCs w:val="24"/>
        </w:rPr>
      </w:pPr>
      <w:r>
        <w:rPr>
          <w:sz w:val="24"/>
          <w:szCs w:val="24"/>
        </w:rPr>
        <w:t xml:space="preserve">Our rich </w:t>
      </w:r>
      <w:proofErr w:type="gramStart"/>
      <w:r>
        <w:rPr>
          <w:sz w:val="24"/>
          <w:szCs w:val="24"/>
        </w:rPr>
        <w:t>neighbors</w:t>
      </w:r>
      <w:proofErr w:type="gramEnd"/>
      <w:r>
        <w:rPr>
          <w:sz w:val="24"/>
          <w:szCs w:val="24"/>
        </w:rPr>
        <w:t xml:space="preserve"> manner cold?</w:t>
      </w:r>
    </w:p>
    <w:p w:rsidR="00FB0A40" w:rsidRDefault="00FB0A40" w:rsidP="00FB0A40">
      <w:pPr>
        <w:ind w:left="720"/>
        <w:contextualSpacing/>
        <w:rPr>
          <w:sz w:val="24"/>
          <w:szCs w:val="24"/>
        </w:rPr>
      </w:pPr>
      <w:r>
        <w:rPr>
          <w:sz w:val="24"/>
          <w:szCs w:val="24"/>
        </w:rPr>
        <w:t>The joy of life is ours to quaff</w:t>
      </w:r>
    </w:p>
    <w:p w:rsidR="00FB0A40" w:rsidRPr="00514CAF" w:rsidRDefault="00FB0A40" w:rsidP="00FB0A40">
      <w:pPr>
        <w:ind w:left="720"/>
        <w:contextualSpacing/>
        <w:rPr>
          <w:sz w:val="24"/>
          <w:szCs w:val="24"/>
        </w:rPr>
      </w:pPr>
      <w:r>
        <w:rPr>
          <w:sz w:val="24"/>
          <w:szCs w:val="24"/>
        </w:rPr>
        <w:t>So long as we can lightly laugh.</w:t>
      </w:r>
      <w:r>
        <w:rPr>
          <w:rStyle w:val="FootnoteReference"/>
          <w:sz w:val="24"/>
          <w:szCs w:val="24"/>
        </w:rPr>
        <w:footnoteReference w:id="378"/>
      </w:r>
    </w:p>
    <w:p w:rsidR="00FB0A40" w:rsidRPr="00514CAF" w:rsidRDefault="00FB0A40" w:rsidP="00FB0A40">
      <w:pPr>
        <w:spacing w:after="0" w:line="480" w:lineRule="auto"/>
        <w:rPr>
          <w:rFonts w:eastAsia="Times New Roman" w:cs="Tahoma"/>
          <w:color w:val="000000"/>
          <w:sz w:val="24"/>
          <w:szCs w:val="24"/>
        </w:rPr>
      </w:pPr>
    </w:p>
    <w:p w:rsidR="007B3705" w:rsidRDefault="007B3705" w:rsidP="007B3705">
      <w:pPr>
        <w:jc w:val="center"/>
        <w:rPr>
          <w:sz w:val="24"/>
          <w:szCs w:val="24"/>
        </w:rPr>
      </w:pPr>
    </w:p>
    <w:p w:rsidR="007B3705" w:rsidRDefault="007B3705" w:rsidP="008E60DA">
      <w:pPr>
        <w:rPr>
          <w:sz w:val="24"/>
          <w:szCs w:val="24"/>
        </w:rPr>
      </w:pPr>
    </w:p>
    <w:p w:rsidR="008E60DA" w:rsidRDefault="008E60DA" w:rsidP="008E60DA">
      <w:pPr>
        <w:rPr>
          <w:sz w:val="24"/>
          <w:szCs w:val="24"/>
        </w:rPr>
      </w:pPr>
    </w:p>
    <w:p w:rsidR="00E364BD" w:rsidRDefault="00E364BD" w:rsidP="00FB0A40">
      <w:pPr>
        <w:rPr>
          <w:sz w:val="24"/>
          <w:szCs w:val="24"/>
        </w:rPr>
      </w:pPr>
    </w:p>
    <w:p w:rsidR="005B002C" w:rsidRDefault="005B002C" w:rsidP="00FB0A40">
      <w:pPr>
        <w:rPr>
          <w:sz w:val="24"/>
          <w:szCs w:val="24"/>
        </w:rPr>
      </w:pPr>
    </w:p>
    <w:p w:rsidR="007B3705" w:rsidRPr="007208C3" w:rsidRDefault="007208C3" w:rsidP="00F64298">
      <w:pPr>
        <w:pStyle w:val="Heading1"/>
        <w:numPr>
          <w:ilvl w:val="0"/>
          <w:numId w:val="0"/>
        </w:numPr>
        <w:jc w:val="center"/>
        <w:rPr>
          <w:color w:val="auto"/>
          <w:sz w:val="24"/>
          <w:szCs w:val="24"/>
        </w:rPr>
      </w:pPr>
      <w:bookmarkStart w:id="37" w:name="_Toc356278701"/>
      <w:r w:rsidRPr="007F0A8C">
        <w:rPr>
          <w:rFonts w:asciiTheme="minorHAnsi" w:hAnsiTheme="minorHAnsi"/>
          <w:color w:val="auto"/>
          <w:sz w:val="24"/>
          <w:szCs w:val="24"/>
        </w:rPr>
        <w:lastRenderedPageBreak/>
        <w:t>Bibliography</w:t>
      </w:r>
      <w:bookmarkEnd w:id="37"/>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D029BE" w:rsidRDefault="00D029BE" w:rsidP="00A1698B">
      <w:pPr>
        <w:spacing w:line="240" w:lineRule="auto"/>
        <w:jc w:val="center"/>
        <w:rPr>
          <w:sz w:val="24"/>
          <w:szCs w:val="24"/>
        </w:rPr>
      </w:pPr>
    </w:p>
    <w:p w:rsidR="00A1698B" w:rsidRDefault="00A1698B" w:rsidP="00A1698B">
      <w:pPr>
        <w:spacing w:line="240" w:lineRule="auto"/>
        <w:jc w:val="center"/>
        <w:rPr>
          <w:sz w:val="24"/>
          <w:szCs w:val="24"/>
        </w:rPr>
      </w:pPr>
    </w:p>
    <w:p w:rsidR="00D029BE" w:rsidRDefault="00D029BE" w:rsidP="005C131C">
      <w:pPr>
        <w:spacing w:line="240" w:lineRule="auto"/>
        <w:rPr>
          <w:sz w:val="24"/>
          <w:szCs w:val="24"/>
        </w:rPr>
      </w:pPr>
    </w:p>
    <w:p w:rsidR="007208C3" w:rsidRDefault="007208C3" w:rsidP="005C131C">
      <w:pPr>
        <w:spacing w:line="240" w:lineRule="auto"/>
        <w:rPr>
          <w:sz w:val="24"/>
          <w:szCs w:val="24"/>
        </w:rPr>
      </w:pPr>
    </w:p>
    <w:p w:rsidR="005C131C" w:rsidRPr="00C53883" w:rsidRDefault="005C131C" w:rsidP="005C131C">
      <w:pPr>
        <w:spacing w:line="240" w:lineRule="auto"/>
        <w:rPr>
          <w:sz w:val="24"/>
          <w:szCs w:val="24"/>
        </w:rPr>
      </w:pPr>
    </w:p>
    <w:p w:rsidR="007B3705" w:rsidRPr="00842757" w:rsidRDefault="007B3705" w:rsidP="0039452B">
      <w:pPr>
        <w:spacing w:after="0" w:line="240" w:lineRule="auto"/>
        <w:ind w:left="720" w:hanging="720"/>
        <w:rPr>
          <w:rFonts w:cstheme="minorHAnsi"/>
          <w:sz w:val="24"/>
          <w:szCs w:val="24"/>
        </w:rPr>
      </w:pPr>
      <w:proofErr w:type="spellStart"/>
      <w:r w:rsidRPr="00842757">
        <w:rPr>
          <w:sz w:val="24"/>
          <w:szCs w:val="24"/>
        </w:rPr>
        <w:lastRenderedPageBreak/>
        <w:t>Alberts</w:t>
      </w:r>
      <w:proofErr w:type="spellEnd"/>
      <w:r w:rsidRPr="00842757">
        <w:rPr>
          <w:sz w:val="24"/>
          <w:szCs w:val="24"/>
        </w:rPr>
        <w:t xml:space="preserve">, Fred. </w:t>
      </w:r>
      <w:proofErr w:type="gramStart"/>
      <w:r w:rsidRPr="00842757">
        <w:rPr>
          <w:sz w:val="24"/>
          <w:szCs w:val="24"/>
        </w:rPr>
        <w:t>“The Funny Old Gal.”</w:t>
      </w:r>
      <w:proofErr w:type="gramEnd"/>
      <w:r w:rsidRPr="00842757">
        <w:rPr>
          <w:sz w:val="24"/>
          <w:szCs w:val="24"/>
        </w:rPr>
        <w:t xml:space="preserve"> Boston: Louis P. </w:t>
      </w:r>
      <w:proofErr w:type="spellStart"/>
      <w:r w:rsidRPr="00842757">
        <w:rPr>
          <w:sz w:val="24"/>
          <w:szCs w:val="24"/>
        </w:rPr>
        <w:t>Goullard</w:t>
      </w:r>
      <w:proofErr w:type="spellEnd"/>
      <w:r w:rsidRPr="00842757">
        <w:rPr>
          <w:sz w:val="24"/>
          <w:szCs w:val="24"/>
        </w:rPr>
        <w:t xml:space="preserve">, 1875. Box 1, </w:t>
      </w:r>
      <w:r w:rsidRPr="00842757">
        <w:rPr>
          <w:rFonts w:cstheme="minorHAnsi"/>
          <w:sz w:val="24"/>
          <w:szCs w:val="24"/>
        </w:rPr>
        <w:t>Edison Sheet Music Collection, Music Division, Library of Congress, Washington, D.C.</w:t>
      </w:r>
    </w:p>
    <w:p w:rsidR="009C1165" w:rsidRPr="00842757" w:rsidRDefault="009C1165" w:rsidP="00B83650">
      <w:pPr>
        <w:spacing w:after="0" w:line="240" w:lineRule="auto"/>
        <w:rPr>
          <w:noProof/>
          <w:sz w:val="24"/>
          <w:szCs w:val="24"/>
        </w:rPr>
      </w:pPr>
      <w:bookmarkStart w:id="38" w:name="_ENREF_1"/>
    </w:p>
    <w:p w:rsidR="00A1698B" w:rsidRPr="00842757" w:rsidRDefault="00A1698B" w:rsidP="0039452B">
      <w:pPr>
        <w:autoSpaceDE w:val="0"/>
        <w:autoSpaceDN w:val="0"/>
        <w:adjustRightInd w:val="0"/>
        <w:spacing w:after="0" w:line="240" w:lineRule="auto"/>
        <w:rPr>
          <w:rFonts w:cstheme="minorHAnsi"/>
          <w:sz w:val="24"/>
          <w:szCs w:val="24"/>
        </w:rPr>
      </w:pPr>
      <w:proofErr w:type="gramStart"/>
      <w:r w:rsidRPr="00842757">
        <w:rPr>
          <w:sz w:val="24"/>
          <w:szCs w:val="24"/>
        </w:rPr>
        <w:t>Armstrong, Harry and G.B. Brigham.</w:t>
      </w:r>
      <w:proofErr w:type="gramEnd"/>
      <w:r w:rsidRPr="00842757">
        <w:rPr>
          <w:sz w:val="24"/>
          <w:szCs w:val="24"/>
        </w:rPr>
        <w:t xml:space="preserve"> “That’s a Fact Did You Notice It?” Chicago: National Music</w:t>
      </w:r>
      <w:r w:rsidRPr="00842757">
        <w:rPr>
          <w:sz w:val="24"/>
          <w:szCs w:val="24"/>
        </w:rPr>
        <w:tab/>
        <w:t xml:space="preserve">Co., 1892. Box 2, </w:t>
      </w:r>
      <w:r w:rsidRPr="00842757">
        <w:rPr>
          <w:rFonts w:cstheme="minorHAnsi"/>
          <w:sz w:val="24"/>
          <w:szCs w:val="24"/>
        </w:rPr>
        <w:t>Edison Sheet Music Collection, Music Division, Library of Congress,</w:t>
      </w:r>
      <w:r w:rsidRPr="00842757">
        <w:rPr>
          <w:rFonts w:cstheme="minorHAnsi"/>
          <w:sz w:val="24"/>
          <w:szCs w:val="24"/>
        </w:rPr>
        <w:tab/>
        <w:t>Washington, D.C.</w:t>
      </w:r>
    </w:p>
    <w:p w:rsidR="00A1698B" w:rsidRPr="00842757" w:rsidRDefault="00A1698B" w:rsidP="0039452B">
      <w:pPr>
        <w:autoSpaceDE w:val="0"/>
        <w:autoSpaceDN w:val="0"/>
        <w:adjustRightInd w:val="0"/>
        <w:spacing w:after="0" w:line="240" w:lineRule="auto"/>
        <w:rPr>
          <w:rFonts w:cstheme="minorHAnsi"/>
          <w:sz w:val="24"/>
          <w:szCs w:val="24"/>
        </w:rPr>
      </w:pPr>
    </w:p>
    <w:p w:rsidR="00F57647" w:rsidRPr="00842757" w:rsidRDefault="00F57647" w:rsidP="0039452B">
      <w:pPr>
        <w:spacing w:line="240" w:lineRule="auto"/>
        <w:rPr>
          <w:sz w:val="24"/>
          <w:szCs w:val="24"/>
        </w:rPr>
      </w:pPr>
      <w:proofErr w:type="gramStart"/>
      <w:r w:rsidRPr="00842757">
        <w:rPr>
          <w:rFonts w:cs="Times New Roman"/>
          <w:sz w:val="24"/>
          <w:szCs w:val="24"/>
        </w:rPr>
        <w:t xml:space="preserve">Ashby, </w:t>
      </w:r>
      <w:proofErr w:type="spellStart"/>
      <w:r w:rsidRPr="00842757">
        <w:rPr>
          <w:rFonts w:cs="Times New Roman"/>
          <w:sz w:val="24"/>
          <w:szCs w:val="24"/>
        </w:rPr>
        <w:t>Arved</w:t>
      </w:r>
      <w:proofErr w:type="spellEnd"/>
      <w:r w:rsidRPr="00842757">
        <w:rPr>
          <w:rFonts w:cs="Times New Roman"/>
          <w:sz w:val="24"/>
          <w:szCs w:val="24"/>
        </w:rPr>
        <w:t>.</w:t>
      </w:r>
      <w:proofErr w:type="gramEnd"/>
      <w:r w:rsidRPr="00842757">
        <w:rPr>
          <w:rFonts w:cs="Times New Roman"/>
          <w:sz w:val="24"/>
          <w:szCs w:val="24"/>
        </w:rPr>
        <w:t xml:space="preserve"> </w:t>
      </w:r>
      <w:proofErr w:type="gramStart"/>
      <w:r w:rsidRPr="00842757">
        <w:rPr>
          <w:rFonts w:cs="Times New Roman"/>
          <w:sz w:val="24"/>
          <w:szCs w:val="24"/>
        </w:rPr>
        <w:t>“Schoenberg, Boulez, and Twelve Tone Composition as an Ideal Type.”</w:t>
      </w:r>
      <w:proofErr w:type="gramEnd"/>
      <w:r w:rsidRPr="00842757">
        <w:rPr>
          <w:rFonts w:cs="Times New Roman"/>
          <w:sz w:val="24"/>
          <w:szCs w:val="24"/>
        </w:rPr>
        <w:t xml:space="preserve"> </w:t>
      </w:r>
      <w:r w:rsidRPr="00842757">
        <w:rPr>
          <w:rFonts w:cs="Times New Roman"/>
          <w:i/>
          <w:sz w:val="24"/>
          <w:szCs w:val="24"/>
        </w:rPr>
        <w:t>Journal</w:t>
      </w:r>
      <w:r w:rsidRPr="00842757">
        <w:rPr>
          <w:rFonts w:cs="Times New Roman"/>
          <w:i/>
          <w:sz w:val="24"/>
          <w:szCs w:val="24"/>
        </w:rPr>
        <w:tab/>
        <w:t>of the American Musicological Society</w:t>
      </w:r>
      <w:r w:rsidRPr="00842757">
        <w:rPr>
          <w:rFonts w:cs="Times New Roman"/>
          <w:sz w:val="24"/>
          <w:szCs w:val="24"/>
        </w:rPr>
        <w:t xml:space="preserve"> 54, no. 3 (200): 585-625.</w:t>
      </w:r>
    </w:p>
    <w:p w:rsidR="0062520D" w:rsidRPr="0062520D" w:rsidRDefault="0062520D" w:rsidP="0039452B">
      <w:pPr>
        <w:spacing w:after="0" w:line="240" w:lineRule="auto"/>
        <w:ind w:left="720" w:hanging="720"/>
        <w:rPr>
          <w:noProof/>
          <w:sz w:val="24"/>
          <w:szCs w:val="24"/>
        </w:rPr>
      </w:pPr>
      <w:proofErr w:type="spellStart"/>
      <w:r w:rsidRPr="0062520D">
        <w:rPr>
          <w:sz w:val="24"/>
          <w:szCs w:val="24"/>
        </w:rPr>
        <w:t>Aspinall</w:t>
      </w:r>
      <w:proofErr w:type="spellEnd"/>
      <w:r w:rsidRPr="0062520D">
        <w:rPr>
          <w:sz w:val="24"/>
          <w:szCs w:val="24"/>
        </w:rPr>
        <w:t>, Hannah</w:t>
      </w:r>
      <w:r>
        <w:rPr>
          <w:sz w:val="24"/>
          <w:szCs w:val="24"/>
        </w:rPr>
        <w:t>.</w:t>
      </w:r>
      <w:r w:rsidRPr="0062520D">
        <w:rPr>
          <w:sz w:val="24"/>
          <w:szCs w:val="24"/>
        </w:rPr>
        <w:t xml:space="preserve"> </w:t>
      </w:r>
      <w:proofErr w:type="gramStart"/>
      <w:r w:rsidRPr="0062520D">
        <w:rPr>
          <w:sz w:val="24"/>
          <w:szCs w:val="24"/>
        </w:rPr>
        <w:t xml:space="preserve">“The </w:t>
      </w:r>
      <w:proofErr w:type="spellStart"/>
      <w:r w:rsidRPr="0062520D">
        <w:rPr>
          <w:sz w:val="24"/>
          <w:szCs w:val="24"/>
        </w:rPr>
        <w:t>Fetishization</w:t>
      </w:r>
      <w:proofErr w:type="spellEnd"/>
      <w:r w:rsidRPr="0062520D">
        <w:rPr>
          <w:sz w:val="24"/>
          <w:szCs w:val="24"/>
        </w:rPr>
        <w:t xml:space="preserve"> and Objectification of the Female Body in Victorian Culture</w:t>
      </w:r>
      <w:r>
        <w:rPr>
          <w:sz w:val="24"/>
          <w:szCs w:val="24"/>
        </w:rPr>
        <w:t>.</w:t>
      </w:r>
      <w:r w:rsidRPr="0062520D">
        <w:rPr>
          <w:sz w:val="24"/>
          <w:szCs w:val="24"/>
        </w:rPr>
        <w:t xml:space="preserve">” </w:t>
      </w:r>
      <w:proofErr w:type="spellStart"/>
      <w:r w:rsidRPr="0062520D">
        <w:rPr>
          <w:i/>
          <w:sz w:val="24"/>
          <w:szCs w:val="24"/>
        </w:rPr>
        <w:t>brightONLINE</w:t>
      </w:r>
      <w:proofErr w:type="spellEnd"/>
      <w:r w:rsidRPr="0062520D">
        <w:rPr>
          <w:sz w:val="24"/>
          <w:szCs w:val="24"/>
        </w:rPr>
        <w:t xml:space="preserve"> </w:t>
      </w:r>
      <w:r w:rsidRPr="0062520D">
        <w:rPr>
          <w:i/>
          <w:sz w:val="24"/>
          <w:szCs w:val="24"/>
        </w:rPr>
        <w:t>Online Journal of Literary Criticism and Creativity</w:t>
      </w:r>
      <w:r w:rsidRPr="0062520D">
        <w:rPr>
          <w:sz w:val="24"/>
          <w:szCs w:val="24"/>
        </w:rPr>
        <w:t xml:space="preserve"> 2 (August 2012)</w:t>
      </w:r>
      <w:r>
        <w:rPr>
          <w:sz w:val="24"/>
          <w:szCs w:val="24"/>
        </w:rPr>
        <w:t>.</w:t>
      </w:r>
      <w:proofErr w:type="gramEnd"/>
      <w:r w:rsidRPr="0062520D">
        <w:rPr>
          <w:sz w:val="24"/>
          <w:szCs w:val="24"/>
        </w:rPr>
        <w:t xml:space="preserve"> http://arts.brighton.ac.uk/study/english-literature-studies-brighton/brightonline/issue-number-two/the-fetishization-and-objectification-of-the-female-body-in-victorian-culture</w:t>
      </w:r>
      <w:r>
        <w:rPr>
          <w:sz w:val="24"/>
          <w:szCs w:val="24"/>
        </w:rPr>
        <w:t>.</w:t>
      </w:r>
    </w:p>
    <w:p w:rsidR="0062520D" w:rsidRDefault="0062520D" w:rsidP="0039452B">
      <w:pPr>
        <w:spacing w:after="0" w:line="240" w:lineRule="auto"/>
        <w:ind w:left="720" w:hanging="720"/>
        <w:rPr>
          <w:noProof/>
          <w:sz w:val="24"/>
          <w:szCs w:val="24"/>
        </w:rPr>
      </w:pPr>
    </w:p>
    <w:p w:rsidR="00A1389D" w:rsidRPr="00842757" w:rsidRDefault="00A1389D" w:rsidP="0039452B">
      <w:pPr>
        <w:spacing w:after="0" w:line="240" w:lineRule="auto"/>
        <w:ind w:left="720" w:hanging="720"/>
        <w:rPr>
          <w:noProof/>
          <w:sz w:val="24"/>
          <w:szCs w:val="24"/>
        </w:rPr>
      </w:pPr>
      <w:r w:rsidRPr="00842757">
        <w:rPr>
          <w:noProof/>
          <w:sz w:val="24"/>
          <w:szCs w:val="24"/>
        </w:rPr>
        <w:t xml:space="preserve">Austin, J. L. </w:t>
      </w:r>
      <w:r w:rsidRPr="00842757">
        <w:rPr>
          <w:i/>
          <w:noProof/>
          <w:sz w:val="24"/>
          <w:szCs w:val="24"/>
        </w:rPr>
        <w:t>The Works of J. L. Austin. Electronic Edition. How to Do Things with Words</w:t>
      </w:r>
      <w:r w:rsidR="00F3534B">
        <w:rPr>
          <w:noProof/>
          <w:sz w:val="24"/>
          <w:szCs w:val="24"/>
        </w:rPr>
        <w:t xml:space="preserve">. </w:t>
      </w:r>
      <w:r w:rsidRPr="00842757">
        <w:rPr>
          <w:noProof/>
          <w:sz w:val="24"/>
          <w:szCs w:val="24"/>
        </w:rPr>
        <w:t>Charlottesville, VA: InteLex Corporation, 2000.</w:t>
      </w:r>
      <w:bookmarkEnd w:id="38"/>
    </w:p>
    <w:p w:rsidR="00A1389D" w:rsidRPr="00842757" w:rsidRDefault="00A1389D" w:rsidP="0039452B">
      <w:pPr>
        <w:spacing w:after="0" w:line="240" w:lineRule="auto"/>
        <w:ind w:left="720" w:hanging="720"/>
        <w:rPr>
          <w:sz w:val="24"/>
          <w:szCs w:val="24"/>
        </w:rPr>
      </w:pPr>
    </w:p>
    <w:p w:rsidR="006B26A5" w:rsidRPr="006B26A5" w:rsidRDefault="006B26A5" w:rsidP="0039452B">
      <w:pPr>
        <w:spacing w:after="0" w:line="240" w:lineRule="auto"/>
        <w:ind w:left="720" w:hanging="720"/>
        <w:rPr>
          <w:sz w:val="24"/>
          <w:szCs w:val="24"/>
        </w:rPr>
      </w:pPr>
      <w:r w:rsidRPr="006B26A5">
        <w:rPr>
          <w:sz w:val="24"/>
          <w:szCs w:val="24"/>
        </w:rPr>
        <w:t>Barthes,</w:t>
      </w:r>
      <w:r>
        <w:rPr>
          <w:sz w:val="24"/>
          <w:szCs w:val="24"/>
        </w:rPr>
        <w:t xml:space="preserve"> </w:t>
      </w:r>
      <w:r w:rsidRPr="006B26A5">
        <w:rPr>
          <w:sz w:val="24"/>
          <w:szCs w:val="24"/>
        </w:rPr>
        <w:t>Roland</w:t>
      </w:r>
      <w:r>
        <w:rPr>
          <w:sz w:val="24"/>
          <w:szCs w:val="24"/>
        </w:rPr>
        <w:t>.</w:t>
      </w:r>
      <w:r w:rsidRPr="006B26A5">
        <w:rPr>
          <w:sz w:val="24"/>
          <w:szCs w:val="24"/>
        </w:rPr>
        <w:t xml:space="preserve"> </w:t>
      </w:r>
      <w:proofErr w:type="gramStart"/>
      <w:r>
        <w:rPr>
          <w:sz w:val="24"/>
          <w:szCs w:val="24"/>
        </w:rPr>
        <w:t>“The Grain of the Voice.”</w:t>
      </w:r>
      <w:proofErr w:type="gramEnd"/>
      <w:r>
        <w:rPr>
          <w:sz w:val="24"/>
          <w:szCs w:val="24"/>
        </w:rPr>
        <w:t xml:space="preserve"> </w:t>
      </w:r>
      <w:r w:rsidR="005E56A8">
        <w:rPr>
          <w:sz w:val="24"/>
          <w:szCs w:val="24"/>
        </w:rPr>
        <w:t xml:space="preserve">1977. </w:t>
      </w:r>
      <w:r>
        <w:rPr>
          <w:sz w:val="24"/>
          <w:szCs w:val="24"/>
        </w:rPr>
        <w:t>R</w:t>
      </w:r>
      <w:r w:rsidRPr="006B26A5">
        <w:rPr>
          <w:sz w:val="24"/>
          <w:szCs w:val="24"/>
        </w:rPr>
        <w:t>eprinted in</w:t>
      </w:r>
      <w:r w:rsidRPr="006B26A5">
        <w:rPr>
          <w:noProof/>
          <w:sz w:val="24"/>
          <w:szCs w:val="24"/>
        </w:rPr>
        <w:t xml:space="preserve"> </w:t>
      </w:r>
      <w:r w:rsidRPr="006B26A5">
        <w:rPr>
          <w:i/>
          <w:noProof/>
          <w:sz w:val="24"/>
          <w:szCs w:val="24"/>
        </w:rPr>
        <w:t>On Record: Rock, Pop, and the Written Word</w:t>
      </w:r>
      <w:r w:rsidRPr="006B26A5">
        <w:rPr>
          <w:noProof/>
          <w:sz w:val="24"/>
          <w:szCs w:val="24"/>
        </w:rPr>
        <w:t>,</w:t>
      </w:r>
      <w:r>
        <w:rPr>
          <w:noProof/>
          <w:sz w:val="24"/>
          <w:szCs w:val="24"/>
        </w:rPr>
        <w:t xml:space="preserve"> edited by</w:t>
      </w:r>
      <w:r w:rsidRPr="006B26A5">
        <w:rPr>
          <w:noProof/>
          <w:sz w:val="24"/>
          <w:szCs w:val="24"/>
        </w:rPr>
        <w:t xml:space="preserve"> Sim</w:t>
      </w:r>
      <w:r>
        <w:rPr>
          <w:noProof/>
          <w:sz w:val="24"/>
          <w:szCs w:val="24"/>
        </w:rPr>
        <w:t xml:space="preserve">on Frith and Andrew Goodwin, 293-300. </w:t>
      </w:r>
      <w:r w:rsidRPr="006B26A5">
        <w:rPr>
          <w:noProof/>
          <w:sz w:val="24"/>
          <w:szCs w:val="24"/>
        </w:rPr>
        <w:t>New York: Pantheo</w:t>
      </w:r>
      <w:r>
        <w:rPr>
          <w:noProof/>
          <w:sz w:val="24"/>
          <w:szCs w:val="24"/>
        </w:rPr>
        <w:t>n Books, 1990.</w:t>
      </w:r>
    </w:p>
    <w:p w:rsidR="006B26A5" w:rsidRDefault="006B26A5" w:rsidP="0039452B">
      <w:pPr>
        <w:spacing w:after="0" w:line="240" w:lineRule="auto"/>
        <w:ind w:left="720" w:hanging="720"/>
        <w:rPr>
          <w:sz w:val="24"/>
          <w:szCs w:val="24"/>
        </w:rPr>
      </w:pPr>
    </w:p>
    <w:p w:rsidR="007B3705" w:rsidRPr="00842757" w:rsidRDefault="007B3705" w:rsidP="0039452B">
      <w:pPr>
        <w:spacing w:after="0" w:line="240" w:lineRule="auto"/>
        <w:ind w:left="720" w:hanging="720"/>
        <w:rPr>
          <w:sz w:val="24"/>
          <w:szCs w:val="24"/>
        </w:rPr>
      </w:pPr>
      <w:proofErr w:type="gramStart"/>
      <w:r w:rsidRPr="00842757">
        <w:rPr>
          <w:sz w:val="24"/>
          <w:szCs w:val="24"/>
        </w:rPr>
        <w:t>Belasco, F. and M.H. Rosenfeld.</w:t>
      </w:r>
      <w:proofErr w:type="gramEnd"/>
      <w:r w:rsidRPr="00842757">
        <w:rPr>
          <w:sz w:val="24"/>
          <w:szCs w:val="24"/>
        </w:rPr>
        <w:t xml:space="preserve"> “He's </w:t>
      </w:r>
      <w:proofErr w:type="gramStart"/>
      <w:r w:rsidRPr="00842757">
        <w:rPr>
          <w:sz w:val="24"/>
          <w:szCs w:val="24"/>
        </w:rPr>
        <w:t>The</w:t>
      </w:r>
      <w:proofErr w:type="gramEnd"/>
      <w:r w:rsidRPr="00842757">
        <w:rPr>
          <w:sz w:val="24"/>
          <w:szCs w:val="24"/>
        </w:rPr>
        <w:t xml:space="preserve"> Picture of His Daddy </w:t>
      </w:r>
      <w:r w:rsidR="00EA2504" w:rsidRPr="00842757">
        <w:rPr>
          <w:sz w:val="24"/>
          <w:szCs w:val="24"/>
        </w:rPr>
        <w:t xml:space="preserve">in a 1000 Different Ways!” </w:t>
      </w:r>
      <w:proofErr w:type="spellStart"/>
      <w:r w:rsidR="00E364BD">
        <w:rPr>
          <w:sz w:val="24"/>
          <w:szCs w:val="24"/>
        </w:rPr>
        <w:t>n.p</w:t>
      </w:r>
      <w:proofErr w:type="spellEnd"/>
      <w:r w:rsidR="00E364BD">
        <w:rPr>
          <w:sz w:val="24"/>
          <w:szCs w:val="24"/>
        </w:rPr>
        <w:t xml:space="preserve">.: </w:t>
      </w:r>
      <w:proofErr w:type="spellStart"/>
      <w:r w:rsidR="00EA2504" w:rsidRPr="00842757">
        <w:rPr>
          <w:sz w:val="24"/>
          <w:szCs w:val="24"/>
        </w:rPr>
        <w:t>W.F.</w:t>
      </w:r>
      <w:r w:rsidRPr="00842757">
        <w:rPr>
          <w:sz w:val="24"/>
          <w:szCs w:val="24"/>
        </w:rPr>
        <w:t>Shaw</w:t>
      </w:r>
      <w:proofErr w:type="spellEnd"/>
      <w:r w:rsidRPr="00842757">
        <w:rPr>
          <w:sz w:val="24"/>
          <w:szCs w:val="24"/>
        </w:rPr>
        <w:t xml:space="preserve">, 1886. Box 054, Item 049, </w:t>
      </w:r>
      <w:proofErr w:type="gramStart"/>
      <w:r w:rsidRPr="00842757">
        <w:rPr>
          <w:sz w:val="24"/>
          <w:szCs w:val="24"/>
        </w:rPr>
        <w:t>The</w:t>
      </w:r>
      <w:proofErr w:type="gramEnd"/>
      <w:r w:rsidRPr="00842757">
        <w:rPr>
          <w:sz w:val="24"/>
          <w:szCs w:val="24"/>
        </w:rPr>
        <w:t xml:space="preserve"> Lester S. Levy Co</w:t>
      </w:r>
      <w:r w:rsidR="00EA2504" w:rsidRPr="00842757">
        <w:rPr>
          <w:sz w:val="24"/>
          <w:szCs w:val="24"/>
        </w:rPr>
        <w:t>llection of Sheet Music, The</w:t>
      </w:r>
      <w:r w:rsidR="00E364BD">
        <w:rPr>
          <w:sz w:val="24"/>
          <w:szCs w:val="24"/>
        </w:rPr>
        <w:t xml:space="preserve"> </w:t>
      </w:r>
      <w:r w:rsidRPr="00842757">
        <w:rPr>
          <w:sz w:val="24"/>
          <w:szCs w:val="24"/>
        </w:rPr>
        <w:t>Sheridan Libraries, John Hopkins University, Baltimore, Maryland.</w:t>
      </w:r>
    </w:p>
    <w:p w:rsidR="007B3705" w:rsidRPr="00842757" w:rsidRDefault="007B3705" w:rsidP="0039452B">
      <w:pPr>
        <w:spacing w:after="0" w:line="240" w:lineRule="auto"/>
        <w:ind w:left="720" w:hanging="720"/>
        <w:rPr>
          <w:rFonts w:cstheme="minorHAnsi"/>
          <w:sz w:val="24"/>
          <w:szCs w:val="24"/>
        </w:rPr>
      </w:pPr>
    </w:p>
    <w:p w:rsidR="00DF1623" w:rsidRDefault="00DF1623" w:rsidP="0039452B">
      <w:pPr>
        <w:spacing w:line="240" w:lineRule="auto"/>
        <w:rPr>
          <w:rFonts w:cstheme="minorHAnsi"/>
          <w:sz w:val="24"/>
          <w:szCs w:val="24"/>
        </w:rPr>
      </w:pPr>
      <w:proofErr w:type="spellStart"/>
      <w:proofErr w:type="gramStart"/>
      <w:r w:rsidRPr="00842757">
        <w:rPr>
          <w:sz w:val="24"/>
          <w:szCs w:val="24"/>
        </w:rPr>
        <w:t>Bickwell</w:t>
      </w:r>
      <w:proofErr w:type="spellEnd"/>
      <w:r w:rsidRPr="00842757">
        <w:rPr>
          <w:sz w:val="24"/>
          <w:szCs w:val="24"/>
        </w:rPr>
        <w:t xml:space="preserve">, G. and T. </w:t>
      </w:r>
      <w:proofErr w:type="spellStart"/>
      <w:r w:rsidRPr="00842757">
        <w:rPr>
          <w:sz w:val="24"/>
          <w:szCs w:val="24"/>
        </w:rPr>
        <w:t>Kennick</w:t>
      </w:r>
      <w:proofErr w:type="spellEnd"/>
      <w:r w:rsidRPr="00842757">
        <w:rPr>
          <w:sz w:val="24"/>
          <w:szCs w:val="24"/>
        </w:rPr>
        <w:t>.</w:t>
      </w:r>
      <w:proofErr w:type="gramEnd"/>
      <w:r w:rsidRPr="00842757">
        <w:rPr>
          <w:sz w:val="24"/>
          <w:szCs w:val="24"/>
        </w:rPr>
        <w:t xml:space="preserve"> </w:t>
      </w:r>
      <w:proofErr w:type="gramStart"/>
      <w:r w:rsidRPr="00842757">
        <w:rPr>
          <w:sz w:val="24"/>
          <w:szCs w:val="24"/>
        </w:rPr>
        <w:t>“You Naughty, Naughty Men.”</w:t>
      </w:r>
      <w:proofErr w:type="gramEnd"/>
      <w:r w:rsidRPr="00842757">
        <w:rPr>
          <w:i/>
          <w:sz w:val="24"/>
          <w:szCs w:val="24"/>
        </w:rPr>
        <w:t xml:space="preserve"> </w:t>
      </w:r>
      <w:r w:rsidRPr="00842757">
        <w:rPr>
          <w:sz w:val="24"/>
          <w:szCs w:val="24"/>
        </w:rPr>
        <w:t>New York: S.T. Gordon &amp; Son, 1866.</w:t>
      </w:r>
      <w:r w:rsidRPr="00842757">
        <w:rPr>
          <w:sz w:val="24"/>
          <w:szCs w:val="24"/>
        </w:rPr>
        <w:tab/>
        <w:t xml:space="preserve">Box 7, </w:t>
      </w:r>
      <w:r w:rsidRPr="00842757">
        <w:rPr>
          <w:rFonts w:cstheme="minorHAnsi"/>
          <w:sz w:val="24"/>
          <w:szCs w:val="24"/>
        </w:rPr>
        <w:t>Edison Sheet Music Collection, Music Division, Library of Congress, Washington,</w:t>
      </w:r>
      <w:r w:rsidRPr="00842757">
        <w:rPr>
          <w:rFonts w:cstheme="minorHAnsi"/>
          <w:sz w:val="24"/>
          <w:szCs w:val="24"/>
        </w:rPr>
        <w:tab/>
        <w:t>D.C.</w:t>
      </w:r>
    </w:p>
    <w:p w:rsidR="0039452B" w:rsidRDefault="0039452B" w:rsidP="0039452B">
      <w:pPr>
        <w:spacing w:after="0" w:line="240" w:lineRule="auto"/>
        <w:rPr>
          <w:rFonts w:ascii="Times New Roman" w:eastAsia="Times New Roman" w:hAnsi="Times New Roman" w:cs="Times New Roman"/>
          <w:sz w:val="24"/>
          <w:szCs w:val="24"/>
        </w:rPr>
      </w:pPr>
      <w:proofErr w:type="gramStart"/>
      <w:r w:rsidRPr="0039452B">
        <w:rPr>
          <w:rFonts w:ascii="Calibri" w:eastAsia="Times New Roman" w:hAnsi="Calibri" w:cs="Times New Roman"/>
          <w:color w:val="000000"/>
          <w:sz w:val="24"/>
          <w:szCs w:val="24"/>
        </w:rPr>
        <w:t xml:space="preserve">Born, Georgina, and David </w:t>
      </w:r>
      <w:proofErr w:type="spellStart"/>
      <w:r w:rsidRPr="0039452B">
        <w:rPr>
          <w:rFonts w:ascii="Calibri" w:eastAsia="Times New Roman" w:hAnsi="Calibri" w:cs="Times New Roman"/>
          <w:color w:val="000000"/>
          <w:sz w:val="24"/>
          <w:szCs w:val="24"/>
        </w:rPr>
        <w:t>Hesmondhalgh</w:t>
      </w:r>
      <w:proofErr w:type="spellEnd"/>
      <w:r w:rsidRPr="0039452B">
        <w:rPr>
          <w:rFonts w:ascii="Calibri" w:eastAsia="Times New Roman" w:hAnsi="Calibri" w:cs="Times New Roman"/>
          <w:color w:val="000000"/>
          <w:sz w:val="24"/>
          <w:szCs w:val="24"/>
        </w:rPr>
        <w:t>.</w:t>
      </w:r>
      <w:proofErr w:type="gramEnd"/>
      <w:r w:rsidRPr="0039452B">
        <w:rPr>
          <w:rFonts w:ascii="Calibri" w:eastAsia="Times New Roman" w:hAnsi="Calibri" w:cs="Times New Roman"/>
          <w:color w:val="000000"/>
          <w:sz w:val="24"/>
          <w:szCs w:val="24"/>
        </w:rPr>
        <w:t> </w:t>
      </w:r>
      <w:r w:rsidR="00F75D81">
        <w:rPr>
          <w:rFonts w:ascii="Calibri" w:eastAsia="Times New Roman" w:hAnsi="Calibri" w:cs="Times New Roman"/>
          <w:color w:val="000000"/>
          <w:sz w:val="24"/>
          <w:szCs w:val="24"/>
        </w:rPr>
        <w:t>“Introduction: On Difference, Representation and</w:t>
      </w:r>
      <w:r w:rsidR="00F75D81">
        <w:rPr>
          <w:rFonts w:ascii="Calibri" w:eastAsia="Times New Roman" w:hAnsi="Calibri" w:cs="Times New Roman"/>
          <w:color w:val="000000"/>
          <w:sz w:val="24"/>
          <w:szCs w:val="24"/>
        </w:rPr>
        <w:tab/>
        <w:t xml:space="preserve">Appropriation in Music.” In </w:t>
      </w:r>
      <w:r w:rsidRPr="0039452B">
        <w:rPr>
          <w:rFonts w:ascii="Calibri" w:eastAsia="Times New Roman" w:hAnsi="Calibri" w:cs="Times New Roman"/>
          <w:i/>
          <w:iCs/>
          <w:color w:val="000000"/>
          <w:sz w:val="24"/>
          <w:szCs w:val="24"/>
        </w:rPr>
        <w:t>Western Mu</w:t>
      </w:r>
      <w:r>
        <w:rPr>
          <w:rFonts w:ascii="Calibri" w:eastAsia="Times New Roman" w:hAnsi="Calibri" w:cs="Times New Roman"/>
          <w:i/>
          <w:iCs/>
          <w:color w:val="000000"/>
          <w:sz w:val="24"/>
          <w:szCs w:val="24"/>
        </w:rPr>
        <w:t>sic and its</w:t>
      </w:r>
      <w:r w:rsidR="00F75D81">
        <w:rPr>
          <w:rFonts w:ascii="Calibri" w:eastAsia="Times New Roman" w:hAnsi="Calibri" w:cs="Times New Roman"/>
          <w:i/>
          <w:iCs/>
          <w:color w:val="000000"/>
          <w:sz w:val="24"/>
          <w:szCs w:val="24"/>
        </w:rPr>
        <w:t xml:space="preserve"> Others: Difference, Representation,</w:t>
      </w:r>
      <w:r w:rsidR="00F75D81">
        <w:rPr>
          <w:rFonts w:ascii="Calibri" w:eastAsia="Times New Roman" w:hAnsi="Calibri" w:cs="Times New Roman"/>
          <w:i/>
          <w:iCs/>
          <w:color w:val="000000"/>
          <w:sz w:val="24"/>
          <w:szCs w:val="24"/>
        </w:rPr>
        <w:tab/>
      </w:r>
      <w:r w:rsidRPr="0039452B">
        <w:rPr>
          <w:rFonts w:ascii="Calibri" w:eastAsia="Times New Roman" w:hAnsi="Calibri" w:cs="Times New Roman"/>
          <w:i/>
          <w:iCs/>
          <w:color w:val="000000"/>
          <w:sz w:val="24"/>
          <w:szCs w:val="24"/>
        </w:rPr>
        <w:t>and Appropriation in Music</w:t>
      </w:r>
      <w:r w:rsidR="00F75D81">
        <w:rPr>
          <w:rFonts w:ascii="Calibri" w:eastAsia="Times New Roman" w:hAnsi="Calibri" w:cs="Times New Roman"/>
          <w:iCs/>
          <w:color w:val="000000"/>
          <w:sz w:val="24"/>
          <w:szCs w:val="24"/>
        </w:rPr>
        <w:t xml:space="preserve">, edited by Georgina Born and David </w:t>
      </w:r>
      <w:proofErr w:type="spellStart"/>
      <w:r w:rsidR="00F75D81">
        <w:rPr>
          <w:rFonts w:ascii="Calibri" w:eastAsia="Times New Roman" w:hAnsi="Calibri" w:cs="Times New Roman"/>
          <w:iCs/>
          <w:color w:val="000000"/>
          <w:sz w:val="24"/>
          <w:szCs w:val="24"/>
        </w:rPr>
        <w:t>Hesmondhalgh</w:t>
      </w:r>
      <w:proofErr w:type="spellEnd"/>
      <w:r w:rsidR="00F75D81">
        <w:rPr>
          <w:rFonts w:ascii="Calibri" w:eastAsia="Times New Roman" w:hAnsi="Calibri" w:cs="Times New Roman"/>
          <w:iCs/>
          <w:color w:val="000000"/>
          <w:sz w:val="24"/>
          <w:szCs w:val="24"/>
        </w:rPr>
        <w:t>, 1-58</w:t>
      </w:r>
      <w:r w:rsidR="00F75D81">
        <w:rPr>
          <w:rFonts w:ascii="Calibri" w:eastAsia="Times New Roman" w:hAnsi="Calibri" w:cs="Times New Roman"/>
          <w:color w:val="000000"/>
          <w:sz w:val="24"/>
          <w:szCs w:val="24"/>
        </w:rPr>
        <w:t>.</w:t>
      </w:r>
      <w:r w:rsidR="00F75D81">
        <w:rPr>
          <w:rFonts w:ascii="Calibri" w:eastAsia="Times New Roman" w:hAnsi="Calibri" w:cs="Times New Roman"/>
          <w:color w:val="000000"/>
          <w:sz w:val="24"/>
          <w:szCs w:val="24"/>
        </w:rPr>
        <w:tab/>
      </w:r>
      <w:r w:rsidRPr="0039452B">
        <w:rPr>
          <w:rFonts w:ascii="Calibri" w:eastAsia="Times New Roman" w:hAnsi="Calibri" w:cs="Times New Roman"/>
          <w:color w:val="000000"/>
          <w:sz w:val="24"/>
          <w:szCs w:val="24"/>
        </w:rPr>
        <w:t xml:space="preserve">Berkeley: </w:t>
      </w:r>
      <w:r w:rsidR="00F75D81">
        <w:rPr>
          <w:rFonts w:ascii="Calibri" w:eastAsia="Times New Roman" w:hAnsi="Calibri" w:cs="Times New Roman"/>
          <w:color w:val="000000"/>
          <w:sz w:val="24"/>
          <w:szCs w:val="24"/>
        </w:rPr>
        <w:t xml:space="preserve">University of California Press, </w:t>
      </w:r>
      <w:r w:rsidRPr="0039452B">
        <w:rPr>
          <w:rFonts w:ascii="Calibri" w:eastAsia="Times New Roman" w:hAnsi="Calibri" w:cs="Times New Roman"/>
          <w:color w:val="000000"/>
          <w:sz w:val="24"/>
          <w:szCs w:val="24"/>
        </w:rPr>
        <w:t>2000.</w:t>
      </w:r>
    </w:p>
    <w:p w:rsidR="0039452B" w:rsidRPr="0039452B" w:rsidRDefault="0039452B" w:rsidP="0039452B">
      <w:pPr>
        <w:spacing w:after="0" w:line="240" w:lineRule="auto"/>
        <w:rPr>
          <w:rFonts w:ascii="Times New Roman" w:eastAsia="Times New Roman" w:hAnsi="Times New Roman" w:cs="Times New Roman"/>
          <w:sz w:val="24"/>
          <w:szCs w:val="24"/>
        </w:rPr>
      </w:pPr>
    </w:p>
    <w:p w:rsidR="007208C3" w:rsidRDefault="00A1389D" w:rsidP="00B83650">
      <w:pPr>
        <w:spacing w:after="0" w:line="240" w:lineRule="auto"/>
        <w:ind w:left="720" w:hanging="720"/>
        <w:rPr>
          <w:noProof/>
          <w:sz w:val="24"/>
          <w:szCs w:val="24"/>
        </w:rPr>
      </w:pPr>
      <w:bookmarkStart w:id="39" w:name="_ENREF_2"/>
      <w:r w:rsidRPr="00842757">
        <w:rPr>
          <w:noProof/>
          <w:sz w:val="24"/>
          <w:szCs w:val="24"/>
        </w:rPr>
        <w:t>Borroff, Edit</w:t>
      </w:r>
      <w:r w:rsidR="005E56A8">
        <w:rPr>
          <w:noProof/>
          <w:sz w:val="24"/>
          <w:szCs w:val="24"/>
        </w:rPr>
        <w:t>h. “</w:t>
      </w:r>
      <w:r w:rsidRPr="00842757">
        <w:rPr>
          <w:noProof/>
          <w:sz w:val="24"/>
          <w:szCs w:val="24"/>
        </w:rPr>
        <w:t>An American Par</w:t>
      </w:r>
      <w:r w:rsidR="005E56A8">
        <w:rPr>
          <w:noProof/>
          <w:sz w:val="24"/>
          <w:szCs w:val="24"/>
        </w:rPr>
        <w:t>lor at the Turn of the Century.”</w:t>
      </w:r>
      <w:r w:rsidRPr="00842757">
        <w:rPr>
          <w:noProof/>
          <w:sz w:val="24"/>
          <w:szCs w:val="24"/>
        </w:rPr>
        <w:t xml:space="preserve"> </w:t>
      </w:r>
      <w:r w:rsidRPr="00842757">
        <w:rPr>
          <w:i/>
          <w:noProof/>
          <w:sz w:val="24"/>
          <w:szCs w:val="24"/>
        </w:rPr>
        <w:t xml:space="preserve">American Music </w:t>
      </w:r>
      <w:r w:rsidRPr="00842757">
        <w:rPr>
          <w:noProof/>
          <w:sz w:val="24"/>
          <w:szCs w:val="24"/>
        </w:rPr>
        <w:t>4, no. 3 (1986): 302-08.</w:t>
      </w:r>
      <w:bookmarkEnd w:id="39"/>
    </w:p>
    <w:p w:rsidR="007208C3" w:rsidRDefault="007208C3" w:rsidP="0039452B">
      <w:pPr>
        <w:spacing w:after="0" w:line="240" w:lineRule="auto"/>
        <w:ind w:left="720" w:hanging="720"/>
        <w:rPr>
          <w:sz w:val="24"/>
          <w:szCs w:val="24"/>
        </w:rPr>
      </w:pPr>
    </w:p>
    <w:p w:rsidR="00170F6C" w:rsidRPr="00170F6C" w:rsidRDefault="00170F6C" w:rsidP="0039452B">
      <w:pPr>
        <w:spacing w:after="0" w:line="240" w:lineRule="auto"/>
        <w:ind w:left="720" w:hanging="720"/>
        <w:rPr>
          <w:noProof/>
          <w:sz w:val="24"/>
          <w:szCs w:val="24"/>
        </w:rPr>
      </w:pPr>
      <w:r w:rsidRPr="00170F6C">
        <w:rPr>
          <w:sz w:val="24"/>
          <w:szCs w:val="24"/>
        </w:rPr>
        <w:t>Braden</w:t>
      </w:r>
      <w:r>
        <w:rPr>
          <w:sz w:val="24"/>
          <w:szCs w:val="24"/>
        </w:rPr>
        <w:t>,</w:t>
      </w:r>
      <w:r w:rsidR="005E56A8">
        <w:rPr>
          <w:sz w:val="24"/>
          <w:szCs w:val="24"/>
        </w:rPr>
        <w:t xml:space="preserve"> Donna R. “‘</w:t>
      </w:r>
      <w:r w:rsidRPr="00170F6C">
        <w:rPr>
          <w:sz w:val="24"/>
          <w:szCs w:val="24"/>
        </w:rPr>
        <w:t>The Family That Plays Together Stays Together’: Family Pastimes a</w:t>
      </w:r>
      <w:r>
        <w:rPr>
          <w:sz w:val="24"/>
          <w:szCs w:val="24"/>
        </w:rPr>
        <w:t>nd Indoor Amusements, 1890-1930.” I</w:t>
      </w:r>
      <w:r w:rsidRPr="00170F6C">
        <w:rPr>
          <w:sz w:val="24"/>
          <w:szCs w:val="24"/>
        </w:rPr>
        <w:t xml:space="preserve">n </w:t>
      </w:r>
      <w:r w:rsidR="005E56A8">
        <w:rPr>
          <w:i/>
          <w:noProof/>
          <w:sz w:val="24"/>
          <w:szCs w:val="24"/>
        </w:rPr>
        <w:t>American Home Life, 1880-1930</w:t>
      </w:r>
      <w:r w:rsidRPr="00170F6C">
        <w:rPr>
          <w:i/>
          <w:noProof/>
          <w:sz w:val="24"/>
          <w:szCs w:val="24"/>
        </w:rPr>
        <w:t>: A Social History of Spaces and Services</w:t>
      </w:r>
      <w:r>
        <w:rPr>
          <w:noProof/>
          <w:sz w:val="24"/>
          <w:szCs w:val="24"/>
        </w:rPr>
        <w:t>, edited by</w:t>
      </w:r>
      <w:r w:rsidRPr="00170F6C">
        <w:rPr>
          <w:noProof/>
          <w:sz w:val="24"/>
          <w:szCs w:val="24"/>
        </w:rPr>
        <w:t xml:space="preserve"> Jessica </w:t>
      </w:r>
      <w:r w:rsidR="00C64E57">
        <w:rPr>
          <w:noProof/>
          <w:sz w:val="24"/>
          <w:szCs w:val="24"/>
        </w:rPr>
        <w:t>H. Foy and Thomas J. Schlereth, 145-161.</w:t>
      </w:r>
      <w:r>
        <w:rPr>
          <w:noProof/>
          <w:sz w:val="24"/>
          <w:szCs w:val="24"/>
        </w:rPr>
        <w:t xml:space="preserve"> </w:t>
      </w:r>
      <w:r w:rsidRPr="00170F6C">
        <w:rPr>
          <w:noProof/>
          <w:sz w:val="24"/>
          <w:szCs w:val="24"/>
        </w:rPr>
        <w:t>Knoxville: Unive</w:t>
      </w:r>
      <w:r>
        <w:rPr>
          <w:noProof/>
          <w:sz w:val="24"/>
          <w:szCs w:val="24"/>
        </w:rPr>
        <w:t>rsity of Tennessee Press, 1992.</w:t>
      </w:r>
    </w:p>
    <w:p w:rsidR="00170F6C" w:rsidRPr="00842757" w:rsidRDefault="00170F6C" w:rsidP="0039452B">
      <w:pPr>
        <w:spacing w:after="0" w:line="240" w:lineRule="auto"/>
        <w:ind w:left="720" w:hanging="720"/>
        <w:rPr>
          <w:noProof/>
          <w:sz w:val="24"/>
          <w:szCs w:val="24"/>
        </w:rPr>
      </w:pPr>
    </w:p>
    <w:p w:rsidR="009C1165" w:rsidRPr="004436D6" w:rsidRDefault="004436D6" w:rsidP="0039452B">
      <w:pPr>
        <w:spacing w:after="0" w:line="240" w:lineRule="auto"/>
        <w:ind w:left="720" w:hanging="720"/>
        <w:rPr>
          <w:rFonts w:ascii="Calibri" w:hAnsi="Calibri"/>
          <w:noProof/>
          <w:sz w:val="24"/>
          <w:szCs w:val="24"/>
        </w:rPr>
      </w:pPr>
      <w:r w:rsidRPr="004436D6">
        <w:rPr>
          <w:sz w:val="24"/>
          <w:szCs w:val="24"/>
        </w:rPr>
        <w:lastRenderedPageBreak/>
        <w:t xml:space="preserve">Brooks, Peter. “Melodrama, Body, </w:t>
      </w:r>
      <w:proofErr w:type="gramStart"/>
      <w:r w:rsidRPr="004436D6">
        <w:rPr>
          <w:sz w:val="24"/>
          <w:szCs w:val="24"/>
        </w:rPr>
        <w:t>Revolution</w:t>
      </w:r>
      <w:proofErr w:type="gramEnd"/>
      <w:r w:rsidR="00AA2C8F">
        <w:rPr>
          <w:sz w:val="24"/>
          <w:szCs w:val="24"/>
        </w:rPr>
        <w:t>.</w:t>
      </w:r>
      <w:r w:rsidRPr="004436D6">
        <w:rPr>
          <w:sz w:val="24"/>
          <w:szCs w:val="24"/>
        </w:rPr>
        <w:t xml:space="preserve">” </w:t>
      </w:r>
      <w:r w:rsidR="00AA2C8F">
        <w:rPr>
          <w:sz w:val="24"/>
          <w:szCs w:val="24"/>
        </w:rPr>
        <w:t>I</w:t>
      </w:r>
      <w:r>
        <w:rPr>
          <w:sz w:val="24"/>
          <w:szCs w:val="24"/>
        </w:rPr>
        <w:t xml:space="preserve">n </w:t>
      </w:r>
      <w:r w:rsidR="009C1165" w:rsidRPr="004436D6">
        <w:rPr>
          <w:rFonts w:ascii="Calibri" w:hAnsi="Calibri"/>
          <w:i/>
          <w:noProof/>
          <w:sz w:val="24"/>
          <w:szCs w:val="24"/>
        </w:rPr>
        <w:t>Melodrama: Stage, Picture, Screen</w:t>
      </w:r>
      <w:r>
        <w:rPr>
          <w:rFonts w:ascii="Calibri" w:hAnsi="Calibri"/>
          <w:noProof/>
          <w:sz w:val="24"/>
          <w:szCs w:val="24"/>
        </w:rPr>
        <w:t>, edited by</w:t>
      </w:r>
      <w:r w:rsidRPr="004436D6">
        <w:rPr>
          <w:sz w:val="24"/>
          <w:szCs w:val="24"/>
        </w:rPr>
        <w:t xml:space="preserve"> </w:t>
      </w:r>
      <w:r>
        <w:rPr>
          <w:sz w:val="24"/>
          <w:szCs w:val="24"/>
        </w:rPr>
        <w:t>J</w:t>
      </w:r>
      <w:r w:rsidR="00AA2C8F">
        <w:rPr>
          <w:sz w:val="24"/>
          <w:szCs w:val="24"/>
        </w:rPr>
        <w:t xml:space="preserve">acky </w:t>
      </w:r>
      <w:r>
        <w:rPr>
          <w:sz w:val="24"/>
          <w:szCs w:val="24"/>
        </w:rPr>
        <w:t xml:space="preserve">S. </w:t>
      </w:r>
      <w:r>
        <w:rPr>
          <w:rFonts w:ascii="Calibri" w:hAnsi="Calibri"/>
          <w:noProof/>
          <w:sz w:val="24"/>
          <w:szCs w:val="24"/>
        </w:rPr>
        <w:t>Bratton</w:t>
      </w:r>
      <w:r w:rsidRPr="004436D6">
        <w:rPr>
          <w:rFonts w:ascii="Calibri" w:hAnsi="Calibri"/>
          <w:noProof/>
          <w:sz w:val="24"/>
          <w:szCs w:val="24"/>
        </w:rPr>
        <w:t>, Ji</w:t>
      </w:r>
      <w:r>
        <w:rPr>
          <w:rFonts w:ascii="Calibri" w:hAnsi="Calibri"/>
          <w:noProof/>
          <w:sz w:val="24"/>
          <w:szCs w:val="24"/>
        </w:rPr>
        <w:t xml:space="preserve">m Cook, Christine Gledhill, </w:t>
      </w:r>
      <w:r w:rsidR="00AA2C8F">
        <w:rPr>
          <w:rFonts w:ascii="Calibri" w:hAnsi="Calibri"/>
          <w:noProof/>
          <w:sz w:val="24"/>
          <w:szCs w:val="24"/>
        </w:rPr>
        <w:t>11-24</w:t>
      </w:r>
      <w:r>
        <w:rPr>
          <w:rFonts w:ascii="Calibri" w:hAnsi="Calibri"/>
          <w:noProof/>
          <w:sz w:val="24"/>
          <w:szCs w:val="24"/>
        </w:rPr>
        <w:t>.</w:t>
      </w:r>
      <w:r w:rsidR="009C1165" w:rsidRPr="004436D6">
        <w:rPr>
          <w:rFonts w:ascii="Calibri" w:hAnsi="Calibri"/>
          <w:noProof/>
          <w:sz w:val="24"/>
          <w:szCs w:val="24"/>
        </w:rPr>
        <w:t xml:space="preserve"> London: British Film Institute, 1994.</w:t>
      </w:r>
    </w:p>
    <w:p w:rsidR="009C1165" w:rsidRPr="00842757" w:rsidRDefault="009C1165" w:rsidP="0039452B">
      <w:pPr>
        <w:spacing w:after="0" w:line="240" w:lineRule="auto"/>
        <w:ind w:left="720" w:hanging="720"/>
        <w:rPr>
          <w:rFonts w:ascii="Calibri" w:hAnsi="Calibri"/>
          <w:noProof/>
          <w:sz w:val="24"/>
          <w:szCs w:val="24"/>
        </w:rPr>
      </w:pPr>
    </w:p>
    <w:p w:rsidR="007B3705" w:rsidRPr="00842757" w:rsidRDefault="007B3705" w:rsidP="0039452B">
      <w:pPr>
        <w:spacing w:line="240" w:lineRule="auto"/>
        <w:rPr>
          <w:sz w:val="24"/>
          <w:szCs w:val="24"/>
        </w:rPr>
      </w:pPr>
      <w:r w:rsidRPr="00842757">
        <w:rPr>
          <w:sz w:val="24"/>
          <w:szCs w:val="24"/>
        </w:rPr>
        <w:t xml:space="preserve">Brigham, Gus B. “Old King Joel. </w:t>
      </w:r>
      <w:proofErr w:type="gramStart"/>
      <w:r w:rsidRPr="00842757">
        <w:rPr>
          <w:sz w:val="24"/>
          <w:szCs w:val="24"/>
        </w:rPr>
        <w:t>The Comic Gaping Song.”</w:t>
      </w:r>
      <w:proofErr w:type="gramEnd"/>
      <w:r w:rsidRPr="00842757">
        <w:rPr>
          <w:sz w:val="24"/>
          <w:szCs w:val="24"/>
        </w:rPr>
        <w:t xml:space="preserve"> Chicago: National Music Company,</w:t>
      </w:r>
      <w:r w:rsidRPr="00842757">
        <w:rPr>
          <w:sz w:val="24"/>
          <w:szCs w:val="24"/>
        </w:rPr>
        <w:tab/>
        <w:t xml:space="preserve">1885. Box 054, Item 092, </w:t>
      </w:r>
      <w:proofErr w:type="gramStart"/>
      <w:r w:rsidRPr="00842757">
        <w:rPr>
          <w:sz w:val="24"/>
          <w:szCs w:val="24"/>
        </w:rPr>
        <w:t>The</w:t>
      </w:r>
      <w:proofErr w:type="gramEnd"/>
      <w:r w:rsidRPr="00842757">
        <w:rPr>
          <w:sz w:val="24"/>
          <w:szCs w:val="24"/>
        </w:rPr>
        <w:t xml:space="preserve"> Lester S. Levy Collection of Sheet Music, The Sheridan</w:t>
      </w:r>
      <w:r w:rsidRPr="00842757">
        <w:rPr>
          <w:sz w:val="24"/>
          <w:szCs w:val="24"/>
        </w:rPr>
        <w:tab/>
        <w:t>Libraries, John</w:t>
      </w:r>
      <w:r w:rsidR="005E56A8">
        <w:rPr>
          <w:sz w:val="24"/>
          <w:szCs w:val="24"/>
        </w:rPr>
        <w:t>s</w:t>
      </w:r>
      <w:r w:rsidRPr="00842757">
        <w:rPr>
          <w:sz w:val="24"/>
          <w:szCs w:val="24"/>
        </w:rPr>
        <w:t xml:space="preserve"> Hopkins University, Baltimore, Maryland.</w:t>
      </w:r>
    </w:p>
    <w:p w:rsidR="00424ADF" w:rsidRPr="00842757" w:rsidRDefault="00424ADF" w:rsidP="0039452B">
      <w:pPr>
        <w:spacing w:line="240" w:lineRule="auto"/>
        <w:rPr>
          <w:sz w:val="24"/>
          <w:szCs w:val="24"/>
        </w:rPr>
      </w:pPr>
      <w:proofErr w:type="gramStart"/>
      <w:r w:rsidRPr="00842757">
        <w:rPr>
          <w:sz w:val="24"/>
          <w:szCs w:val="24"/>
        </w:rPr>
        <w:t xml:space="preserve">Brigham, G.B. and George </w:t>
      </w:r>
      <w:proofErr w:type="spellStart"/>
      <w:r w:rsidRPr="00842757">
        <w:rPr>
          <w:sz w:val="24"/>
          <w:szCs w:val="24"/>
        </w:rPr>
        <w:t>LeRoy</w:t>
      </w:r>
      <w:proofErr w:type="spellEnd"/>
      <w:r w:rsidRPr="00842757">
        <w:rPr>
          <w:sz w:val="24"/>
          <w:szCs w:val="24"/>
        </w:rPr>
        <w:t>.</w:t>
      </w:r>
      <w:proofErr w:type="gramEnd"/>
      <w:r w:rsidRPr="00842757">
        <w:rPr>
          <w:sz w:val="24"/>
          <w:szCs w:val="24"/>
        </w:rPr>
        <w:t xml:space="preserve"> “It Is a Terrible Deal: A Topical Song.” Chicago: National Music</w:t>
      </w:r>
      <w:r w:rsidRPr="00842757">
        <w:rPr>
          <w:sz w:val="24"/>
          <w:szCs w:val="24"/>
        </w:rPr>
        <w:tab/>
        <w:t xml:space="preserve">Co., 1889. Box 054, Item 064, </w:t>
      </w:r>
      <w:proofErr w:type="gramStart"/>
      <w:r w:rsidRPr="00842757">
        <w:rPr>
          <w:sz w:val="24"/>
          <w:szCs w:val="24"/>
        </w:rPr>
        <w:t>The</w:t>
      </w:r>
      <w:proofErr w:type="gramEnd"/>
      <w:r w:rsidRPr="00842757">
        <w:rPr>
          <w:sz w:val="24"/>
          <w:szCs w:val="24"/>
        </w:rPr>
        <w:t xml:space="preserve"> Lester S. Levy Collection of Sheet Music, The Sheridan</w:t>
      </w:r>
      <w:r w:rsidRPr="00842757">
        <w:rPr>
          <w:sz w:val="24"/>
          <w:szCs w:val="24"/>
        </w:rPr>
        <w:tab/>
        <w:t>Libraries, John</w:t>
      </w:r>
      <w:r w:rsidR="005E56A8">
        <w:rPr>
          <w:sz w:val="24"/>
          <w:szCs w:val="24"/>
        </w:rPr>
        <w:t>s</w:t>
      </w:r>
      <w:r w:rsidRPr="00842757">
        <w:rPr>
          <w:sz w:val="24"/>
          <w:szCs w:val="24"/>
        </w:rPr>
        <w:t xml:space="preserve"> Hopkins University, Baltimore, Maryland.</w:t>
      </w:r>
    </w:p>
    <w:p w:rsidR="00424ADF" w:rsidRPr="00842757" w:rsidRDefault="00424ADF" w:rsidP="0039452B">
      <w:pPr>
        <w:spacing w:line="240" w:lineRule="auto"/>
        <w:rPr>
          <w:sz w:val="24"/>
          <w:szCs w:val="24"/>
        </w:rPr>
      </w:pPr>
      <w:r w:rsidRPr="00842757">
        <w:rPr>
          <w:sz w:val="24"/>
          <w:szCs w:val="24"/>
        </w:rPr>
        <w:t xml:space="preserve">Browne, Ike. </w:t>
      </w:r>
      <w:proofErr w:type="gramStart"/>
      <w:r w:rsidRPr="00842757">
        <w:rPr>
          <w:sz w:val="24"/>
          <w:szCs w:val="24"/>
        </w:rPr>
        <w:t>“All On Account of the Tariff.”</w:t>
      </w:r>
      <w:proofErr w:type="gramEnd"/>
      <w:r w:rsidRPr="00842757">
        <w:rPr>
          <w:sz w:val="24"/>
          <w:szCs w:val="24"/>
        </w:rPr>
        <w:t xml:space="preserve"> Boston: I.S. Browne, 1890. Box 054, Item 004, </w:t>
      </w:r>
      <w:proofErr w:type="gramStart"/>
      <w:r w:rsidRPr="00842757">
        <w:rPr>
          <w:sz w:val="24"/>
          <w:szCs w:val="24"/>
        </w:rPr>
        <w:t>The</w:t>
      </w:r>
      <w:proofErr w:type="gramEnd"/>
      <w:r w:rsidRPr="00842757">
        <w:rPr>
          <w:sz w:val="24"/>
          <w:szCs w:val="24"/>
        </w:rPr>
        <w:tab/>
        <w:t>Lester S. Levy Collection of Sheet Music, The Sheridan Libraries, John</w:t>
      </w:r>
      <w:r w:rsidR="005E56A8">
        <w:rPr>
          <w:sz w:val="24"/>
          <w:szCs w:val="24"/>
        </w:rPr>
        <w:t>s Hopkins</w:t>
      </w:r>
      <w:r w:rsidR="005E56A8">
        <w:rPr>
          <w:sz w:val="24"/>
          <w:szCs w:val="24"/>
        </w:rPr>
        <w:tab/>
        <w:t xml:space="preserve">University, </w:t>
      </w:r>
      <w:r w:rsidRPr="00842757">
        <w:rPr>
          <w:sz w:val="24"/>
          <w:szCs w:val="24"/>
        </w:rPr>
        <w:t>Baltimore, Maryland.</w:t>
      </w:r>
    </w:p>
    <w:p w:rsidR="00C10EA4" w:rsidRPr="00842757" w:rsidRDefault="00204E9E" w:rsidP="0039452B">
      <w:pPr>
        <w:spacing w:after="0" w:line="240" w:lineRule="auto"/>
        <w:ind w:left="720" w:hanging="720"/>
        <w:rPr>
          <w:rFonts w:cstheme="minorHAnsi"/>
          <w:noProof/>
          <w:sz w:val="24"/>
          <w:szCs w:val="24"/>
        </w:rPr>
      </w:pPr>
      <w:r>
        <w:rPr>
          <w:rFonts w:cstheme="minorHAnsi"/>
          <w:noProof/>
          <w:sz w:val="24"/>
          <w:szCs w:val="24"/>
        </w:rPr>
        <w:t>Burgan, Mary. “</w:t>
      </w:r>
      <w:r w:rsidR="00C10EA4" w:rsidRPr="00842757">
        <w:rPr>
          <w:rFonts w:cstheme="minorHAnsi"/>
          <w:noProof/>
          <w:sz w:val="24"/>
          <w:szCs w:val="24"/>
        </w:rPr>
        <w:t>Heroines at the Piano: Women and Music</w:t>
      </w:r>
      <w:r>
        <w:rPr>
          <w:rFonts w:cstheme="minorHAnsi"/>
          <w:noProof/>
          <w:sz w:val="24"/>
          <w:szCs w:val="24"/>
        </w:rPr>
        <w:t xml:space="preserve"> in Nineteenth-Century Fiction.”</w:t>
      </w:r>
      <w:r w:rsidR="00C10EA4" w:rsidRPr="00842757">
        <w:rPr>
          <w:rFonts w:cstheme="minorHAnsi"/>
          <w:noProof/>
          <w:sz w:val="24"/>
          <w:szCs w:val="24"/>
        </w:rPr>
        <w:t xml:space="preserve"> </w:t>
      </w:r>
      <w:r w:rsidR="00C10EA4" w:rsidRPr="00842757">
        <w:rPr>
          <w:rFonts w:cstheme="minorHAnsi"/>
          <w:i/>
          <w:noProof/>
          <w:sz w:val="24"/>
          <w:szCs w:val="24"/>
        </w:rPr>
        <w:t xml:space="preserve">Victorian Studies </w:t>
      </w:r>
      <w:r w:rsidR="00C10EA4" w:rsidRPr="00842757">
        <w:rPr>
          <w:rFonts w:cstheme="minorHAnsi"/>
          <w:noProof/>
          <w:sz w:val="24"/>
          <w:szCs w:val="24"/>
        </w:rPr>
        <w:t>30, no. 1 (1986): 51-76.</w:t>
      </w:r>
    </w:p>
    <w:p w:rsidR="00C10EA4" w:rsidRPr="00842757" w:rsidRDefault="00C10EA4" w:rsidP="0039452B">
      <w:pPr>
        <w:spacing w:after="0" w:line="240" w:lineRule="auto"/>
        <w:ind w:left="720" w:hanging="720"/>
        <w:rPr>
          <w:rFonts w:cstheme="minorHAnsi"/>
          <w:noProof/>
          <w:sz w:val="24"/>
          <w:szCs w:val="24"/>
        </w:rPr>
      </w:pPr>
    </w:p>
    <w:p w:rsidR="00C10EA4" w:rsidRPr="00842757" w:rsidRDefault="007B3705" w:rsidP="0039452B">
      <w:pPr>
        <w:spacing w:after="0" w:line="240" w:lineRule="auto"/>
        <w:ind w:left="720" w:hanging="720"/>
        <w:rPr>
          <w:rFonts w:cstheme="minorHAnsi"/>
          <w:noProof/>
          <w:sz w:val="24"/>
          <w:szCs w:val="24"/>
        </w:rPr>
      </w:pPr>
      <w:r w:rsidRPr="00842757">
        <w:rPr>
          <w:rFonts w:cstheme="minorHAnsi"/>
          <w:noProof/>
          <w:sz w:val="24"/>
          <w:szCs w:val="24"/>
        </w:rPr>
        <w:t xml:space="preserve">Butler, Judith. </w:t>
      </w:r>
      <w:r w:rsidRPr="00842757">
        <w:rPr>
          <w:rFonts w:cstheme="minorHAnsi"/>
          <w:i/>
          <w:noProof/>
          <w:sz w:val="24"/>
          <w:szCs w:val="24"/>
        </w:rPr>
        <w:t>Gender Trouble</w:t>
      </w:r>
      <w:r w:rsidR="00E364BD">
        <w:rPr>
          <w:rFonts w:cstheme="minorHAnsi"/>
          <w:i/>
          <w:noProof/>
          <w:sz w:val="24"/>
          <w:szCs w:val="24"/>
        </w:rPr>
        <w:t>:</w:t>
      </w:r>
      <w:r w:rsidRPr="00842757">
        <w:rPr>
          <w:rFonts w:cstheme="minorHAnsi"/>
          <w:i/>
          <w:noProof/>
          <w:sz w:val="24"/>
          <w:szCs w:val="24"/>
        </w:rPr>
        <w:t xml:space="preserve"> Feminism and the Subversion of Identity</w:t>
      </w:r>
      <w:r w:rsidRPr="00842757">
        <w:rPr>
          <w:rFonts w:cstheme="minorHAnsi"/>
          <w:noProof/>
          <w:sz w:val="24"/>
          <w:szCs w:val="24"/>
        </w:rPr>
        <w:t>. New York: Routledge, 1990.</w:t>
      </w:r>
    </w:p>
    <w:p w:rsidR="00424ADF" w:rsidRPr="00842757" w:rsidRDefault="00424ADF" w:rsidP="0039452B">
      <w:pPr>
        <w:spacing w:after="0" w:line="240" w:lineRule="auto"/>
        <w:ind w:left="720" w:hanging="720"/>
        <w:rPr>
          <w:rFonts w:cstheme="minorHAnsi"/>
          <w:noProof/>
          <w:sz w:val="24"/>
          <w:szCs w:val="24"/>
        </w:rPr>
      </w:pPr>
    </w:p>
    <w:p w:rsidR="00C10EA4" w:rsidRPr="00842757" w:rsidRDefault="00424ADF" w:rsidP="0039452B">
      <w:pPr>
        <w:spacing w:line="240" w:lineRule="auto"/>
        <w:rPr>
          <w:sz w:val="24"/>
          <w:szCs w:val="24"/>
        </w:rPr>
      </w:pPr>
      <w:proofErr w:type="gramStart"/>
      <w:r w:rsidRPr="00842757">
        <w:rPr>
          <w:sz w:val="24"/>
          <w:szCs w:val="24"/>
        </w:rPr>
        <w:t>Carnes, Fred G</w:t>
      </w:r>
      <w:r w:rsidR="00E364BD">
        <w:rPr>
          <w:sz w:val="24"/>
          <w:szCs w:val="24"/>
        </w:rPr>
        <w:t>. and John G. Saxe.</w:t>
      </w:r>
      <w:proofErr w:type="gramEnd"/>
      <w:r w:rsidR="00E364BD">
        <w:rPr>
          <w:sz w:val="24"/>
          <w:szCs w:val="24"/>
        </w:rPr>
        <w:t xml:space="preserve"> “What They D</w:t>
      </w:r>
      <w:r w:rsidRPr="00842757">
        <w:rPr>
          <w:sz w:val="24"/>
          <w:szCs w:val="24"/>
        </w:rPr>
        <w:t xml:space="preserve">o at the </w:t>
      </w:r>
      <w:proofErr w:type="gramStart"/>
      <w:r w:rsidRPr="00842757">
        <w:rPr>
          <w:sz w:val="24"/>
          <w:szCs w:val="24"/>
        </w:rPr>
        <w:t>Springs</w:t>
      </w:r>
      <w:proofErr w:type="gramEnd"/>
      <w:r w:rsidRPr="00842757">
        <w:rPr>
          <w:sz w:val="24"/>
          <w:szCs w:val="24"/>
        </w:rPr>
        <w:t>.” San Francisco: California</w:t>
      </w:r>
      <w:r w:rsidRPr="00842757">
        <w:rPr>
          <w:sz w:val="24"/>
          <w:szCs w:val="24"/>
        </w:rPr>
        <w:tab/>
        <w:t xml:space="preserve">Music Publishing Company, 1878. Box 054, Item 155, </w:t>
      </w:r>
      <w:proofErr w:type="gramStart"/>
      <w:r w:rsidRPr="00842757">
        <w:rPr>
          <w:sz w:val="24"/>
          <w:szCs w:val="24"/>
        </w:rPr>
        <w:t>The</w:t>
      </w:r>
      <w:proofErr w:type="gramEnd"/>
      <w:r w:rsidRPr="00842757">
        <w:rPr>
          <w:sz w:val="24"/>
          <w:szCs w:val="24"/>
        </w:rPr>
        <w:t xml:space="preserve"> Lester S. Levy Collection of</w:t>
      </w:r>
      <w:r w:rsidRPr="00842757">
        <w:rPr>
          <w:sz w:val="24"/>
          <w:szCs w:val="24"/>
        </w:rPr>
        <w:tab/>
        <w:t>Sheet Music, The Sheridan Libraries, John</w:t>
      </w:r>
      <w:r w:rsidR="00204E9E">
        <w:rPr>
          <w:sz w:val="24"/>
          <w:szCs w:val="24"/>
        </w:rPr>
        <w:t>s</w:t>
      </w:r>
      <w:r w:rsidRPr="00842757">
        <w:rPr>
          <w:sz w:val="24"/>
          <w:szCs w:val="24"/>
        </w:rPr>
        <w:t xml:space="preserve"> Hopkins University, Baltimore, Maryland.</w:t>
      </w:r>
    </w:p>
    <w:p w:rsidR="00C10EA4" w:rsidRPr="00842757" w:rsidRDefault="00C10EA4" w:rsidP="0039452B">
      <w:pPr>
        <w:spacing w:after="0" w:line="240" w:lineRule="auto"/>
        <w:ind w:left="720" w:hanging="720"/>
        <w:rPr>
          <w:rFonts w:cstheme="minorHAnsi"/>
          <w:noProof/>
          <w:sz w:val="24"/>
          <w:szCs w:val="24"/>
        </w:rPr>
      </w:pPr>
      <w:bookmarkStart w:id="40" w:name="_ENREF_3"/>
      <w:r w:rsidRPr="00842757">
        <w:rPr>
          <w:rFonts w:cstheme="minorHAnsi"/>
          <w:noProof/>
          <w:sz w:val="24"/>
          <w:szCs w:val="24"/>
        </w:rPr>
        <w:t xml:space="preserve">Cavicchi, Daniel. </w:t>
      </w:r>
      <w:r w:rsidR="00E364BD">
        <w:rPr>
          <w:rFonts w:cstheme="minorHAnsi"/>
          <w:i/>
          <w:noProof/>
          <w:sz w:val="24"/>
          <w:szCs w:val="24"/>
        </w:rPr>
        <w:t>Tramps Like Us: Music and</w:t>
      </w:r>
      <w:r w:rsidRPr="00842757">
        <w:rPr>
          <w:rFonts w:cstheme="minorHAnsi"/>
          <w:i/>
          <w:noProof/>
          <w:sz w:val="24"/>
          <w:szCs w:val="24"/>
        </w:rPr>
        <w:t xml:space="preserve"> Meaning Among Springsteen Fans</w:t>
      </w:r>
      <w:r w:rsidR="00F3534B">
        <w:rPr>
          <w:rFonts w:cstheme="minorHAnsi"/>
          <w:noProof/>
          <w:sz w:val="24"/>
          <w:szCs w:val="24"/>
        </w:rPr>
        <w:t xml:space="preserve">. </w:t>
      </w:r>
      <w:r w:rsidRPr="00842757">
        <w:rPr>
          <w:rFonts w:cstheme="minorHAnsi"/>
          <w:noProof/>
          <w:sz w:val="24"/>
          <w:szCs w:val="24"/>
        </w:rPr>
        <w:t>New York: Oxford University Press, 1998.</w:t>
      </w:r>
      <w:bookmarkEnd w:id="40"/>
    </w:p>
    <w:p w:rsidR="00C10EA4" w:rsidRPr="00842757" w:rsidRDefault="00C10EA4" w:rsidP="0039452B">
      <w:pPr>
        <w:spacing w:after="0" w:line="240" w:lineRule="auto"/>
        <w:ind w:left="720" w:hanging="720"/>
        <w:rPr>
          <w:rFonts w:cstheme="minorHAnsi"/>
          <w:noProof/>
          <w:sz w:val="24"/>
          <w:szCs w:val="24"/>
        </w:rPr>
      </w:pPr>
    </w:p>
    <w:p w:rsidR="00C10EA4" w:rsidRPr="00842757" w:rsidRDefault="00C10EA4" w:rsidP="0039452B">
      <w:pPr>
        <w:spacing w:after="0" w:line="240" w:lineRule="auto"/>
        <w:ind w:left="720" w:hanging="720"/>
        <w:rPr>
          <w:rFonts w:cstheme="minorHAnsi"/>
          <w:noProof/>
          <w:sz w:val="24"/>
          <w:szCs w:val="24"/>
        </w:rPr>
      </w:pPr>
      <w:bookmarkStart w:id="41" w:name="_ENREF_4"/>
      <w:r w:rsidRPr="00842757">
        <w:rPr>
          <w:rFonts w:cstheme="minorHAnsi"/>
          <w:noProof/>
          <w:sz w:val="24"/>
          <w:szCs w:val="24"/>
        </w:rPr>
        <w:t xml:space="preserve">Cockrell, Dale. </w:t>
      </w:r>
      <w:r w:rsidRPr="00842757">
        <w:rPr>
          <w:rFonts w:cstheme="minorHAnsi"/>
          <w:i/>
          <w:noProof/>
          <w:sz w:val="24"/>
          <w:szCs w:val="24"/>
        </w:rPr>
        <w:t>Demons of Disorder: Early Blackface Minstrels and Their World</w:t>
      </w:r>
      <w:r w:rsidRPr="00842757">
        <w:rPr>
          <w:rFonts w:cstheme="minorHAnsi"/>
          <w:noProof/>
          <w:sz w:val="24"/>
          <w:szCs w:val="24"/>
        </w:rPr>
        <w:t>. New York: Cambridge University Press, 1997.</w:t>
      </w:r>
      <w:bookmarkEnd w:id="41"/>
    </w:p>
    <w:p w:rsidR="007B3705" w:rsidRPr="00842757" w:rsidRDefault="007B3705" w:rsidP="0039452B">
      <w:pPr>
        <w:spacing w:after="0" w:line="240" w:lineRule="auto"/>
        <w:ind w:left="720" w:hanging="720"/>
        <w:rPr>
          <w:rFonts w:cstheme="minorHAnsi"/>
          <w:noProof/>
          <w:sz w:val="24"/>
          <w:szCs w:val="24"/>
        </w:rPr>
      </w:pPr>
    </w:p>
    <w:p w:rsidR="00424ADF" w:rsidRPr="00842757" w:rsidRDefault="00424ADF" w:rsidP="0039452B">
      <w:pPr>
        <w:spacing w:line="240" w:lineRule="auto"/>
        <w:rPr>
          <w:sz w:val="24"/>
          <w:szCs w:val="24"/>
        </w:rPr>
      </w:pPr>
      <w:proofErr w:type="gramStart"/>
      <w:r w:rsidRPr="00842757">
        <w:rPr>
          <w:sz w:val="24"/>
          <w:szCs w:val="24"/>
        </w:rPr>
        <w:t xml:space="preserve">Cohen, J.B. and G.A. </w:t>
      </w:r>
      <w:proofErr w:type="spellStart"/>
      <w:r w:rsidRPr="00842757">
        <w:rPr>
          <w:sz w:val="24"/>
          <w:szCs w:val="24"/>
        </w:rPr>
        <w:t>Scofield</w:t>
      </w:r>
      <w:proofErr w:type="spellEnd"/>
      <w:r w:rsidRPr="00842757">
        <w:rPr>
          <w:sz w:val="24"/>
          <w:szCs w:val="24"/>
        </w:rPr>
        <w:t>.</w:t>
      </w:r>
      <w:proofErr w:type="gramEnd"/>
      <w:r w:rsidRPr="00842757">
        <w:rPr>
          <w:sz w:val="24"/>
          <w:szCs w:val="24"/>
        </w:rPr>
        <w:t xml:space="preserve"> </w:t>
      </w:r>
      <w:proofErr w:type="gramStart"/>
      <w:r w:rsidRPr="00842757">
        <w:rPr>
          <w:sz w:val="24"/>
          <w:szCs w:val="24"/>
        </w:rPr>
        <w:t>“Possum.”</w:t>
      </w:r>
      <w:proofErr w:type="gramEnd"/>
      <w:r w:rsidRPr="00842757">
        <w:rPr>
          <w:sz w:val="24"/>
          <w:szCs w:val="24"/>
        </w:rPr>
        <w:t xml:space="preserve"> New York: Pease Piano Company, 1909. Box 15, </w:t>
      </w:r>
      <w:r w:rsidRPr="00842757">
        <w:rPr>
          <w:rFonts w:cstheme="minorHAnsi"/>
          <w:sz w:val="24"/>
          <w:szCs w:val="24"/>
        </w:rPr>
        <w:t>Edison</w:t>
      </w:r>
      <w:r w:rsidRPr="00842757">
        <w:rPr>
          <w:rFonts w:cstheme="minorHAnsi"/>
          <w:sz w:val="24"/>
          <w:szCs w:val="24"/>
        </w:rPr>
        <w:tab/>
        <w:t>Sheet Music Collection, Music Division, Library of Congress, Washington, D.C.</w:t>
      </w:r>
    </w:p>
    <w:p w:rsidR="007B3705" w:rsidRPr="00842757" w:rsidRDefault="007B3705" w:rsidP="0039452B">
      <w:pPr>
        <w:spacing w:line="240" w:lineRule="auto"/>
        <w:rPr>
          <w:rFonts w:cstheme="minorHAnsi"/>
          <w:sz w:val="24"/>
          <w:szCs w:val="24"/>
        </w:rPr>
      </w:pPr>
      <w:r w:rsidRPr="00842757">
        <w:rPr>
          <w:sz w:val="24"/>
          <w:szCs w:val="24"/>
        </w:rPr>
        <w:t xml:space="preserve">Cook, Dennison and Edith Maida Lessing. </w:t>
      </w:r>
      <w:proofErr w:type="gramStart"/>
      <w:r w:rsidRPr="00842757">
        <w:rPr>
          <w:sz w:val="24"/>
          <w:szCs w:val="24"/>
        </w:rPr>
        <w:t>“When Crazy Joe Did the Alligator Slide.”</w:t>
      </w:r>
      <w:proofErr w:type="gramEnd"/>
      <w:r w:rsidRPr="00842757">
        <w:rPr>
          <w:sz w:val="24"/>
          <w:szCs w:val="24"/>
        </w:rPr>
        <w:t xml:space="preserve"> Chicago: Will</w:t>
      </w:r>
      <w:r w:rsidRPr="00842757">
        <w:rPr>
          <w:sz w:val="24"/>
          <w:szCs w:val="24"/>
        </w:rPr>
        <w:tab/>
      </w:r>
      <w:proofErr w:type="spellStart"/>
      <w:r w:rsidRPr="00842757">
        <w:rPr>
          <w:sz w:val="24"/>
          <w:szCs w:val="24"/>
        </w:rPr>
        <w:t>Rossiter</w:t>
      </w:r>
      <w:proofErr w:type="spellEnd"/>
      <w:r w:rsidRPr="00842757">
        <w:rPr>
          <w:sz w:val="24"/>
          <w:szCs w:val="24"/>
        </w:rPr>
        <w:t xml:space="preserve">, 1912. Box 16, </w:t>
      </w:r>
      <w:r w:rsidRPr="00842757">
        <w:rPr>
          <w:rFonts w:cstheme="minorHAnsi"/>
          <w:sz w:val="24"/>
          <w:szCs w:val="24"/>
        </w:rPr>
        <w:t>Edison Sheet Music Collection, Music Division, Library of</w:t>
      </w:r>
      <w:r w:rsidRPr="00842757">
        <w:rPr>
          <w:rFonts w:cstheme="minorHAnsi"/>
          <w:sz w:val="24"/>
          <w:szCs w:val="24"/>
        </w:rPr>
        <w:tab/>
        <w:t>Congress, Washington, D.C.</w:t>
      </w:r>
    </w:p>
    <w:p w:rsidR="00DF1623" w:rsidRPr="00842757" w:rsidRDefault="00DF1623" w:rsidP="0039452B">
      <w:pPr>
        <w:spacing w:line="240" w:lineRule="auto"/>
        <w:rPr>
          <w:rFonts w:cstheme="minorHAnsi"/>
          <w:sz w:val="24"/>
          <w:szCs w:val="24"/>
        </w:rPr>
      </w:pPr>
      <w:proofErr w:type="gramStart"/>
      <w:r w:rsidRPr="00842757">
        <w:rPr>
          <w:sz w:val="24"/>
          <w:szCs w:val="24"/>
        </w:rPr>
        <w:t>Cooper, Joe and Dave Oppenheim.</w:t>
      </w:r>
      <w:proofErr w:type="gramEnd"/>
      <w:r w:rsidRPr="00842757">
        <w:rPr>
          <w:sz w:val="24"/>
          <w:szCs w:val="24"/>
        </w:rPr>
        <w:t xml:space="preserve"> “Tickle It!” New York: Shapiro Music Pub. </w:t>
      </w:r>
      <w:proofErr w:type="gramStart"/>
      <w:r w:rsidRPr="00842757">
        <w:rPr>
          <w:sz w:val="24"/>
          <w:szCs w:val="24"/>
        </w:rPr>
        <w:t>Co., 1912.</w:t>
      </w:r>
      <w:proofErr w:type="gramEnd"/>
      <w:r w:rsidRPr="00842757">
        <w:rPr>
          <w:sz w:val="24"/>
          <w:szCs w:val="24"/>
        </w:rPr>
        <w:t xml:space="preserve"> Box 16,</w:t>
      </w:r>
      <w:r w:rsidRPr="00842757">
        <w:rPr>
          <w:sz w:val="24"/>
          <w:szCs w:val="24"/>
        </w:rPr>
        <w:tab/>
      </w:r>
      <w:r w:rsidRPr="00842757">
        <w:rPr>
          <w:rFonts w:cstheme="minorHAnsi"/>
          <w:sz w:val="24"/>
          <w:szCs w:val="24"/>
        </w:rPr>
        <w:t>Edison</w:t>
      </w:r>
      <w:r w:rsidRPr="00842757">
        <w:rPr>
          <w:rFonts w:cstheme="minorHAnsi"/>
          <w:sz w:val="24"/>
          <w:szCs w:val="24"/>
        </w:rPr>
        <w:tab/>
        <w:t>Sheet Music Collection, Music Division, Library of Congress, Washington, D.C.</w:t>
      </w:r>
    </w:p>
    <w:p w:rsidR="007B3705" w:rsidRPr="00842757" w:rsidRDefault="007B3705" w:rsidP="0039452B">
      <w:pPr>
        <w:spacing w:line="240" w:lineRule="auto"/>
        <w:rPr>
          <w:rFonts w:cstheme="minorHAnsi"/>
          <w:sz w:val="24"/>
          <w:szCs w:val="24"/>
        </w:rPr>
      </w:pPr>
      <w:proofErr w:type="spellStart"/>
      <w:r w:rsidRPr="00842757">
        <w:rPr>
          <w:sz w:val="24"/>
          <w:szCs w:val="24"/>
        </w:rPr>
        <w:t>Cranch</w:t>
      </w:r>
      <w:proofErr w:type="spellEnd"/>
      <w:r w:rsidRPr="00842757">
        <w:rPr>
          <w:sz w:val="24"/>
          <w:szCs w:val="24"/>
        </w:rPr>
        <w:t xml:space="preserve">, C.P. “The </w:t>
      </w:r>
      <w:proofErr w:type="spellStart"/>
      <w:r w:rsidRPr="00842757">
        <w:rPr>
          <w:sz w:val="24"/>
          <w:szCs w:val="24"/>
        </w:rPr>
        <w:t>Roomatiz</w:t>
      </w:r>
      <w:proofErr w:type="spellEnd"/>
      <w:r w:rsidRPr="00842757">
        <w:rPr>
          <w:sz w:val="24"/>
          <w:szCs w:val="24"/>
        </w:rPr>
        <w:t xml:space="preserve">.” New York: Wm. A. Pond &amp; Co., 1871. Box 054, Item 115, </w:t>
      </w:r>
      <w:proofErr w:type="gramStart"/>
      <w:r w:rsidRPr="00842757">
        <w:rPr>
          <w:sz w:val="24"/>
          <w:szCs w:val="24"/>
        </w:rPr>
        <w:t>The</w:t>
      </w:r>
      <w:proofErr w:type="gramEnd"/>
      <w:r w:rsidRPr="00842757">
        <w:rPr>
          <w:sz w:val="24"/>
          <w:szCs w:val="24"/>
        </w:rPr>
        <w:tab/>
        <w:t>Lester S. Levy Collection of Sheet Music, The Sheridan Libraries, John</w:t>
      </w:r>
      <w:r w:rsidR="00204E9E">
        <w:rPr>
          <w:sz w:val="24"/>
          <w:szCs w:val="24"/>
        </w:rPr>
        <w:t>s Hopkins</w:t>
      </w:r>
      <w:r w:rsidR="00204E9E">
        <w:rPr>
          <w:sz w:val="24"/>
          <w:szCs w:val="24"/>
        </w:rPr>
        <w:tab/>
        <w:t xml:space="preserve">University, </w:t>
      </w:r>
      <w:r w:rsidRPr="00842757">
        <w:rPr>
          <w:sz w:val="24"/>
          <w:szCs w:val="24"/>
        </w:rPr>
        <w:t>Baltimore, Maryland.</w:t>
      </w:r>
    </w:p>
    <w:p w:rsidR="00424ADF" w:rsidRPr="00842757" w:rsidRDefault="00424ADF" w:rsidP="0039452B">
      <w:pPr>
        <w:spacing w:line="240" w:lineRule="auto"/>
        <w:rPr>
          <w:sz w:val="24"/>
          <w:szCs w:val="24"/>
        </w:rPr>
      </w:pPr>
      <w:r w:rsidRPr="00842757">
        <w:rPr>
          <w:sz w:val="24"/>
          <w:szCs w:val="24"/>
        </w:rPr>
        <w:lastRenderedPageBreak/>
        <w:t>Davis, Gussie L. “The Coon That I Suspected.” Cincinnati: The John Church Company, 1895. Box</w:t>
      </w:r>
      <w:r w:rsidRPr="00842757">
        <w:rPr>
          <w:sz w:val="24"/>
          <w:szCs w:val="24"/>
        </w:rPr>
        <w:tab/>
        <w:t xml:space="preserve">19, </w:t>
      </w:r>
      <w:r w:rsidRPr="00842757">
        <w:rPr>
          <w:rFonts w:cstheme="minorHAnsi"/>
          <w:sz w:val="24"/>
          <w:szCs w:val="24"/>
        </w:rPr>
        <w:t>Edison Sheet Music Collection, Music Division, Library of Congress, Washington, D.C.</w:t>
      </w:r>
    </w:p>
    <w:p w:rsidR="007B3705" w:rsidRPr="00842757" w:rsidRDefault="007B3705" w:rsidP="0039452B">
      <w:pPr>
        <w:spacing w:after="0" w:line="240" w:lineRule="auto"/>
        <w:ind w:left="720" w:hanging="720"/>
        <w:rPr>
          <w:noProof/>
          <w:sz w:val="24"/>
          <w:szCs w:val="24"/>
        </w:rPr>
      </w:pPr>
      <w:r w:rsidRPr="00842757">
        <w:rPr>
          <w:noProof/>
          <w:sz w:val="24"/>
          <w:szCs w:val="24"/>
        </w:rPr>
        <w:t xml:space="preserve">Delaumosne, Angélique Arnaud, François Delsarte, and Marie Delsarte Géraldy. </w:t>
      </w:r>
      <w:r w:rsidRPr="00842757">
        <w:rPr>
          <w:i/>
          <w:noProof/>
          <w:sz w:val="24"/>
          <w:szCs w:val="24"/>
        </w:rPr>
        <w:t>Delsarte System of Oratory</w:t>
      </w:r>
      <w:r w:rsidR="00F3534B">
        <w:rPr>
          <w:noProof/>
          <w:sz w:val="24"/>
          <w:szCs w:val="24"/>
        </w:rPr>
        <w:t xml:space="preserve">. </w:t>
      </w:r>
      <w:r w:rsidRPr="00842757">
        <w:rPr>
          <w:noProof/>
          <w:sz w:val="24"/>
          <w:szCs w:val="24"/>
        </w:rPr>
        <w:t>New York: E.S. Werner, 1893.</w:t>
      </w:r>
    </w:p>
    <w:p w:rsidR="007B3705" w:rsidRPr="00842757" w:rsidRDefault="007B3705" w:rsidP="0039452B">
      <w:pPr>
        <w:spacing w:after="0" w:line="240" w:lineRule="auto"/>
        <w:ind w:left="720" w:hanging="720"/>
        <w:rPr>
          <w:noProof/>
          <w:sz w:val="24"/>
          <w:szCs w:val="24"/>
        </w:rPr>
      </w:pPr>
    </w:p>
    <w:p w:rsidR="00842757" w:rsidRPr="00842757" w:rsidRDefault="00842757" w:rsidP="0039452B">
      <w:pPr>
        <w:spacing w:line="240" w:lineRule="auto"/>
        <w:rPr>
          <w:sz w:val="24"/>
          <w:szCs w:val="24"/>
        </w:rPr>
      </w:pPr>
      <w:r w:rsidRPr="00842757">
        <w:rPr>
          <w:sz w:val="24"/>
          <w:szCs w:val="24"/>
        </w:rPr>
        <w:t xml:space="preserve">Duncan, </w:t>
      </w:r>
      <w:proofErr w:type="spellStart"/>
      <w:proofErr w:type="gramStart"/>
      <w:r w:rsidRPr="00842757">
        <w:rPr>
          <w:sz w:val="24"/>
          <w:szCs w:val="24"/>
        </w:rPr>
        <w:t>Chrles</w:t>
      </w:r>
      <w:proofErr w:type="spellEnd"/>
      <w:r w:rsidRPr="00842757">
        <w:rPr>
          <w:sz w:val="24"/>
          <w:szCs w:val="24"/>
        </w:rPr>
        <w:t>[</w:t>
      </w:r>
      <w:proofErr w:type="gramEnd"/>
      <w:r w:rsidRPr="00842757">
        <w:rPr>
          <w:sz w:val="24"/>
          <w:szCs w:val="24"/>
        </w:rPr>
        <w:t xml:space="preserve">sic] and Arthur </w:t>
      </w:r>
      <w:proofErr w:type="spellStart"/>
      <w:r w:rsidRPr="00842757">
        <w:rPr>
          <w:sz w:val="24"/>
          <w:szCs w:val="24"/>
        </w:rPr>
        <w:t>Corney</w:t>
      </w:r>
      <w:proofErr w:type="spellEnd"/>
      <w:r w:rsidRPr="00842757">
        <w:rPr>
          <w:sz w:val="24"/>
          <w:szCs w:val="24"/>
        </w:rPr>
        <w:t xml:space="preserve">. </w:t>
      </w:r>
      <w:proofErr w:type="gramStart"/>
      <w:r w:rsidRPr="00842757">
        <w:rPr>
          <w:sz w:val="24"/>
          <w:szCs w:val="24"/>
        </w:rPr>
        <w:t>“Close To It.”</w:t>
      </w:r>
      <w:proofErr w:type="gramEnd"/>
      <w:r w:rsidRPr="00842757">
        <w:rPr>
          <w:sz w:val="24"/>
          <w:szCs w:val="24"/>
        </w:rPr>
        <w:t xml:space="preserve"> </w:t>
      </w:r>
      <w:proofErr w:type="gramStart"/>
      <w:r w:rsidRPr="00842757">
        <w:rPr>
          <w:sz w:val="24"/>
          <w:szCs w:val="24"/>
        </w:rPr>
        <w:t xml:space="preserve">Edmund Forman, </w:t>
      </w:r>
      <w:r w:rsidR="0066394C">
        <w:rPr>
          <w:sz w:val="24"/>
          <w:szCs w:val="24"/>
        </w:rPr>
        <w:t>arranger.</w:t>
      </w:r>
      <w:proofErr w:type="gramEnd"/>
      <w:r w:rsidR="00204E9E">
        <w:rPr>
          <w:sz w:val="24"/>
          <w:szCs w:val="24"/>
        </w:rPr>
        <w:t xml:space="preserve"> New York</w:t>
      </w:r>
      <w:r w:rsidR="003636C7">
        <w:rPr>
          <w:sz w:val="24"/>
          <w:szCs w:val="24"/>
        </w:rPr>
        <w:t>:</w:t>
      </w:r>
      <w:r w:rsidR="003636C7">
        <w:rPr>
          <w:sz w:val="24"/>
          <w:szCs w:val="24"/>
        </w:rPr>
        <w:tab/>
        <w:t xml:space="preserve">Harding's </w:t>
      </w:r>
      <w:r w:rsidRPr="00842757">
        <w:rPr>
          <w:sz w:val="24"/>
          <w:szCs w:val="24"/>
        </w:rPr>
        <w:t xml:space="preserve">Music Office, 1889. Box 054, Item 024, </w:t>
      </w:r>
      <w:proofErr w:type="gramStart"/>
      <w:r w:rsidRPr="00842757">
        <w:rPr>
          <w:sz w:val="24"/>
          <w:szCs w:val="24"/>
        </w:rPr>
        <w:t>The</w:t>
      </w:r>
      <w:proofErr w:type="gramEnd"/>
      <w:r w:rsidRPr="00842757">
        <w:rPr>
          <w:sz w:val="24"/>
          <w:szCs w:val="24"/>
        </w:rPr>
        <w:t xml:space="preserve"> Lester S. Levy </w:t>
      </w:r>
      <w:r w:rsidR="003636C7">
        <w:rPr>
          <w:sz w:val="24"/>
          <w:szCs w:val="24"/>
        </w:rPr>
        <w:t>Collection of Sheet</w:t>
      </w:r>
      <w:r w:rsidR="003636C7">
        <w:rPr>
          <w:sz w:val="24"/>
          <w:szCs w:val="24"/>
        </w:rPr>
        <w:tab/>
        <w:t>Music, The S</w:t>
      </w:r>
      <w:r w:rsidRPr="00842757">
        <w:rPr>
          <w:sz w:val="24"/>
          <w:szCs w:val="24"/>
        </w:rPr>
        <w:t>heridan Libraries, John</w:t>
      </w:r>
      <w:r w:rsidR="00204E9E">
        <w:rPr>
          <w:sz w:val="24"/>
          <w:szCs w:val="24"/>
        </w:rPr>
        <w:t>s</w:t>
      </w:r>
      <w:r w:rsidRPr="00842757">
        <w:rPr>
          <w:sz w:val="24"/>
          <w:szCs w:val="24"/>
        </w:rPr>
        <w:t xml:space="preserve"> Hopkins University, Baltimore, Maryland.</w:t>
      </w:r>
    </w:p>
    <w:p w:rsidR="00B83650" w:rsidRDefault="00B83650" w:rsidP="00B83650">
      <w:pPr>
        <w:spacing w:after="0" w:line="240" w:lineRule="auto"/>
        <w:ind w:left="720" w:hanging="720"/>
        <w:rPr>
          <w:rFonts w:ascii="Calibri" w:hAnsi="Calibri"/>
          <w:noProof/>
          <w:sz w:val="24"/>
          <w:szCs w:val="24"/>
        </w:rPr>
      </w:pPr>
      <w:r>
        <w:rPr>
          <w:rFonts w:ascii="Calibri" w:hAnsi="Calibri"/>
          <w:noProof/>
          <w:sz w:val="24"/>
          <w:szCs w:val="24"/>
        </w:rPr>
        <w:t>Dyer, Richard. “Entert</w:t>
      </w:r>
      <w:r w:rsidR="005E56A8">
        <w:rPr>
          <w:rFonts w:ascii="Calibri" w:hAnsi="Calibri"/>
          <w:noProof/>
          <w:sz w:val="24"/>
          <w:szCs w:val="24"/>
        </w:rPr>
        <w:t xml:space="preserve">ainment and Utopia.” </w:t>
      </w:r>
      <w:r w:rsidR="005B002C">
        <w:rPr>
          <w:rFonts w:ascii="Calibri" w:hAnsi="Calibri"/>
          <w:noProof/>
          <w:sz w:val="24"/>
          <w:szCs w:val="24"/>
        </w:rPr>
        <w:t xml:space="preserve">1977. </w:t>
      </w:r>
      <w:r w:rsidR="005E56A8">
        <w:rPr>
          <w:rFonts w:ascii="Calibri" w:hAnsi="Calibri"/>
          <w:noProof/>
          <w:sz w:val="24"/>
          <w:szCs w:val="24"/>
        </w:rPr>
        <w:t>Repri</w:t>
      </w:r>
      <w:r>
        <w:rPr>
          <w:rFonts w:ascii="Calibri" w:hAnsi="Calibri"/>
          <w:noProof/>
          <w:sz w:val="24"/>
          <w:szCs w:val="24"/>
        </w:rPr>
        <w:t>n</w:t>
      </w:r>
      <w:r w:rsidR="005E56A8">
        <w:rPr>
          <w:rFonts w:ascii="Calibri" w:hAnsi="Calibri"/>
          <w:noProof/>
          <w:sz w:val="24"/>
          <w:szCs w:val="24"/>
        </w:rPr>
        <w:t>ted</w:t>
      </w:r>
      <w:r>
        <w:rPr>
          <w:rFonts w:ascii="Calibri" w:hAnsi="Calibri"/>
          <w:noProof/>
          <w:sz w:val="24"/>
          <w:szCs w:val="24"/>
        </w:rPr>
        <w:t xml:space="preserve"> </w:t>
      </w:r>
      <w:r w:rsidRPr="00842757">
        <w:rPr>
          <w:rFonts w:ascii="Calibri" w:hAnsi="Calibri"/>
          <w:i/>
          <w:noProof/>
          <w:sz w:val="24"/>
          <w:szCs w:val="24"/>
        </w:rPr>
        <w:t>Genre, the Musical: A Reader</w:t>
      </w:r>
      <w:r>
        <w:rPr>
          <w:rFonts w:ascii="Calibri" w:hAnsi="Calibri"/>
          <w:noProof/>
          <w:sz w:val="24"/>
          <w:szCs w:val="24"/>
        </w:rPr>
        <w:t>, edited by Rick Altman.</w:t>
      </w:r>
      <w:r w:rsidRPr="00842757">
        <w:rPr>
          <w:rFonts w:ascii="Calibri" w:hAnsi="Calibri"/>
          <w:noProof/>
          <w:sz w:val="24"/>
          <w:szCs w:val="24"/>
        </w:rPr>
        <w:t xml:space="preserve"> Boston: Routledge &amp; Kegan Paul in association with the British Film Institute, 1981.</w:t>
      </w:r>
    </w:p>
    <w:p w:rsidR="00B83650" w:rsidRDefault="00B83650" w:rsidP="0039452B">
      <w:pPr>
        <w:spacing w:after="0" w:line="240" w:lineRule="auto"/>
        <w:ind w:left="720" w:hanging="720"/>
        <w:rPr>
          <w:rFonts w:ascii="Calibri" w:hAnsi="Calibri"/>
          <w:noProof/>
          <w:sz w:val="24"/>
          <w:szCs w:val="24"/>
        </w:rPr>
      </w:pPr>
    </w:p>
    <w:p w:rsidR="00F57647" w:rsidRPr="00842757" w:rsidRDefault="00F57647" w:rsidP="0039452B">
      <w:pPr>
        <w:spacing w:after="0" w:line="240" w:lineRule="auto"/>
        <w:ind w:left="720" w:hanging="720"/>
        <w:rPr>
          <w:rFonts w:ascii="Calibri" w:hAnsi="Calibri"/>
          <w:noProof/>
          <w:sz w:val="24"/>
          <w:szCs w:val="24"/>
        </w:rPr>
      </w:pPr>
      <w:r w:rsidRPr="00842757">
        <w:rPr>
          <w:rFonts w:ascii="Calibri" w:hAnsi="Calibri"/>
          <w:noProof/>
          <w:sz w:val="24"/>
          <w:szCs w:val="24"/>
        </w:rPr>
        <w:t xml:space="preserve">Dyer, Richard. </w:t>
      </w:r>
      <w:r w:rsidRPr="00842757">
        <w:rPr>
          <w:rFonts w:ascii="Calibri" w:hAnsi="Calibri"/>
          <w:i/>
          <w:noProof/>
          <w:sz w:val="24"/>
          <w:szCs w:val="24"/>
        </w:rPr>
        <w:t>Only Entertainment</w:t>
      </w:r>
      <w:r w:rsidRPr="00842757">
        <w:rPr>
          <w:rFonts w:ascii="Calibri" w:hAnsi="Calibri"/>
          <w:noProof/>
          <w:sz w:val="24"/>
          <w:szCs w:val="24"/>
        </w:rPr>
        <w:t>. New York: Routledge, 1992.</w:t>
      </w:r>
    </w:p>
    <w:p w:rsidR="00842757" w:rsidRPr="00842757" w:rsidRDefault="00842757" w:rsidP="0039452B">
      <w:pPr>
        <w:spacing w:after="0" w:line="240" w:lineRule="auto"/>
        <w:ind w:left="720" w:hanging="720"/>
        <w:rPr>
          <w:rFonts w:ascii="Calibri" w:hAnsi="Calibri"/>
          <w:noProof/>
          <w:sz w:val="24"/>
          <w:szCs w:val="24"/>
        </w:rPr>
      </w:pPr>
    </w:p>
    <w:p w:rsidR="00F57647" w:rsidRPr="00842757" w:rsidRDefault="00842757" w:rsidP="0039452B">
      <w:pPr>
        <w:spacing w:line="240" w:lineRule="auto"/>
        <w:rPr>
          <w:sz w:val="24"/>
          <w:szCs w:val="24"/>
        </w:rPr>
      </w:pPr>
      <w:r w:rsidRPr="00842757">
        <w:rPr>
          <w:sz w:val="24"/>
          <w:szCs w:val="24"/>
        </w:rPr>
        <w:t xml:space="preserve">Edwards, Edward F. “Turn the Crank!! </w:t>
      </w:r>
      <w:proofErr w:type="gramStart"/>
      <w:r w:rsidRPr="00842757">
        <w:rPr>
          <w:sz w:val="24"/>
          <w:szCs w:val="24"/>
        </w:rPr>
        <w:t>A Plea for Personal Liberty.”</w:t>
      </w:r>
      <w:proofErr w:type="gramEnd"/>
      <w:r w:rsidRPr="00842757">
        <w:rPr>
          <w:sz w:val="24"/>
          <w:szCs w:val="24"/>
        </w:rPr>
        <w:t xml:space="preserve"> Chicago: Metropolitan Music</w:t>
      </w:r>
      <w:r w:rsidRPr="00842757">
        <w:rPr>
          <w:sz w:val="24"/>
          <w:szCs w:val="24"/>
        </w:rPr>
        <w:tab/>
        <w:t xml:space="preserve">Co., 1886. Box 054, Item 147, </w:t>
      </w:r>
      <w:proofErr w:type="gramStart"/>
      <w:r w:rsidRPr="00842757">
        <w:rPr>
          <w:sz w:val="24"/>
          <w:szCs w:val="24"/>
        </w:rPr>
        <w:t>The</w:t>
      </w:r>
      <w:proofErr w:type="gramEnd"/>
      <w:r w:rsidRPr="00842757">
        <w:rPr>
          <w:sz w:val="24"/>
          <w:szCs w:val="24"/>
        </w:rPr>
        <w:t xml:space="preserve"> Lester S. Levy Collection of Sheet Music, The Sheridan</w:t>
      </w:r>
      <w:r w:rsidRPr="00842757">
        <w:rPr>
          <w:sz w:val="24"/>
          <w:szCs w:val="24"/>
        </w:rPr>
        <w:tab/>
        <w:t>Libraries, John</w:t>
      </w:r>
      <w:r w:rsidR="00204E9E">
        <w:rPr>
          <w:sz w:val="24"/>
          <w:szCs w:val="24"/>
        </w:rPr>
        <w:t>s</w:t>
      </w:r>
      <w:r w:rsidRPr="00842757">
        <w:rPr>
          <w:sz w:val="24"/>
          <w:szCs w:val="24"/>
        </w:rPr>
        <w:t xml:space="preserve"> Hopkins University, Baltimore, Maryland.</w:t>
      </w:r>
    </w:p>
    <w:p w:rsidR="00842757" w:rsidRPr="00842757" w:rsidRDefault="00842757" w:rsidP="0039452B">
      <w:pPr>
        <w:autoSpaceDE w:val="0"/>
        <w:autoSpaceDN w:val="0"/>
        <w:adjustRightInd w:val="0"/>
        <w:spacing w:after="0" w:line="240" w:lineRule="auto"/>
        <w:rPr>
          <w:rFonts w:cstheme="minorHAnsi"/>
          <w:sz w:val="24"/>
          <w:szCs w:val="24"/>
        </w:rPr>
      </w:pPr>
      <w:bookmarkStart w:id="42" w:name="_ENREF_6"/>
      <w:proofErr w:type="spellStart"/>
      <w:proofErr w:type="gramStart"/>
      <w:r w:rsidRPr="00842757">
        <w:rPr>
          <w:rFonts w:cstheme="minorHAnsi"/>
          <w:sz w:val="24"/>
          <w:szCs w:val="24"/>
        </w:rPr>
        <w:t>Engali</w:t>
      </w:r>
      <w:proofErr w:type="spellEnd"/>
      <w:r w:rsidRPr="00842757">
        <w:rPr>
          <w:rFonts w:cstheme="minorHAnsi"/>
          <w:sz w:val="24"/>
          <w:szCs w:val="24"/>
        </w:rPr>
        <w:t>, S.V and J. Sherman Bristol.</w:t>
      </w:r>
      <w:proofErr w:type="gramEnd"/>
      <w:r w:rsidRPr="00842757">
        <w:rPr>
          <w:rFonts w:cstheme="minorHAnsi"/>
          <w:sz w:val="24"/>
          <w:szCs w:val="24"/>
        </w:rPr>
        <w:t xml:space="preserve"> </w:t>
      </w:r>
      <w:proofErr w:type="gramStart"/>
      <w:r w:rsidRPr="00842757">
        <w:rPr>
          <w:rFonts w:cstheme="minorHAnsi"/>
          <w:sz w:val="24"/>
          <w:szCs w:val="24"/>
        </w:rPr>
        <w:t>“Little Billie’s Sweetheart.”</w:t>
      </w:r>
      <w:proofErr w:type="gramEnd"/>
      <w:r w:rsidRPr="00842757">
        <w:rPr>
          <w:rFonts w:cstheme="minorHAnsi"/>
          <w:sz w:val="24"/>
          <w:szCs w:val="24"/>
        </w:rPr>
        <w:t xml:space="preserve"> New York: New World Novelty</w:t>
      </w:r>
      <w:r w:rsidRPr="00842757">
        <w:rPr>
          <w:rFonts w:cstheme="minorHAnsi"/>
          <w:sz w:val="24"/>
          <w:szCs w:val="24"/>
        </w:rPr>
        <w:tab/>
        <w:t>Co., 1895. Box 23, Edison Sheet Music Collection, Music Division, Library of Congress,</w:t>
      </w:r>
      <w:r w:rsidRPr="00842757">
        <w:rPr>
          <w:rFonts w:cstheme="minorHAnsi"/>
          <w:sz w:val="24"/>
          <w:szCs w:val="24"/>
        </w:rPr>
        <w:tab/>
        <w:t>Washington, D.C.</w:t>
      </w:r>
    </w:p>
    <w:p w:rsidR="00842757" w:rsidRPr="00842757" w:rsidRDefault="00842757" w:rsidP="0039452B">
      <w:pPr>
        <w:autoSpaceDE w:val="0"/>
        <w:autoSpaceDN w:val="0"/>
        <w:adjustRightInd w:val="0"/>
        <w:spacing w:after="0" w:line="240" w:lineRule="auto"/>
        <w:rPr>
          <w:rFonts w:cstheme="minorHAnsi"/>
          <w:sz w:val="24"/>
          <w:szCs w:val="24"/>
        </w:rPr>
      </w:pPr>
    </w:p>
    <w:p w:rsidR="00842757" w:rsidRPr="00842757" w:rsidRDefault="00842757" w:rsidP="0039452B">
      <w:pPr>
        <w:autoSpaceDE w:val="0"/>
        <w:autoSpaceDN w:val="0"/>
        <w:adjustRightInd w:val="0"/>
        <w:spacing w:after="0" w:line="240" w:lineRule="auto"/>
        <w:rPr>
          <w:rFonts w:cstheme="minorHAnsi"/>
          <w:sz w:val="24"/>
          <w:szCs w:val="24"/>
        </w:rPr>
      </w:pPr>
      <w:proofErr w:type="spellStart"/>
      <w:proofErr w:type="gramStart"/>
      <w:r w:rsidRPr="00842757">
        <w:rPr>
          <w:sz w:val="24"/>
          <w:szCs w:val="24"/>
        </w:rPr>
        <w:t>Engl</w:t>
      </w:r>
      <w:r w:rsidRPr="00842757">
        <w:rPr>
          <w:rFonts w:cstheme="minorHAnsi"/>
          <w:sz w:val="24"/>
          <w:szCs w:val="24"/>
        </w:rPr>
        <w:t>ä</w:t>
      </w:r>
      <w:r w:rsidRPr="00842757">
        <w:rPr>
          <w:sz w:val="24"/>
          <w:szCs w:val="24"/>
        </w:rPr>
        <w:t>nder</w:t>
      </w:r>
      <w:proofErr w:type="spellEnd"/>
      <w:r w:rsidRPr="00842757">
        <w:rPr>
          <w:sz w:val="24"/>
          <w:szCs w:val="24"/>
        </w:rPr>
        <w:t>, Ludwig and Sydney Rosenfeld.</w:t>
      </w:r>
      <w:proofErr w:type="gramEnd"/>
      <w:r w:rsidRPr="00842757">
        <w:rPr>
          <w:sz w:val="24"/>
          <w:szCs w:val="24"/>
        </w:rPr>
        <w:t xml:space="preserve"> </w:t>
      </w:r>
      <w:proofErr w:type="gramStart"/>
      <w:r w:rsidRPr="00842757">
        <w:rPr>
          <w:sz w:val="24"/>
          <w:szCs w:val="24"/>
        </w:rPr>
        <w:t>“The Ambitious Magpie!”</w:t>
      </w:r>
      <w:proofErr w:type="gramEnd"/>
      <w:r w:rsidRPr="00842757">
        <w:rPr>
          <w:sz w:val="24"/>
          <w:szCs w:val="24"/>
        </w:rPr>
        <w:t xml:space="preserve"> New York: T.B. Harms &amp;</w:t>
      </w:r>
      <w:r w:rsidRPr="00842757">
        <w:rPr>
          <w:sz w:val="24"/>
          <w:szCs w:val="24"/>
        </w:rPr>
        <w:tab/>
        <w:t xml:space="preserve">Co., 1895. Box 23, </w:t>
      </w:r>
      <w:r w:rsidRPr="00842757">
        <w:rPr>
          <w:rFonts w:cstheme="minorHAnsi"/>
          <w:sz w:val="24"/>
          <w:szCs w:val="24"/>
        </w:rPr>
        <w:t>Edison Sheet Music Collection, Music Division, Library of Congress,</w:t>
      </w:r>
      <w:r w:rsidRPr="00842757">
        <w:rPr>
          <w:rFonts w:cstheme="minorHAnsi"/>
          <w:sz w:val="24"/>
          <w:szCs w:val="24"/>
        </w:rPr>
        <w:tab/>
        <w:t>Washington, D.C.</w:t>
      </w:r>
    </w:p>
    <w:p w:rsidR="00842757" w:rsidRPr="00842757" w:rsidRDefault="00842757" w:rsidP="0039452B">
      <w:pPr>
        <w:autoSpaceDE w:val="0"/>
        <w:autoSpaceDN w:val="0"/>
        <w:adjustRightInd w:val="0"/>
        <w:spacing w:after="0" w:line="240" w:lineRule="auto"/>
        <w:rPr>
          <w:rFonts w:cstheme="minorHAnsi"/>
          <w:sz w:val="24"/>
          <w:szCs w:val="24"/>
        </w:rPr>
      </w:pPr>
    </w:p>
    <w:p w:rsidR="00C10EA4" w:rsidRPr="00842757" w:rsidRDefault="00C10EA4" w:rsidP="0039452B">
      <w:pPr>
        <w:spacing w:after="0" w:line="240" w:lineRule="auto"/>
        <w:ind w:left="720" w:hanging="720"/>
        <w:rPr>
          <w:rFonts w:cstheme="minorHAnsi"/>
          <w:noProof/>
          <w:sz w:val="24"/>
          <w:szCs w:val="24"/>
        </w:rPr>
      </w:pPr>
      <w:r w:rsidRPr="00842757">
        <w:rPr>
          <w:rFonts w:cstheme="minorHAnsi"/>
          <w:noProof/>
          <w:sz w:val="24"/>
          <w:szCs w:val="24"/>
        </w:rPr>
        <w:t xml:space="preserve">Finson, Jon W. </w:t>
      </w:r>
      <w:r w:rsidR="003636C7">
        <w:rPr>
          <w:rFonts w:cstheme="minorHAnsi"/>
          <w:i/>
          <w:noProof/>
          <w:sz w:val="24"/>
          <w:szCs w:val="24"/>
        </w:rPr>
        <w:t>The Voices That Are Gone</w:t>
      </w:r>
      <w:r w:rsidRPr="00842757">
        <w:rPr>
          <w:rFonts w:cstheme="minorHAnsi"/>
          <w:i/>
          <w:noProof/>
          <w:sz w:val="24"/>
          <w:szCs w:val="24"/>
        </w:rPr>
        <w:t>: Themes in Nineteenth-Century American Popular Song</w:t>
      </w:r>
      <w:r w:rsidRPr="00842757">
        <w:rPr>
          <w:rFonts w:cstheme="minorHAnsi"/>
          <w:noProof/>
          <w:sz w:val="24"/>
          <w:szCs w:val="24"/>
        </w:rPr>
        <w:t>. New York: Oxford University Press, 1994.</w:t>
      </w:r>
      <w:bookmarkEnd w:id="42"/>
    </w:p>
    <w:p w:rsidR="00C10EA4" w:rsidRPr="00842757" w:rsidRDefault="00C10EA4" w:rsidP="0039452B">
      <w:pPr>
        <w:spacing w:after="0" w:line="240" w:lineRule="auto"/>
        <w:ind w:left="720" w:hanging="720"/>
        <w:rPr>
          <w:rFonts w:cstheme="minorHAnsi"/>
          <w:noProof/>
          <w:sz w:val="24"/>
          <w:szCs w:val="24"/>
        </w:rPr>
      </w:pPr>
    </w:p>
    <w:p w:rsidR="00C10EA4" w:rsidRPr="00842757" w:rsidRDefault="00C10EA4" w:rsidP="0039452B">
      <w:pPr>
        <w:spacing w:after="0" w:line="240" w:lineRule="auto"/>
        <w:ind w:left="720" w:hanging="720"/>
        <w:rPr>
          <w:rFonts w:cstheme="minorHAnsi"/>
          <w:sz w:val="24"/>
          <w:szCs w:val="24"/>
        </w:rPr>
      </w:pPr>
      <w:proofErr w:type="spellStart"/>
      <w:proofErr w:type="gramStart"/>
      <w:r w:rsidRPr="00842757">
        <w:rPr>
          <w:sz w:val="24"/>
          <w:szCs w:val="24"/>
        </w:rPr>
        <w:t>Foertsch</w:t>
      </w:r>
      <w:proofErr w:type="spellEnd"/>
      <w:r w:rsidRPr="00842757">
        <w:rPr>
          <w:sz w:val="24"/>
          <w:szCs w:val="24"/>
        </w:rPr>
        <w:t>, Geo. and Kate Kauffman.</w:t>
      </w:r>
      <w:proofErr w:type="gramEnd"/>
      <w:r w:rsidRPr="00842757">
        <w:rPr>
          <w:sz w:val="24"/>
          <w:szCs w:val="24"/>
        </w:rPr>
        <w:t xml:space="preserve"> “Laugh Ha-Ha, Ha-Ha.” Cincinnati: J.C. </w:t>
      </w:r>
      <w:proofErr w:type="spellStart"/>
      <w:r w:rsidRPr="00842757">
        <w:rPr>
          <w:sz w:val="24"/>
          <w:szCs w:val="24"/>
        </w:rPr>
        <w:t>Groene</w:t>
      </w:r>
      <w:proofErr w:type="spellEnd"/>
      <w:r w:rsidRPr="00842757">
        <w:rPr>
          <w:sz w:val="24"/>
          <w:szCs w:val="24"/>
        </w:rPr>
        <w:t xml:space="preserve"> &amp; Co., 1892. Box 25, </w:t>
      </w:r>
      <w:r w:rsidRPr="00842757">
        <w:rPr>
          <w:rFonts w:cstheme="minorHAnsi"/>
          <w:sz w:val="24"/>
          <w:szCs w:val="24"/>
        </w:rPr>
        <w:t>Edison Sheet Music Collection, Music Division, Library of Congress, Washington, D.C.</w:t>
      </w:r>
    </w:p>
    <w:p w:rsidR="00C10EA4" w:rsidRPr="00842757" w:rsidRDefault="00C10EA4" w:rsidP="0039452B">
      <w:pPr>
        <w:spacing w:after="0" w:line="240" w:lineRule="auto"/>
        <w:ind w:left="720" w:hanging="720"/>
        <w:rPr>
          <w:rFonts w:cstheme="minorHAnsi"/>
          <w:noProof/>
          <w:sz w:val="24"/>
          <w:szCs w:val="24"/>
        </w:rPr>
      </w:pPr>
    </w:p>
    <w:p w:rsidR="007B3705" w:rsidRPr="00842757" w:rsidRDefault="007B3705" w:rsidP="0039452B">
      <w:pPr>
        <w:spacing w:after="0" w:line="240" w:lineRule="auto"/>
        <w:ind w:left="720" w:hanging="720"/>
        <w:rPr>
          <w:noProof/>
          <w:sz w:val="24"/>
          <w:szCs w:val="24"/>
        </w:rPr>
      </w:pPr>
      <w:r w:rsidRPr="00842757">
        <w:rPr>
          <w:noProof/>
          <w:sz w:val="24"/>
          <w:szCs w:val="24"/>
        </w:rPr>
        <w:t xml:space="preserve">Fox, Aaron A. </w:t>
      </w:r>
      <w:r w:rsidRPr="00842757">
        <w:rPr>
          <w:i/>
          <w:noProof/>
          <w:sz w:val="24"/>
          <w:szCs w:val="24"/>
        </w:rPr>
        <w:t>Real Country: Music and Language in Working-Class Culture</w:t>
      </w:r>
      <w:r w:rsidR="00F3534B">
        <w:rPr>
          <w:noProof/>
          <w:sz w:val="24"/>
          <w:szCs w:val="24"/>
        </w:rPr>
        <w:t xml:space="preserve">. </w:t>
      </w:r>
      <w:r w:rsidRPr="00842757">
        <w:rPr>
          <w:noProof/>
          <w:sz w:val="24"/>
          <w:szCs w:val="24"/>
        </w:rPr>
        <w:t>Durham, NC: Duke University Press, 2004.</w:t>
      </w:r>
    </w:p>
    <w:p w:rsidR="00C10EA4" w:rsidRPr="00842757" w:rsidRDefault="00C10EA4" w:rsidP="005B002C">
      <w:pPr>
        <w:spacing w:after="0" w:line="240" w:lineRule="auto"/>
        <w:rPr>
          <w:rFonts w:cstheme="minorHAnsi"/>
          <w:noProof/>
          <w:sz w:val="24"/>
          <w:szCs w:val="24"/>
        </w:rPr>
      </w:pPr>
      <w:bookmarkStart w:id="43" w:name="_ENREF_9"/>
    </w:p>
    <w:p w:rsidR="00C10EA4" w:rsidRPr="00842757" w:rsidRDefault="00C10EA4" w:rsidP="0039452B">
      <w:pPr>
        <w:spacing w:after="0" w:line="240" w:lineRule="auto"/>
        <w:ind w:left="720" w:hanging="720"/>
        <w:rPr>
          <w:rFonts w:cstheme="minorHAnsi"/>
          <w:noProof/>
          <w:sz w:val="24"/>
          <w:szCs w:val="24"/>
        </w:rPr>
      </w:pPr>
      <w:r w:rsidRPr="00842757">
        <w:rPr>
          <w:rFonts w:cstheme="minorHAnsi"/>
          <w:noProof/>
          <w:sz w:val="24"/>
          <w:szCs w:val="24"/>
        </w:rPr>
        <w:t xml:space="preserve">Frith, Simon. </w:t>
      </w:r>
      <w:r w:rsidRPr="00842757">
        <w:rPr>
          <w:rFonts w:cstheme="minorHAnsi"/>
          <w:i/>
          <w:noProof/>
          <w:sz w:val="24"/>
          <w:szCs w:val="24"/>
        </w:rPr>
        <w:t>Performing Rites: On the Value of Popular Music</w:t>
      </w:r>
      <w:r w:rsidRPr="00842757">
        <w:rPr>
          <w:rFonts w:cstheme="minorHAnsi"/>
          <w:noProof/>
          <w:sz w:val="24"/>
          <w:szCs w:val="24"/>
        </w:rPr>
        <w:t>. Cambridge, MA: Harvard University Press, 1996.</w:t>
      </w:r>
      <w:bookmarkEnd w:id="43"/>
    </w:p>
    <w:p w:rsidR="00A1389D" w:rsidRDefault="00A1389D" w:rsidP="0039452B">
      <w:pPr>
        <w:spacing w:after="0" w:line="240" w:lineRule="auto"/>
        <w:ind w:left="720" w:hanging="720"/>
        <w:rPr>
          <w:rFonts w:cstheme="minorHAnsi"/>
          <w:noProof/>
          <w:sz w:val="24"/>
          <w:szCs w:val="24"/>
        </w:rPr>
      </w:pPr>
    </w:p>
    <w:p w:rsidR="006B26A5" w:rsidRPr="006B26A5" w:rsidRDefault="006B26A5" w:rsidP="0039452B">
      <w:pPr>
        <w:spacing w:after="0" w:line="240" w:lineRule="auto"/>
        <w:ind w:left="720" w:hanging="720"/>
        <w:rPr>
          <w:rFonts w:cstheme="minorHAnsi"/>
          <w:noProof/>
          <w:sz w:val="24"/>
          <w:szCs w:val="24"/>
        </w:rPr>
      </w:pPr>
      <w:proofErr w:type="spellStart"/>
      <w:r w:rsidRPr="006B26A5">
        <w:rPr>
          <w:sz w:val="24"/>
          <w:szCs w:val="24"/>
        </w:rPr>
        <w:t>Frith</w:t>
      </w:r>
      <w:proofErr w:type="spellEnd"/>
      <w:r>
        <w:rPr>
          <w:sz w:val="24"/>
          <w:szCs w:val="24"/>
        </w:rPr>
        <w:t>,</w:t>
      </w:r>
      <w:r w:rsidRPr="006B26A5">
        <w:rPr>
          <w:sz w:val="24"/>
          <w:szCs w:val="24"/>
        </w:rPr>
        <w:t xml:space="preserve"> Simon</w:t>
      </w:r>
      <w:r>
        <w:rPr>
          <w:sz w:val="24"/>
          <w:szCs w:val="24"/>
        </w:rPr>
        <w:t>.</w:t>
      </w:r>
      <w:r w:rsidRPr="006B26A5">
        <w:rPr>
          <w:sz w:val="24"/>
          <w:szCs w:val="24"/>
        </w:rPr>
        <w:t xml:space="preserve"> </w:t>
      </w:r>
      <w:r w:rsidRPr="006B26A5">
        <w:rPr>
          <w:rFonts w:cstheme="minorHAnsi"/>
          <w:sz w:val="24"/>
          <w:szCs w:val="24"/>
        </w:rPr>
        <w:t xml:space="preserve">“Why Do Songs Have Words?” </w:t>
      </w:r>
      <w:r>
        <w:rPr>
          <w:rFonts w:cstheme="minorHAnsi"/>
          <w:sz w:val="24"/>
          <w:szCs w:val="24"/>
        </w:rPr>
        <w:t>I</w:t>
      </w:r>
      <w:r w:rsidRPr="006B26A5">
        <w:rPr>
          <w:rFonts w:cstheme="minorHAnsi"/>
          <w:sz w:val="24"/>
          <w:szCs w:val="24"/>
        </w:rPr>
        <w:t xml:space="preserve">n </w:t>
      </w:r>
      <w:r w:rsidRPr="006B26A5">
        <w:rPr>
          <w:i/>
          <w:noProof/>
          <w:sz w:val="24"/>
          <w:szCs w:val="24"/>
        </w:rPr>
        <w:t>Lost in Music: Culture, Style, and the Musical Event</w:t>
      </w:r>
      <w:r w:rsidRPr="006B26A5">
        <w:rPr>
          <w:noProof/>
          <w:sz w:val="24"/>
          <w:szCs w:val="24"/>
        </w:rPr>
        <w:t xml:space="preserve">, </w:t>
      </w:r>
      <w:r>
        <w:rPr>
          <w:noProof/>
          <w:sz w:val="24"/>
          <w:szCs w:val="24"/>
        </w:rPr>
        <w:t>edited by Avron Levine White</w:t>
      </w:r>
      <w:r w:rsidR="00B20988">
        <w:rPr>
          <w:noProof/>
          <w:sz w:val="24"/>
          <w:szCs w:val="24"/>
        </w:rPr>
        <w:t>, 77-106</w:t>
      </w:r>
      <w:r>
        <w:rPr>
          <w:noProof/>
          <w:sz w:val="24"/>
          <w:szCs w:val="24"/>
        </w:rPr>
        <w:t>. New York: Routledge, 1987.</w:t>
      </w:r>
    </w:p>
    <w:p w:rsidR="00C10EA4" w:rsidRPr="00842757" w:rsidRDefault="00C10EA4" w:rsidP="0039452B">
      <w:pPr>
        <w:spacing w:after="0" w:line="240" w:lineRule="auto"/>
        <w:rPr>
          <w:rFonts w:cstheme="minorHAnsi"/>
          <w:noProof/>
          <w:sz w:val="24"/>
          <w:szCs w:val="24"/>
        </w:rPr>
      </w:pPr>
    </w:p>
    <w:p w:rsidR="00C10EA4" w:rsidRPr="00842757" w:rsidRDefault="00204E9E" w:rsidP="0039452B">
      <w:pPr>
        <w:spacing w:after="0" w:line="240" w:lineRule="auto"/>
        <w:ind w:left="720" w:hanging="720"/>
        <w:rPr>
          <w:rFonts w:cstheme="minorHAnsi"/>
          <w:noProof/>
          <w:sz w:val="24"/>
          <w:szCs w:val="24"/>
        </w:rPr>
      </w:pPr>
      <w:bookmarkStart w:id="44" w:name="_ENREF_13"/>
      <w:r>
        <w:rPr>
          <w:rFonts w:cstheme="minorHAnsi"/>
          <w:noProof/>
          <w:sz w:val="24"/>
          <w:szCs w:val="24"/>
        </w:rPr>
        <w:lastRenderedPageBreak/>
        <w:t>Gay, Jr., Leslie C. “</w:t>
      </w:r>
      <w:r w:rsidR="00C10EA4" w:rsidRPr="00842757">
        <w:rPr>
          <w:rFonts w:cstheme="minorHAnsi"/>
          <w:noProof/>
          <w:sz w:val="24"/>
          <w:szCs w:val="24"/>
        </w:rPr>
        <w:t xml:space="preserve">Before the Deluge: The Technoculture of </w:t>
      </w:r>
      <w:r w:rsidR="00782073">
        <w:rPr>
          <w:rFonts w:cstheme="minorHAnsi"/>
          <w:noProof/>
          <w:sz w:val="24"/>
          <w:szCs w:val="24"/>
        </w:rPr>
        <w:t>Song sheet</w:t>
      </w:r>
      <w:r w:rsidR="00C10EA4" w:rsidRPr="00842757">
        <w:rPr>
          <w:rFonts w:cstheme="minorHAnsi"/>
          <w:noProof/>
          <w:sz w:val="24"/>
          <w:szCs w:val="24"/>
        </w:rPr>
        <w:t xml:space="preserve"> Publishing Viewed from Lat</w:t>
      </w:r>
      <w:r>
        <w:rPr>
          <w:rFonts w:cstheme="minorHAnsi"/>
          <w:noProof/>
          <w:sz w:val="24"/>
          <w:szCs w:val="24"/>
        </w:rPr>
        <w:t>e Nineteenth-Century Galveston.”</w:t>
      </w:r>
      <w:r w:rsidR="00C10EA4" w:rsidRPr="00842757">
        <w:rPr>
          <w:rFonts w:cstheme="minorHAnsi"/>
          <w:noProof/>
          <w:sz w:val="24"/>
          <w:szCs w:val="24"/>
        </w:rPr>
        <w:t xml:space="preserve"> </w:t>
      </w:r>
      <w:r w:rsidR="00C10EA4" w:rsidRPr="00842757">
        <w:rPr>
          <w:rFonts w:cstheme="minorHAnsi"/>
          <w:i/>
          <w:noProof/>
          <w:sz w:val="24"/>
          <w:szCs w:val="24"/>
        </w:rPr>
        <w:t xml:space="preserve">American Music </w:t>
      </w:r>
      <w:r w:rsidR="00C10EA4" w:rsidRPr="00842757">
        <w:rPr>
          <w:rFonts w:cstheme="minorHAnsi"/>
          <w:noProof/>
          <w:sz w:val="24"/>
          <w:szCs w:val="24"/>
        </w:rPr>
        <w:t>17, no. 4 (1999): 396-421.</w:t>
      </w:r>
      <w:bookmarkEnd w:id="44"/>
    </w:p>
    <w:p w:rsidR="00C10EA4" w:rsidRPr="00842757" w:rsidRDefault="00C10EA4" w:rsidP="0039452B">
      <w:pPr>
        <w:spacing w:after="0" w:line="240" w:lineRule="auto"/>
        <w:ind w:left="720" w:hanging="720"/>
        <w:rPr>
          <w:rFonts w:cstheme="minorHAnsi"/>
          <w:noProof/>
          <w:sz w:val="24"/>
          <w:szCs w:val="24"/>
        </w:rPr>
      </w:pPr>
    </w:p>
    <w:p w:rsidR="005C5639" w:rsidRDefault="00F3534B" w:rsidP="0039452B">
      <w:pPr>
        <w:spacing w:line="240" w:lineRule="auto"/>
        <w:rPr>
          <w:sz w:val="24"/>
          <w:szCs w:val="24"/>
        </w:rPr>
      </w:pPr>
      <w:proofErr w:type="gramStart"/>
      <w:r>
        <w:rPr>
          <w:sz w:val="24"/>
          <w:szCs w:val="24"/>
        </w:rPr>
        <w:t xml:space="preserve">Getz, Thos. P. </w:t>
      </w:r>
      <w:r w:rsidR="00C10EA4" w:rsidRPr="00842757">
        <w:rPr>
          <w:sz w:val="24"/>
          <w:szCs w:val="24"/>
        </w:rPr>
        <w:t>“How I Got Even With O'Grady.</w:t>
      </w:r>
      <w:proofErr w:type="gramEnd"/>
      <w:r w:rsidR="00C10EA4" w:rsidRPr="00842757">
        <w:rPr>
          <w:sz w:val="24"/>
          <w:szCs w:val="24"/>
        </w:rPr>
        <w:t xml:space="preserve"> Companion Song to Harry Kennedy's Great Hit, ‘I</w:t>
      </w:r>
      <w:r w:rsidR="00C10EA4" w:rsidRPr="00842757">
        <w:rPr>
          <w:sz w:val="24"/>
          <w:szCs w:val="24"/>
        </w:rPr>
        <w:tab/>
        <w:t>Owe Ten Dollars to O'Grady.’” San Francisco: Matthias Gray Co., 1888. Box 054, Item</w:t>
      </w:r>
      <w:r w:rsidR="00C10EA4" w:rsidRPr="00842757">
        <w:rPr>
          <w:sz w:val="24"/>
          <w:szCs w:val="24"/>
        </w:rPr>
        <w:tab/>
        <w:t xml:space="preserve">052, </w:t>
      </w:r>
      <w:proofErr w:type="gramStart"/>
      <w:r w:rsidR="00C10EA4" w:rsidRPr="00842757">
        <w:rPr>
          <w:sz w:val="24"/>
          <w:szCs w:val="24"/>
        </w:rPr>
        <w:t>The</w:t>
      </w:r>
      <w:proofErr w:type="gramEnd"/>
      <w:r w:rsidR="00C10EA4" w:rsidRPr="00842757">
        <w:rPr>
          <w:sz w:val="24"/>
          <w:szCs w:val="24"/>
        </w:rPr>
        <w:t xml:space="preserve"> Lester S. Levy Collection of Sheet Music, The Sheridan Libraries, John</w:t>
      </w:r>
      <w:r w:rsidR="00204E9E">
        <w:rPr>
          <w:sz w:val="24"/>
          <w:szCs w:val="24"/>
        </w:rPr>
        <w:t>s</w:t>
      </w:r>
      <w:r w:rsidR="00C10EA4" w:rsidRPr="00842757">
        <w:rPr>
          <w:sz w:val="24"/>
          <w:szCs w:val="24"/>
        </w:rPr>
        <w:t xml:space="preserve"> Hopkins</w:t>
      </w:r>
      <w:r w:rsidR="00C10EA4" w:rsidRPr="00842757">
        <w:rPr>
          <w:sz w:val="24"/>
          <w:szCs w:val="24"/>
        </w:rPr>
        <w:tab/>
        <w:t>University, Baltimore, Maryland.</w:t>
      </w:r>
      <w:bookmarkStart w:id="45" w:name="_ENREF_10"/>
      <w:bookmarkStart w:id="46" w:name="_ENREF_5"/>
    </w:p>
    <w:p w:rsidR="00170F6C" w:rsidRDefault="00170F6C" w:rsidP="0039452B">
      <w:pPr>
        <w:spacing w:line="240" w:lineRule="auto"/>
        <w:rPr>
          <w:rFonts w:ascii="Calibri" w:hAnsi="Calibri"/>
          <w:noProof/>
          <w:sz w:val="24"/>
          <w:szCs w:val="24"/>
        </w:rPr>
      </w:pPr>
      <w:r w:rsidRPr="00170F6C">
        <w:rPr>
          <w:sz w:val="24"/>
          <w:szCs w:val="24"/>
        </w:rPr>
        <w:t>Grier</w:t>
      </w:r>
      <w:r>
        <w:rPr>
          <w:sz w:val="24"/>
          <w:szCs w:val="24"/>
        </w:rPr>
        <w:t>,</w:t>
      </w:r>
      <w:r w:rsidRPr="00170F6C">
        <w:rPr>
          <w:sz w:val="24"/>
          <w:szCs w:val="24"/>
        </w:rPr>
        <w:t xml:space="preserve"> Katherine C. “The Decline of the Memor</w:t>
      </w:r>
      <w:r>
        <w:rPr>
          <w:sz w:val="24"/>
          <w:szCs w:val="24"/>
        </w:rPr>
        <w:t>y Palace: The Parlor after 1890.” I</w:t>
      </w:r>
      <w:r w:rsidRPr="00170F6C">
        <w:rPr>
          <w:sz w:val="24"/>
          <w:szCs w:val="24"/>
        </w:rPr>
        <w:t xml:space="preserve">n </w:t>
      </w:r>
      <w:r>
        <w:rPr>
          <w:i/>
          <w:noProof/>
          <w:sz w:val="24"/>
          <w:szCs w:val="24"/>
        </w:rPr>
        <w:t>American</w:t>
      </w:r>
      <w:r>
        <w:rPr>
          <w:i/>
          <w:noProof/>
          <w:sz w:val="24"/>
          <w:szCs w:val="24"/>
        </w:rPr>
        <w:tab/>
      </w:r>
      <w:r w:rsidRPr="00170F6C">
        <w:rPr>
          <w:i/>
          <w:noProof/>
          <w:sz w:val="24"/>
          <w:szCs w:val="24"/>
        </w:rPr>
        <w:t>Home Life, 1880-1930: A Social History of Spaces and Services</w:t>
      </w:r>
      <w:r>
        <w:rPr>
          <w:noProof/>
          <w:sz w:val="24"/>
          <w:szCs w:val="24"/>
        </w:rPr>
        <w:t>, edited by</w:t>
      </w:r>
      <w:r w:rsidRPr="00170F6C">
        <w:rPr>
          <w:noProof/>
          <w:sz w:val="24"/>
          <w:szCs w:val="24"/>
        </w:rPr>
        <w:t xml:space="preserve"> Jessica </w:t>
      </w:r>
      <w:r w:rsidR="00C64E57">
        <w:rPr>
          <w:noProof/>
          <w:sz w:val="24"/>
          <w:szCs w:val="24"/>
        </w:rPr>
        <w:t>H. Foy</w:t>
      </w:r>
      <w:r w:rsidR="00C64E57">
        <w:rPr>
          <w:noProof/>
          <w:sz w:val="24"/>
          <w:szCs w:val="24"/>
        </w:rPr>
        <w:tab/>
        <w:t>and Thomas J. Schlereth, 49-74.</w:t>
      </w:r>
      <w:r>
        <w:rPr>
          <w:noProof/>
          <w:sz w:val="24"/>
          <w:szCs w:val="24"/>
        </w:rPr>
        <w:t xml:space="preserve"> </w:t>
      </w:r>
      <w:r w:rsidRPr="00170F6C">
        <w:rPr>
          <w:noProof/>
          <w:sz w:val="24"/>
          <w:szCs w:val="24"/>
        </w:rPr>
        <w:t>Knoxville: University of Tennessee Press, 1992</w:t>
      </w:r>
      <w:r>
        <w:rPr>
          <w:noProof/>
          <w:sz w:val="24"/>
          <w:szCs w:val="24"/>
        </w:rPr>
        <w:t>.</w:t>
      </w:r>
    </w:p>
    <w:p w:rsidR="00C10EA4" w:rsidRPr="005C5639" w:rsidRDefault="00A1698B" w:rsidP="0039452B">
      <w:pPr>
        <w:spacing w:line="240" w:lineRule="auto"/>
        <w:rPr>
          <w:sz w:val="24"/>
          <w:szCs w:val="24"/>
        </w:rPr>
      </w:pPr>
      <w:r w:rsidRPr="00842757">
        <w:rPr>
          <w:rFonts w:ascii="Calibri" w:hAnsi="Calibri"/>
          <w:noProof/>
          <w:sz w:val="24"/>
          <w:szCs w:val="24"/>
        </w:rPr>
        <w:t xml:space="preserve">Hallen, Frederick, Sydney Rosenfeld, Ludwig Engländer. </w:t>
      </w:r>
      <w:r w:rsidR="00204E9E">
        <w:rPr>
          <w:rFonts w:ascii="Calibri" w:hAnsi="Calibri"/>
          <w:i/>
          <w:noProof/>
          <w:sz w:val="24"/>
          <w:szCs w:val="24"/>
        </w:rPr>
        <w:t>The 20</w:t>
      </w:r>
      <w:r w:rsidR="00204E9E" w:rsidRPr="00204E9E">
        <w:rPr>
          <w:rFonts w:ascii="Calibri" w:hAnsi="Calibri"/>
          <w:i/>
          <w:noProof/>
          <w:sz w:val="24"/>
          <w:szCs w:val="24"/>
          <w:vertAlign w:val="superscript"/>
        </w:rPr>
        <w:t>th</w:t>
      </w:r>
      <w:r w:rsidR="00204E9E">
        <w:rPr>
          <w:rFonts w:ascii="Calibri" w:hAnsi="Calibri"/>
          <w:i/>
          <w:noProof/>
          <w:sz w:val="24"/>
          <w:szCs w:val="24"/>
        </w:rPr>
        <w:t xml:space="preserve"> </w:t>
      </w:r>
      <w:r w:rsidRPr="00842757">
        <w:rPr>
          <w:rFonts w:ascii="Calibri" w:hAnsi="Calibri"/>
          <w:i/>
          <w:noProof/>
          <w:sz w:val="24"/>
          <w:szCs w:val="24"/>
        </w:rPr>
        <w:t>Century Girl</w:t>
      </w:r>
      <w:r w:rsidR="005C5639">
        <w:rPr>
          <w:rFonts w:ascii="Calibri" w:hAnsi="Calibri"/>
          <w:noProof/>
          <w:sz w:val="24"/>
          <w:szCs w:val="24"/>
        </w:rPr>
        <w:t>. New York: House</w:t>
      </w:r>
      <w:r w:rsidR="005C5639">
        <w:rPr>
          <w:rFonts w:ascii="Calibri" w:hAnsi="Calibri"/>
          <w:noProof/>
          <w:sz w:val="24"/>
          <w:szCs w:val="24"/>
        </w:rPr>
        <w:tab/>
      </w:r>
      <w:r w:rsidRPr="00842757">
        <w:rPr>
          <w:rFonts w:ascii="Calibri" w:hAnsi="Calibri"/>
          <w:noProof/>
          <w:sz w:val="24"/>
          <w:szCs w:val="24"/>
        </w:rPr>
        <w:t>Allen's Grand Opera, Playbills Theater, and Collection Programs, 1895.</w:t>
      </w:r>
      <w:bookmarkEnd w:id="45"/>
      <w:bookmarkEnd w:id="46"/>
    </w:p>
    <w:p w:rsidR="00C10EA4" w:rsidRPr="00842757" w:rsidRDefault="00C10EA4" w:rsidP="0039452B">
      <w:pPr>
        <w:spacing w:after="0" w:line="240" w:lineRule="auto"/>
        <w:ind w:left="720" w:hanging="720"/>
        <w:rPr>
          <w:rFonts w:cstheme="minorHAnsi"/>
          <w:noProof/>
          <w:sz w:val="24"/>
          <w:szCs w:val="24"/>
        </w:rPr>
      </w:pPr>
      <w:bookmarkStart w:id="47" w:name="_ENREF_11"/>
      <w:r w:rsidRPr="00842757">
        <w:rPr>
          <w:rFonts w:cstheme="minorHAnsi"/>
          <w:noProof/>
          <w:sz w:val="24"/>
          <w:szCs w:val="24"/>
        </w:rPr>
        <w:t xml:space="preserve">Hamm, Charles. </w:t>
      </w:r>
      <w:r w:rsidRPr="00842757">
        <w:rPr>
          <w:rFonts w:cstheme="minorHAnsi"/>
          <w:i/>
          <w:noProof/>
          <w:sz w:val="24"/>
          <w:szCs w:val="24"/>
        </w:rPr>
        <w:t>Music in the New World</w:t>
      </w:r>
      <w:r w:rsidRPr="00842757">
        <w:rPr>
          <w:rFonts w:cstheme="minorHAnsi"/>
          <w:noProof/>
          <w:sz w:val="24"/>
          <w:szCs w:val="24"/>
        </w:rPr>
        <w:t>. New York: Norton, 1983.</w:t>
      </w:r>
      <w:bookmarkEnd w:id="47"/>
    </w:p>
    <w:p w:rsidR="00C10EA4" w:rsidRDefault="00C10EA4" w:rsidP="0039452B">
      <w:pPr>
        <w:spacing w:after="0" w:line="240" w:lineRule="auto"/>
        <w:ind w:left="720" w:hanging="720"/>
        <w:rPr>
          <w:rFonts w:cstheme="minorHAnsi"/>
          <w:noProof/>
          <w:sz w:val="24"/>
          <w:szCs w:val="24"/>
        </w:rPr>
      </w:pPr>
    </w:p>
    <w:p w:rsidR="005C131C" w:rsidRPr="00F46EA2" w:rsidRDefault="005C5639" w:rsidP="0039452B">
      <w:pPr>
        <w:spacing w:after="0" w:line="240" w:lineRule="auto"/>
      </w:pPr>
      <w:r>
        <w:rPr>
          <w:sz w:val="24"/>
          <w:szCs w:val="24"/>
        </w:rPr>
        <w:t>Hamm, Charles</w:t>
      </w:r>
      <w:r w:rsidR="005C131C" w:rsidRPr="00842757">
        <w:rPr>
          <w:rFonts w:cstheme="minorHAnsi"/>
          <w:noProof/>
          <w:sz w:val="24"/>
          <w:szCs w:val="24"/>
        </w:rPr>
        <w:t xml:space="preserve">. </w:t>
      </w:r>
      <w:r w:rsidR="00F46EA2">
        <w:rPr>
          <w:rFonts w:cstheme="minorHAnsi"/>
          <w:i/>
          <w:noProof/>
          <w:sz w:val="24"/>
          <w:szCs w:val="24"/>
        </w:rPr>
        <w:t>Yesterdays</w:t>
      </w:r>
      <w:r w:rsidR="005C131C" w:rsidRPr="00842757">
        <w:rPr>
          <w:rFonts w:cstheme="minorHAnsi"/>
          <w:i/>
          <w:noProof/>
          <w:sz w:val="24"/>
          <w:szCs w:val="24"/>
        </w:rPr>
        <w:t>: Popular Song in America</w:t>
      </w:r>
      <w:r w:rsidR="005C131C" w:rsidRPr="00842757">
        <w:rPr>
          <w:rFonts w:cstheme="minorHAnsi"/>
          <w:noProof/>
          <w:sz w:val="24"/>
          <w:szCs w:val="24"/>
        </w:rPr>
        <w:t>. New York: Norton, 1979.</w:t>
      </w:r>
    </w:p>
    <w:p w:rsidR="005C131C" w:rsidRPr="00842757" w:rsidRDefault="005C131C" w:rsidP="0039452B">
      <w:pPr>
        <w:spacing w:after="0" w:line="240" w:lineRule="auto"/>
        <w:ind w:left="720" w:hanging="720"/>
        <w:rPr>
          <w:rFonts w:cstheme="minorHAnsi"/>
          <w:noProof/>
          <w:sz w:val="24"/>
          <w:szCs w:val="24"/>
        </w:rPr>
      </w:pPr>
    </w:p>
    <w:p w:rsidR="00A1698B" w:rsidRPr="00842757" w:rsidRDefault="00A1698B" w:rsidP="0039452B">
      <w:pPr>
        <w:spacing w:after="0" w:line="240" w:lineRule="auto"/>
        <w:ind w:left="720" w:hanging="720"/>
        <w:rPr>
          <w:rFonts w:ascii="Calibri" w:hAnsi="Calibri"/>
          <w:noProof/>
          <w:sz w:val="24"/>
          <w:szCs w:val="24"/>
        </w:rPr>
      </w:pPr>
      <w:r w:rsidRPr="00842757">
        <w:rPr>
          <w:rFonts w:ascii="Calibri" w:hAnsi="Calibri"/>
          <w:noProof/>
          <w:sz w:val="24"/>
          <w:szCs w:val="24"/>
        </w:rPr>
        <w:t xml:space="preserve">Hansot, Elisabeth. </w:t>
      </w:r>
      <w:r w:rsidRPr="00842757">
        <w:rPr>
          <w:rFonts w:ascii="Calibri" w:hAnsi="Calibri"/>
          <w:i/>
          <w:noProof/>
          <w:sz w:val="24"/>
          <w:szCs w:val="24"/>
        </w:rPr>
        <w:t>Perfection and Progress: Two Modes of Utopian Thought</w:t>
      </w:r>
      <w:r w:rsidRPr="00842757">
        <w:rPr>
          <w:rFonts w:ascii="Calibri" w:hAnsi="Calibri"/>
          <w:noProof/>
          <w:sz w:val="24"/>
          <w:szCs w:val="24"/>
        </w:rPr>
        <w:t>. Cambridge, MA: MIT Press, 1974.</w:t>
      </w:r>
    </w:p>
    <w:p w:rsidR="00A1698B" w:rsidRPr="00842757" w:rsidRDefault="00A1698B" w:rsidP="0039452B">
      <w:pPr>
        <w:spacing w:after="0" w:line="240" w:lineRule="auto"/>
        <w:ind w:left="720" w:hanging="720"/>
        <w:rPr>
          <w:rFonts w:ascii="Calibri" w:hAnsi="Calibri"/>
          <w:noProof/>
          <w:sz w:val="24"/>
          <w:szCs w:val="24"/>
        </w:rPr>
      </w:pPr>
    </w:p>
    <w:p w:rsidR="00121253" w:rsidRPr="00121253" w:rsidRDefault="00121253" w:rsidP="0039452B">
      <w:pPr>
        <w:pStyle w:val="FootnoteText"/>
        <w:rPr>
          <w:sz w:val="24"/>
          <w:szCs w:val="24"/>
        </w:rPr>
      </w:pPr>
      <w:r w:rsidRPr="00121253">
        <w:rPr>
          <w:sz w:val="24"/>
          <w:szCs w:val="24"/>
        </w:rPr>
        <w:t>Harris, Chas K. “After the Ball</w:t>
      </w:r>
      <w:r>
        <w:rPr>
          <w:sz w:val="24"/>
          <w:szCs w:val="24"/>
        </w:rPr>
        <w:t>.</w:t>
      </w:r>
      <w:r w:rsidRPr="00121253">
        <w:rPr>
          <w:sz w:val="24"/>
          <w:szCs w:val="24"/>
        </w:rPr>
        <w:t xml:space="preserve">” </w:t>
      </w:r>
      <w:proofErr w:type="gramStart"/>
      <w:r w:rsidRPr="00121253">
        <w:rPr>
          <w:sz w:val="24"/>
          <w:szCs w:val="24"/>
        </w:rPr>
        <w:t xml:space="preserve">Jos. </w:t>
      </w:r>
      <w:proofErr w:type="spellStart"/>
      <w:r w:rsidRPr="00121253">
        <w:rPr>
          <w:sz w:val="24"/>
          <w:szCs w:val="24"/>
        </w:rPr>
        <w:t>Clauder</w:t>
      </w:r>
      <w:proofErr w:type="spellEnd"/>
      <w:r w:rsidRPr="00121253">
        <w:rPr>
          <w:sz w:val="24"/>
          <w:szCs w:val="24"/>
        </w:rPr>
        <w:t>, arr</w:t>
      </w:r>
      <w:r>
        <w:rPr>
          <w:sz w:val="24"/>
          <w:szCs w:val="24"/>
        </w:rPr>
        <w:t>anger</w:t>
      </w:r>
      <w:r w:rsidRPr="00121253">
        <w:rPr>
          <w:sz w:val="24"/>
          <w:szCs w:val="24"/>
        </w:rPr>
        <w:t>.</w:t>
      </w:r>
      <w:proofErr w:type="gramEnd"/>
      <w:r w:rsidRPr="00121253">
        <w:rPr>
          <w:sz w:val="24"/>
          <w:szCs w:val="24"/>
        </w:rPr>
        <w:t xml:space="preserve"> Milwaukee</w:t>
      </w:r>
      <w:r w:rsidR="0066394C">
        <w:rPr>
          <w:sz w:val="24"/>
          <w:szCs w:val="24"/>
        </w:rPr>
        <w:t>,</w:t>
      </w:r>
      <w:r w:rsidRPr="00121253">
        <w:rPr>
          <w:sz w:val="24"/>
          <w:szCs w:val="24"/>
        </w:rPr>
        <w:t xml:space="preserve"> WI: Chas K. Harris &amp; Co.</w:t>
      </w:r>
      <w:r w:rsidR="0066394C">
        <w:rPr>
          <w:sz w:val="24"/>
          <w:szCs w:val="24"/>
        </w:rPr>
        <w:t>,</w:t>
      </w:r>
      <w:r w:rsidR="0066394C">
        <w:rPr>
          <w:sz w:val="24"/>
          <w:szCs w:val="24"/>
        </w:rPr>
        <w:tab/>
      </w:r>
      <w:r w:rsidRPr="00121253">
        <w:rPr>
          <w:sz w:val="24"/>
          <w:szCs w:val="24"/>
        </w:rPr>
        <w:t>1892</w:t>
      </w:r>
      <w:r w:rsidR="0066394C">
        <w:rPr>
          <w:sz w:val="24"/>
          <w:szCs w:val="24"/>
        </w:rPr>
        <w:t>.</w:t>
      </w:r>
      <w:r w:rsidRPr="00121253">
        <w:rPr>
          <w:sz w:val="24"/>
          <w:szCs w:val="24"/>
        </w:rPr>
        <w:t xml:space="preserve"> Box 140, Item 4, </w:t>
      </w:r>
      <w:proofErr w:type="gramStart"/>
      <w:r w:rsidRPr="00121253">
        <w:rPr>
          <w:sz w:val="24"/>
          <w:szCs w:val="24"/>
        </w:rPr>
        <w:t>The</w:t>
      </w:r>
      <w:proofErr w:type="gramEnd"/>
      <w:r w:rsidRPr="00121253">
        <w:rPr>
          <w:sz w:val="24"/>
          <w:szCs w:val="24"/>
        </w:rPr>
        <w:t xml:space="preserve"> Lester S. Levy Collecti</w:t>
      </w:r>
      <w:r w:rsidR="0066394C">
        <w:rPr>
          <w:sz w:val="24"/>
          <w:szCs w:val="24"/>
        </w:rPr>
        <w:t>on of Sheet Music, The Sheridan</w:t>
      </w:r>
      <w:r w:rsidR="0066394C">
        <w:rPr>
          <w:sz w:val="24"/>
          <w:szCs w:val="24"/>
        </w:rPr>
        <w:tab/>
      </w:r>
      <w:r w:rsidRPr="00121253">
        <w:rPr>
          <w:sz w:val="24"/>
          <w:szCs w:val="24"/>
        </w:rPr>
        <w:t>Libraries, Johns Hopkins University, Baltimore, Maryland.</w:t>
      </w:r>
    </w:p>
    <w:p w:rsidR="00121253" w:rsidRDefault="00121253" w:rsidP="0039452B">
      <w:pPr>
        <w:spacing w:after="0" w:line="240" w:lineRule="auto"/>
        <w:ind w:left="720" w:hanging="720"/>
        <w:rPr>
          <w:sz w:val="24"/>
          <w:szCs w:val="24"/>
        </w:rPr>
      </w:pPr>
    </w:p>
    <w:p w:rsidR="00C10EA4" w:rsidRPr="00842757" w:rsidRDefault="00C10EA4" w:rsidP="0039452B">
      <w:pPr>
        <w:spacing w:after="0" w:line="240" w:lineRule="auto"/>
        <w:ind w:left="720" w:hanging="720"/>
        <w:rPr>
          <w:sz w:val="24"/>
          <w:szCs w:val="24"/>
        </w:rPr>
      </w:pPr>
      <w:r w:rsidRPr="00842757">
        <w:rPr>
          <w:sz w:val="24"/>
          <w:szCs w:val="24"/>
        </w:rPr>
        <w:t xml:space="preserve">Hart, Maude Anita. </w:t>
      </w:r>
      <w:proofErr w:type="gramStart"/>
      <w:r w:rsidRPr="00842757">
        <w:rPr>
          <w:sz w:val="24"/>
          <w:szCs w:val="24"/>
        </w:rPr>
        <w:t>“The Owl, Parrot, Duck and Crow.”</w:t>
      </w:r>
      <w:proofErr w:type="gramEnd"/>
      <w:r w:rsidRPr="00842757">
        <w:rPr>
          <w:sz w:val="24"/>
          <w:szCs w:val="24"/>
        </w:rPr>
        <w:t xml:space="preserve"> Chicago: S. </w:t>
      </w:r>
      <w:proofErr w:type="spellStart"/>
      <w:r w:rsidRPr="00842757">
        <w:rPr>
          <w:sz w:val="24"/>
          <w:szCs w:val="24"/>
        </w:rPr>
        <w:t>Brainard's</w:t>
      </w:r>
      <w:proofErr w:type="spellEnd"/>
      <w:r w:rsidRPr="00842757">
        <w:rPr>
          <w:sz w:val="24"/>
          <w:szCs w:val="24"/>
        </w:rPr>
        <w:t xml:space="preserve"> Sons Co., 1898. Box 054, Item 097, </w:t>
      </w:r>
      <w:proofErr w:type="gramStart"/>
      <w:r w:rsidRPr="00842757">
        <w:rPr>
          <w:sz w:val="24"/>
          <w:szCs w:val="24"/>
        </w:rPr>
        <w:t>The</w:t>
      </w:r>
      <w:proofErr w:type="gramEnd"/>
      <w:r w:rsidRPr="00842757">
        <w:rPr>
          <w:sz w:val="24"/>
          <w:szCs w:val="24"/>
        </w:rPr>
        <w:t xml:space="preserve"> Lester S. Levy Collection of Sheet Music, The Sheridan Libraries, John</w:t>
      </w:r>
      <w:r w:rsidR="00204E9E">
        <w:rPr>
          <w:sz w:val="24"/>
          <w:szCs w:val="24"/>
        </w:rPr>
        <w:t>s</w:t>
      </w:r>
      <w:r w:rsidRPr="00842757">
        <w:rPr>
          <w:sz w:val="24"/>
          <w:szCs w:val="24"/>
        </w:rPr>
        <w:t xml:space="preserve"> Hopkins University, Baltimore, Maryland.</w:t>
      </w:r>
    </w:p>
    <w:p w:rsidR="00C10EA4" w:rsidRPr="00842757" w:rsidRDefault="00C10EA4" w:rsidP="0039452B">
      <w:pPr>
        <w:spacing w:after="0" w:line="240" w:lineRule="auto"/>
        <w:rPr>
          <w:sz w:val="24"/>
          <w:szCs w:val="24"/>
        </w:rPr>
      </w:pPr>
    </w:p>
    <w:p w:rsidR="00C10EA4" w:rsidRPr="00842757" w:rsidRDefault="00C10EA4" w:rsidP="0039452B">
      <w:pPr>
        <w:spacing w:after="0" w:line="240" w:lineRule="auto"/>
        <w:ind w:left="720" w:hanging="720"/>
        <w:rPr>
          <w:rFonts w:cstheme="minorHAnsi"/>
          <w:noProof/>
          <w:sz w:val="24"/>
          <w:szCs w:val="24"/>
        </w:rPr>
      </w:pPr>
      <w:proofErr w:type="gramStart"/>
      <w:r w:rsidRPr="00842757">
        <w:rPr>
          <w:sz w:val="24"/>
          <w:szCs w:val="24"/>
        </w:rPr>
        <w:t xml:space="preserve">Hatton, Chester </w:t>
      </w:r>
      <w:r w:rsidR="0066394C">
        <w:rPr>
          <w:sz w:val="24"/>
          <w:szCs w:val="24"/>
        </w:rPr>
        <w:t>arranger.</w:t>
      </w:r>
      <w:proofErr w:type="gramEnd"/>
      <w:r w:rsidRPr="00842757">
        <w:rPr>
          <w:sz w:val="24"/>
          <w:szCs w:val="24"/>
        </w:rPr>
        <w:t xml:space="preserve"> “Sister Mary Walked Like That.” Boston: Oliver </w:t>
      </w:r>
      <w:proofErr w:type="spellStart"/>
      <w:r w:rsidRPr="00842757">
        <w:rPr>
          <w:sz w:val="24"/>
          <w:szCs w:val="24"/>
        </w:rPr>
        <w:t>Ditson</w:t>
      </w:r>
      <w:proofErr w:type="spellEnd"/>
      <w:r w:rsidRPr="00842757">
        <w:rPr>
          <w:sz w:val="24"/>
          <w:szCs w:val="24"/>
        </w:rPr>
        <w:t xml:space="preserve"> Company, 1891. Box 054, Item 132, </w:t>
      </w:r>
      <w:proofErr w:type="gramStart"/>
      <w:r w:rsidRPr="00842757">
        <w:rPr>
          <w:sz w:val="24"/>
          <w:szCs w:val="24"/>
        </w:rPr>
        <w:t>The</w:t>
      </w:r>
      <w:proofErr w:type="gramEnd"/>
      <w:r w:rsidRPr="00842757">
        <w:rPr>
          <w:sz w:val="24"/>
          <w:szCs w:val="24"/>
        </w:rPr>
        <w:t xml:space="preserve"> Lester S. Levy Collection of Sheet Music, The Sheridan Libraries, John</w:t>
      </w:r>
      <w:r w:rsidR="00204E9E">
        <w:rPr>
          <w:sz w:val="24"/>
          <w:szCs w:val="24"/>
        </w:rPr>
        <w:t>s</w:t>
      </w:r>
      <w:r w:rsidRPr="00842757">
        <w:rPr>
          <w:sz w:val="24"/>
          <w:szCs w:val="24"/>
        </w:rPr>
        <w:t xml:space="preserve"> Hopkins University, Baltimore, Maryland.</w:t>
      </w:r>
    </w:p>
    <w:p w:rsidR="00C10EA4" w:rsidRPr="00842757" w:rsidRDefault="00C10EA4" w:rsidP="00204E9E">
      <w:pPr>
        <w:spacing w:after="0" w:line="240" w:lineRule="auto"/>
        <w:rPr>
          <w:rFonts w:cstheme="minorHAnsi"/>
          <w:noProof/>
          <w:sz w:val="24"/>
          <w:szCs w:val="24"/>
        </w:rPr>
      </w:pPr>
    </w:p>
    <w:p w:rsidR="007B3705" w:rsidRPr="00842757" w:rsidRDefault="00C10EA4" w:rsidP="0039452B">
      <w:pPr>
        <w:spacing w:after="0" w:line="240" w:lineRule="auto"/>
        <w:ind w:left="720" w:hanging="720"/>
        <w:rPr>
          <w:rFonts w:cstheme="minorHAnsi"/>
          <w:noProof/>
          <w:sz w:val="24"/>
          <w:szCs w:val="24"/>
        </w:rPr>
      </w:pPr>
      <w:r w:rsidRPr="00842757">
        <w:rPr>
          <w:sz w:val="24"/>
          <w:szCs w:val="24"/>
        </w:rPr>
        <w:t xml:space="preserve">Hunter, Harry. “Domestic Squabbles, or, My Mother </w:t>
      </w:r>
      <w:proofErr w:type="gramStart"/>
      <w:r w:rsidRPr="00842757">
        <w:rPr>
          <w:sz w:val="24"/>
          <w:szCs w:val="24"/>
        </w:rPr>
        <w:t>In</w:t>
      </w:r>
      <w:proofErr w:type="gramEnd"/>
      <w:r w:rsidRPr="00842757">
        <w:rPr>
          <w:sz w:val="24"/>
          <w:szCs w:val="24"/>
        </w:rPr>
        <w:t xml:space="preserve"> Law.” W. Williams, </w:t>
      </w:r>
      <w:r w:rsidR="0066394C">
        <w:rPr>
          <w:sz w:val="24"/>
          <w:szCs w:val="24"/>
        </w:rPr>
        <w:t>arranger.</w:t>
      </w:r>
      <w:r w:rsidRPr="00842757">
        <w:rPr>
          <w:sz w:val="24"/>
          <w:szCs w:val="24"/>
        </w:rPr>
        <w:t xml:space="preserve"> Boston: Oliver </w:t>
      </w:r>
      <w:proofErr w:type="spellStart"/>
      <w:r w:rsidRPr="00842757">
        <w:rPr>
          <w:sz w:val="24"/>
          <w:szCs w:val="24"/>
        </w:rPr>
        <w:t>Ditson</w:t>
      </w:r>
      <w:proofErr w:type="spellEnd"/>
      <w:r w:rsidRPr="00842757">
        <w:rPr>
          <w:sz w:val="24"/>
          <w:szCs w:val="24"/>
        </w:rPr>
        <w:t xml:space="preserve"> &amp; Co., 1881. Box 054, Item 029, </w:t>
      </w:r>
      <w:proofErr w:type="gramStart"/>
      <w:r w:rsidRPr="00842757">
        <w:rPr>
          <w:sz w:val="24"/>
          <w:szCs w:val="24"/>
        </w:rPr>
        <w:t>The</w:t>
      </w:r>
      <w:proofErr w:type="gramEnd"/>
      <w:r w:rsidRPr="00842757">
        <w:rPr>
          <w:sz w:val="24"/>
          <w:szCs w:val="24"/>
        </w:rPr>
        <w:t xml:space="preserve"> Lester S. Levy Collection of Sheet Music, The Sheridan Libraries, John</w:t>
      </w:r>
      <w:r w:rsidR="00204E9E">
        <w:rPr>
          <w:sz w:val="24"/>
          <w:szCs w:val="24"/>
        </w:rPr>
        <w:t>s</w:t>
      </w:r>
      <w:r w:rsidRPr="00842757">
        <w:rPr>
          <w:sz w:val="24"/>
          <w:szCs w:val="24"/>
        </w:rPr>
        <w:t xml:space="preserve"> Hopkins University, Baltimore, Maryland.</w:t>
      </w:r>
    </w:p>
    <w:p w:rsidR="00C10EA4" w:rsidRPr="00842757" w:rsidRDefault="00C10EA4" w:rsidP="0039452B">
      <w:pPr>
        <w:spacing w:after="0" w:line="240" w:lineRule="auto"/>
        <w:ind w:left="720" w:hanging="720"/>
        <w:rPr>
          <w:rFonts w:cstheme="minorHAnsi"/>
          <w:noProof/>
          <w:sz w:val="24"/>
          <w:szCs w:val="24"/>
        </w:rPr>
      </w:pPr>
    </w:p>
    <w:p w:rsidR="00A1698B" w:rsidRDefault="00A1698B" w:rsidP="007208C3">
      <w:pPr>
        <w:spacing w:after="0" w:line="240" w:lineRule="auto"/>
        <w:ind w:left="720" w:hanging="720"/>
        <w:rPr>
          <w:rFonts w:ascii="Calibri" w:hAnsi="Calibri"/>
          <w:noProof/>
          <w:sz w:val="24"/>
          <w:szCs w:val="24"/>
        </w:rPr>
      </w:pPr>
      <w:r w:rsidRPr="00842757">
        <w:rPr>
          <w:rFonts w:ascii="Calibri" w:hAnsi="Calibri"/>
          <w:noProof/>
          <w:sz w:val="24"/>
          <w:szCs w:val="24"/>
        </w:rPr>
        <w:t xml:space="preserve">Kateb, George. </w:t>
      </w:r>
      <w:r w:rsidRPr="00842757">
        <w:rPr>
          <w:rFonts w:ascii="Calibri" w:hAnsi="Calibri"/>
          <w:i/>
          <w:noProof/>
          <w:sz w:val="24"/>
          <w:szCs w:val="24"/>
        </w:rPr>
        <w:t>Utopia and Its Enemies</w:t>
      </w:r>
      <w:r w:rsidRPr="00842757">
        <w:rPr>
          <w:rFonts w:ascii="Calibri" w:hAnsi="Calibri"/>
          <w:noProof/>
          <w:sz w:val="24"/>
          <w:szCs w:val="24"/>
        </w:rPr>
        <w:t>. New York: Free Press of Glencoe, 1963.</w:t>
      </w:r>
    </w:p>
    <w:p w:rsidR="005B002C" w:rsidRPr="007208C3" w:rsidRDefault="005B002C" w:rsidP="007208C3">
      <w:pPr>
        <w:spacing w:after="0" w:line="240" w:lineRule="auto"/>
        <w:ind w:left="720" w:hanging="720"/>
        <w:rPr>
          <w:rFonts w:ascii="Calibri" w:hAnsi="Calibri"/>
          <w:noProof/>
          <w:sz w:val="24"/>
          <w:szCs w:val="24"/>
        </w:rPr>
      </w:pPr>
    </w:p>
    <w:p w:rsidR="007B3705" w:rsidRPr="00842757" w:rsidRDefault="007B3705" w:rsidP="0039452B">
      <w:pPr>
        <w:spacing w:after="0" w:line="240" w:lineRule="auto"/>
        <w:ind w:left="720" w:hanging="720"/>
        <w:rPr>
          <w:rFonts w:cstheme="minorHAnsi"/>
          <w:noProof/>
          <w:sz w:val="24"/>
          <w:szCs w:val="24"/>
        </w:rPr>
      </w:pPr>
      <w:r w:rsidRPr="00842757">
        <w:rPr>
          <w:rFonts w:cstheme="minorHAnsi"/>
          <w:noProof/>
          <w:sz w:val="24"/>
          <w:szCs w:val="24"/>
        </w:rPr>
        <w:t xml:space="preserve">Levine, Lawrence W. </w:t>
      </w:r>
      <w:r w:rsidRPr="00842757">
        <w:rPr>
          <w:rFonts w:cstheme="minorHAnsi"/>
          <w:i/>
          <w:noProof/>
          <w:sz w:val="24"/>
          <w:szCs w:val="24"/>
        </w:rPr>
        <w:t>Highbrow/Lowbrow: The Emergence of Cultural Hierarchy in America</w:t>
      </w:r>
      <w:r w:rsidRPr="00842757">
        <w:rPr>
          <w:rFonts w:cstheme="minorHAnsi"/>
          <w:noProof/>
          <w:sz w:val="24"/>
          <w:szCs w:val="24"/>
        </w:rPr>
        <w:t>. Cambridge, MA: Harvard University Press, 1988.</w:t>
      </w:r>
    </w:p>
    <w:p w:rsidR="007B3705" w:rsidRPr="00842757" w:rsidRDefault="007B3705" w:rsidP="0039452B">
      <w:pPr>
        <w:spacing w:after="0" w:line="240" w:lineRule="auto"/>
        <w:ind w:left="720" w:hanging="720"/>
        <w:rPr>
          <w:noProof/>
          <w:sz w:val="24"/>
          <w:szCs w:val="24"/>
        </w:rPr>
      </w:pPr>
    </w:p>
    <w:p w:rsidR="00C10EA4" w:rsidRPr="00842757" w:rsidRDefault="007B3705" w:rsidP="005B002C">
      <w:pPr>
        <w:spacing w:after="0" w:line="240" w:lineRule="auto"/>
        <w:ind w:left="720" w:hanging="720"/>
        <w:rPr>
          <w:rFonts w:cstheme="minorHAnsi"/>
          <w:noProof/>
          <w:sz w:val="24"/>
          <w:szCs w:val="24"/>
        </w:rPr>
      </w:pPr>
      <w:r w:rsidRPr="00842757">
        <w:rPr>
          <w:rFonts w:cstheme="minorHAnsi"/>
          <w:noProof/>
          <w:sz w:val="24"/>
          <w:szCs w:val="24"/>
        </w:rPr>
        <w:t xml:space="preserve">Le Guin, Elisabeth. </w:t>
      </w:r>
      <w:r w:rsidR="00204E9E">
        <w:rPr>
          <w:rFonts w:cstheme="minorHAnsi"/>
          <w:i/>
          <w:noProof/>
          <w:sz w:val="24"/>
          <w:szCs w:val="24"/>
        </w:rPr>
        <w:t>Boccherini’</w:t>
      </w:r>
      <w:r w:rsidRPr="00842757">
        <w:rPr>
          <w:rFonts w:cstheme="minorHAnsi"/>
          <w:i/>
          <w:noProof/>
          <w:sz w:val="24"/>
          <w:szCs w:val="24"/>
        </w:rPr>
        <w:t>s Body</w:t>
      </w:r>
      <w:r w:rsidR="003636C7">
        <w:rPr>
          <w:rFonts w:cstheme="minorHAnsi"/>
          <w:i/>
          <w:noProof/>
          <w:sz w:val="24"/>
          <w:szCs w:val="24"/>
        </w:rPr>
        <w:t>: A</w:t>
      </w:r>
      <w:r w:rsidRPr="00842757">
        <w:rPr>
          <w:rFonts w:cstheme="minorHAnsi"/>
          <w:i/>
          <w:noProof/>
          <w:sz w:val="24"/>
          <w:szCs w:val="24"/>
        </w:rPr>
        <w:t>n Essay in Carnal Musicology.</w:t>
      </w:r>
      <w:r w:rsidRPr="00842757">
        <w:rPr>
          <w:rFonts w:cstheme="minorHAnsi"/>
          <w:noProof/>
          <w:sz w:val="24"/>
          <w:szCs w:val="24"/>
        </w:rPr>
        <w:t xml:space="preserve"> Berkeley, CA: University of California Press, 2006.</w:t>
      </w:r>
    </w:p>
    <w:p w:rsidR="00C10EA4" w:rsidRPr="00842757" w:rsidRDefault="003636C7" w:rsidP="0039452B">
      <w:pPr>
        <w:spacing w:after="0" w:line="240" w:lineRule="auto"/>
        <w:rPr>
          <w:rFonts w:cstheme="minorHAnsi"/>
          <w:noProof/>
          <w:sz w:val="24"/>
          <w:szCs w:val="24"/>
        </w:rPr>
      </w:pPr>
      <w:bookmarkStart w:id="48" w:name="_ENREF_17"/>
      <w:r>
        <w:rPr>
          <w:rFonts w:cstheme="minorHAnsi"/>
          <w:noProof/>
          <w:sz w:val="24"/>
          <w:szCs w:val="24"/>
        </w:rPr>
        <w:lastRenderedPageBreak/>
        <w:t>Lilly, Jos</w:t>
      </w:r>
      <w:r w:rsidR="00204E9E">
        <w:rPr>
          <w:rFonts w:cstheme="minorHAnsi"/>
          <w:noProof/>
          <w:sz w:val="24"/>
          <w:szCs w:val="24"/>
        </w:rPr>
        <w:t>iah Kirby, editor.</w:t>
      </w:r>
      <w:r w:rsidR="00C10EA4" w:rsidRPr="00842757">
        <w:rPr>
          <w:rFonts w:cstheme="minorHAnsi"/>
          <w:noProof/>
          <w:sz w:val="24"/>
          <w:szCs w:val="24"/>
        </w:rPr>
        <w:t xml:space="preserve"> </w:t>
      </w:r>
      <w:r w:rsidR="00C10EA4" w:rsidRPr="00842757">
        <w:rPr>
          <w:rFonts w:cstheme="minorHAnsi"/>
          <w:i/>
          <w:noProof/>
          <w:sz w:val="24"/>
          <w:szCs w:val="24"/>
        </w:rPr>
        <w:t xml:space="preserve">Foster-Hall Bulletin. </w:t>
      </w:r>
      <w:r w:rsidR="00C10EA4" w:rsidRPr="00842757">
        <w:rPr>
          <w:rFonts w:cstheme="minorHAnsi"/>
          <w:noProof/>
          <w:sz w:val="24"/>
          <w:szCs w:val="24"/>
        </w:rPr>
        <w:t>11 (February 1935).</w:t>
      </w:r>
      <w:bookmarkEnd w:id="48"/>
    </w:p>
    <w:p w:rsidR="00C10EA4" w:rsidRDefault="00C10EA4" w:rsidP="0039452B">
      <w:pPr>
        <w:spacing w:after="0" w:line="240" w:lineRule="auto"/>
        <w:ind w:left="720" w:hanging="720"/>
        <w:rPr>
          <w:rFonts w:cstheme="minorHAnsi"/>
          <w:noProof/>
          <w:sz w:val="24"/>
          <w:szCs w:val="24"/>
        </w:rPr>
      </w:pPr>
    </w:p>
    <w:p w:rsidR="00634F95" w:rsidRPr="00634F95" w:rsidRDefault="00634F95" w:rsidP="0039452B">
      <w:pPr>
        <w:spacing w:after="0" w:line="240" w:lineRule="auto"/>
        <w:ind w:left="720" w:hanging="720"/>
        <w:rPr>
          <w:rFonts w:ascii="Calibri" w:hAnsi="Calibri"/>
          <w:noProof/>
          <w:sz w:val="24"/>
          <w:szCs w:val="24"/>
        </w:rPr>
      </w:pPr>
      <w:r w:rsidRPr="000F0961">
        <w:rPr>
          <w:rFonts w:ascii="Calibri" w:hAnsi="Calibri"/>
          <w:noProof/>
          <w:sz w:val="24"/>
          <w:szCs w:val="24"/>
        </w:rPr>
        <w:t xml:space="preserve">Lipsitz, George. </w:t>
      </w:r>
      <w:r w:rsidRPr="000F0961">
        <w:rPr>
          <w:rFonts w:ascii="Calibri" w:hAnsi="Calibri"/>
          <w:i/>
          <w:noProof/>
          <w:sz w:val="24"/>
          <w:szCs w:val="24"/>
        </w:rPr>
        <w:t>Dangerous C</w:t>
      </w:r>
      <w:r>
        <w:rPr>
          <w:rFonts w:ascii="Calibri" w:hAnsi="Calibri"/>
          <w:i/>
          <w:noProof/>
          <w:sz w:val="24"/>
          <w:szCs w:val="24"/>
        </w:rPr>
        <w:t>rossroads</w:t>
      </w:r>
      <w:r w:rsidRPr="000F0961">
        <w:rPr>
          <w:rFonts w:ascii="Calibri" w:hAnsi="Calibri"/>
          <w:i/>
          <w:noProof/>
          <w:sz w:val="24"/>
          <w:szCs w:val="24"/>
        </w:rPr>
        <w:t>: Popular Music, Postmodernism, and the Poetics of Place</w:t>
      </w:r>
      <w:r>
        <w:rPr>
          <w:rFonts w:ascii="Calibri" w:hAnsi="Calibri"/>
          <w:noProof/>
          <w:sz w:val="24"/>
          <w:szCs w:val="24"/>
        </w:rPr>
        <w:t xml:space="preserve">. </w:t>
      </w:r>
      <w:r w:rsidRPr="000F0961">
        <w:rPr>
          <w:rFonts w:ascii="Calibri" w:hAnsi="Calibri"/>
          <w:noProof/>
          <w:sz w:val="24"/>
          <w:szCs w:val="24"/>
        </w:rPr>
        <w:t>New York: Verso, 1994.</w:t>
      </w:r>
    </w:p>
    <w:p w:rsidR="00634F95" w:rsidRPr="00842757" w:rsidRDefault="00634F95" w:rsidP="0039452B">
      <w:pPr>
        <w:spacing w:after="0" w:line="240" w:lineRule="auto"/>
        <w:ind w:left="720" w:hanging="720"/>
        <w:rPr>
          <w:rFonts w:cstheme="minorHAnsi"/>
          <w:noProof/>
          <w:sz w:val="24"/>
          <w:szCs w:val="24"/>
        </w:rPr>
      </w:pPr>
    </w:p>
    <w:p w:rsidR="00A1698B" w:rsidRDefault="007B3705" w:rsidP="0039452B">
      <w:pPr>
        <w:spacing w:after="0" w:line="240" w:lineRule="auto"/>
        <w:rPr>
          <w:noProof/>
          <w:sz w:val="24"/>
          <w:szCs w:val="24"/>
        </w:rPr>
      </w:pPr>
      <w:r w:rsidRPr="00842757">
        <w:rPr>
          <w:noProof/>
          <w:sz w:val="24"/>
          <w:szCs w:val="24"/>
        </w:rPr>
        <w:t xml:space="preserve">Lott, Eric. </w:t>
      </w:r>
      <w:r w:rsidR="00204E9E">
        <w:rPr>
          <w:i/>
          <w:noProof/>
          <w:sz w:val="24"/>
          <w:szCs w:val="24"/>
        </w:rPr>
        <w:t>Love and Thef</w:t>
      </w:r>
      <w:r w:rsidRPr="00842757">
        <w:rPr>
          <w:i/>
          <w:noProof/>
          <w:sz w:val="24"/>
          <w:szCs w:val="24"/>
        </w:rPr>
        <w:t xml:space="preserve"> : Blackface Minstrelsy and the American Working Class</w:t>
      </w:r>
      <w:r w:rsidR="00D029BE" w:rsidRPr="00842757">
        <w:rPr>
          <w:noProof/>
          <w:sz w:val="24"/>
          <w:szCs w:val="24"/>
        </w:rPr>
        <w:t>. New York:</w:t>
      </w:r>
      <w:r w:rsidR="00D029BE" w:rsidRPr="00842757">
        <w:rPr>
          <w:noProof/>
          <w:sz w:val="24"/>
          <w:szCs w:val="24"/>
        </w:rPr>
        <w:tab/>
      </w:r>
      <w:r w:rsidRPr="00842757">
        <w:rPr>
          <w:noProof/>
          <w:sz w:val="24"/>
          <w:szCs w:val="24"/>
        </w:rPr>
        <w:t>Oxford University Press, 1993.</w:t>
      </w:r>
    </w:p>
    <w:p w:rsidR="00204E9E" w:rsidRDefault="00204E9E" w:rsidP="0039452B">
      <w:pPr>
        <w:spacing w:after="0" w:line="240" w:lineRule="auto"/>
        <w:rPr>
          <w:noProof/>
          <w:sz w:val="24"/>
          <w:szCs w:val="24"/>
        </w:rPr>
      </w:pPr>
    </w:p>
    <w:p w:rsidR="005A6C43" w:rsidRPr="005A6C43" w:rsidRDefault="005A6C43" w:rsidP="0039452B">
      <w:pPr>
        <w:spacing w:after="0" w:line="240" w:lineRule="auto"/>
        <w:rPr>
          <w:rFonts w:ascii="Times New Roman" w:eastAsia="Times New Roman" w:hAnsi="Times New Roman" w:cs="Times New Roman"/>
          <w:sz w:val="24"/>
          <w:szCs w:val="24"/>
        </w:rPr>
      </w:pPr>
      <w:proofErr w:type="spellStart"/>
      <w:r w:rsidRPr="005A6C43">
        <w:rPr>
          <w:rFonts w:ascii="Calibri" w:eastAsia="Times New Roman" w:hAnsi="Calibri" w:cs="Times New Roman"/>
          <w:color w:val="010101"/>
          <w:sz w:val="24"/>
          <w:szCs w:val="24"/>
        </w:rPr>
        <w:t>McDannell</w:t>
      </w:r>
      <w:proofErr w:type="spellEnd"/>
      <w:r w:rsidRPr="005A6C43">
        <w:rPr>
          <w:rFonts w:ascii="Calibri" w:eastAsia="Times New Roman" w:hAnsi="Calibri" w:cs="Times New Roman"/>
          <w:color w:val="010101"/>
          <w:sz w:val="24"/>
          <w:szCs w:val="24"/>
        </w:rPr>
        <w:t>, Colleen.</w:t>
      </w:r>
      <w:r w:rsidRPr="005A6C43">
        <w:rPr>
          <w:rFonts w:ascii="Calibri" w:eastAsia="Times New Roman" w:hAnsi="Calibri" w:cs="Times New Roman"/>
          <w:color w:val="010101"/>
          <w:sz w:val="27"/>
          <w:szCs w:val="27"/>
        </w:rPr>
        <w:t> </w:t>
      </w:r>
      <w:r w:rsidR="00204E9E">
        <w:rPr>
          <w:rFonts w:ascii="Calibri" w:eastAsia="Times New Roman" w:hAnsi="Calibri" w:cs="Times New Roman"/>
          <w:i/>
          <w:iCs/>
          <w:color w:val="010101"/>
          <w:sz w:val="24"/>
          <w:szCs w:val="24"/>
        </w:rPr>
        <w:t>The Christian H</w:t>
      </w:r>
      <w:r w:rsidRPr="005A6C43">
        <w:rPr>
          <w:rFonts w:ascii="Calibri" w:eastAsia="Times New Roman" w:hAnsi="Calibri" w:cs="Times New Roman"/>
          <w:i/>
          <w:iCs/>
          <w:color w:val="010101"/>
          <w:sz w:val="24"/>
          <w:szCs w:val="24"/>
        </w:rPr>
        <w:t>ome in Victorian America, 1840-1900</w:t>
      </w:r>
      <w:r>
        <w:rPr>
          <w:rFonts w:ascii="Calibri" w:eastAsia="Times New Roman" w:hAnsi="Calibri" w:cs="Times New Roman"/>
          <w:color w:val="010101"/>
          <w:sz w:val="24"/>
          <w:szCs w:val="24"/>
        </w:rPr>
        <w:t>. Bloomington: Indiana</w:t>
      </w:r>
      <w:r>
        <w:rPr>
          <w:rFonts w:ascii="Calibri" w:eastAsia="Times New Roman" w:hAnsi="Calibri" w:cs="Times New Roman"/>
          <w:color w:val="010101"/>
          <w:sz w:val="24"/>
          <w:szCs w:val="24"/>
        </w:rPr>
        <w:tab/>
      </w:r>
      <w:r w:rsidRPr="005A6C43">
        <w:rPr>
          <w:rFonts w:ascii="Calibri" w:eastAsia="Times New Roman" w:hAnsi="Calibri" w:cs="Times New Roman"/>
          <w:color w:val="010101"/>
          <w:sz w:val="24"/>
          <w:szCs w:val="24"/>
        </w:rPr>
        <w:t>University Press, 1994.</w:t>
      </w:r>
    </w:p>
    <w:p w:rsidR="005A6C43" w:rsidRPr="00842757" w:rsidRDefault="005A6C43" w:rsidP="0039452B">
      <w:pPr>
        <w:spacing w:after="0" w:line="240" w:lineRule="auto"/>
        <w:rPr>
          <w:noProof/>
          <w:sz w:val="24"/>
          <w:szCs w:val="24"/>
        </w:rPr>
      </w:pPr>
    </w:p>
    <w:p w:rsidR="00C10EA4" w:rsidRPr="00842757" w:rsidRDefault="00A1698B" w:rsidP="0039452B">
      <w:pPr>
        <w:spacing w:after="0" w:line="240" w:lineRule="auto"/>
        <w:ind w:left="720" w:hanging="720"/>
        <w:rPr>
          <w:rFonts w:ascii="Calibri" w:hAnsi="Calibri"/>
          <w:noProof/>
          <w:sz w:val="24"/>
          <w:szCs w:val="24"/>
        </w:rPr>
      </w:pPr>
      <w:r w:rsidRPr="00842757">
        <w:rPr>
          <w:rFonts w:ascii="Calibri" w:hAnsi="Calibri"/>
          <w:noProof/>
          <w:sz w:val="24"/>
          <w:szCs w:val="24"/>
        </w:rPr>
        <w:t xml:space="preserve">Mercer, John, and Martin Shingler. </w:t>
      </w:r>
      <w:r w:rsidRPr="00842757">
        <w:rPr>
          <w:rFonts w:ascii="Calibri" w:hAnsi="Calibri"/>
          <w:i/>
          <w:noProof/>
          <w:sz w:val="24"/>
          <w:szCs w:val="24"/>
        </w:rPr>
        <w:t>Melodrama: Genre, Style, Sensibility</w:t>
      </w:r>
      <w:r w:rsidRPr="00842757">
        <w:rPr>
          <w:rFonts w:ascii="Calibri" w:hAnsi="Calibri"/>
          <w:noProof/>
          <w:sz w:val="24"/>
          <w:szCs w:val="24"/>
        </w:rPr>
        <w:t>. New York: Wallflower, 2004.</w:t>
      </w:r>
    </w:p>
    <w:p w:rsidR="00A1698B" w:rsidRPr="00842757" w:rsidRDefault="00A1698B" w:rsidP="0039452B">
      <w:pPr>
        <w:spacing w:after="0" w:line="240" w:lineRule="auto"/>
        <w:ind w:left="720" w:hanging="720"/>
        <w:rPr>
          <w:noProof/>
          <w:sz w:val="24"/>
          <w:szCs w:val="24"/>
        </w:rPr>
      </w:pPr>
    </w:p>
    <w:p w:rsidR="007B3705" w:rsidRPr="00842757" w:rsidRDefault="00C10EA4" w:rsidP="0039452B">
      <w:pPr>
        <w:spacing w:after="0" w:line="240" w:lineRule="auto"/>
        <w:ind w:left="720" w:hanging="720"/>
        <w:rPr>
          <w:rFonts w:cstheme="minorHAnsi"/>
          <w:noProof/>
          <w:sz w:val="24"/>
          <w:szCs w:val="24"/>
        </w:rPr>
      </w:pPr>
      <w:bookmarkStart w:id="49" w:name="_ENREF_20"/>
      <w:r w:rsidRPr="00842757">
        <w:rPr>
          <w:rFonts w:cstheme="minorHAnsi"/>
          <w:noProof/>
          <w:sz w:val="24"/>
          <w:szCs w:val="24"/>
        </w:rPr>
        <w:t xml:space="preserve">Middleton, Richard. </w:t>
      </w:r>
      <w:r w:rsidRPr="00842757">
        <w:rPr>
          <w:rFonts w:cstheme="minorHAnsi"/>
          <w:i/>
          <w:noProof/>
          <w:sz w:val="24"/>
          <w:szCs w:val="24"/>
        </w:rPr>
        <w:t>Studying Popular Music</w:t>
      </w:r>
      <w:r w:rsidRPr="00842757">
        <w:rPr>
          <w:rFonts w:cstheme="minorHAnsi"/>
          <w:noProof/>
          <w:sz w:val="24"/>
          <w:szCs w:val="24"/>
        </w:rPr>
        <w:t>. Philadelphia: Open University Press, 1990.</w:t>
      </w:r>
      <w:bookmarkEnd w:id="49"/>
    </w:p>
    <w:p w:rsidR="00C10EA4" w:rsidRPr="00842757" w:rsidRDefault="00C10EA4" w:rsidP="0039452B">
      <w:pPr>
        <w:spacing w:after="0" w:line="240" w:lineRule="auto"/>
        <w:ind w:left="720" w:hanging="720"/>
        <w:rPr>
          <w:noProof/>
          <w:sz w:val="24"/>
          <w:szCs w:val="24"/>
        </w:rPr>
      </w:pPr>
    </w:p>
    <w:p w:rsidR="00C10EA4" w:rsidRPr="00842757" w:rsidRDefault="007B3705" w:rsidP="0039452B">
      <w:pPr>
        <w:spacing w:after="0" w:line="240" w:lineRule="auto"/>
        <w:ind w:left="720" w:hanging="720"/>
        <w:rPr>
          <w:noProof/>
          <w:sz w:val="24"/>
          <w:szCs w:val="24"/>
        </w:rPr>
      </w:pPr>
      <w:r w:rsidRPr="00842757">
        <w:rPr>
          <w:noProof/>
          <w:sz w:val="24"/>
          <w:szCs w:val="24"/>
        </w:rPr>
        <w:t xml:space="preserve">Miller, Karl Hagstrom. </w:t>
      </w:r>
      <w:r w:rsidR="00C10EA4" w:rsidRPr="00842757">
        <w:rPr>
          <w:i/>
          <w:noProof/>
          <w:sz w:val="24"/>
          <w:szCs w:val="24"/>
        </w:rPr>
        <w:t>Segregating Sound</w:t>
      </w:r>
      <w:r w:rsidRPr="00842757">
        <w:rPr>
          <w:i/>
          <w:noProof/>
          <w:sz w:val="24"/>
          <w:szCs w:val="24"/>
        </w:rPr>
        <w:t>: Inventing Folk and Pop Music in the Age of Jim Crow</w:t>
      </w:r>
      <w:r w:rsidR="00F3534B">
        <w:rPr>
          <w:noProof/>
          <w:sz w:val="24"/>
          <w:szCs w:val="24"/>
        </w:rPr>
        <w:t xml:space="preserve">. </w:t>
      </w:r>
      <w:r w:rsidRPr="00842757">
        <w:rPr>
          <w:noProof/>
          <w:sz w:val="24"/>
          <w:szCs w:val="24"/>
        </w:rPr>
        <w:t>Durham, NC: Duke University Press, 2010.</w:t>
      </w:r>
    </w:p>
    <w:p w:rsidR="00C10EA4" w:rsidRPr="00842757" w:rsidRDefault="00C10EA4" w:rsidP="0039452B">
      <w:pPr>
        <w:spacing w:after="0" w:line="240" w:lineRule="auto"/>
        <w:rPr>
          <w:rFonts w:cstheme="minorHAnsi"/>
          <w:noProof/>
          <w:sz w:val="24"/>
          <w:szCs w:val="24"/>
        </w:rPr>
      </w:pPr>
    </w:p>
    <w:p w:rsidR="00C10EA4" w:rsidRPr="00842757" w:rsidRDefault="003636C7" w:rsidP="0039452B">
      <w:pPr>
        <w:spacing w:after="0" w:line="240" w:lineRule="auto"/>
        <w:ind w:left="720" w:hanging="720"/>
        <w:rPr>
          <w:rFonts w:cstheme="minorHAnsi"/>
          <w:noProof/>
          <w:sz w:val="24"/>
          <w:szCs w:val="24"/>
        </w:rPr>
      </w:pPr>
      <w:bookmarkStart w:id="50" w:name="_ENREF_22"/>
      <w:r>
        <w:rPr>
          <w:rFonts w:cstheme="minorHAnsi"/>
          <w:noProof/>
          <w:sz w:val="24"/>
          <w:szCs w:val="24"/>
        </w:rPr>
        <w:t>Minton, Arthur. “Parlor Music.”</w:t>
      </w:r>
      <w:r w:rsidR="00C10EA4" w:rsidRPr="00842757">
        <w:rPr>
          <w:rFonts w:cstheme="minorHAnsi"/>
          <w:noProof/>
          <w:sz w:val="24"/>
          <w:szCs w:val="24"/>
        </w:rPr>
        <w:t xml:space="preserve"> </w:t>
      </w:r>
      <w:r w:rsidR="00C10EA4" w:rsidRPr="00842757">
        <w:rPr>
          <w:rFonts w:cstheme="minorHAnsi"/>
          <w:i/>
          <w:noProof/>
          <w:sz w:val="24"/>
          <w:szCs w:val="24"/>
        </w:rPr>
        <w:t xml:space="preserve">American Speech </w:t>
      </w:r>
      <w:r w:rsidR="00C10EA4" w:rsidRPr="00842757">
        <w:rPr>
          <w:rFonts w:cstheme="minorHAnsi"/>
          <w:noProof/>
          <w:sz w:val="24"/>
          <w:szCs w:val="24"/>
        </w:rPr>
        <w:t>13, no. 4 (1938): 255-62.</w:t>
      </w:r>
      <w:bookmarkEnd w:id="50"/>
    </w:p>
    <w:p w:rsidR="00C10EA4" w:rsidRPr="00842757" w:rsidRDefault="00C10EA4" w:rsidP="0039452B">
      <w:pPr>
        <w:spacing w:after="0" w:line="240" w:lineRule="auto"/>
        <w:ind w:left="720" w:hanging="720"/>
        <w:rPr>
          <w:rFonts w:cstheme="minorHAnsi"/>
          <w:noProof/>
          <w:sz w:val="24"/>
          <w:szCs w:val="24"/>
        </w:rPr>
      </w:pPr>
    </w:p>
    <w:p w:rsidR="00C10EA4" w:rsidRPr="00842757" w:rsidRDefault="00C10EA4" w:rsidP="0039452B">
      <w:pPr>
        <w:spacing w:after="0" w:line="240" w:lineRule="auto"/>
        <w:ind w:left="720" w:hanging="720"/>
        <w:rPr>
          <w:rFonts w:cstheme="minorHAnsi"/>
          <w:noProof/>
          <w:sz w:val="24"/>
          <w:szCs w:val="24"/>
        </w:rPr>
      </w:pPr>
      <w:bookmarkStart w:id="51" w:name="_ENREF_23"/>
      <w:r w:rsidRPr="00842757">
        <w:rPr>
          <w:rFonts w:cstheme="minorHAnsi"/>
          <w:noProof/>
          <w:sz w:val="24"/>
          <w:szCs w:val="24"/>
        </w:rPr>
        <w:t xml:space="preserve">Nasaw, David. </w:t>
      </w:r>
      <w:r w:rsidRPr="00842757">
        <w:rPr>
          <w:rFonts w:cstheme="minorHAnsi"/>
          <w:i/>
          <w:noProof/>
          <w:sz w:val="24"/>
          <w:szCs w:val="24"/>
        </w:rPr>
        <w:t>Going Out: The Rise and Fall of Public Amusements</w:t>
      </w:r>
      <w:r w:rsidR="00F3534B">
        <w:rPr>
          <w:rFonts w:cstheme="minorHAnsi"/>
          <w:noProof/>
          <w:sz w:val="24"/>
          <w:szCs w:val="24"/>
        </w:rPr>
        <w:t xml:space="preserve">. </w:t>
      </w:r>
      <w:r w:rsidR="00204E9E">
        <w:rPr>
          <w:rFonts w:cstheme="minorHAnsi"/>
          <w:noProof/>
          <w:sz w:val="24"/>
          <w:szCs w:val="24"/>
        </w:rPr>
        <w:t>New York</w:t>
      </w:r>
      <w:r w:rsidRPr="00842757">
        <w:rPr>
          <w:rFonts w:cstheme="minorHAnsi"/>
          <w:noProof/>
          <w:sz w:val="24"/>
          <w:szCs w:val="24"/>
        </w:rPr>
        <w:t>: BasicBooks, 1993.</w:t>
      </w:r>
      <w:bookmarkEnd w:id="51"/>
    </w:p>
    <w:p w:rsidR="00C10EA4" w:rsidRPr="00842757" w:rsidRDefault="00C10EA4" w:rsidP="0039452B">
      <w:pPr>
        <w:spacing w:after="0" w:line="240" w:lineRule="auto"/>
        <w:ind w:left="720" w:hanging="720"/>
        <w:rPr>
          <w:rFonts w:cstheme="minorHAnsi"/>
          <w:noProof/>
          <w:sz w:val="24"/>
          <w:szCs w:val="24"/>
        </w:rPr>
      </w:pPr>
    </w:p>
    <w:p w:rsidR="00540CE4" w:rsidRPr="00540CE4" w:rsidRDefault="00540CE4" w:rsidP="0039452B">
      <w:pPr>
        <w:pStyle w:val="FootnoteText"/>
        <w:rPr>
          <w:sz w:val="24"/>
          <w:szCs w:val="24"/>
        </w:rPr>
      </w:pPr>
      <w:bookmarkStart w:id="52" w:name="_ENREF_24"/>
      <w:r w:rsidRPr="00540CE4">
        <w:rPr>
          <w:sz w:val="24"/>
          <w:szCs w:val="24"/>
        </w:rPr>
        <w:t>Oakes</w:t>
      </w:r>
      <w:r>
        <w:rPr>
          <w:sz w:val="24"/>
          <w:szCs w:val="24"/>
        </w:rPr>
        <w:t>,</w:t>
      </w:r>
      <w:r w:rsidRPr="00540CE4">
        <w:rPr>
          <w:sz w:val="24"/>
          <w:szCs w:val="24"/>
        </w:rPr>
        <w:t xml:space="preserve"> Jason Lee</w:t>
      </w:r>
      <w:r>
        <w:rPr>
          <w:sz w:val="24"/>
          <w:szCs w:val="24"/>
        </w:rPr>
        <w:t>.</w:t>
      </w:r>
      <w:r w:rsidRPr="00540CE4">
        <w:rPr>
          <w:sz w:val="24"/>
          <w:szCs w:val="24"/>
        </w:rPr>
        <w:t xml:space="preserve"> “</w:t>
      </w:r>
      <w:proofErr w:type="gramStart"/>
      <w:r w:rsidRPr="00540CE4">
        <w:rPr>
          <w:sz w:val="24"/>
          <w:szCs w:val="24"/>
        </w:rPr>
        <w:t>All the</w:t>
      </w:r>
      <w:proofErr w:type="gramEnd"/>
      <w:r w:rsidRPr="00540CE4">
        <w:rPr>
          <w:sz w:val="24"/>
          <w:szCs w:val="24"/>
        </w:rPr>
        <w:t xml:space="preserve"> King’s </w:t>
      </w:r>
      <w:proofErr w:type="spellStart"/>
      <w:r w:rsidRPr="00540CE4">
        <w:rPr>
          <w:sz w:val="24"/>
          <w:szCs w:val="24"/>
        </w:rPr>
        <w:t>Elvii</w:t>
      </w:r>
      <w:proofErr w:type="spellEnd"/>
      <w:r w:rsidRPr="00540CE4">
        <w:rPr>
          <w:sz w:val="24"/>
          <w:szCs w:val="24"/>
        </w:rPr>
        <w:t>: Identifying wit</w:t>
      </w:r>
      <w:r>
        <w:rPr>
          <w:sz w:val="24"/>
          <w:szCs w:val="24"/>
        </w:rPr>
        <w:t>h Elvis Through Musical Tribute.</w:t>
      </w:r>
      <w:r w:rsidRPr="00540CE4">
        <w:rPr>
          <w:sz w:val="24"/>
          <w:szCs w:val="24"/>
        </w:rPr>
        <w:t xml:space="preserve">” </w:t>
      </w:r>
      <w:r>
        <w:rPr>
          <w:noProof/>
          <w:sz w:val="24"/>
          <w:szCs w:val="24"/>
        </w:rPr>
        <w:t>I</w:t>
      </w:r>
      <w:r w:rsidRPr="00540CE4">
        <w:rPr>
          <w:noProof/>
          <w:sz w:val="24"/>
          <w:szCs w:val="24"/>
        </w:rPr>
        <w:t xml:space="preserve">n </w:t>
      </w:r>
      <w:r>
        <w:rPr>
          <w:i/>
          <w:noProof/>
          <w:sz w:val="24"/>
          <w:szCs w:val="24"/>
        </w:rPr>
        <w:t>Access</w:t>
      </w:r>
      <w:r>
        <w:rPr>
          <w:i/>
          <w:noProof/>
          <w:sz w:val="24"/>
          <w:szCs w:val="24"/>
        </w:rPr>
        <w:tab/>
      </w:r>
      <w:r w:rsidRPr="00540CE4">
        <w:rPr>
          <w:i/>
          <w:noProof/>
          <w:sz w:val="24"/>
          <w:szCs w:val="24"/>
        </w:rPr>
        <w:t>All Eras: Tribute Bands and Global Pop Culture</w:t>
      </w:r>
      <w:r w:rsidR="00834054">
        <w:rPr>
          <w:noProof/>
          <w:sz w:val="24"/>
          <w:szCs w:val="24"/>
        </w:rPr>
        <w:t xml:space="preserve">, edited by </w:t>
      </w:r>
      <w:r>
        <w:rPr>
          <w:noProof/>
          <w:sz w:val="24"/>
          <w:szCs w:val="24"/>
        </w:rPr>
        <w:t>Shane Homan</w:t>
      </w:r>
      <w:r w:rsidR="00834054">
        <w:rPr>
          <w:noProof/>
          <w:sz w:val="24"/>
          <w:szCs w:val="24"/>
        </w:rPr>
        <w:t>, 166-181.</w:t>
      </w:r>
      <w:r w:rsidR="00834054">
        <w:rPr>
          <w:noProof/>
          <w:sz w:val="24"/>
          <w:szCs w:val="24"/>
        </w:rPr>
        <w:tab/>
        <w:t xml:space="preserve">Maidenhead, </w:t>
      </w:r>
      <w:r w:rsidRPr="00540CE4">
        <w:rPr>
          <w:noProof/>
          <w:sz w:val="24"/>
          <w:szCs w:val="24"/>
        </w:rPr>
        <w:t>Berkshire, UK: Op</w:t>
      </w:r>
      <w:r>
        <w:rPr>
          <w:noProof/>
          <w:sz w:val="24"/>
          <w:szCs w:val="24"/>
        </w:rPr>
        <w:t>en University Press, 2006.</w:t>
      </w:r>
    </w:p>
    <w:p w:rsidR="00540CE4" w:rsidRDefault="00540CE4" w:rsidP="0039452B">
      <w:pPr>
        <w:spacing w:after="0" w:line="240" w:lineRule="auto"/>
        <w:ind w:left="720" w:hanging="720"/>
        <w:rPr>
          <w:rFonts w:cstheme="minorHAnsi"/>
          <w:noProof/>
          <w:sz w:val="24"/>
          <w:szCs w:val="24"/>
        </w:rPr>
      </w:pPr>
    </w:p>
    <w:p w:rsidR="00C10EA4" w:rsidRPr="00842757" w:rsidRDefault="00204E9E" w:rsidP="0039452B">
      <w:pPr>
        <w:spacing w:after="0" w:line="240" w:lineRule="auto"/>
        <w:ind w:left="720" w:hanging="720"/>
        <w:rPr>
          <w:rFonts w:cstheme="minorHAnsi"/>
          <w:noProof/>
          <w:sz w:val="24"/>
          <w:szCs w:val="24"/>
        </w:rPr>
      </w:pPr>
      <w:r>
        <w:rPr>
          <w:rFonts w:cstheme="minorHAnsi"/>
          <w:noProof/>
          <w:sz w:val="24"/>
          <w:szCs w:val="24"/>
        </w:rPr>
        <w:t>Oakes, Jason Lee. “</w:t>
      </w:r>
      <w:r w:rsidR="00C10EA4" w:rsidRPr="00842757">
        <w:rPr>
          <w:rFonts w:cstheme="minorHAnsi"/>
          <w:noProof/>
          <w:sz w:val="24"/>
          <w:szCs w:val="24"/>
        </w:rPr>
        <w:t>Losers, P</w:t>
      </w:r>
      <w:r>
        <w:rPr>
          <w:rFonts w:cstheme="minorHAnsi"/>
          <w:noProof/>
          <w:sz w:val="24"/>
          <w:szCs w:val="24"/>
        </w:rPr>
        <w:t>unks and Queers (and Elvii Too): Identification and ‘Identity’</w:t>
      </w:r>
      <w:r w:rsidR="00C10EA4" w:rsidRPr="00842757">
        <w:rPr>
          <w:rFonts w:cstheme="minorHAnsi"/>
          <w:noProof/>
          <w:sz w:val="24"/>
          <w:szCs w:val="24"/>
        </w:rPr>
        <w:t xml:space="preserve"> at New </w:t>
      </w:r>
      <w:r>
        <w:rPr>
          <w:rFonts w:cstheme="minorHAnsi"/>
          <w:noProof/>
          <w:sz w:val="24"/>
          <w:szCs w:val="24"/>
        </w:rPr>
        <w:t>York City Music Tribute Events.”</w:t>
      </w:r>
      <w:r w:rsidR="00C10EA4" w:rsidRPr="00842757">
        <w:rPr>
          <w:rFonts w:cstheme="minorHAnsi"/>
          <w:noProof/>
          <w:sz w:val="24"/>
          <w:szCs w:val="24"/>
        </w:rPr>
        <w:t xml:space="preserve"> PhD diss., Columbia University, 2005.</w:t>
      </w:r>
      <w:bookmarkEnd w:id="52"/>
    </w:p>
    <w:p w:rsidR="00C10EA4" w:rsidRPr="00842757" w:rsidRDefault="00C10EA4" w:rsidP="0039452B">
      <w:pPr>
        <w:spacing w:after="0" w:line="240" w:lineRule="auto"/>
        <w:ind w:left="720" w:hanging="720"/>
        <w:rPr>
          <w:rFonts w:cstheme="minorHAnsi"/>
          <w:noProof/>
          <w:sz w:val="24"/>
          <w:szCs w:val="24"/>
        </w:rPr>
      </w:pPr>
    </w:p>
    <w:p w:rsidR="00C10EA4" w:rsidRPr="00842757" w:rsidRDefault="00C10EA4" w:rsidP="0039452B">
      <w:pPr>
        <w:spacing w:after="0" w:line="240" w:lineRule="auto"/>
        <w:ind w:left="720" w:hanging="720"/>
        <w:rPr>
          <w:rFonts w:cstheme="minorHAnsi"/>
          <w:noProof/>
          <w:sz w:val="24"/>
          <w:szCs w:val="24"/>
        </w:rPr>
      </w:pPr>
      <w:bookmarkStart w:id="53" w:name="_ENREF_25"/>
      <w:r w:rsidRPr="00842757">
        <w:rPr>
          <w:rFonts w:cstheme="minorHAnsi"/>
          <w:noProof/>
          <w:sz w:val="24"/>
          <w:szCs w:val="24"/>
        </w:rPr>
        <w:t xml:space="preserve">Ortner, Sherry B. </w:t>
      </w:r>
      <w:r w:rsidRPr="00842757">
        <w:rPr>
          <w:rFonts w:cstheme="minorHAnsi"/>
          <w:i/>
          <w:noProof/>
          <w:sz w:val="24"/>
          <w:szCs w:val="24"/>
        </w:rPr>
        <w:t>Anthropology and Social Theory: Culture, Power, and the Acting Subject</w:t>
      </w:r>
      <w:r w:rsidR="00F3534B">
        <w:rPr>
          <w:rFonts w:cstheme="minorHAnsi"/>
          <w:noProof/>
          <w:sz w:val="24"/>
          <w:szCs w:val="24"/>
        </w:rPr>
        <w:t xml:space="preserve">. </w:t>
      </w:r>
      <w:r w:rsidRPr="00842757">
        <w:rPr>
          <w:rFonts w:cstheme="minorHAnsi"/>
          <w:noProof/>
          <w:sz w:val="24"/>
          <w:szCs w:val="24"/>
        </w:rPr>
        <w:t>Durham, NC: Duke University Press, 2006.</w:t>
      </w:r>
      <w:bookmarkEnd w:id="53"/>
    </w:p>
    <w:p w:rsidR="00C10EA4" w:rsidRPr="00842757" w:rsidRDefault="00C10EA4" w:rsidP="0039452B">
      <w:pPr>
        <w:spacing w:after="0" w:line="240" w:lineRule="auto"/>
        <w:ind w:left="720" w:hanging="720"/>
        <w:rPr>
          <w:rFonts w:cstheme="minorHAnsi"/>
          <w:noProof/>
          <w:sz w:val="24"/>
          <w:szCs w:val="24"/>
        </w:rPr>
      </w:pPr>
    </w:p>
    <w:p w:rsidR="00C10EA4" w:rsidRPr="00842757" w:rsidRDefault="00C10EA4" w:rsidP="0039452B">
      <w:pPr>
        <w:spacing w:after="0" w:line="240" w:lineRule="auto"/>
        <w:ind w:left="720" w:hanging="720"/>
        <w:rPr>
          <w:rFonts w:cstheme="minorHAnsi"/>
          <w:noProof/>
          <w:sz w:val="24"/>
          <w:szCs w:val="24"/>
        </w:rPr>
      </w:pPr>
      <w:r w:rsidRPr="00842757">
        <w:rPr>
          <w:sz w:val="24"/>
          <w:szCs w:val="24"/>
        </w:rPr>
        <w:t xml:space="preserve">Paul, Howard. </w:t>
      </w:r>
      <w:proofErr w:type="gramStart"/>
      <w:r w:rsidRPr="00842757">
        <w:rPr>
          <w:sz w:val="24"/>
          <w:szCs w:val="24"/>
        </w:rPr>
        <w:t>“Upside Down!”</w:t>
      </w:r>
      <w:proofErr w:type="gramEnd"/>
      <w:r w:rsidRPr="00842757">
        <w:rPr>
          <w:i/>
          <w:sz w:val="24"/>
          <w:szCs w:val="24"/>
        </w:rPr>
        <w:t xml:space="preserve"> </w:t>
      </w:r>
      <w:r w:rsidRPr="00842757">
        <w:rPr>
          <w:sz w:val="24"/>
          <w:szCs w:val="24"/>
        </w:rPr>
        <w:t xml:space="preserve">New York: Wm. A. Pond &amp; Co., 1875. Box 054, Item 151, </w:t>
      </w:r>
      <w:proofErr w:type="gramStart"/>
      <w:r w:rsidRPr="00842757">
        <w:rPr>
          <w:sz w:val="24"/>
          <w:szCs w:val="24"/>
        </w:rPr>
        <w:t>The</w:t>
      </w:r>
      <w:proofErr w:type="gramEnd"/>
      <w:r w:rsidRPr="00842757">
        <w:rPr>
          <w:sz w:val="24"/>
          <w:szCs w:val="24"/>
        </w:rPr>
        <w:t xml:space="preserve"> Lester S. Levy Collection of Sheet Music, The Sheridan Libraries, John</w:t>
      </w:r>
      <w:r w:rsidR="00204E9E">
        <w:rPr>
          <w:sz w:val="24"/>
          <w:szCs w:val="24"/>
        </w:rPr>
        <w:t>s</w:t>
      </w:r>
      <w:r w:rsidRPr="00842757">
        <w:rPr>
          <w:sz w:val="24"/>
          <w:szCs w:val="24"/>
        </w:rPr>
        <w:t xml:space="preserve"> Hopkins University, Baltimore, Maryland.</w:t>
      </w:r>
    </w:p>
    <w:p w:rsidR="007B3705" w:rsidRDefault="007B3705" w:rsidP="0039452B">
      <w:pPr>
        <w:spacing w:after="0" w:line="240" w:lineRule="auto"/>
        <w:ind w:left="720" w:hanging="720"/>
        <w:rPr>
          <w:noProof/>
          <w:sz w:val="24"/>
          <w:szCs w:val="24"/>
        </w:rPr>
      </w:pPr>
    </w:p>
    <w:p w:rsidR="004D46FE" w:rsidRPr="00FB39B4" w:rsidRDefault="00FB39B4" w:rsidP="005B002C">
      <w:pPr>
        <w:spacing w:after="0" w:line="240" w:lineRule="auto"/>
        <w:rPr>
          <w:rFonts w:ascii="Times New Roman" w:eastAsia="Times New Roman" w:hAnsi="Times New Roman" w:cs="Times New Roman"/>
          <w:sz w:val="24"/>
          <w:szCs w:val="24"/>
        </w:rPr>
      </w:pPr>
      <w:proofErr w:type="spellStart"/>
      <w:r>
        <w:rPr>
          <w:rFonts w:ascii="Calibri" w:eastAsia="Times New Roman" w:hAnsi="Calibri" w:cs="Times New Roman"/>
          <w:color w:val="010101"/>
          <w:sz w:val="24"/>
          <w:szCs w:val="24"/>
        </w:rPr>
        <w:t>Phegley</w:t>
      </w:r>
      <w:proofErr w:type="spellEnd"/>
      <w:r>
        <w:rPr>
          <w:rFonts w:ascii="Calibri" w:eastAsia="Times New Roman" w:hAnsi="Calibri" w:cs="Times New Roman"/>
          <w:color w:val="010101"/>
          <w:sz w:val="24"/>
          <w:szCs w:val="24"/>
        </w:rPr>
        <w:t>, Jennifer</w:t>
      </w:r>
      <w:r w:rsidRPr="00FB39B4">
        <w:rPr>
          <w:rFonts w:ascii="Calibri" w:eastAsia="Times New Roman" w:hAnsi="Calibri" w:cs="Times New Roman"/>
          <w:color w:val="010101"/>
          <w:sz w:val="24"/>
          <w:szCs w:val="24"/>
        </w:rPr>
        <w:t>.</w:t>
      </w:r>
      <w:r w:rsidRPr="00FB39B4">
        <w:rPr>
          <w:rFonts w:ascii="Calibri" w:eastAsia="Times New Roman" w:hAnsi="Calibri" w:cs="Times New Roman"/>
          <w:color w:val="010101"/>
          <w:sz w:val="27"/>
          <w:szCs w:val="27"/>
        </w:rPr>
        <w:t> </w:t>
      </w:r>
      <w:proofErr w:type="gramStart"/>
      <w:r>
        <w:rPr>
          <w:rFonts w:ascii="Calibri" w:eastAsia="Times New Roman" w:hAnsi="Calibri" w:cs="Times New Roman"/>
          <w:i/>
          <w:iCs/>
          <w:color w:val="010101"/>
          <w:sz w:val="24"/>
          <w:szCs w:val="24"/>
        </w:rPr>
        <w:t>Courtship and M</w:t>
      </w:r>
      <w:r w:rsidRPr="00FB39B4">
        <w:rPr>
          <w:rFonts w:ascii="Calibri" w:eastAsia="Times New Roman" w:hAnsi="Calibri" w:cs="Times New Roman"/>
          <w:i/>
          <w:iCs/>
          <w:color w:val="010101"/>
          <w:sz w:val="24"/>
          <w:szCs w:val="24"/>
        </w:rPr>
        <w:t>arriage in Victorian England</w:t>
      </w:r>
      <w:r>
        <w:rPr>
          <w:rFonts w:ascii="Calibri" w:eastAsia="Times New Roman" w:hAnsi="Calibri" w:cs="Times New Roman"/>
          <w:color w:val="010101"/>
          <w:sz w:val="24"/>
          <w:szCs w:val="24"/>
        </w:rPr>
        <w:t>.</w:t>
      </w:r>
      <w:proofErr w:type="gramEnd"/>
      <w:r>
        <w:rPr>
          <w:rFonts w:ascii="Calibri" w:eastAsia="Times New Roman" w:hAnsi="Calibri" w:cs="Times New Roman"/>
          <w:color w:val="010101"/>
          <w:sz w:val="24"/>
          <w:szCs w:val="24"/>
        </w:rPr>
        <w:t xml:space="preserve"> Santa Barbara, CA:</w:t>
      </w:r>
      <w:r>
        <w:rPr>
          <w:rFonts w:ascii="Calibri" w:eastAsia="Times New Roman" w:hAnsi="Calibri" w:cs="Times New Roman"/>
          <w:color w:val="010101"/>
          <w:sz w:val="24"/>
          <w:szCs w:val="24"/>
        </w:rPr>
        <w:tab/>
      </w:r>
      <w:proofErr w:type="spellStart"/>
      <w:r w:rsidRPr="00FB39B4">
        <w:rPr>
          <w:rFonts w:ascii="Calibri" w:eastAsia="Times New Roman" w:hAnsi="Calibri" w:cs="Times New Roman"/>
          <w:color w:val="010101"/>
          <w:sz w:val="24"/>
          <w:szCs w:val="24"/>
        </w:rPr>
        <w:t>Praeger</w:t>
      </w:r>
      <w:proofErr w:type="spellEnd"/>
      <w:r w:rsidRPr="00FB39B4">
        <w:rPr>
          <w:rFonts w:ascii="Calibri" w:eastAsia="Times New Roman" w:hAnsi="Calibri" w:cs="Times New Roman"/>
          <w:color w:val="010101"/>
          <w:sz w:val="24"/>
          <w:szCs w:val="24"/>
        </w:rPr>
        <w:t>, 2012.</w:t>
      </w:r>
    </w:p>
    <w:p w:rsidR="004D46FE" w:rsidRPr="00842757" w:rsidRDefault="004D46FE" w:rsidP="0039452B">
      <w:pPr>
        <w:spacing w:after="0" w:line="240" w:lineRule="auto"/>
        <w:ind w:left="720" w:hanging="720"/>
        <w:rPr>
          <w:noProof/>
          <w:sz w:val="24"/>
          <w:szCs w:val="24"/>
        </w:rPr>
      </w:pPr>
    </w:p>
    <w:p w:rsidR="007B3705" w:rsidRPr="00842757" w:rsidRDefault="007B3705" w:rsidP="0039452B">
      <w:pPr>
        <w:spacing w:after="0" w:line="240" w:lineRule="auto"/>
        <w:ind w:left="720" w:hanging="720"/>
        <w:rPr>
          <w:noProof/>
          <w:sz w:val="24"/>
          <w:szCs w:val="24"/>
        </w:rPr>
      </w:pPr>
      <w:r w:rsidRPr="00842757">
        <w:rPr>
          <w:noProof/>
          <w:sz w:val="24"/>
          <w:szCs w:val="24"/>
        </w:rPr>
        <w:t xml:space="preserve">Preston, Carrie J. </w:t>
      </w:r>
      <w:r w:rsidRPr="00842757">
        <w:rPr>
          <w:i/>
          <w:noProof/>
          <w:sz w:val="24"/>
          <w:szCs w:val="24"/>
        </w:rPr>
        <w:t>Modernism's Mythic Pose: Gender, Genre, Solo Performance</w:t>
      </w:r>
      <w:r w:rsidR="00F3534B">
        <w:rPr>
          <w:noProof/>
          <w:sz w:val="24"/>
          <w:szCs w:val="24"/>
        </w:rPr>
        <w:t xml:space="preserve">. </w:t>
      </w:r>
      <w:r w:rsidRPr="00842757">
        <w:rPr>
          <w:noProof/>
          <w:sz w:val="24"/>
          <w:szCs w:val="24"/>
        </w:rPr>
        <w:t>New York: Oxford University Press, 2011.</w:t>
      </w:r>
    </w:p>
    <w:p w:rsidR="00C10EA4" w:rsidRPr="00842757" w:rsidRDefault="00C10EA4" w:rsidP="0039452B">
      <w:pPr>
        <w:spacing w:after="0" w:line="240" w:lineRule="auto"/>
        <w:ind w:left="720" w:hanging="720"/>
        <w:rPr>
          <w:noProof/>
          <w:sz w:val="24"/>
          <w:szCs w:val="24"/>
        </w:rPr>
      </w:pPr>
    </w:p>
    <w:p w:rsidR="00C10EA4" w:rsidRPr="00842757" w:rsidRDefault="00C10EA4" w:rsidP="0039452B">
      <w:pPr>
        <w:spacing w:after="0" w:line="240" w:lineRule="auto"/>
        <w:ind w:left="720" w:hanging="720"/>
        <w:rPr>
          <w:rFonts w:cstheme="minorHAnsi"/>
          <w:noProof/>
          <w:sz w:val="24"/>
          <w:szCs w:val="24"/>
        </w:rPr>
      </w:pPr>
      <w:bookmarkStart w:id="54" w:name="_ENREF_27"/>
      <w:r w:rsidRPr="00842757">
        <w:rPr>
          <w:rFonts w:cstheme="minorHAnsi"/>
          <w:noProof/>
          <w:sz w:val="24"/>
          <w:szCs w:val="24"/>
        </w:rPr>
        <w:lastRenderedPageBreak/>
        <w:t xml:space="preserve">Rodger, Gillian M. </w:t>
      </w:r>
      <w:r w:rsidRPr="00842757">
        <w:rPr>
          <w:rFonts w:cstheme="minorHAnsi"/>
          <w:i/>
          <w:noProof/>
          <w:sz w:val="24"/>
          <w:szCs w:val="24"/>
        </w:rPr>
        <w:t>Champagne Charlie and Pretty Jemima: Variety Theater in the Nineteenth Century</w:t>
      </w:r>
      <w:r w:rsidR="00F3534B">
        <w:rPr>
          <w:rFonts w:cstheme="minorHAnsi"/>
          <w:noProof/>
          <w:sz w:val="24"/>
          <w:szCs w:val="24"/>
        </w:rPr>
        <w:t xml:space="preserve">. </w:t>
      </w:r>
      <w:r w:rsidRPr="00842757">
        <w:rPr>
          <w:rFonts w:cstheme="minorHAnsi"/>
          <w:noProof/>
          <w:sz w:val="24"/>
          <w:szCs w:val="24"/>
        </w:rPr>
        <w:t>Urbana: University of Illinois Press, 2010.</w:t>
      </w:r>
      <w:bookmarkEnd w:id="54"/>
    </w:p>
    <w:p w:rsidR="007B3705" w:rsidRPr="00842757" w:rsidRDefault="007B3705" w:rsidP="0039452B">
      <w:pPr>
        <w:spacing w:after="0" w:line="240" w:lineRule="auto"/>
        <w:ind w:left="720" w:hanging="720"/>
        <w:rPr>
          <w:noProof/>
          <w:sz w:val="24"/>
          <w:szCs w:val="24"/>
        </w:rPr>
      </w:pPr>
    </w:p>
    <w:p w:rsidR="007B3705" w:rsidRPr="00842757" w:rsidRDefault="007B3705" w:rsidP="0039452B">
      <w:pPr>
        <w:spacing w:after="0" w:line="240" w:lineRule="auto"/>
        <w:ind w:left="720" w:hanging="720"/>
        <w:rPr>
          <w:rFonts w:cstheme="minorHAnsi"/>
          <w:noProof/>
          <w:sz w:val="24"/>
          <w:szCs w:val="24"/>
        </w:rPr>
      </w:pPr>
      <w:r w:rsidRPr="00842757">
        <w:rPr>
          <w:rFonts w:cstheme="minorHAnsi"/>
          <w:noProof/>
          <w:sz w:val="24"/>
          <w:szCs w:val="24"/>
        </w:rPr>
        <w:t xml:space="preserve">Ruyter, Nancy Lee Chalfa. </w:t>
      </w:r>
      <w:r w:rsidRPr="00842757">
        <w:rPr>
          <w:rFonts w:cstheme="minorHAnsi"/>
          <w:i/>
          <w:noProof/>
          <w:sz w:val="24"/>
          <w:szCs w:val="24"/>
        </w:rPr>
        <w:t>The Cultivation of Body and Mind in Nineteenth-Century American Delsartism.</w:t>
      </w:r>
      <w:r w:rsidRPr="00842757">
        <w:rPr>
          <w:rFonts w:cstheme="minorHAnsi"/>
          <w:noProof/>
          <w:sz w:val="24"/>
          <w:szCs w:val="24"/>
        </w:rPr>
        <w:t xml:space="preserve"> Westport, CT: Greenwood Press, 1999.</w:t>
      </w:r>
    </w:p>
    <w:p w:rsidR="00C10EA4" w:rsidRPr="00842757" w:rsidRDefault="00C10EA4" w:rsidP="0039452B">
      <w:pPr>
        <w:spacing w:after="0" w:line="240" w:lineRule="auto"/>
        <w:ind w:left="720" w:hanging="720"/>
        <w:rPr>
          <w:rFonts w:cstheme="minorHAnsi"/>
          <w:noProof/>
          <w:sz w:val="24"/>
          <w:szCs w:val="24"/>
        </w:rPr>
      </w:pPr>
    </w:p>
    <w:p w:rsidR="00C10EA4" w:rsidRPr="00842757" w:rsidRDefault="00C10EA4" w:rsidP="0039452B">
      <w:pPr>
        <w:spacing w:after="0" w:line="240" w:lineRule="auto"/>
        <w:ind w:left="720" w:hanging="720"/>
        <w:rPr>
          <w:rFonts w:cstheme="minorHAnsi"/>
          <w:noProof/>
          <w:sz w:val="24"/>
          <w:szCs w:val="24"/>
        </w:rPr>
      </w:pPr>
      <w:bookmarkStart w:id="55" w:name="_ENREF_29"/>
      <w:r w:rsidRPr="00842757">
        <w:rPr>
          <w:rFonts w:cstheme="minorHAnsi"/>
          <w:noProof/>
          <w:sz w:val="24"/>
          <w:szCs w:val="24"/>
        </w:rPr>
        <w:t xml:space="preserve">Sanjek, Russell. </w:t>
      </w:r>
      <w:r w:rsidRPr="00842757">
        <w:rPr>
          <w:rFonts w:cstheme="minorHAnsi"/>
          <w:i/>
          <w:noProof/>
          <w:sz w:val="24"/>
          <w:szCs w:val="24"/>
        </w:rPr>
        <w:t>American Popular Music and Its Business: The First Four Hundred Years</w:t>
      </w:r>
      <w:r w:rsidRPr="00842757">
        <w:rPr>
          <w:rFonts w:cstheme="minorHAnsi"/>
          <w:noProof/>
          <w:sz w:val="24"/>
          <w:szCs w:val="24"/>
        </w:rPr>
        <w:t>. New York: Oxford University Press, 1988.</w:t>
      </w:r>
      <w:bookmarkEnd w:id="55"/>
    </w:p>
    <w:p w:rsidR="007B3705" w:rsidRPr="00842757" w:rsidRDefault="007B3705" w:rsidP="0039452B">
      <w:pPr>
        <w:spacing w:after="0" w:line="240" w:lineRule="auto"/>
        <w:ind w:left="720" w:hanging="720"/>
        <w:rPr>
          <w:noProof/>
          <w:sz w:val="24"/>
          <w:szCs w:val="24"/>
        </w:rPr>
      </w:pPr>
    </w:p>
    <w:p w:rsidR="007B3705" w:rsidRPr="00842757" w:rsidRDefault="007B3705" w:rsidP="0039452B">
      <w:pPr>
        <w:spacing w:after="0" w:line="240" w:lineRule="auto"/>
        <w:ind w:left="720" w:hanging="720"/>
        <w:rPr>
          <w:noProof/>
          <w:sz w:val="24"/>
          <w:szCs w:val="24"/>
        </w:rPr>
      </w:pPr>
      <w:r w:rsidRPr="00842757">
        <w:rPr>
          <w:noProof/>
          <w:sz w:val="24"/>
          <w:szCs w:val="24"/>
        </w:rPr>
        <w:t xml:space="preserve">Schafer, R. Murray. </w:t>
      </w:r>
      <w:r w:rsidRPr="00842757">
        <w:rPr>
          <w:i/>
          <w:noProof/>
          <w:sz w:val="24"/>
          <w:szCs w:val="24"/>
        </w:rPr>
        <w:t>The Tuning of the World</w:t>
      </w:r>
      <w:r w:rsidRPr="00842757">
        <w:rPr>
          <w:noProof/>
          <w:sz w:val="24"/>
          <w:szCs w:val="24"/>
        </w:rPr>
        <w:t>. New York: A. A. Knopf, 1977.</w:t>
      </w:r>
    </w:p>
    <w:p w:rsidR="007B3705" w:rsidRPr="00842757" w:rsidRDefault="007B3705" w:rsidP="0039452B">
      <w:pPr>
        <w:spacing w:after="0" w:line="240" w:lineRule="auto"/>
        <w:ind w:left="720" w:hanging="720"/>
        <w:rPr>
          <w:noProof/>
          <w:sz w:val="24"/>
          <w:szCs w:val="24"/>
        </w:rPr>
      </w:pPr>
    </w:p>
    <w:p w:rsidR="00DF1623" w:rsidRPr="00842757" w:rsidRDefault="00DF1623" w:rsidP="0039452B">
      <w:pPr>
        <w:spacing w:line="240" w:lineRule="auto"/>
        <w:rPr>
          <w:sz w:val="24"/>
          <w:szCs w:val="24"/>
        </w:rPr>
      </w:pPr>
      <w:proofErr w:type="spellStart"/>
      <w:proofErr w:type="gramStart"/>
      <w:r w:rsidRPr="00842757">
        <w:rPr>
          <w:sz w:val="24"/>
          <w:szCs w:val="24"/>
        </w:rPr>
        <w:t>Schleiffarth</w:t>
      </w:r>
      <w:proofErr w:type="spellEnd"/>
      <w:r w:rsidRPr="00842757">
        <w:rPr>
          <w:sz w:val="24"/>
          <w:szCs w:val="24"/>
        </w:rPr>
        <w:t xml:space="preserve">, George and Harry G. </w:t>
      </w:r>
      <w:proofErr w:type="spellStart"/>
      <w:r w:rsidRPr="00842757">
        <w:rPr>
          <w:sz w:val="24"/>
          <w:szCs w:val="24"/>
        </w:rPr>
        <w:t>Neeler</w:t>
      </w:r>
      <w:proofErr w:type="spellEnd"/>
      <w:r w:rsidRPr="00842757">
        <w:rPr>
          <w:sz w:val="24"/>
          <w:szCs w:val="24"/>
        </w:rPr>
        <w:t>.</w:t>
      </w:r>
      <w:proofErr w:type="gramEnd"/>
      <w:r w:rsidRPr="00842757">
        <w:rPr>
          <w:sz w:val="24"/>
          <w:szCs w:val="24"/>
        </w:rPr>
        <w:t xml:space="preserve"> “Dot Beautiful Hebrew Girl.” Chicago: The Chicago</w:t>
      </w:r>
      <w:r w:rsidRPr="00842757">
        <w:rPr>
          <w:sz w:val="24"/>
          <w:szCs w:val="24"/>
        </w:rPr>
        <w:tab/>
        <w:t xml:space="preserve">Music Co., 1881. Box 054, Item 033, </w:t>
      </w:r>
      <w:proofErr w:type="gramStart"/>
      <w:r w:rsidRPr="00842757">
        <w:rPr>
          <w:sz w:val="24"/>
          <w:szCs w:val="24"/>
        </w:rPr>
        <w:t>The</w:t>
      </w:r>
      <w:proofErr w:type="gramEnd"/>
      <w:r w:rsidRPr="00842757">
        <w:rPr>
          <w:sz w:val="24"/>
          <w:szCs w:val="24"/>
        </w:rPr>
        <w:t xml:space="preserve"> Lester S. Levy Collection of Sheet Music, The</w:t>
      </w:r>
      <w:r w:rsidRPr="00842757">
        <w:rPr>
          <w:sz w:val="24"/>
          <w:szCs w:val="24"/>
        </w:rPr>
        <w:tab/>
        <w:t>Sheridan Libraries, John</w:t>
      </w:r>
      <w:r w:rsidR="00204E9E">
        <w:rPr>
          <w:sz w:val="24"/>
          <w:szCs w:val="24"/>
        </w:rPr>
        <w:t>s</w:t>
      </w:r>
      <w:r w:rsidRPr="00842757">
        <w:rPr>
          <w:sz w:val="24"/>
          <w:szCs w:val="24"/>
        </w:rPr>
        <w:t xml:space="preserve"> Hopkins University, Baltimore, Maryland.</w:t>
      </w:r>
    </w:p>
    <w:p w:rsidR="005B002C" w:rsidRDefault="005B002C" w:rsidP="005B002C">
      <w:pPr>
        <w:spacing w:after="0" w:line="240" w:lineRule="auto"/>
        <w:ind w:left="720" w:hanging="720"/>
        <w:rPr>
          <w:noProof/>
          <w:sz w:val="24"/>
          <w:szCs w:val="24"/>
        </w:rPr>
      </w:pPr>
      <w:r>
        <w:rPr>
          <w:noProof/>
          <w:sz w:val="24"/>
          <w:szCs w:val="24"/>
        </w:rPr>
        <w:t xml:space="preserve">Schlereth, Thomas J. “Introduction: American Homes and American Scholars.” In </w:t>
      </w:r>
      <w:r>
        <w:rPr>
          <w:i/>
          <w:noProof/>
          <w:sz w:val="24"/>
          <w:szCs w:val="24"/>
        </w:rPr>
        <w:t>American Home Life, 1880-1930</w:t>
      </w:r>
      <w:r w:rsidRPr="00842757">
        <w:rPr>
          <w:i/>
          <w:noProof/>
          <w:sz w:val="24"/>
          <w:szCs w:val="24"/>
        </w:rPr>
        <w:t>: A Social History of Spaces and Services</w:t>
      </w:r>
      <w:r>
        <w:rPr>
          <w:noProof/>
          <w:sz w:val="24"/>
          <w:szCs w:val="24"/>
        </w:rPr>
        <w:t xml:space="preserve">, edited by </w:t>
      </w:r>
      <w:r w:rsidRPr="00842757">
        <w:rPr>
          <w:noProof/>
          <w:sz w:val="24"/>
          <w:szCs w:val="24"/>
        </w:rPr>
        <w:t>Jessica H.</w:t>
      </w:r>
      <w:r>
        <w:rPr>
          <w:noProof/>
          <w:sz w:val="24"/>
          <w:szCs w:val="24"/>
        </w:rPr>
        <w:t xml:space="preserve"> Foy and Thomas J. Schlereth, 1-24.</w:t>
      </w:r>
      <w:r w:rsidRPr="00842757">
        <w:rPr>
          <w:noProof/>
          <w:sz w:val="24"/>
          <w:szCs w:val="24"/>
        </w:rPr>
        <w:t xml:space="preserve"> Knoxville: University of Tennessee Press, 1992.</w:t>
      </w:r>
    </w:p>
    <w:p w:rsidR="005B002C" w:rsidRDefault="005B002C" w:rsidP="0039452B">
      <w:pPr>
        <w:autoSpaceDE w:val="0"/>
        <w:autoSpaceDN w:val="0"/>
        <w:adjustRightInd w:val="0"/>
        <w:spacing w:after="0" w:line="240" w:lineRule="auto"/>
        <w:rPr>
          <w:sz w:val="24"/>
          <w:szCs w:val="24"/>
        </w:rPr>
      </w:pPr>
    </w:p>
    <w:p w:rsidR="00842757" w:rsidRPr="00842757" w:rsidRDefault="00842757" w:rsidP="0039452B">
      <w:pPr>
        <w:autoSpaceDE w:val="0"/>
        <w:autoSpaceDN w:val="0"/>
        <w:adjustRightInd w:val="0"/>
        <w:spacing w:after="0" w:line="240" w:lineRule="auto"/>
        <w:rPr>
          <w:rFonts w:cstheme="minorHAnsi"/>
          <w:sz w:val="24"/>
          <w:szCs w:val="24"/>
        </w:rPr>
      </w:pPr>
      <w:proofErr w:type="gramStart"/>
      <w:r w:rsidRPr="00842757">
        <w:rPr>
          <w:sz w:val="24"/>
          <w:szCs w:val="24"/>
        </w:rPr>
        <w:t>Stahl, Richard and Chas. Hoyt.</w:t>
      </w:r>
      <w:proofErr w:type="gramEnd"/>
      <w:r w:rsidRPr="00842757">
        <w:rPr>
          <w:sz w:val="24"/>
          <w:szCs w:val="24"/>
        </w:rPr>
        <w:t xml:space="preserve"> “Her Skirt Went A Little Bit Higher.” New York: Carl Fischer, 1896.</w:t>
      </w:r>
      <w:r w:rsidRPr="00842757">
        <w:rPr>
          <w:sz w:val="24"/>
          <w:szCs w:val="24"/>
        </w:rPr>
        <w:tab/>
        <w:t xml:space="preserve">Box 73, </w:t>
      </w:r>
      <w:r w:rsidRPr="00842757">
        <w:rPr>
          <w:rFonts w:cstheme="minorHAnsi"/>
          <w:sz w:val="24"/>
          <w:szCs w:val="24"/>
        </w:rPr>
        <w:t>Edison Sheet Music Collection, Music Division, Library of Congress,</w:t>
      </w:r>
      <w:r w:rsidRPr="00842757">
        <w:rPr>
          <w:rFonts w:cstheme="minorHAnsi"/>
          <w:sz w:val="24"/>
          <w:szCs w:val="24"/>
        </w:rPr>
        <w:tab/>
        <w:t>Washington, D.C.</w:t>
      </w:r>
    </w:p>
    <w:p w:rsidR="00842757" w:rsidRPr="00842757" w:rsidRDefault="00842757" w:rsidP="0039452B">
      <w:pPr>
        <w:spacing w:after="0" w:line="240" w:lineRule="auto"/>
        <w:ind w:left="720" w:hanging="720"/>
        <w:rPr>
          <w:noProof/>
          <w:sz w:val="24"/>
          <w:szCs w:val="24"/>
        </w:rPr>
      </w:pPr>
    </w:p>
    <w:p w:rsidR="007B3705" w:rsidRPr="00842757" w:rsidRDefault="007B3705" w:rsidP="0039452B">
      <w:pPr>
        <w:spacing w:after="0" w:line="240" w:lineRule="auto"/>
        <w:ind w:left="720" w:hanging="720"/>
        <w:rPr>
          <w:noProof/>
          <w:sz w:val="24"/>
          <w:szCs w:val="24"/>
        </w:rPr>
      </w:pPr>
      <w:r w:rsidRPr="00842757">
        <w:rPr>
          <w:noProof/>
          <w:sz w:val="24"/>
          <w:szCs w:val="24"/>
        </w:rPr>
        <w:t xml:space="preserve">Stebbins, Genevieve. </w:t>
      </w:r>
      <w:r w:rsidRPr="00842757">
        <w:rPr>
          <w:i/>
          <w:noProof/>
          <w:sz w:val="24"/>
          <w:szCs w:val="24"/>
        </w:rPr>
        <w:t>Delsarte System of Expression</w:t>
      </w:r>
      <w:r w:rsidRPr="00842757">
        <w:rPr>
          <w:noProof/>
          <w:sz w:val="24"/>
          <w:szCs w:val="24"/>
        </w:rPr>
        <w:t>. New York: Dance Horizons, 1977.</w:t>
      </w:r>
    </w:p>
    <w:p w:rsidR="00C10EA4" w:rsidRPr="00842757" w:rsidRDefault="00C10EA4" w:rsidP="0039452B">
      <w:pPr>
        <w:spacing w:after="0" w:line="240" w:lineRule="auto"/>
        <w:ind w:left="720" w:hanging="720"/>
        <w:rPr>
          <w:noProof/>
          <w:sz w:val="24"/>
          <w:szCs w:val="24"/>
        </w:rPr>
      </w:pPr>
    </w:p>
    <w:p w:rsidR="00DF1623" w:rsidRPr="00842757" w:rsidRDefault="00DF1623" w:rsidP="0039452B">
      <w:pPr>
        <w:spacing w:line="240" w:lineRule="auto"/>
        <w:rPr>
          <w:rFonts w:cstheme="minorHAnsi"/>
          <w:sz w:val="24"/>
          <w:szCs w:val="24"/>
        </w:rPr>
      </w:pPr>
      <w:bookmarkStart w:id="56" w:name="_ENREF_30"/>
      <w:proofErr w:type="gramStart"/>
      <w:r w:rsidRPr="00842757">
        <w:rPr>
          <w:sz w:val="24"/>
          <w:szCs w:val="24"/>
        </w:rPr>
        <w:t>Stoddard, Esq., R.H. and Alfred B. Sedgwick.</w:t>
      </w:r>
      <w:proofErr w:type="gramEnd"/>
      <w:r w:rsidRPr="00842757">
        <w:rPr>
          <w:sz w:val="24"/>
          <w:szCs w:val="24"/>
        </w:rPr>
        <w:t xml:space="preserve"> “What’s the World to a Man When His Wife is a</w:t>
      </w:r>
      <w:r w:rsidRPr="00842757">
        <w:rPr>
          <w:sz w:val="24"/>
          <w:szCs w:val="24"/>
        </w:rPr>
        <w:tab/>
      </w:r>
      <w:proofErr w:type="spellStart"/>
      <w:r w:rsidRPr="00842757">
        <w:rPr>
          <w:sz w:val="24"/>
          <w:szCs w:val="24"/>
        </w:rPr>
        <w:t>Widdy</w:t>
      </w:r>
      <w:proofErr w:type="spellEnd"/>
      <w:r w:rsidRPr="00842757">
        <w:rPr>
          <w:sz w:val="24"/>
          <w:szCs w:val="24"/>
        </w:rPr>
        <w:t xml:space="preserve">?” New </w:t>
      </w:r>
      <w:r w:rsidR="00F3534B">
        <w:rPr>
          <w:sz w:val="24"/>
          <w:szCs w:val="24"/>
        </w:rPr>
        <w:t xml:space="preserve">York: S.T. Gordon &amp; Son, 1875. </w:t>
      </w:r>
      <w:r w:rsidRPr="00842757">
        <w:rPr>
          <w:sz w:val="24"/>
          <w:szCs w:val="24"/>
        </w:rPr>
        <w:t xml:space="preserve">Box 69, </w:t>
      </w:r>
      <w:r w:rsidRPr="00842757">
        <w:rPr>
          <w:rFonts w:cstheme="minorHAnsi"/>
          <w:sz w:val="24"/>
          <w:szCs w:val="24"/>
        </w:rPr>
        <w:t>Edison Sheet Music Collection,</w:t>
      </w:r>
      <w:r w:rsidRPr="00842757">
        <w:rPr>
          <w:rFonts w:cstheme="minorHAnsi"/>
          <w:sz w:val="24"/>
          <w:szCs w:val="24"/>
        </w:rPr>
        <w:tab/>
        <w:t>Music Division, Library of Congress, Washington, D.C.</w:t>
      </w:r>
    </w:p>
    <w:p w:rsidR="00C10EA4" w:rsidRPr="00842757" w:rsidRDefault="00C10EA4" w:rsidP="0039452B">
      <w:pPr>
        <w:spacing w:after="0" w:line="240" w:lineRule="auto"/>
        <w:ind w:left="720" w:hanging="720"/>
        <w:rPr>
          <w:rFonts w:cstheme="minorHAnsi"/>
          <w:noProof/>
          <w:sz w:val="24"/>
          <w:szCs w:val="24"/>
        </w:rPr>
      </w:pPr>
      <w:r w:rsidRPr="00842757">
        <w:rPr>
          <w:rFonts w:cstheme="minorHAnsi"/>
          <w:noProof/>
          <w:sz w:val="24"/>
          <w:szCs w:val="24"/>
        </w:rPr>
        <w:t xml:space="preserve">Suisman, David. </w:t>
      </w:r>
      <w:r w:rsidRPr="00842757">
        <w:rPr>
          <w:rFonts w:cstheme="minorHAnsi"/>
          <w:i/>
          <w:noProof/>
          <w:sz w:val="24"/>
          <w:szCs w:val="24"/>
        </w:rPr>
        <w:t>Selling Sounds: The Commercial Revolution in American Music</w:t>
      </w:r>
      <w:r w:rsidRPr="00842757">
        <w:rPr>
          <w:rFonts w:cstheme="minorHAnsi"/>
          <w:noProof/>
          <w:sz w:val="24"/>
          <w:szCs w:val="24"/>
        </w:rPr>
        <w:t>. Cambridge, MA: Harvard University Press, 2009.</w:t>
      </w:r>
      <w:bookmarkEnd w:id="56"/>
    </w:p>
    <w:p w:rsidR="007B3705" w:rsidRPr="00842757" w:rsidRDefault="007B3705" w:rsidP="0039452B">
      <w:pPr>
        <w:spacing w:after="0" w:line="240" w:lineRule="auto"/>
        <w:ind w:left="720" w:hanging="720"/>
        <w:rPr>
          <w:noProof/>
          <w:sz w:val="24"/>
          <w:szCs w:val="24"/>
        </w:rPr>
      </w:pPr>
    </w:p>
    <w:p w:rsidR="007B3705" w:rsidRPr="00842757" w:rsidRDefault="007B3705" w:rsidP="0039452B">
      <w:pPr>
        <w:spacing w:after="0" w:line="240" w:lineRule="auto"/>
        <w:ind w:left="720" w:hanging="720"/>
        <w:rPr>
          <w:noProof/>
          <w:sz w:val="24"/>
          <w:szCs w:val="24"/>
        </w:rPr>
      </w:pPr>
      <w:r w:rsidRPr="00842757">
        <w:rPr>
          <w:noProof/>
          <w:sz w:val="24"/>
          <w:szCs w:val="24"/>
        </w:rPr>
        <w:t xml:space="preserve">Taussig, Michael T. </w:t>
      </w:r>
      <w:r w:rsidRPr="00842757">
        <w:rPr>
          <w:i/>
          <w:noProof/>
          <w:sz w:val="24"/>
          <w:szCs w:val="24"/>
        </w:rPr>
        <w:t>Mimesis and Alterity: A Particular History of the Senses</w:t>
      </w:r>
      <w:r w:rsidRPr="00842757">
        <w:rPr>
          <w:noProof/>
          <w:sz w:val="24"/>
          <w:szCs w:val="24"/>
        </w:rPr>
        <w:t>. New York: Routledge, 1993.</w:t>
      </w:r>
    </w:p>
    <w:p w:rsidR="007B3705" w:rsidRDefault="007B3705" w:rsidP="0039452B">
      <w:pPr>
        <w:spacing w:after="0" w:line="240" w:lineRule="auto"/>
        <w:ind w:left="720" w:hanging="720"/>
        <w:rPr>
          <w:noProof/>
          <w:sz w:val="24"/>
          <w:szCs w:val="24"/>
        </w:rPr>
      </w:pPr>
    </w:p>
    <w:p w:rsidR="00C64E57" w:rsidRPr="00C64E57" w:rsidRDefault="00C64E57" w:rsidP="0039452B">
      <w:pPr>
        <w:spacing w:line="240" w:lineRule="auto"/>
        <w:rPr>
          <w:rFonts w:ascii="Calibri" w:hAnsi="Calibri"/>
          <w:noProof/>
          <w:sz w:val="24"/>
          <w:szCs w:val="24"/>
        </w:rPr>
      </w:pPr>
      <w:r>
        <w:rPr>
          <w:noProof/>
          <w:sz w:val="24"/>
          <w:szCs w:val="24"/>
        </w:rPr>
        <w:t>Volz, Candace M. “The Modern Look of the Early Twentieth-Century House: A Mirror of</w:t>
      </w:r>
      <w:r>
        <w:rPr>
          <w:noProof/>
          <w:sz w:val="24"/>
          <w:szCs w:val="24"/>
        </w:rPr>
        <w:tab/>
        <w:t xml:space="preserve">Changing Lifestyles.” </w:t>
      </w:r>
      <w:r>
        <w:rPr>
          <w:sz w:val="24"/>
          <w:szCs w:val="24"/>
        </w:rPr>
        <w:t>I</w:t>
      </w:r>
      <w:r w:rsidRPr="00170F6C">
        <w:rPr>
          <w:sz w:val="24"/>
          <w:szCs w:val="24"/>
        </w:rPr>
        <w:t xml:space="preserve">n </w:t>
      </w:r>
      <w:r>
        <w:rPr>
          <w:i/>
          <w:noProof/>
          <w:sz w:val="24"/>
          <w:szCs w:val="24"/>
        </w:rPr>
        <w:t xml:space="preserve">American </w:t>
      </w:r>
      <w:r w:rsidRPr="00170F6C">
        <w:rPr>
          <w:i/>
          <w:noProof/>
          <w:sz w:val="24"/>
          <w:szCs w:val="24"/>
        </w:rPr>
        <w:t>Home Life, 1880-1930:</w:t>
      </w:r>
      <w:r>
        <w:rPr>
          <w:i/>
          <w:noProof/>
          <w:sz w:val="24"/>
          <w:szCs w:val="24"/>
        </w:rPr>
        <w:t xml:space="preserve"> A Social History of Spaces and</w:t>
      </w:r>
      <w:r>
        <w:rPr>
          <w:i/>
          <w:noProof/>
          <w:sz w:val="24"/>
          <w:szCs w:val="24"/>
        </w:rPr>
        <w:tab/>
      </w:r>
      <w:r w:rsidRPr="00170F6C">
        <w:rPr>
          <w:i/>
          <w:noProof/>
          <w:sz w:val="24"/>
          <w:szCs w:val="24"/>
        </w:rPr>
        <w:t>Services</w:t>
      </w:r>
      <w:r>
        <w:rPr>
          <w:noProof/>
          <w:sz w:val="24"/>
          <w:szCs w:val="24"/>
        </w:rPr>
        <w:t>, edited by</w:t>
      </w:r>
      <w:r w:rsidRPr="00170F6C">
        <w:rPr>
          <w:noProof/>
          <w:sz w:val="24"/>
          <w:szCs w:val="24"/>
        </w:rPr>
        <w:t xml:space="preserve"> Jessica </w:t>
      </w:r>
      <w:r>
        <w:rPr>
          <w:noProof/>
          <w:sz w:val="24"/>
          <w:szCs w:val="24"/>
        </w:rPr>
        <w:t>H. Foy and Thomas J. Schlereth, 25-48. Knoxville: University of</w:t>
      </w:r>
      <w:r>
        <w:rPr>
          <w:noProof/>
          <w:sz w:val="24"/>
          <w:szCs w:val="24"/>
        </w:rPr>
        <w:tab/>
      </w:r>
      <w:r w:rsidRPr="00170F6C">
        <w:rPr>
          <w:noProof/>
          <w:sz w:val="24"/>
          <w:szCs w:val="24"/>
        </w:rPr>
        <w:t>Tennessee Press, 1992</w:t>
      </w:r>
      <w:r>
        <w:rPr>
          <w:noProof/>
          <w:sz w:val="24"/>
          <w:szCs w:val="24"/>
        </w:rPr>
        <w:t>.</w:t>
      </w:r>
    </w:p>
    <w:p w:rsidR="00DF1623" w:rsidRPr="006B26A5" w:rsidRDefault="007B3705" w:rsidP="0039452B">
      <w:pPr>
        <w:spacing w:line="240" w:lineRule="auto"/>
        <w:ind w:left="720" w:hanging="720"/>
        <w:rPr>
          <w:noProof/>
          <w:sz w:val="24"/>
          <w:szCs w:val="24"/>
        </w:rPr>
      </w:pPr>
      <w:r w:rsidRPr="00842757">
        <w:rPr>
          <w:noProof/>
          <w:sz w:val="24"/>
          <w:szCs w:val="24"/>
        </w:rPr>
        <w:t xml:space="preserve">Wells, Richard A. </w:t>
      </w:r>
      <w:r w:rsidRPr="00842757">
        <w:rPr>
          <w:i/>
          <w:noProof/>
          <w:sz w:val="24"/>
          <w:szCs w:val="24"/>
        </w:rPr>
        <w:t>Manners, Culture and Dress of the Best American Society</w:t>
      </w:r>
      <w:r w:rsidRPr="00842757">
        <w:rPr>
          <w:noProof/>
          <w:sz w:val="24"/>
          <w:szCs w:val="24"/>
        </w:rPr>
        <w:t>. Spring</w:t>
      </w:r>
      <w:r w:rsidR="003C078E">
        <w:rPr>
          <w:noProof/>
          <w:sz w:val="24"/>
          <w:szCs w:val="24"/>
        </w:rPr>
        <w:t>field, MA</w:t>
      </w:r>
      <w:r w:rsidRPr="00842757">
        <w:rPr>
          <w:noProof/>
          <w:sz w:val="24"/>
          <w:szCs w:val="24"/>
        </w:rPr>
        <w:t>: King, Richardson, 1894.</w:t>
      </w:r>
    </w:p>
    <w:p w:rsidR="00C10EA4" w:rsidRPr="00842757" w:rsidRDefault="00DF1623" w:rsidP="0039452B">
      <w:pPr>
        <w:spacing w:line="240" w:lineRule="auto"/>
        <w:rPr>
          <w:sz w:val="24"/>
          <w:szCs w:val="24"/>
        </w:rPr>
      </w:pPr>
      <w:r w:rsidRPr="00842757">
        <w:rPr>
          <w:sz w:val="24"/>
          <w:szCs w:val="24"/>
        </w:rPr>
        <w:lastRenderedPageBreak/>
        <w:t xml:space="preserve">Williams, Harry R. “’Ah Sin.’ </w:t>
      </w:r>
      <w:proofErr w:type="gramStart"/>
      <w:r w:rsidRPr="00842757">
        <w:rPr>
          <w:sz w:val="24"/>
          <w:szCs w:val="24"/>
        </w:rPr>
        <w:t>Chinese Song.”</w:t>
      </w:r>
      <w:proofErr w:type="gramEnd"/>
      <w:r w:rsidRPr="00842757">
        <w:rPr>
          <w:sz w:val="24"/>
          <w:szCs w:val="24"/>
        </w:rPr>
        <w:t xml:space="preserve"> Detroit: Roe Stephens, Successor to </w:t>
      </w:r>
      <w:proofErr w:type="spellStart"/>
      <w:r w:rsidRPr="00842757">
        <w:rPr>
          <w:sz w:val="24"/>
          <w:szCs w:val="24"/>
        </w:rPr>
        <w:t>Whittemore</w:t>
      </w:r>
      <w:proofErr w:type="spellEnd"/>
      <w:r w:rsidRPr="00842757">
        <w:rPr>
          <w:sz w:val="24"/>
          <w:szCs w:val="24"/>
        </w:rPr>
        <w:t xml:space="preserve"> &amp;</w:t>
      </w:r>
      <w:r w:rsidRPr="00842757">
        <w:rPr>
          <w:sz w:val="24"/>
          <w:szCs w:val="24"/>
        </w:rPr>
        <w:tab/>
        <w:t xml:space="preserve">Stephens, 1878. Box 054, Item 002, </w:t>
      </w:r>
      <w:proofErr w:type="gramStart"/>
      <w:r w:rsidRPr="00842757">
        <w:rPr>
          <w:sz w:val="24"/>
          <w:szCs w:val="24"/>
        </w:rPr>
        <w:t>The</w:t>
      </w:r>
      <w:proofErr w:type="gramEnd"/>
      <w:r w:rsidRPr="00842757">
        <w:rPr>
          <w:sz w:val="24"/>
          <w:szCs w:val="24"/>
        </w:rPr>
        <w:t xml:space="preserve"> Lester S. Levy Collection of Sheet Music, The</w:t>
      </w:r>
      <w:r w:rsidRPr="00842757">
        <w:rPr>
          <w:sz w:val="24"/>
          <w:szCs w:val="24"/>
        </w:rPr>
        <w:tab/>
        <w:t>Sheridan Libraries, John</w:t>
      </w:r>
      <w:r w:rsidR="00204E9E">
        <w:rPr>
          <w:sz w:val="24"/>
          <w:szCs w:val="24"/>
        </w:rPr>
        <w:t>s</w:t>
      </w:r>
      <w:r w:rsidRPr="00842757">
        <w:rPr>
          <w:sz w:val="24"/>
          <w:szCs w:val="24"/>
        </w:rPr>
        <w:t xml:space="preserve"> Hopkins University, Baltimore, Maryland.</w:t>
      </w:r>
    </w:p>
    <w:p w:rsidR="00842757" w:rsidRPr="00842757" w:rsidRDefault="00842757" w:rsidP="0039452B">
      <w:pPr>
        <w:spacing w:line="240" w:lineRule="auto"/>
        <w:rPr>
          <w:sz w:val="24"/>
          <w:szCs w:val="24"/>
        </w:rPr>
      </w:pPr>
      <w:r w:rsidRPr="00842757">
        <w:rPr>
          <w:sz w:val="24"/>
          <w:szCs w:val="24"/>
        </w:rPr>
        <w:t xml:space="preserve">Williams, Jesse. </w:t>
      </w:r>
      <w:proofErr w:type="gramStart"/>
      <w:r w:rsidRPr="00842757">
        <w:rPr>
          <w:sz w:val="24"/>
          <w:szCs w:val="24"/>
        </w:rPr>
        <w:t>“Popular Songs.</w:t>
      </w:r>
      <w:proofErr w:type="gramEnd"/>
      <w:r w:rsidRPr="00842757">
        <w:rPr>
          <w:sz w:val="24"/>
          <w:szCs w:val="24"/>
        </w:rPr>
        <w:t xml:space="preserve"> </w:t>
      </w:r>
      <w:proofErr w:type="gramStart"/>
      <w:r w:rsidRPr="00842757">
        <w:rPr>
          <w:sz w:val="24"/>
          <w:szCs w:val="24"/>
        </w:rPr>
        <w:t>N</w:t>
      </w:r>
      <w:r w:rsidR="00204E9E">
        <w:rPr>
          <w:sz w:val="24"/>
          <w:szCs w:val="24"/>
        </w:rPr>
        <w:t>o.5. All Among the Hay.”</w:t>
      </w:r>
      <w:proofErr w:type="gramEnd"/>
      <w:r w:rsidR="00204E9E">
        <w:rPr>
          <w:sz w:val="24"/>
          <w:szCs w:val="24"/>
        </w:rPr>
        <w:t xml:space="preserve"> Boston</w:t>
      </w:r>
      <w:r w:rsidRPr="00842757">
        <w:rPr>
          <w:sz w:val="24"/>
          <w:szCs w:val="24"/>
        </w:rPr>
        <w:t xml:space="preserve">: White &amp; </w:t>
      </w:r>
      <w:proofErr w:type="spellStart"/>
      <w:r w:rsidRPr="00842757">
        <w:rPr>
          <w:sz w:val="24"/>
          <w:szCs w:val="24"/>
        </w:rPr>
        <w:t>Goullaud</w:t>
      </w:r>
      <w:proofErr w:type="spellEnd"/>
      <w:r w:rsidRPr="00842757">
        <w:rPr>
          <w:sz w:val="24"/>
          <w:szCs w:val="24"/>
        </w:rPr>
        <w:t>, 1870.</w:t>
      </w:r>
      <w:r w:rsidRPr="00842757">
        <w:rPr>
          <w:sz w:val="24"/>
          <w:szCs w:val="24"/>
        </w:rPr>
        <w:tab/>
        <w:t xml:space="preserve">Box 054, Item 003, </w:t>
      </w:r>
      <w:proofErr w:type="gramStart"/>
      <w:r w:rsidRPr="00842757">
        <w:rPr>
          <w:sz w:val="24"/>
          <w:szCs w:val="24"/>
        </w:rPr>
        <w:t>The</w:t>
      </w:r>
      <w:proofErr w:type="gramEnd"/>
      <w:r w:rsidRPr="00842757">
        <w:rPr>
          <w:sz w:val="24"/>
          <w:szCs w:val="24"/>
        </w:rPr>
        <w:t xml:space="preserve"> Lester S. Levy Collection of Sheet Music, The Sheridan Libraries,</w:t>
      </w:r>
      <w:r w:rsidRPr="00842757">
        <w:rPr>
          <w:sz w:val="24"/>
          <w:szCs w:val="24"/>
        </w:rPr>
        <w:tab/>
        <w:t>John</w:t>
      </w:r>
      <w:r w:rsidR="00204E9E">
        <w:rPr>
          <w:sz w:val="24"/>
          <w:szCs w:val="24"/>
        </w:rPr>
        <w:t>s</w:t>
      </w:r>
      <w:r w:rsidRPr="00842757">
        <w:rPr>
          <w:sz w:val="24"/>
          <w:szCs w:val="24"/>
        </w:rPr>
        <w:t xml:space="preserve"> Hopkins University, Baltimore, Maryland.</w:t>
      </w:r>
    </w:p>
    <w:p w:rsidR="00E23B8F" w:rsidRDefault="00C10EA4" w:rsidP="0039452B">
      <w:pPr>
        <w:spacing w:line="240" w:lineRule="auto"/>
        <w:ind w:left="720" w:hanging="720"/>
        <w:rPr>
          <w:rFonts w:cstheme="minorHAnsi"/>
          <w:noProof/>
          <w:sz w:val="24"/>
          <w:szCs w:val="24"/>
        </w:rPr>
      </w:pPr>
      <w:bookmarkStart w:id="57" w:name="_ENREF_33"/>
      <w:r w:rsidRPr="00842757">
        <w:rPr>
          <w:rFonts w:cstheme="minorHAnsi"/>
          <w:noProof/>
          <w:sz w:val="24"/>
          <w:szCs w:val="24"/>
        </w:rPr>
        <w:t xml:space="preserve">Wolfe, Richard J. </w:t>
      </w:r>
      <w:r w:rsidRPr="00842757">
        <w:rPr>
          <w:rFonts w:cstheme="minorHAnsi"/>
          <w:i/>
          <w:noProof/>
          <w:sz w:val="24"/>
          <w:szCs w:val="24"/>
        </w:rPr>
        <w:t>Early American Music Engraving and Printing: A History of Music Publishing in America from 1787 to 1825 with Commentary on Earlier and Later Practices</w:t>
      </w:r>
      <w:r w:rsidRPr="00842757">
        <w:rPr>
          <w:rFonts w:cstheme="minorHAnsi"/>
          <w:noProof/>
          <w:sz w:val="24"/>
          <w:szCs w:val="24"/>
        </w:rPr>
        <w:t>. Urbana: University of Illinois Press, 1980.</w:t>
      </w:r>
      <w:bookmarkEnd w:id="57"/>
    </w:p>
    <w:p w:rsidR="00D7260B" w:rsidRDefault="00D7260B"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FB39B4" w:rsidRDefault="00FB39B4" w:rsidP="00170F6C">
      <w:pPr>
        <w:spacing w:line="240" w:lineRule="auto"/>
        <w:rPr>
          <w:rFonts w:cstheme="minorHAnsi"/>
          <w:noProof/>
          <w:sz w:val="24"/>
          <w:szCs w:val="24"/>
        </w:rPr>
      </w:pPr>
    </w:p>
    <w:p w:rsidR="00204E9E" w:rsidRDefault="00204E9E" w:rsidP="00170F6C">
      <w:pPr>
        <w:spacing w:line="240" w:lineRule="auto"/>
        <w:rPr>
          <w:rFonts w:cstheme="minorHAnsi"/>
          <w:noProof/>
          <w:sz w:val="24"/>
          <w:szCs w:val="24"/>
        </w:rPr>
      </w:pPr>
    </w:p>
    <w:p w:rsidR="00D7260B" w:rsidRPr="007208C3" w:rsidRDefault="00D7260B" w:rsidP="00F64298">
      <w:pPr>
        <w:pStyle w:val="Heading1"/>
        <w:numPr>
          <w:ilvl w:val="0"/>
          <w:numId w:val="0"/>
        </w:numPr>
        <w:jc w:val="center"/>
        <w:rPr>
          <w:color w:val="auto"/>
          <w:sz w:val="24"/>
          <w:szCs w:val="24"/>
        </w:rPr>
      </w:pPr>
      <w:bookmarkStart w:id="58" w:name="_Toc356278702"/>
      <w:r w:rsidRPr="007F0A8C">
        <w:rPr>
          <w:rFonts w:asciiTheme="minorHAnsi" w:hAnsiTheme="minorHAnsi"/>
          <w:color w:val="auto"/>
          <w:sz w:val="24"/>
          <w:szCs w:val="24"/>
        </w:rPr>
        <w:lastRenderedPageBreak/>
        <w:t>Vita</w:t>
      </w:r>
      <w:bookmarkEnd w:id="58"/>
    </w:p>
    <w:p w:rsidR="001414C7" w:rsidRDefault="001414C7" w:rsidP="00D7260B">
      <w:pPr>
        <w:spacing w:line="240" w:lineRule="auto"/>
        <w:ind w:left="720" w:hanging="720"/>
        <w:jc w:val="center"/>
        <w:rPr>
          <w:rFonts w:cstheme="minorHAnsi"/>
          <w:noProof/>
          <w:sz w:val="24"/>
          <w:szCs w:val="24"/>
        </w:rPr>
      </w:pPr>
    </w:p>
    <w:p w:rsidR="00D7260B" w:rsidRPr="00842757" w:rsidRDefault="00D7260B" w:rsidP="007D40CD">
      <w:pPr>
        <w:spacing w:line="480" w:lineRule="auto"/>
        <w:ind w:firstLine="720"/>
        <w:rPr>
          <w:rFonts w:cstheme="minorHAnsi"/>
          <w:noProof/>
          <w:sz w:val="24"/>
          <w:szCs w:val="24"/>
        </w:rPr>
      </w:pPr>
      <w:r>
        <w:rPr>
          <w:rFonts w:cstheme="minorHAnsi"/>
          <w:noProof/>
          <w:sz w:val="24"/>
          <w:szCs w:val="24"/>
        </w:rPr>
        <w:t>Kevin O’Brien earned a Bachelor of Arts from James Madison University in Harrisonburg, Virginia</w:t>
      </w:r>
      <w:r w:rsidR="002F1D7D">
        <w:rPr>
          <w:rFonts w:cstheme="minorHAnsi"/>
          <w:noProof/>
          <w:sz w:val="24"/>
          <w:szCs w:val="24"/>
        </w:rPr>
        <w:t>, with a major in History and minors in Music, Secondary Education, and Interdisciplinary Social Science. After graduating</w:t>
      </w:r>
      <w:r w:rsidR="00204E9E">
        <w:rPr>
          <w:rFonts w:cstheme="minorHAnsi"/>
          <w:noProof/>
          <w:sz w:val="24"/>
          <w:szCs w:val="24"/>
        </w:rPr>
        <w:t>,</w:t>
      </w:r>
      <w:r w:rsidR="002F1D7D">
        <w:rPr>
          <w:rFonts w:cstheme="minorHAnsi"/>
          <w:noProof/>
          <w:sz w:val="24"/>
          <w:szCs w:val="24"/>
        </w:rPr>
        <w:t xml:space="preserve"> he enrolled in the Master’s program in Musicology at the University of Tennessee, where he was awarded a competetive teaching assitantship in musicology. His research interests </w:t>
      </w:r>
      <w:r w:rsidR="001414C7">
        <w:rPr>
          <w:rFonts w:cstheme="minorHAnsi"/>
          <w:noProof/>
          <w:sz w:val="24"/>
          <w:szCs w:val="24"/>
        </w:rPr>
        <w:t xml:space="preserve">are various and </w:t>
      </w:r>
      <w:r w:rsidR="002F1D7D">
        <w:rPr>
          <w:rFonts w:cstheme="minorHAnsi"/>
          <w:noProof/>
          <w:sz w:val="24"/>
          <w:szCs w:val="24"/>
        </w:rPr>
        <w:t>include nineteenth-century popular song</w:t>
      </w:r>
      <w:r w:rsidR="001414C7">
        <w:rPr>
          <w:rFonts w:cstheme="minorHAnsi"/>
          <w:noProof/>
          <w:sz w:val="24"/>
          <w:szCs w:val="24"/>
        </w:rPr>
        <w:t>;</w:t>
      </w:r>
      <w:r w:rsidR="002F1D7D">
        <w:rPr>
          <w:rFonts w:cstheme="minorHAnsi"/>
          <w:noProof/>
          <w:sz w:val="24"/>
          <w:szCs w:val="24"/>
        </w:rPr>
        <w:t xml:space="preserve"> </w:t>
      </w:r>
      <w:r w:rsidR="001414C7">
        <w:rPr>
          <w:rFonts w:cstheme="minorHAnsi"/>
          <w:noProof/>
          <w:sz w:val="24"/>
          <w:szCs w:val="24"/>
        </w:rPr>
        <w:t xml:space="preserve">Stephen Foster; </w:t>
      </w:r>
      <w:r w:rsidR="002F1D7D">
        <w:rPr>
          <w:rFonts w:cstheme="minorHAnsi"/>
          <w:noProof/>
          <w:sz w:val="24"/>
          <w:szCs w:val="24"/>
        </w:rPr>
        <w:t>music in film and animation</w:t>
      </w:r>
      <w:r w:rsidR="001414C7">
        <w:rPr>
          <w:rFonts w:cstheme="minorHAnsi"/>
          <w:noProof/>
          <w:sz w:val="24"/>
          <w:szCs w:val="24"/>
        </w:rPr>
        <w:t>;</w:t>
      </w:r>
      <w:r w:rsidR="002F1D7D">
        <w:rPr>
          <w:rFonts w:cstheme="minorHAnsi"/>
          <w:noProof/>
          <w:sz w:val="24"/>
          <w:szCs w:val="24"/>
        </w:rPr>
        <w:t xml:space="preserve"> African diasporic music</w:t>
      </w:r>
      <w:r w:rsidR="001414C7">
        <w:rPr>
          <w:rFonts w:cstheme="minorHAnsi"/>
          <w:noProof/>
          <w:sz w:val="24"/>
          <w:szCs w:val="24"/>
        </w:rPr>
        <w:t>;</w:t>
      </w:r>
      <w:r w:rsidR="002F1D7D">
        <w:rPr>
          <w:rFonts w:cstheme="minorHAnsi"/>
          <w:noProof/>
          <w:sz w:val="24"/>
          <w:szCs w:val="24"/>
        </w:rPr>
        <w:t xml:space="preserve"> </w:t>
      </w:r>
      <w:r w:rsidR="001414C7">
        <w:rPr>
          <w:rFonts w:cstheme="minorHAnsi"/>
          <w:noProof/>
          <w:sz w:val="24"/>
          <w:szCs w:val="24"/>
        </w:rPr>
        <w:t xml:space="preserve">ska; and issues of </w:t>
      </w:r>
      <w:r w:rsidR="002F1D7D">
        <w:rPr>
          <w:rFonts w:cstheme="minorHAnsi"/>
          <w:noProof/>
          <w:sz w:val="24"/>
          <w:szCs w:val="24"/>
        </w:rPr>
        <w:t>identity, race,</w:t>
      </w:r>
      <w:r w:rsidR="001414C7">
        <w:rPr>
          <w:rFonts w:cstheme="minorHAnsi"/>
          <w:noProof/>
          <w:sz w:val="24"/>
          <w:szCs w:val="24"/>
        </w:rPr>
        <w:t xml:space="preserve"> and</w:t>
      </w:r>
      <w:r w:rsidR="002F1D7D">
        <w:rPr>
          <w:rFonts w:cstheme="minorHAnsi"/>
          <w:noProof/>
          <w:sz w:val="24"/>
          <w:szCs w:val="24"/>
        </w:rPr>
        <w:t xml:space="preserve"> gender</w:t>
      </w:r>
      <w:r w:rsidR="001414C7">
        <w:rPr>
          <w:rFonts w:cstheme="minorHAnsi"/>
          <w:noProof/>
          <w:sz w:val="24"/>
          <w:szCs w:val="24"/>
        </w:rPr>
        <w:t>.</w:t>
      </w:r>
      <w:r w:rsidR="002F1D7D">
        <w:rPr>
          <w:rFonts w:cstheme="minorHAnsi"/>
          <w:noProof/>
          <w:sz w:val="24"/>
          <w:szCs w:val="24"/>
        </w:rPr>
        <w:t xml:space="preserve"> </w:t>
      </w:r>
      <w:r w:rsidR="001414C7">
        <w:rPr>
          <w:rFonts w:cstheme="minorHAnsi"/>
          <w:noProof/>
          <w:sz w:val="24"/>
          <w:szCs w:val="24"/>
        </w:rPr>
        <w:t>He plans to further his studies in musicology at the University of Pittsburgh, where he was awarded an Arts and Sciences Fellowship and a teaching assistantship.</w:t>
      </w:r>
    </w:p>
    <w:sectPr w:rsidR="00D7260B" w:rsidRPr="00842757" w:rsidSect="00007733">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D0B" w:rsidRDefault="00590D0B" w:rsidP="00E23B8F">
      <w:pPr>
        <w:spacing w:after="0" w:line="240" w:lineRule="auto"/>
      </w:pPr>
      <w:r>
        <w:separator/>
      </w:r>
    </w:p>
  </w:endnote>
  <w:endnote w:type="continuationSeparator" w:id="0">
    <w:p w:rsidR="00590D0B" w:rsidRDefault="00590D0B" w:rsidP="00E23B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D0B" w:rsidRDefault="00590D0B" w:rsidP="00E23B8F">
      <w:pPr>
        <w:spacing w:after="0" w:line="240" w:lineRule="auto"/>
      </w:pPr>
      <w:r>
        <w:separator/>
      </w:r>
    </w:p>
  </w:footnote>
  <w:footnote w:type="continuationSeparator" w:id="0">
    <w:p w:rsidR="00590D0B" w:rsidRDefault="00590D0B" w:rsidP="00E23B8F">
      <w:pPr>
        <w:spacing w:after="0" w:line="240" w:lineRule="auto"/>
      </w:pPr>
      <w:r>
        <w:continuationSeparator/>
      </w:r>
    </w:p>
  </w:footnote>
  <w:footnote w:id="1">
    <w:p w:rsidR="006F6736" w:rsidRDefault="006F6736" w:rsidP="00D029BE">
      <w:pPr>
        <w:pStyle w:val="FootnoteText"/>
        <w:ind w:firstLine="720"/>
      </w:pPr>
      <w:r>
        <w:rPr>
          <w:rStyle w:val="FootnoteReference"/>
        </w:rPr>
        <w:footnoteRef/>
      </w:r>
      <w:r>
        <w:t>Reprinted in</w:t>
      </w:r>
      <w:r>
        <w:rPr>
          <w:noProof/>
        </w:rPr>
        <w:t xml:space="preserve"> "Foster-Hall Bulletin," </w:t>
      </w:r>
      <w:r>
        <w:rPr>
          <w:i/>
          <w:noProof/>
        </w:rPr>
        <w:t>Foster-Hall Bulletin</w:t>
      </w:r>
      <w:r>
        <w:rPr>
          <w:noProof/>
        </w:rPr>
        <w:t xml:space="preserve"> 11 (1935): 22.</w:t>
      </w:r>
    </w:p>
  </w:footnote>
  <w:footnote w:id="2">
    <w:p w:rsidR="006F6736" w:rsidRDefault="006F6736" w:rsidP="00D029BE">
      <w:pPr>
        <w:pStyle w:val="FootnoteText"/>
        <w:ind w:firstLine="720"/>
      </w:pPr>
      <w:r>
        <w:rPr>
          <w:rStyle w:val="FootnoteReference"/>
        </w:rPr>
        <w:footnoteRef/>
      </w:r>
      <w:r>
        <w:t xml:space="preserve"> </w:t>
      </w:r>
      <w:proofErr w:type="spellStart"/>
      <w:r>
        <w:t>L’Abbé</w:t>
      </w:r>
      <w:proofErr w:type="spellEnd"/>
      <w:r>
        <w:t xml:space="preserve"> </w:t>
      </w:r>
      <w:r>
        <w:rPr>
          <w:noProof/>
        </w:rPr>
        <w:t xml:space="preserve">Delaumosne et al., </w:t>
      </w:r>
      <w:r>
        <w:rPr>
          <w:i/>
          <w:noProof/>
        </w:rPr>
        <w:t>Delsarte System of O</w:t>
      </w:r>
      <w:r w:rsidRPr="002D4D1B">
        <w:rPr>
          <w:i/>
          <w:noProof/>
        </w:rPr>
        <w:t>ratory</w:t>
      </w:r>
      <w:r>
        <w:rPr>
          <w:noProof/>
        </w:rPr>
        <w:t xml:space="preserve"> (New York: E.S. Werner, 1893), 39.</w:t>
      </w:r>
    </w:p>
  </w:footnote>
  <w:footnote w:id="3">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43.</w:t>
      </w:r>
    </w:p>
  </w:footnote>
  <w:footnote w:id="4">
    <w:p w:rsidR="006F6736" w:rsidRDefault="006F6736" w:rsidP="00D029BE">
      <w:pPr>
        <w:pStyle w:val="FootnoteText"/>
        <w:ind w:firstLine="720"/>
      </w:pPr>
      <w:r>
        <w:rPr>
          <w:rStyle w:val="FootnoteReference"/>
        </w:rPr>
        <w:footnoteRef/>
      </w:r>
      <w:r>
        <w:t xml:space="preserve"> Reprinted in</w:t>
      </w:r>
      <w:r>
        <w:rPr>
          <w:noProof/>
        </w:rPr>
        <w:t xml:space="preserve"> "Foster-Hall Bulletin," </w:t>
      </w:r>
      <w:r>
        <w:rPr>
          <w:i/>
          <w:noProof/>
        </w:rPr>
        <w:t>Foster-Hall Bulletin</w:t>
      </w:r>
      <w:r>
        <w:rPr>
          <w:noProof/>
        </w:rPr>
        <w:t xml:space="preserve"> 11 (1935):</w:t>
      </w:r>
      <w:r>
        <w:t xml:space="preserve"> 24.</w:t>
      </w:r>
    </w:p>
  </w:footnote>
  <w:footnote w:id="5">
    <w:p w:rsidR="006F6736" w:rsidRDefault="006F6736" w:rsidP="00D029BE">
      <w:pPr>
        <w:pStyle w:val="FootnoteText"/>
        <w:ind w:firstLine="720"/>
      </w:pPr>
      <w:r>
        <w:rPr>
          <w:rStyle w:val="FootnoteReference"/>
        </w:rPr>
        <w:footnoteRef/>
      </w:r>
      <w:r>
        <w:t xml:space="preserve"> Ibid.</w:t>
      </w:r>
    </w:p>
  </w:footnote>
  <w:footnote w:id="6">
    <w:p w:rsidR="006F6736" w:rsidRDefault="006F6736" w:rsidP="00D029BE">
      <w:pPr>
        <w:pStyle w:val="FootnoteText"/>
        <w:ind w:firstLine="720"/>
      </w:pPr>
      <w:r>
        <w:rPr>
          <w:rStyle w:val="FootnoteReference"/>
        </w:rPr>
        <w:footnoteRef/>
      </w:r>
      <w:r>
        <w:t xml:space="preserve"> Ibid.</w:t>
      </w:r>
    </w:p>
  </w:footnote>
  <w:footnote w:id="7">
    <w:p w:rsidR="006F6736" w:rsidRDefault="006F6736" w:rsidP="002566BD">
      <w:pPr>
        <w:pStyle w:val="FootnoteText"/>
        <w:ind w:firstLine="720"/>
      </w:pPr>
      <w:r>
        <w:rPr>
          <w:rStyle w:val="FootnoteReference"/>
        </w:rPr>
        <w:footnoteRef/>
      </w:r>
      <w:r>
        <w:t xml:space="preserve"> Ibid.</w:t>
      </w:r>
    </w:p>
  </w:footnote>
  <w:footnote w:id="8">
    <w:p w:rsidR="006F6736" w:rsidRDefault="006F6736" w:rsidP="00D029BE">
      <w:pPr>
        <w:pStyle w:val="FootnoteText"/>
        <w:ind w:firstLine="720"/>
      </w:pPr>
      <w:r>
        <w:rPr>
          <w:rStyle w:val="FootnoteReference"/>
        </w:rPr>
        <w:footnoteRef/>
      </w:r>
      <w:r>
        <w:t xml:space="preserve"> </w:t>
      </w:r>
      <w:r>
        <w:rPr>
          <w:noProof/>
        </w:rPr>
        <w:t xml:space="preserve">Eric Lott, </w:t>
      </w:r>
      <w:r>
        <w:rPr>
          <w:i/>
          <w:noProof/>
        </w:rPr>
        <w:t>Love and Theft: Blackface Minstrelsy and the American Working C</w:t>
      </w:r>
      <w:r w:rsidRPr="00160855">
        <w:rPr>
          <w:i/>
          <w:noProof/>
        </w:rPr>
        <w:t>lass</w:t>
      </w:r>
      <w:r>
        <w:rPr>
          <w:noProof/>
        </w:rPr>
        <w:t xml:space="preserve"> (New York: Oxford University Press, 1993), 64.</w:t>
      </w:r>
    </w:p>
  </w:footnote>
  <w:footnote w:id="9">
    <w:p w:rsidR="006F6736" w:rsidRDefault="006F6736" w:rsidP="00D029BE">
      <w:pPr>
        <w:pStyle w:val="FootnoteText"/>
        <w:ind w:firstLine="720"/>
      </w:pPr>
      <w:r>
        <w:rPr>
          <w:rStyle w:val="FootnoteReference"/>
        </w:rPr>
        <w:footnoteRef/>
      </w:r>
      <w:r>
        <w:t xml:space="preserve"> </w:t>
      </w:r>
      <w:r>
        <w:rPr>
          <w:noProof/>
        </w:rPr>
        <w:t xml:space="preserve">Lawrence W. Levine, </w:t>
      </w:r>
      <w:r>
        <w:rPr>
          <w:i/>
          <w:noProof/>
        </w:rPr>
        <w:t>Highbrow/Lowbrow: The Emergence of Cultural H</w:t>
      </w:r>
      <w:r w:rsidRPr="00295A75">
        <w:rPr>
          <w:i/>
          <w:noProof/>
        </w:rPr>
        <w:t>ierarchy in America</w:t>
      </w:r>
      <w:r>
        <w:rPr>
          <w:noProof/>
        </w:rPr>
        <w:t xml:space="preserve"> (Cambridge, MA: Harvard University Press, 1988), 224.</w:t>
      </w:r>
    </w:p>
  </w:footnote>
  <w:footnote w:id="10">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225.</w:t>
      </w:r>
    </w:p>
  </w:footnote>
  <w:footnote w:id="11">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227.</w:t>
      </w:r>
    </w:p>
  </w:footnote>
  <w:footnote w:id="12">
    <w:p w:rsidR="006F6736" w:rsidRDefault="006F6736" w:rsidP="00D029BE">
      <w:pPr>
        <w:pStyle w:val="FootnoteText"/>
        <w:ind w:firstLine="720"/>
      </w:pPr>
      <w:r>
        <w:rPr>
          <w:rStyle w:val="FootnoteReference"/>
        </w:rPr>
        <w:footnoteRef/>
      </w:r>
      <w:r>
        <w:t xml:space="preserve"> Ibid.</w:t>
      </w:r>
    </w:p>
  </w:footnote>
  <w:footnote w:id="13">
    <w:p w:rsidR="006F6736" w:rsidRDefault="006F6736" w:rsidP="00D029BE">
      <w:pPr>
        <w:pStyle w:val="FootnoteText"/>
        <w:ind w:firstLine="720"/>
      </w:pPr>
      <w:r>
        <w:rPr>
          <w:rStyle w:val="FootnoteReference"/>
        </w:rPr>
        <w:footnoteRef/>
      </w:r>
      <w:r>
        <w:t xml:space="preserve"> </w:t>
      </w:r>
      <w:r>
        <w:rPr>
          <w:noProof/>
        </w:rPr>
        <w:t xml:space="preserve">Sherry B. Ortner, </w:t>
      </w:r>
      <w:r>
        <w:rPr>
          <w:i/>
          <w:noProof/>
        </w:rPr>
        <w:t>Anthropology and Social Theory: Culture, Power, and the Acting S</w:t>
      </w:r>
      <w:r w:rsidRPr="008B65C5">
        <w:rPr>
          <w:i/>
          <w:noProof/>
        </w:rPr>
        <w:t>ubject</w:t>
      </w:r>
      <w:r>
        <w:rPr>
          <w:noProof/>
        </w:rPr>
        <w:t xml:space="preserve"> (Durham, NC: Duke University Press, 2006), 66.</w:t>
      </w:r>
    </w:p>
  </w:footnote>
  <w:footnote w:id="14">
    <w:p w:rsidR="006F6736" w:rsidRDefault="006F6736" w:rsidP="00D029BE">
      <w:pPr>
        <w:pStyle w:val="FootnoteText"/>
        <w:ind w:firstLine="720"/>
      </w:pPr>
      <w:r>
        <w:rPr>
          <w:rStyle w:val="FootnoteReference"/>
        </w:rPr>
        <w:footnoteRef/>
      </w:r>
      <w:r>
        <w:t xml:space="preserve"> </w:t>
      </w:r>
      <w:r>
        <w:rPr>
          <w:noProof/>
        </w:rPr>
        <w:t xml:space="preserve">Simon Frith, </w:t>
      </w:r>
      <w:r>
        <w:rPr>
          <w:i/>
          <w:noProof/>
        </w:rPr>
        <w:t>Performing Rites: On the Value of Popular M</w:t>
      </w:r>
      <w:r w:rsidRPr="001D6ED3">
        <w:rPr>
          <w:i/>
          <w:noProof/>
        </w:rPr>
        <w:t>usic</w:t>
      </w:r>
      <w:r>
        <w:rPr>
          <w:noProof/>
        </w:rPr>
        <w:t xml:space="preserve"> (Cambridge, MA: Harvard University Press, 1996), 32.</w:t>
      </w:r>
    </w:p>
  </w:footnote>
  <w:footnote w:id="15">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36.</w:t>
      </w:r>
    </w:p>
  </w:footnote>
  <w:footnote w:id="16">
    <w:p w:rsidR="006F6736" w:rsidRDefault="006F6736" w:rsidP="00D029BE">
      <w:pPr>
        <w:pStyle w:val="FootnoteText"/>
        <w:ind w:firstLine="720"/>
      </w:pPr>
      <w:r>
        <w:rPr>
          <w:rStyle w:val="FootnoteReference"/>
        </w:rPr>
        <w:footnoteRef/>
      </w:r>
      <w:r>
        <w:t xml:space="preserve"> </w:t>
      </w:r>
      <w:r>
        <w:rPr>
          <w:noProof/>
        </w:rPr>
        <w:t>Ibid., 35.</w:t>
      </w:r>
    </w:p>
  </w:footnote>
  <w:footnote w:id="17">
    <w:p w:rsidR="006F6736" w:rsidRDefault="006F6736" w:rsidP="00D029BE">
      <w:pPr>
        <w:pStyle w:val="FootnoteText"/>
        <w:ind w:firstLine="720"/>
      </w:pPr>
      <w:r>
        <w:rPr>
          <w:rStyle w:val="FootnoteReference"/>
        </w:rPr>
        <w:footnoteRef/>
      </w:r>
      <w:r>
        <w:t xml:space="preserve"> Katherine C. Grier, “The Decline of the Memory Palace: The Parlor after 1890,” in </w:t>
      </w:r>
      <w:r>
        <w:rPr>
          <w:i/>
          <w:noProof/>
        </w:rPr>
        <w:t>American Home Life, 1880-1930: A Social History of Spaces and S</w:t>
      </w:r>
      <w:r w:rsidRPr="006811DD">
        <w:rPr>
          <w:i/>
          <w:noProof/>
        </w:rPr>
        <w:t>ervices</w:t>
      </w:r>
      <w:r>
        <w:rPr>
          <w:noProof/>
        </w:rPr>
        <w:t>, eds. Jessica H. Foy and Thomas J. Schlereth (Knoxville: University of Tennessee Press, 1992), 53-54.</w:t>
      </w:r>
    </w:p>
  </w:footnote>
  <w:footnote w:id="18">
    <w:p w:rsidR="006F6736" w:rsidRDefault="006F6736" w:rsidP="004D46FE">
      <w:pPr>
        <w:pStyle w:val="FootnoteText"/>
        <w:ind w:firstLine="720"/>
      </w:pPr>
      <w:r>
        <w:rPr>
          <w:rStyle w:val="FootnoteReference"/>
        </w:rPr>
        <w:footnoteRef/>
      </w:r>
      <w:r>
        <w:t xml:space="preserve"> </w:t>
      </w:r>
      <w:r w:rsidRPr="005A6C43">
        <w:rPr>
          <w:rFonts w:ascii="Calibri" w:eastAsia="Times New Roman" w:hAnsi="Calibri" w:cs="Times New Roman"/>
          <w:color w:val="010101"/>
        </w:rPr>
        <w:t xml:space="preserve">Colleen </w:t>
      </w:r>
      <w:proofErr w:type="spellStart"/>
      <w:r w:rsidRPr="005A6C43">
        <w:rPr>
          <w:rFonts w:ascii="Calibri" w:eastAsia="Times New Roman" w:hAnsi="Calibri" w:cs="Times New Roman"/>
          <w:color w:val="010101"/>
        </w:rPr>
        <w:t>McDannell</w:t>
      </w:r>
      <w:proofErr w:type="spellEnd"/>
      <w:r w:rsidRPr="005A6C43">
        <w:rPr>
          <w:rFonts w:ascii="Calibri" w:eastAsia="Times New Roman" w:hAnsi="Calibri" w:cs="Times New Roman"/>
          <w:color w:val="010101"/>
        </w:rPr>
        <w:t>, </w:t>
      </w:r>
      <w:proofErr w:type="gramStart"/>
      <w:r>
        <w:rPr>
          <w:rFonts w:ascii="Calibri" w:eastAsia="Times New Roman" w:hAnsi="Calibri" w:cs="Times New Roman"/>
          <w:i/>
          <w:iCs/>
          <w:color w:val="010101"/>
        </w:rPr>
        <w:t>The</w:t>
      </w:r>
      <w:proofErr w:type="gramEnd"/>
      <w:r>
        <w:rPr>
          <w:rFonts w:ascii="Calibri" w:eastAsia="Times New Roman" w:hAnsi="Calibri" w:cs="Times New Roman"/>
          <w:i/>
          <w:iCs/>
          <w:color w:val="010101"/>
        </w:rPr>
        <w:t xml:space="preserve"> Christian Home in Victorian America, </w:t>
      </w:r>
      <w:r w:rsidRPr="005A6C43">
        <w:rPr>
          <w:rFonts w:ascii="Calibri" w:eastAsia="Times New Roman" w:hAnsi="Calibri" w:cs="Times New Roman"/>
          <w:i/>
          <w:iCs/>
          <w:color w:val="010101"/>
        </w:rPr>
        <w:t>1840-1900</w:t>
      </w:r>
      <w:r w:rsidRPr="005A6C43">
        <w:rPr>
          <w:rFonts w:ascii="Calibri" w:eastAsia="Times New Roman" w:hAnsi="Calibri" w:cs="Times New Roman"/>
          <w:color w:val="010101"/>
        </w:rPr>
        <w:t xml:space="preserve"> </w:t>
      </w:r>
      <w:r>
        <w:rPr>
          <w:rFonts w:ascii="Calibri" w:eastAsia="Times New Roman" w:hAnsi="Calibri" w:cs="Times New Roman"/>
          <w:color w:val="010101"/>
        </w:rPr>
        <w:t xml:space="preserve">(Bloomington: </w:t>
      </w:r>
      <w:r w:rsidRPr="005A6C43">
        <w:rPr>
          <w:rFonts w:ascii="Calibri" w:eastAsia="Times New Roman" w:hAnsi="Calibri" w:cs="Times New Roman"/>
          <w:color w:val="010101"/>
        </w:rPr>
        <w:t>Indiana University Press, 1994</w:t>
      </w:r>
      <w:r>
        <w:rPr>
          <w:rFonts w:ascii="Calibri" w:eastAsia="Times New Roman" w:hAnsi="Calibri" w:cs="Times New Roman"/>
          <w:color w:val="010101"/>
        </w:rPr>
        <w:t>), 27.</w:t>
      </w:r>
    </w:p>
  </w:footnote>
  <w:footnote w:id="19">
    <w:p w:rsidR="006F6736" w:rsidRDefault="006F6736" w:rsidP="00D029BE">
      <w:pPr>
        <w:pStyle w:val="FootnoteText"/>
        <w:ind w:firstLine="720"/>
      </w:pPr>
      <w:r>
        <w:rPr>
          <w:rStyle w:val="FootnoteReference"/>
        </w:rPr>
        <w:footnoteRef/>
      </w:r>
      <w:r>
        <w:t xml:space="preserve"> Ibid.</w:t>
      </w:r>
    </w:p>
  </w:footnote>
  <w:footnote w:id="20">
    <w:p w:rsidR="006F6736" w:rsidRDefault="006F6736" w:rsidP="00D029BE">
      <w:pPr>
        <w:pStyle w:val="FootnoteText"/>
        <w:ind w:firstLine="720"/>
      </w:pPr>
      <w:r>
        <w:rPr>
          <w:rStyle w:val="FootnoteReference"/>
        </w:rPr>
        <w:footnoteRef/>
      </w:r>
      <w:r>
        <w:t xml:space="preserve"> </w:t>
      </w:r>
      <w:r>
        <w:rPr>
          <w:noProof/>
        </w:rPr>
        <w:t xml:space="preserve">Arthur Minton, "Parlor Music," </w:t>
      </w:r>
      <w:r w:rsidRPr="00B36FCC">
        <w:rPr>
          <w:i/>
          <w:noProof/>
        </w:rPr>
        <w:t>American Speech</w:t>
      </w:r>
      <w:r>
        <w:rPr>
          <w:noProof/>
        </w:rPr>
        <w:t xml:space="preserve"> 13, no. 4 (1938): 255.</w:t>
      </w:r>
    </w:p>
  </w:footnote>
  <w:footnote w:id="21">
    <w:p w:rsidR="006F6736" w:rsidRDefault="006F6736" w:rsidP="00D029BE">
      <w:pPr>
        <w:pStyle w:val="FootnoteText"/>
        <w:ind w:firstLine="720"/>
      </w:pPr>
      <w:r>
        <w:rPr>
          <w:rStyle w:val="FootnoteReference"/>
        </w:rPr>
        <w:footnoteRef/>
      </w:r>
      <w:r>
        <w:t xml:space="preserve"> Ibid.</w:t>
      </w:r>
    </w:p>
  </w:footnote>
  <w:footnote w:id="22">
    <w:p w:rsidR="006F6736" w:rsidRDefault="006F6736" w:rsidP="00D029BE">
      <w:pPr>
        <w:pStyle w:val="FootnoteText"/>
        <w:ind w:firstLine="720"/>
      </w:pPr>
      <w:r>
        <w:rPr>
          <w:rStyle w:val="FootnoteReference"/>
        </w:rPr>
        <w:footnoteRef/>
      </w:r>
      <w:r>
        <w:t xml:space="preserve"> </w:t>
      </w:r>
      <w:r>
        <w:rPr>
          <w:noProof/>
        </w:rPr>
        <w:t xml:space="preserve">Mary Burgan, "Heroines at the Piano: Women and Music in Nineteenth-Century Fiction," </w:t>
      </w:r>
      <w:r w:rsidRPr="000F047E">
        <w:rPr>
          <w:i/>
          <w:noProof/>
        </w:rPr>
        <w:t>Victorian Studies</w:t>
      </w:r>
      <w:r>
        <w:rPr>
          <w:noProof/>
        </w:rPr>
        <w:t xml:space="preserve"> 30, no. 1 (1986): 61.</w:t>
      </w:r>
    </w:p>
  </w:footnote>
  <w:footnote w:id="23">
    <w:p w:rsidR="006F6736" w:rsidRDefault="006F6736" w:rsidP="00D029BE">
      <w:pPr>
        <w:pStyle w:val="FootnoteText"/>
        <w:ind w:firstLine="720"/>
      </w:pPr>
      <w:r>
        <w:rPr>
          <w:rStyle w:val="FootnoteReference"/>
        </w:rPr>
        <w:footnoteRef/>
      </w:r>
      <w:r>
        <w:t xml:space="preserve"> Ibid.</w:t>
      </w:r>
    </w:p>
  </w:footnote>
  <w:footnote w:id="24">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60.</w:t>
      </w:r>
    </w:p>
  </w:footnote>
  <w:footnote w:id="25">
    <w:p w:rsidR="006F6736" w:rsidRDefault="006F6736" w:rsidP="004D46FE">
      <w:pPr>
        <w:pStyle w:val="FootnoteText"/>
        <w:ind w:firstLine="720"/>
      </w:pPr>
      <w:r>
        <w:rPr>
          <w:rStyle w:val="FootnoteReference"/>
        </w:rPr>
        <w:footnoteRef/>
      </w:r>
      <w:r>
        <w:t xml:space="preserve"> </w:t>
      </w:r>
      <w:r w:rsidRPr="004D46FE">
        <w:rPr>
          <w:rFonts w:ascii="Calibri" w:eastAsia="Times New Roman" w:hAnsi="Calibri" w:cs="Times New Roman"/>
          <w:color w:val="010101"/>
        </w:rPr>
        <w:t xml:space="preserve">Jennifer </w:t>
      </w:r>
      <w:proofErr w:type="spellStart"/>
      <w:r w:rsidRPr="004D46FE">
        <w:rPr>
          <w:rFonts w:ascii="Calibri" w:eastAsia="Times New Roman" w:hAnsi="Calibri" w:cs="Times New Roman"/>
          <w:color w:val="010101"/>
        </w:rPr>
        <w:t>Phegley</w:t>
      </w:r>
      <w:proofErr w:type="spellEnd"/>
      <w:r w:rsidRPr="004D46FE">
        <w:rPr>
          <w:rFonts w:ascii="Calibri" w:eastAsia="Times New Roman" w:hAnsi="Calibri" w:cs="Times New Roman"/>
          <w:color w:val="010101"/>
        </w:rPr>
        <w:t>, </w:t>
      </w:r>
      <w:r>
        <w:rPr>
          <w:rFonts w:ascii="Calibri" w:eastAsia="Times New Roman" w:hAnsi="Calibri" w:cs="Times New Roman"/>
          <w:i/>
          <w:iCs/>
          <w:color w:val="010101"/>
        </w:rPr>
        <w:t>Courtship and M</w:t>
      </w:r>
      <w:r w:rsidRPr="004D46FE">
        <w:rPr>
          <w:rFonts w:ascii="Calibri" w:eastAsia="Times New Roman" w:hAnsi="Calibri" w:cs="Times New Roman"/>
          <w:i/>
          <w:iCs/>
          <w:color w:val="010101"/>
        </w:rPr>
        <w:t>arriage in Victorian England</w:t>
      </w:r>
      <w:r>
        <w:rPr>
          <w:rFonts w:ascii="Calibri" w:eastAsia="Times New Roman" w:hAnsi="Calibri" w:cs="Times New Roman"/>
          <w:color w:val="010101"/>
        </w:rPr>
        <w:t xml:space="preserve"> (Santa Barbara, </w:t>
      </w:r>
      <w:r w:rsidRPr="004D46FE">
        <w:rPr>
          <w:rFonts w:ascii="Calibri" w:eastAsia="Times New Roman" w:hAnsi="Calibri" w:cs="Times New Roman"/>
          <w:color w:val="010101"/>
        </w:rPr>
        <w:t xml:space="preserve">CA: </w:t>
      </w:r>
      <w:proofErr w:type="spellStart"/>
      <w:r w:rsidRPr="004D46FE">
        <w:rPr>
          <w:rFonts w:ascii="Calibri" w:eastAsia="Times New Roman" w:hAnsi="Calibri" w:cs="Times New Roman"/>
          <w:color w:val="010101"/>
        </w:rPr>
        <w:t>Praeger</w:t>
      </w:r>
      <w:proofErr w:type="spellEnd"/>
      <w:r w:rsidRPr="004D46FE">
        <w:rPr>
          <w:rFonts w:ascii="Calibri" w:eastAsia="Times New Roman" w:hAnsi="Calibri" w:cs="Times New Roman"/>
          <w:color w:val="010101"/>
        </w:rPr>
        <w:t>, 2012</w:t>
      </w:r>
      <w:r>
        <w:rPr>
          <w:rFonts w:ascii="Calibri" w:eastAsia="Times New Roman" w:hAnsi="Calibri" w:cs="Times New Roman"/>
          <w:color w:val="010101"/>
        </w:rPr>
        <w:t>), 36-37</w:t>
      </w:r>
      <w:r w:rsidRPr="004D46FE">
        <w:rPr>
          <w:rFonts w:ascii="Calibri" w:eastAsia="Times New Roman" w:hAnsi="Calibri" w:cs="Times New Roman"/>
          <w:color w:val="010101"/>
        </w:rPr>
        <w:t>.</w:t>
      </w:r>
    </w:p>
  </w:footnote>
  <w:footnote w:id="26">
    <w:p w:rsidR="006F6736" w:rsidRDefault="006F6736" w:rsidP="00D029BE">
      <w:pPr>
        <w:pStyle w:val="FootnoteText"/>
        <w:ind w:firstLine="720"/>
      </w:pPr>
      <w:r>
        <w:rPr>
          <w:rStyle w:val="FootnoteReference"/>
        </w:rPr>
        <w:footnoteRef/>
      </w:r>
      <w:r>
        <w:t xml:space="preserve"> </w:t>
      </w:r>
      <w:r>
        <w:rPr>
          <w:noProof/>
        </w:rPr>
        <w:t xml:space="preserve">Charles Hamm, </w:t>
      </w:r>
      <w:r>
        <w:rPr>
          <w:i/>
          <w:noProof/>
        </w:rPr>
        <w:t>Yesterdays: Popular S</w:t>
      </w:r>
      <w:r w:rsidRPr="001E42F6">
        <w:rPr>
          <w:i/>
          <w:noProof/>
        </w:rPr>
        <w:t>ong in America</w:t>
      </w:r>
      <w:r>
        <w:rPr>
          <w:noProof/>
        </w:rPr>
        <w:t xml:space="preserve"> (New York: Norton, 1979), 254.</w:t>
      </w:r>
    </w:p>
  </w:footnote>
  <w:footnote w:id="27">
    <w:p w:rsidR="006F6736" w:rsidRDefault="006F6736" w:rsidP="00D029BE">
      <w:pPr>
        <w:pStyle w:val="FootnoteText"/>
        <w:ind w:firstLine="720"/>
      </w:pPr>
      <w:r>
        <w:rPr>
          <w:rStyle w:val="FootnoteReference"/>
        </w:rPr>
        <w:footnoteRef/>
      </w:r>
      <w:r>
        <w:t xml:space="preserve"> </w:t>
      </w:r>
      <w:r>
        <w:rPr>
          <w:noProof/>
        </w:rPr>
        <w:t xml:space="preserve">Jon W. Finson, </w:t>
      </w:r>
      <w:r>
        <w:rPr>
          <w:i/>
          <w:noProof/>
        </w:rPr>
        <w:t>The Voices That are Gone: Themes in Nineteenth-Century American Popular S</w:t>
      </w:r>
      <w:r w:rsidRPr="00E467BD">
        <w:rPr>
          <w:i/>
          <w:noProof/>
        </w:rPr>
        <w:t>ong</w:t>
      </w:r>
      <w:r>
        <w:rPr>
          <w:noProof/>
        </w:rPr>
        <w:t xml:space="preserve"> (New York: Oxford University Press, 1994), 43.</w:t>
      </w:r>
    </w:p>
  </w:footnote>
  <w:footnote w:id="28">
    <w:p w:rsidR="006F6736" w:rsidRPr="00B61C0B" w:rsidRDefault="006F6736" w:rsidP="00D029BE">
      <w:pPr>
        <w:pStyle w:val="FootnoteText"/>
        <w:ind w:firstLine="720"/>
      </w:pPr>
      <w:r>
        <w:rPr>
          <w:rStyle w:val="FootnoteReference"/>
        </w:rPr>
        <w:footnoteRef/>
      </w:r>
      <w:r>
        <w:t xml:space="preserve"> “A </w:t>
      </w:r>
      <w:proofErr w:type="spellStart"/>
      <w:r>
        <w:t>Serio</w:t>
      </w:r>
      <w:proofErr w:type="spellEnd"/>
      <w:r>
        <w:t xml:space="preserve">-Comic,” </w:t>
      </w:r>
      <w:r>
        <w:rPr>
          <w:i/>
        </w:rPr>
        <w:t>The Clipper</w:t>
      </w:r>
      <w:r>
        <w:t>, June 2, 1877.</w:t>
      </w:r>
    </w:p>
  </w:footnote>
  <w:footnote w:id="29">
    <w:p w:rsidR="006F6736" w:rsidRDefault="006F6736" w:rsidP="00D029BE">
      <w:pPr>
        <w:pStyle w:val="FootnoteText"/>
        <w:ind w:firstLine="720"/>
      </w:pPr>
      <w:r>
        <w:rPr>
          <w:rStyle w:val="FootnoteReference"/>
        </w:rPr>
        <w:footnoteRef/>
      </w:r>
      <w:r>
        <w:t xml:space="preserve"> </w:t>
      </w:r>
      <w:r>
        <w:rPr>
          <w:noProof/>
        </w:rPr>
        <w:t xml:space="preserve">Hamm, </w:t>
      </w:r>
      <w:r>
        <w:rPr>
          <w:i/>
          <w:noProof/>
        </w:rPr>
        <w:t>Yesterdays</w:t>
      </w:r>
      <w:r>
        <w:rPr>
          <w:noProof/>
        </w:rPr>
        <w:t>, 254-55.</w:t>
      </w:r>
    </w:p>
  </w:footnote>
  <w:footnote w:id="30">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283.</w:t>
      </w:r>
    </w:p>
  </w:footnote>
  <w:footnote w:id="31">
    <w:p w:rsidR="006F6736" w:rsidRDefault="006F6736" w:rsidP="00D029BE">
      <w:pPr>
        <w:pStyle w:val="FootnoteText"/>
        <w:ind w:firstLine="720"/>
      </w:pPr>
      <w:r>
        <w:rPr>
          <w:rStyle w:val="FootnoteReference"/>
        </w:rPr>
        <w:footnoteRef/>
      </w:r>
      <w:r>
        <w:t xml:space="preserve"> Ibid.</w:t>
      </w:r>
    </w:p>
  </w:footnote>
  <w:footnote w:id="32">
    <w:p w:rsidR="006F6736" w:rsidRDefault="006F6736" w:rsidP="00DA30F1">
      <w:pPr>
        <w:pStyle w:val="FootnoteText"/>
        <w:ind w:firstLine="720"/>
      </w:pPr>
      <w:r>
        <w:rPr>
          <w:rStyle w:val="FootnoteReference"/>
        </w:rPr>
        <w:footnoteRef/>
      </w:r>
      <w:r>
        <w:t xml:space="preserve"> Chas K. Harris, “After the Ball,” Jos. </w:t>
      </w:r>
      <w:proofErr w:type="spellStart"/>
      <w:r>
        <w:t>Clauder</w:t>
      </w:r>
      <w:proofErr w:type="spellEnd"/>
      <w:r>
        <w:t xml:space="preserve">, arr. (Milwaukee WI: Chas K. Harris &amp; Co., 1892), </w:t>
      </w:r>
      <w:r w:rsidRPr="00BA1493">
        <w:t>B</w:t>
      </w:r>
      <w:r>
        <w:t xml:space="preserve">ox 140, Item 4, The Lester S. </w:t>
      </w:r>
      <w:r w:rsidRPr="00BA1493">
        <w:t xml:space="preserve">Levy Collection of Sheet Music, The Sheridan Libraries, </w:t>
      </w:r>
      <w:r>
        <w:t>Johns Hopkins</w:t>
      </w:r>
      <w:r w:rsidRPr="00BA1493">
        <w:t xml:space="preserve"> </w:t>
      </w:r>
      <w:r>
        <w:t xml:space="preserve">University, Baltimore, </w:t>
      </w:r>
      <w:r w:rsidRPr="00BA1493">
        <w:t>Maryland.</w:t>
      </w:r>
    </w:p>
  </w:footnote>
  <w:footnote w:id="33">
    <w:p w:rsidR="006F6736" w:rsidRPr="001841BF" w:rsidRDefault="006F6736" w:rsidP="001B1BA5">
      <w:pPr>
        <w:autoSpaceDE w:val="0"/>
        <w:autoSpaceDN w:val="0"/>
        <w:adjustRightInd w:val="0"/>
        <w:spacing w:after="0" w:line="240" w:lineRule="auto"/>
        <w:ind w:firstLine="720"/>
        <w:rPr>
          <w:rFonts w:cstheme="minorHAnsi"/>
          <w:sz w:val="20"/>
          <w:szCs w:val="20"/>
        </w:rPr>
      </w:pPr>
      <w:r>
        <w:rPr>
          <w:rStyle w:val="FootnoteReference"/>
        </w:rPr>
        <w:footnoteRef/>
      </w:r>
      <w:r>
        <w:t xml:space="preserve"> </w:t>
      </w:r>
      <w:proofErr w:type="gramStart"/>
      <w:r>
        <w:rPr>
          <w:sz w:val="20"/>
          <w:szCs w:val="20"/>
        </w:rPr>
        <w:t xml:space="preserve">Fred </w:t>
      </w:r>
      <w:proofErr w:type="spellStart"/>
      <w:r>
        <w:rPr>
          <w:sz w:val="20"/>
          <w:szCs w:val="20"/>
        </w:rPr>
        <w:t>Alberts</w:t>
      </w:r>
      <w:proofErr w:type="spellEnd"/>
      <w:r>
        <w:rPr>
          <w:sz w:val="20"/>
          <w:szCs w:val="20"/>
        </w:rPr>
        <w:t>,</w:t>
      </w:r>
      <w:r w:rsidRPr="001841BF">
        <w:rPr>
          <w:sz w:val="20"/>
          <w:szCs w:val="20"/>
        </w:rPr>
        <w:t xml:space="preserve"> </w:t>
      </w:r>
      <w:r>
        <w:rPr>
          <w:sz w:val="20"/>
          <w:szCs w:val="20"/>
        </w:rPr>
        <w:t>“The Funny Old Gal”</w:t>
      </w:r>
      <w:r w:rsidRPr="001841BF">
        <w:rPr>
          <w:sz w:val="20"/>
          <w:szCs w:val="20"/>
        </w:rPr>
        <w:t xml:space="preserve"> </w:t>
      </w:r>
      <w:r>
        <w:rPr>
          <w:sz w:val="20"/>
          <w:szCs w:val="20"/>
        </w:rPr>
        <w:t>(</w:t>
      </w:r>
      <w:r w:rsidRPr="001841BF">
        <w:rPr>
          <w:sz w:val="20"/>
          <w:szCs w:val="20"/>
        </w:rPr>
        <w:t xml:space="preserve">Boston: Louis P. </w:t>
      </w:r>
      <w:proofErr w:type="spellStart"/>
      <w:r w:rsidRPr="001841BF">
        <w:rPr>
          <w:sz w:val="20"/>
          <w:szCs w:val="20"/>
        </w:rPr>
        <w:t>Goullard</w:t>
      </w:r>
      <w:proofErr w:type="spellEnd"/>
      <w:r w:rsidRPr="001841BF">
        <w:rPr>
          <w:sz w:val="20"/>
          <w:szCs w:val="20"/>
        </w:rPr>
        <w:t>, 1875</w:t>
      </w:r>
      <w:r>
        <w:rPr>
          <w:sz w:val="20"/>
          <w:szCs w:val="20"/>
        </w:rPr>
        <w:t>),</w:t>
      </w:r>
      <w:r w:rsidRPr="001841BF">
        <w:rPr>
          <w:sz w:val="20"/>
          <w:szCs w:val="20"/>
        </w:rPr>
        <w:t xml:space="preserve"> Box 1, </w:t>
      </w:r>
      <w:r w:rsidRPr="001841BF">
        <w:rPr>
          <w:rFonts w:cstheme="minorHAnsi"/>
          <w:sz w:val="20"/>
          <w:szCs w:val="20"/>
        </w:rPr>
        <w:t>Edison Sheet Music Collection, Music Division, Library of Congress, Washington, D.C.</w:t>
      </w:r>
      <w:proofErr w:type="gramEnd"/>
    </w:p>
  </w:footnote>
  <w:footnote w:id="34">
    <w:p w:rsidR="006F6736" w:rsidRDefault="006F6736" w:rsidP="00D029BE">
      <w:pPr>
        <w:pStyle w:val="FootnoteText"/>
        <w:ind w:firstLine="720"/>
      </w:pPr>
      <w:r>
        <w:rPr>
          <w:rStyle w:val="FootnoteReference"/>
        </w:rPr>
        <w:footnoteRef/>
      </w:r>
      <w:r>
        <w:t xml:space="preserve"> Harry Hunter,</w:t>
      </w:r>
      <w:r w:rsidRPr="001841BF">
        <w:t xml:space="preserve"> “Domestic </w:t>
      </w:r>
      <w:r>
        <w:t>Squabbles, or, My Mother In Law,</w:t>
      </w:r>
      <w:r w:rsidRPr="001841BF">
        <w:t>” W.</w:t>
      </w:r>
      <w:r w:rsidRPr="00F06D75">
        <w:t xml:space="preserve"> Williams, arr</w:t>
      </w:r>
      <w:r>
        <w:t xml:space="preserve">. (Boston: Oliver </w:t>
      </w:r>
      <w:proofErr w:type="spellStart"/>
      <w:r>
        <w:t>Ditson</w:t>
      </w:r>
      <w:proofErr w:type="spellEnd"/>
      <w:r>
        <w:t xml:space="preserve"> &amp; Co., </w:t>
      </w:r>
      <w:r w:rsidRPr="00F06D75">
        <w:t>1881</w:t>
      </w:r>
      <w:r>
        <w:t>),</w:t>
      </w:r>
      <w:r w:rsidRPr="00F06D75">
        <w:t xml:space="preserve"> Box 054, Item 029, The Lester S. Levy Collection of Sheet</w:t>
      </w:r>
      <w:r>
        <w:t xml:space="preserve"> Music, The Sheridan Libraries, Johns Hopkins</w:t>
      </w:r>
      <w:r w:rsidRPr="00F06D75">
        <w:t xml:space="preserve"> U</w:t>
      </w:r>
      <w:r>
        <w:t>niversity, Baltimore, Maryland.</w:t>
      </w:r>
    </w:p>
  </w:footnote>
  <w:footnote w:id="35">
    <w:p w:rsidR="006F6736" w:rsidRDefault="006F6736" w:rsidP="001B1BA5">
      <w:pPr>
        <w:pStyle w:val="FootnoteText"/>
        <w:ind w:firstLine="720"/>
      </w:pPr>
      <w:r>
        <w:rPr>
          <w:rStyle w:val="FootnoteReference"/>
        </w:rPr>
        <w:footnoteRef/>
      </w:r>
      <w:r>
        <w:t xml:space="preserve"> </w:t>
      </w:r>
      <w:r w:rsidRPr="00BA1493">
        <w:t xml:space="preserve">Thos. P. </w:t>
      </w:r>
      <w:r>
        <w:t>Getz,</w:t>
      </w:r>
      <w:r w:rsidRPr="00BA1493">
        <w:t xml:space="preserve"> </w:t>
      </w:r>
      <w:r>
        <w:t>“</w:t>
      </w:r>
      <w:r w:rsidRPr="00BA1493">
        <w:t>How I Got Even With O'Grady. Companion Song to Harry Kennedy's Gr</w:t>
      </w:r>
      <w:r>
        <w:t>eat Hit, ‘</w:t>
      </w:r>
      <w:r w:rsidRPr="00BA1493">
        <w:t>I Owe Ten Dollars to O'Grady</w:t>
      </w:r>
      <w:r>
        <w:t>’”</w:t>
      </w:r>
      <w:r w:rsidRPr="00BA1493">
        <w:t xml:space="preserve"> </w:t>
      </w:r>
      <w:r>
        <w:t>(</w:t>
      </w:r>
      <w:r w:rsidRPr="00BA1493">
        <w:t>San Fra</w:t>
      </w:r>
      <w:r>
        <w:t>ncisco: Matthias Gray Co., 1888),</w:t>
      </w:r>
      <w:r w:rsidRPr="00BA1493">
        <w:t xml:space="preserve"> B</w:t>
      </w:r>
      <w:r>
        <w:t xml:space="preserve">ox 054, Item 052, The Lester S. </w:t>
      </w:r>
      <w:r w:rsidRPr="00BA1493">
        <w:t xml:space="preserve">Levy Collection of Sheet Music, The Sheridan Libraries, </w:t>
      </w:r>
      <w:r>
        <w:t>Johns Hopkins</w:t>
      </w:r>
      <w:r w:rsidRPr="00BA1493">
        <w:t xml:space="preserve"> </w:t>
      </w:r>
      <w:r>
        <w:t xml:space="preserve">University, Baltimore, </w:t>
      </w:r>
      <w:r w:rsidRPr="00BA1493">
        <w:t>Maryland.</w:t>
      </w:r>
    </w:p>
  </w:footnote>
  <w:footnote w:id="36">
    <w:p w:rsidR="006F6736" w:rsidRDefault="006F6736" w:rsidP="00D029BE">
      <w:pPr>
        <w:pStyle w:val="FootnoteText"/>
        <w:ind w:firstLine="720"/>
      </w:pPr>
      <w:r>
        <w:rPr>
          <w:rStyle w:val="FootnoteReference"/>
        </w:rPr>
        <w:footnoteRef/>
      </w:r>
      <w:r w:rsidRPr="0044054A">
        <w:t>Howard</w:t>
      </w:r>
      <w:r>
        <w:t xml:space="preserve"> Paul,</w:t>
      </w:r>
      <w:r w:rsidRPr="0044054A">
        <w:t xml:space="preserve"> </w:t>
      </w:r>
      <w:r>
        <w:t>“</w:t>
      </w:r>
      <w:r w:rsidRPr="00647DAF">
        <w:t>Upside Down!”</w:t>
      </w:r>
      <w:r w:rsidRPr="0044054A">
        <w:rPr>
          <w:i/>
        </w:rPr>
        <w:t xml:space="preserve"> </w:t>
      </w:r>
      <w:r>
        <w:t>(</w:t>
      </w:r>
      <w:r w:rsidRPr="0044054A">
        <w:t>Ne</w:t>
      </w:r>
      <w:r>
        <w:t>w York: Wm. A. Pond &amp; Co., 1875),</w:t>
      </w:r>
      <w:r w:rsidRPr="0044054A">
        <w:t xml:space="preserve"> Box 054, Item 151, The Lester S. Levy Collection of Sheet Music, The Sheridan Libraries, John</w:t>
      </w:r>
      <w:r>
        <w:t>s</w:t>
      </w:r>
      <w:r w:rsidRPr="0044054A">
        <w:t xml:space="preserve"> Hopkins University, Baltimore, Maryland.</w:t>
      </w:r>
    </w:p>
  </w:footnote>
  <w:footnote w:id="37">
    <w:p w:rsidR="006F6736" w:rsidRPr="00BA1493" w:rsidRDefault="006F6736" w:rsidP="00D029BE">
      <w:pPr>
        <w:pStyle w:val="FootnoteText"/>
        <w:ind w:firstLine="720"/>
      </w:pPr>
      <w:r w:rsidRPr="0044054A">
        <w:rPr>
          <w:rStyle w:val="FootnoteReference"/>
        </w:rPr>
        <w:footnoteRef/>
      </w:r>
      <w:r w:rsidRPr="0044054A">
        <w:t xml:space="preserve"> </w:t>
      </w:r>
      <w:r w:rsidRPr="0044054A">
        <w:rPr>
          <w:noProof/>
        </w:rPr>
        <w:t xml:space="preserve">Hamm, </w:t>
      </w:r>
      <w:r>
        <w:rPr>
          <w:i/>
          <w:noProof/>
        </w:rPr>
        <w:t>Yesterdays</w:t>
      </w:r>
      <w:r>
        <w:rPr>
          <w:noProof/>
        </w:rPr>
        <w:t>,</w:t>
      </w:r>
      <w:r w:rsidRPr="0044054A">
        <w:rPr>
          <w:noProof/>
        </w:rPr>
        <w:t xml:space="preserve"> 1.</w:t>
      </w:r>
    </w:p>
  </w:footnote>
  <w:footnote w:id="38">
    <w:p w:rsidR="006F6736" w:rsidRDefault="006F6736" w:rsidP="00D029BE">
      <w:pPr>
        <w:pStyle w:val="FootnoteText"/>
        <w:ind w:firstLine="720"/>
      </w:pPr>
      <w:r w:rsidRPr="00BA1493">
        <w:rPr>
          <w:rStyle w:val="FootnoteReference"/>
        </w:rPr>
        <w:footnoteRef/>
      </w:r>
      <w:r w:rsidRPr="00BA1493">
        <w:t xml:space="preserve"> </w:t>
      </w:r>
      <w:r w:rsidRPr="00BA1493">
        <w:rPr>
          <w:noProof/>
        </w:rPr>
        <w:t xml:space="preserve">Richard J. Wolfe, </w:t>
      </w:r>
      <w:r w:rsidRPr="00BA1493">
        <w:rPr>
          <w:i/>
          <w:noProof/>
        </w:rPr>
        <w:t>Early America</w:t>
      </w:r>
      <w:r>
        <w:rPr>
          <w:i/>
          <w:noProof/>
        </w:rPr>
        <w:t>n Music Engraving and Printing: A History of Music Publishing in America from 1787 to 1825 with Commentary on Earlier and Later P</w:t>
      </w:r>
      <w:r w:rsidRPr="00BA1493">
        <w:rPr>
          <w:i/>
          <w:noProof/>
        </w:rPr>
        <w:t>ractices</w:t>
      </w:r>
      <w:r>
        <w:rPr>
          <w:i/>
          <w:noProof/>
        </w:rPr>
        <w:t xml:space="preserve"> </w:t>
      </w:r>
      <w:r>
        <w:rPr>
          <w:noProof/>
        </w:rPr>
        <w:t xml:space="preserve">(Urbana: </w:t>
      </w:r>
      <w:r w:rsidRPr="00BA1493">
        <w:rPr>
          <w:noProof/>
        </w:rPr>
        <w:t>University of Illinois Press, 1</w:t>
      </w:r>
      <w:r>
        <w:rPr>
          <w:noProof/>
        </w:rPr>
        <w:t>980),</w:t>
      </w:r>
      <w:r w:rsidRPr="00BA1493">
        <w:rPr>
          <w:noProof/>
        </w:rPr>
        <w:t xml:space="preserve"> 38.</w:t>
      </w:r>
    </w:p>
  </w:footnote>
  <w:footnote w:id="39">
    <w:p w:rsidR="006F6736" w:rsidRDefault="006F6736" w:rsidP="00D029BE">
      <w:pPr>
        <w:pStyle w:val="FootnoteText"/>
        <w:ind w:firstLine="720"/>
      </w:pPr>
      <w:r>
        <w:rPr>
          <w:rStyle w:val="FootnoteReference"/>
        </w:rPr>
        <w:footnoteRef/>
      </w:r>
      <w:r>
        <w:t xml:space="preserve"> </w:t>
      </w:r>
      <w:r>
        <w:rPr>
          <w:noProof/>
        </w:rPr>
        <w:t xml:space="preserve">Russell Sanjek, </w:t>
      </w:r>
      <w:r>
        <w:rPr>
          <w:i/>
          <w:noProof/>
        </w:rPr>
        <w:t>American Popular Music and its Business: The First Four Hundred Y</w:t>
      </w:r>
      <w:r w:rsidRPr="00C25BD6">
        <w:rPr>
          <w:i/>
          <w:noProof/>
        </w:rPr>
        <w:t>ears</w:t>
      </w:r>
      <w:r>
        <w:rPr>
          <w:noProof/>
        </w:rPr>
        <w:t xml:space="preserve"> (New York: Oxford University Press, 1988), 47.</w:t>
      </w:r>
    </w:p>
  </w:footnote>
  <w:footnote w:id="40">
    <w:p w:rsidR="006F6736" w:rsidRDefault="006F6736" w:rsidP="00D029BE">
      <w:pPr>
        <w:pStyle w:val="FootnoteText"/>
        <w:ind w:firstLine="720"/>
      </w:pPr>
      <w:r>
        <w:rPr>
          <w:rStyle w:val="FootnoteReference"/>
        </w:rPr>
        <w:footnoteRef/>
      </w:r>
      <w:proofErr w:type="gramStart"/>
      <w:r>
        <w:t>Ibid.,</w:t>
      </w:r>
      <w:proofErr w:type="gramEnd"/>
      <w:r>
        <w:t xml:space="preserve"> 350.</w:t>
      </w:r>
    </w:p>
  </w:footnote>
  <w:footnote w:id="41">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348.</w:t>
      </w:r>
    </w:p>
  </w:footnote>
  <w:footnote w:id="42">
    <w:p w:rsidR="006F6736" w:rsidRDefault="006F6736" w:rsidP="00D029BE">
      <w:pPr>
        <w:pStyle w:val="FootnoteText"/>
        <w:ind w:firstLine="720"/>
      </w:pPr>
      <w:r>
        <w:rPr>
          <w:rStyle w:val="FootnoteReference"/>
        </w:rPr>
        <w:footnoteRef/>
      </w:r>
      <w:r>
        <w:t xml:space="preserve"> </w:t>
      </w:r>
      <w:r>
        <w:rPr>
          <w:noProof/>
        </w:rPr>
        <w:t xml:space="preserve">Karl Hagstrom Miller, </w:t>
      </w:r>
      <w:r>
        <w:rPr>
          <w:i/>
          <w:noProof/>
        </w:rPr>
        <w:t>Segregating Sound: Inventing Folk and Pop Music in the A</w:t>
      </w:r>
      <w:r w:rsidRPr="00596A51">
        <w:rPr>
          <w:i/>
          <w:noProof/>
        </w:rPr>
        <w:t>ge of Jim Crow</w:t>
      </w:r>
      <w:r>
        <w:rPr>
          <w:noProof/>
        </w:rPr>
        <w:t xml:space="preserve"> (Durham, NC: Duke University Press, 2010), 25.</w:t>
      </w:r>
    </w:p>
  </w:footnote>
  <w:footnote w:id="43">
    <w:p w:rsidR="006F6736" w:rsidRDefault="006F6736" w:rsidP="00D029BE">
      <w:pPr>
        <w:pStyle w:val="FootnoteText"/>
        <w:ind w:firstLine="720"/>
      </w:pPr>
      <w:r>
        <w:rPr>
          <w:rStyle w:val="FootnoteReference"/>
        </w:rPr>
        <w:footnoteRef/>
      </w:r>
      <w:r>
        <w:t xml:space="preserve"> Ibid.</w:t>
      </w:r>
    </w:p>
  </w:footnote>
  <w:footnote w:id="44">
    <w:p w:rsidR="006F6736" w:rsidRDefault="006F6736" w:rsidP="00D029BE">
      <w:pPr>
        <w:pStyle w:val="FootnoteText"/>
        <w:ind w:firstLine="720"/>
      </w:pPr>
      <w:r>
        <w:rPr>
          <w:rStyle w:val="FootnoteReference"/>
        </w:rPr>
        <w:footnoteRef/>
      </w:r>
      <w:r>
        <w:rPr>
          <w:noProof/>
        </w:rPr>
        <w:t xml:space="preserve"> </w:t>
      </w:r>
      <w:proofErr w:type="gramStart"/>
      <w:r>
        <w:rPr>
          <w:noProof/>
        </w:rPr>
        <w:t xml:space="preserve">Grier, </w:t>
      </w:r>
      <w:r>
        <w:t>“Decline of the Memory Palace,”</w:t>
      </w:r>
      <w:r>
        <w:rPr>
          <w:noProof/>
        </w:rPr>
        <w:t xml:space="preserve"> 59.</w:t>
      </w:r>
      <w:proofErr w:type="gramEnd"/>
    </w:p>
  </w:footnote>
  <w:footnote w:id="45">
    <w:p w:rsidR="006F6736" w:rsidRDefault="006F6736" w:rsidP="00D029BE">
      <w:pPr>
        <w:pStyle w:val="FootnoteText"/>
        <w:ind w:firstLine="720"/>
      </w:pPr>
      <w:r>
        <w:rPr>
          <w:rStyle w:val="FootnoteReference"/>
        </w:rPr>
        <w:footnoteRef/>
      </w:r>
      <w:r>
        <w:t xml:space="preserve"> </w:t>
      </w:r>
      <w:r>
        <w:rPr>
          <w:noProof/>
        </w:rPr>
        <w:t xml:space="preserve">Charles Hamm, </w:t>
      </w:r>
      <w:r w:rsidRPr="00EF617C">
        <w:rPr>
          <w:i/>
          <w:noProof/>
        </w:rPr>
        <w:t>Music in the New World</w:t>
      </w:r>
      <w:r>
        <w:rPr>
          <w:noProof/>
        </w:rPr>
        <w:t xml:space="preserve"> (New York: Norton, 1983), 242.</w:t>
      </w:r>
    </w:p>
  </w:footnote>
  <w:footnote w:id="46">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250.</w:t>
      </w:r>
    </w:p>
  </w:footnote>
  <w:footnote w:id="47">
    <w:p w:rsidR="006F6736" w:rsidRDefault="006F6736" w:rsidP="00D029BE">
      <w:pPr>
        <w:pStyle w:val="FootnoteText"/>
        <w:ind w:firstLine="720"/>
      </w:pPr>
      <w:r>
        <w:rPr>
          <w:rStyle w:val="FootnoteReference"/>
        </w:rPr>
        <w:footnoteRef/>
      </w:r>
      <w:r>
        <w:t xml:space="preserve"> </w:t>
      </w:r>
      <w:r>
        <w:rPr>
          <w:noProof/>
        </w:rPr>
        <w:t xml:space="preserve">Hamm, </w:t>
      </w:r>
      <w:r>
        <w:rPr>
          <w:i/>
          <w:noProof/>
        </w:rPr>
        <w:t>Yesterdays</w:t>
      </w:r>
      <w:r>
        <w:rPr>
          <w:noProof/>
        </w:rPr>
        <w:t>, 245-46.</w:t>
      </w:r>
    </w:p>
  </w:footnote>
  <w:footnote w:id="48">
    <w:p w:rsidR="006F6736" w:rsidRDefault="006F6736" w:rsidP="00D029BE">
      <w:pPr>
        <w:pStyle w:val="FootnoteText"/>
        <w:ind w:firstLine="720"/>
      </w:pPr>
      <w:r>
        <w:rPr>
          <w:rStyle w:val="FootnoteReference"/>
        </w:rPr>
        <w:footnoteRef/>
      </w:r>
      <w:r>
        <w:t xml:space="preserve"> </w:t>
      </w:r>
      <w:r>
        <w:rPr>
          <w:noProof/>
        </w:rPr>
        <w:t xml:space="preserve">David Suisman, </w:t>
      </w:r>
      <w:r>
        <w:rPr>
          <w:i/>
          <w:noProof/>
        </w:rPr>
        <w:t>Selling Sounds: The Commercial Revolution in American M</w:t>
      </w:r>
      <w:r w:rsidRPr="003B56DE">
        <w:rPr>
          <w:i/>
          <w:noProof/>
        </w:rPr>
        <w:t>usic</w:t>
      </w:r>
      <w:r>
        <w:rPr>
          <w:noProof/>
        </w:rPr>
        <w:t xml:space="preserve"> (Cambridge, MA: Harvard University Press, 2009), 90.</w:t>
      </w:r>
    </w:p>
  </w:footnote>
  <w:footnote w:id="49">
    <w:p w:rsidR="006F6736" w:rsidRDefault="006F6736" w:rsidP="00D029BE">
      <w:pPr>
        <w:pStyle w:val="FootnoteText"/>
        <w:ind w:firstLine="720"/>
      </w:pPr>
      <w:r>
        <w:rPr>
          <w:rStyle w:val="FootnoteReference"/>
        </w:rPr>
        <w:footnoteRef/>
      </w:r>
      <w:r>
        <w:t xml:space="preserve"> </w:t>
      </w:r>
      <w:r>
        <w:rPr>
          <w:noProof/>
        </w:rPr>
        <w:t>Ibid., 93.</w:t>
      </w:r>
    </w:p>
  </w:footnote>
  <w:footnote w:id="50">
    <w:p w:rsidR="006F6736" w:rsidRDefault="006F6736" w:rsidP="00D029BE">
      <w:pPr>
        <w:pStyle w:val="FootnoteText"/>
        <w:ind w:firstLine="720"/>
      </w:pPr>
      <w:r>
        <w:rPr>
          <w:rStyle w:val="FootnoteReference"/>
        </w:rPr>
        <w:footnoteRef/>
      </w:r>
      <w:r>
        <w:t xml:space="preserve"> Ibid.</w:t>
      </w:r>
    </w:p>
  </w:footnote>
  <w:footnote w:id="51">
    <w:p w:rsidR="006F6736" w:rsidRDefault="006F6736" w:rsidP="00D029BE">
      <w:pPr>
        <w:pStyle w:val="FootnoteText"/>
        <w:ind w:firstLine="720"/>
      </w:pPr>
      <w:r>
        <w:rPr>
          <w:rStyle w:val="FootnoteReference"/>
        </w:rPr>
        <w:footnoteRef/>
      </w:r>
      <w:r>
        <w:t xml:space="preserve"> </w:t>
      </w:r>
      <w:r>
        <w:rPr>
          <w:noProof/>
        </w:rPr>
        <w:t xml:space="preserve">Richard Middleton, </w:t>
      </w:r>
      <w:r>
        <w:rPr>
          <w:i/>
          <w:noProof/>
        </w:rPr>
        <w:t>Studying Popular M</w:t>
      </w:r>
      <w:r w:rsidRPr="00ED148A">
        <w:rPr>
          <w:i/>
          <w:noProof/>
        </w:rPr>
        <w:t>usic</w:t>
      </w:r>
      <w:r>
        <w:rPr>
          <w:noProof/>
        </w:rPr>
        <w:t xml:space="preserve"> (Philadelphia: Open University Press, 1990), 4.</w:t>
      </w:r>
    </w:p>
  </w:footnote>
  <w:footnote w:id="52">
    <w:p w:rsidR="006F6736" w:rsidRDefault="006F6736" w:rsidP="00D029BE">
      <w:pPr>
        <w:pStyle w:val="FootnoteText"/>
        <w:ind w:firstLine="720"/>
      </w:pPr>
      <w:r>
        <w:rPr>
          <w:rStyle w:val="FootnoteReference"/>
        </w:rPr>
        <w:footnoteRef/>
      </w:r>
      <w:r>
        <w:t xml:space="preserve"> Ibid.</w:t>
      </w:r>
    </w:p>
  </w:footnote>
  <w:footnote w:id="53">
    <w:p w:rsidR="006F6736" w:rsidRPr="00A00FFA" w:rsidRDefault="006F6736" w:rsidP="00D029BE">
      <w:pPr>
        <w:pStyle w:val="FootnoteText"/>
        <w:ind w:firstLine="720"/>
      </w:pPr>
      <w:r>
        <w:rPr>
          <w:rStyle w:val="FootnoteReference"/>
        </w:rPr>
        <w:footnoteRef/>
      </w:r>
      <w:r>
        <w:t xml:space="preserve"> Charles </w:t>
      </w:r>
      <w:proofErr w:type="spellStart"/>
      <w:r>
        <w:t>Keil</w:t>
      </w:r>
      <w:proofErr w:type="spellEnd"/>
      <w:r>
        <w:t xml:space="preserve">, review of </w:t>
      </w:r>
      <w:r>
        <w:rPr>
          <w:i/>
        </w:rPr>
        <w:t>Yesterdays</w:t>
      </w:r>
      <w:r>
        <w:t xml:space="preserve">, by Charles Hamm, </w:t>
      </w:r>
      <w:r>
        <w:rPr>
          <w:i/>
        </w:rPr>
        <w:t>Ethnomusicology</w:t>
      </w:r>
      <w:r>
        <w:t xml:space="preserve"> 24, no. 3 (1980): 577.</w:t>
      </w:r>
    </w:p>
  </w:footnote>
  <w:footnote w:id="54">
    <w:p w:rsidR="006F6736" w:rsidRDefault="006F6736" w:rsidP="00D029BE">
      <w:pPr>
        <w:pStyle w:val="FootnoteText"/>
        <w:ind w:firstLine="720"/>
      </w:pPr>
      <w:r>
        <w:rPr>
          <w:rStyle w:val="FootnoteReference"/>
        </w:rPr>
        <w:footnoteRef/>
      </w:r>
      <w:r>
        <w:t xml:space="preserve"> </w:t>
      </w:r>
      <w:r w:rsidRPr="00A224A1">
        <w:t>Maude Anita</w:t>
      </w:r>
      <w:r>
        <w:t xml:space="preserve"> Hart,</w:t>
      </w:r>
      <w:r w:rsidRPr="00A224A1">
        <w:t xml:space="preserve"> </w:t>
      </w:r>
      <w:r w:rsidRPr="006103EB">
        <w:t>“The Owl, Parrot, Duck and Crow”</w:t>
      </w:r>
      <w:r w:rsidRPr="00A224A1">
        <w:t xml:space="preserve"> </w:t>
      </w:r>
      <w:r>
        <w:t>(</w:t>
      </w:r>
      <w:r w:rsidRPr="00A224A1">
        <w:t xml:space="preserve">Chicago: S. </w:t>
      </w:r>
      <w:proofErr w:type="spellStart"/>
      <w:r w:rsidRPr="00A224A1">
        <w:t>Brainard'</w:t>
      </w:r>
      <w:r>
        <w:t>s</w:t>
      </w:r>
      <w:proofErr w:type="spellEnd"/>
      <w:r>
        <w:t xml:space="preserve"> Sons Co., 1898) Box 054, Item </w:t>
      </w:r>
      <w:r w:rsidRPr="00A224A1">
        <w:t>097, The Lester S. Levy Collection of Sheet Music, The S</w:t>
      </w:r>
      <w:r>
        <w:t xml:space="preserve">heridan Libraries, Johns Hopkins </w:t>
      </w:r>
      <w:r w:rsidRPr="00A224A1">
        <w:t>University, Baltimore, Maryland.</w:t>
      </w:r>
    </w:p>
  </w:footnote>
  <w:footnote w:id="55">
    <w:p w:rsidR="006F6736" w:rsidRDefault="006F6736" w:rsidP="00D029BE">
      <w:pPr>
        <w:pStyle w:val="FootnoteText"/>
        <w:ind w:firstLine="720"/>
      </w:pPr>
      <w:r>
        <w:rPr>
          <w:rStyle w:val="FootnoteReference"/>
        </w:rPr>
        <w:footnoteRef/>
      </w:r>
      <w:r>
        <w:t xml:space="preserve"> </w:t>
      </w:r>
      <w:r>
        <w:rPr>
          <w:noProof/>
        </w:rPr>
        <w:t>Minton, "Parlor Music," 255.</w:t>
      </w:r>
    </w:p>
  </w:footnote>
  <w:footnote w:id="56">
    <w:p w:rsidR="006F6736" w:rsidRDefault="006F6736" w:rsidP="00D029BE">
      <w:pPr>
        <w:pStyle w:val="FootnoteText"/>
        <w:ind w:firstLine="720"/>
      </w:pPr>
      <w:r>
        <w:rPr>
          <w:rStyle w:val="FootnoteReference"/>
        </w:rPr>
        <w:footnoteRef/>
      </w:r>
      <w:r>
        <w:t xml:space="preserve"> </w:t>
      </w:r>
      <w:r>
        <w:rPr>
          <w:noProof/>
        </w:rPr>
        <w:t xml:space="preserve">Judith Butler, </w:t>
      </w:r>
      <w:r w:rsidRPr="00F900FA">
        <w:rPr>
          <w:i/>
          <w:noProof/>
        </w:rPr>
        <w:t>Gender Trouble: Feminism and the Subversion of Identity</w:t>
      </w:r>
      <w:r>
        <w:rPr>
          <w:noProof/>
        </w:rPr>
        <w:t xml:space="preserve"> (New York: Routledge, 1990), </w:t>
      </w:r>
      <w:r>
        <w:t xml:space="preserve">173. </w:t>
      </w:r>
      <w:proofErr w:type="gramStart"/>
      <w:r>
        <w:t>Emphasis in original.</w:t>
      </w:r>
      <w:proofErr w:type="gramEnd"/>
    </w:p>
  </w:footnote>
  <w:footnote w:id="57">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163.</w:t>
      </w:r>
    </w:p>
  </w:footnote>
  <w:footnote w:id="58">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186-187.</w:t>
      </w:r>
    </w:p>
  </w:footnote>
  <w:footnote w:id="59">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183.</w:t>
      </w:r>
    </w:p>
  </w:footnote>
  <w:footnote w:id="60">
    <w:p w:rsidR="006F6736" w:rsidRDefault="006F6736" w:rsidP="00D029BE">
      <w:pPr>
        <w:pStyle w:val="FootnoteText"/>
        <w:ind w:firstLine="720"/>
      </w:pPr>
      <w:r>
        <w:rPr>
          <w:rStyle w:val="FootnoteReference"/>
        </w:rPr>
        <w:footnoteRef/>
      </w:r>
      <w:r>
        <w:t xml:space="preserve"> Chester Hatton</w:t>
      </w:r>
      <w:r w:rsidRPr="00BF0423">
        <w:t>, arr.</w:t>
      </w:r>
      <w:r>
        <w:t>,</w:t>
      </w:r>
      <w:r w:rsidRPr="00BF0423">
        <w:t xml:space="preserve"> </w:t>
      </w:r>
      <w:r>
        <w:t>“</w:t>
      </w:r>
      <w:r w:rsidRPr="006E4F88">
        <w:t>Sister Mary Walked Like That</w:t>
      </w:r>
      <w:r>
        <w:t>”</w:t>
      </w:r>
      <w:r w:rsidRPr="00BF0423">
        <w:t xml:space="preserve"> </w:t>
      </w:r>
      <w:r>
        <w:t>(</w:t>
      </w:r>
      <w:r w:rsidRPr="00BF0423">
        <w:t xml:space="preserve">Boston: Oliver </w:t>
      </w:r>
      <w:proofErr w:type="spellStart"/>
      <w:r w:rsidRPr="00BF0423">
        <w:t>Ditson</w:t>
      </w:r>
      <w:proofErr w:type="spellEnd"/>
      <w:r w:rsidRPr="00BF0423">
        <w:t xml:space="preserve"> Company, 1891</w:t>
      </w:r>
      <w:r>
        <w:t>),</w:t>
      </w:r>
      <w:r w:rsidRPr="00BF0423">
        <w:t xml:space="preserve"> Box 054, Item 132, The Lester S. Levy Collection of Sheet Music, The Sheridan Libraries, </w:t>
      </w:r>
      <w:r>
        <w:t>Johns Hopkins</w:t>
      </w:r>
      <w:r w:rsidRPr="00BF0423">
        <w:t xml:space="preserve"> University, </w:t>
      </w:r>
      <w:proofErr w:type="gramStart"/>
      <w:r w:rsidRPr="00BF0423">
        <w:t>Baltimore</w:t>
      </w:r>
      <w:proofErr w:type="gramEnd"/>
      <w:r w:rsidRPr="00BF0423">
        <w:t>, Maryland.</w:t>
      </w:r>
    </w:p>
  </w:footnote>
  <w:footnote w:id="61">
    <w:p w:rsidR="006F6736" w:rsidRDefault="006F6736" w:rsidP="00D029BE">
      <w:pPr>
        <w:pStyle w:val="FootnoteText"/>
        <w:ind w:firstLine="720"/>
      </w:pPr>
      <w:r>
        <w:rPr>
          <w:rStyle w:val="FootnoteReference"/>
        </w:rPr>
        <w:footnoteRef/>
      </w:r>
      <w:r>
        <w:t xml:space="preserve"> </w:t>
      </w:r>
      <w:proofErr w:type="gramStart"/>
      <w:r>
        <w:t xml:space="preserve">Lott, </w:t>
      </w:r>
      <w:r>
        <w:rPr>
          <w:i/>
          <w:noProof/>
        </w:rPr>
        <w:t>Love and Theft,</w:t>
      </w:r>
      <w:r>
        <w:rPr>
          <w:noProof/>
        </w:rPr>
        <w:t xml:space="preserve"> </w:t>
      </w:r>
      <w:r>
        <w:t>4.</w:t>
      </w:r>
      <w:proofErr w:type="gramEnd"/>
    </w:p>
  </w:footnote>
  <w:footnote w:id="62">
    <w:p w:rsidR="006F6736" w:rsidRDefault="006F6736" w:rsidP="00D029BE">
      <w:pPr>
        <w:pStyle w:val="FootnoteText"/>
        <w:ind w:firstLine="720"/>
      </w:pPr>
      <w:r>
        <w:rPr>
          <w:rStyle w:val="FootnoteReference"/>
        </w:rPr>
        <w:footnoteRef/>
      </w:r>
      <w:r>
        <w:t xml:space="preserve"> </w:t>
      </w:r>
      <w:r>
        <w:rPr>
          <w:noProof/>
        </w:rPr>
        <w:t xml:space="preserve">Gillian M. Rodger, </w:t>
      </w:r>
      <w:r>
        <w:rPr>
          <w:i/>
          <w:noProof/>
        </w:rPr>
        <w:t>Champagne Charlie and Pretty Jemima: Variety Theater in the Nineteenth C</w:t>
      </w:r>
      <w:r w:rsidRPr="00B36FCC">
        <w:rPr>
          <w:i/>
          <w:noProof/>
        </w:rPr>
        <w:t>entury</w:t>
      </w:r>
      <w:r>
        <w:rPr>
          <w:noProof/>
        </w:rPr>
        <w:t xml:space="preserve"> (Urbana: University of Illinois Press, 2010), 23.</w:t>
      </w:r>
    </w:p>
  </w:footnote>
  <w:footnote w:id="63">
    <w:p w:rsidR="006F6736" w:rsidRDefault="006F6736" w:rsidP="00D029BE">
      <w:pPr>
        <w:pStyle w:val="FootnoteText"/>
        <w:ind w:firstLine="720"/>
      </w:pPr>
      <w:r>
        <w:rPr>
          <w:rStyle w:val="FootnoteReference"/>
        </w:rPr>
        <w:footnoteRef/>
      </w:r>
      <w:r>
        <w:t xml:space="preserve"> </w:t>
      </w:r>
      <w:r>
        <w:rPr>
          <w:noProof/>
        </w:rPr>
        <w:t xml:space="preserve">Michael T. Taussig, </w:t>
      </w:r>
      <w:r>
        <w:rPr>
          <w:i/>
          <w:noProof/>
        </w:rPr>
        <w:t>Mimesis and Alterity: A Particular History of the S</w:t>
      </w:r>
      <w:r w:rsidRPr="00966A84">
        <w:rPr>
          <w:i/>
          <w:noProof/>
        </w:rPr>
        <w:t>enses</w:t>
      </w:r>
      <w:r>
        <w:rPr>
          <w:noProof/>
        </w:rPr>
        <w:t xml:space="preserve"> (New York: Routledge, 1993), 19.</w:t>
      </w:r>
    </w:p>
  </w:footnote>
  <w:footnote w:id="64">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43.</w:t>
      </w:r>
    </w:p>
  </w:footnote>
  <w:footnote w:id="65">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106.</w:t>
      </w:r>
    </w:p>
  </w:footnote>
  <w:footnote w:id="66">
    <w:p w:rsidR="006F6736" w:rsidRDefault="006F6736" w:rsidP="00D029BE">
      <w:pPr>
        <w:pStyle w:val="FootnoteText"/>
        <w:ind w:firstLine="720"/>
      </w:pPr>
      <w:r>
        <w:rPr>
          <w:rStyle w:val="FootnoteReference"/>
        </w:rPr>
        <w:footnoteRef/>
      </w:r>
      <w:r>
        <w:t xml:space="preserve"> Ibid.</w:t>
      </w:r>
    </w:p>
  </w:footnote>
  <w:footnote w:id="67">
    <w:p w:rsidR="006F6736" w:rsidRDefault="006F6736" w:rsidP="00D029BE">
      <w:pPr>
        <w:pStyle w:val="FootnoteText"/>
        <w:ind w:firstLine="720"/>
      </w:pPr>
      <w:r>
        <w:rPr>
          <w:rStyle w:val="FootnoteReference"/>
        </w:rPr>
        <w:footnoteRef/>
      </w:r>
      <w:r>
        <w:t xml:space="preserve"> </w:t>
      </w:r>
      <w:proofErr w:type="gramStart"/>
      <w:r>
        <w:t xml:space="preserve">Lott, </w:t>
      </w:r>
      <w:r>
        <w:rPr>
          <w:i/>
          <w:noProof/>
        </w:rPr>
        <w:t>Love and Theft,</w:t>
      </w:r>
      <w:r>
        <w:t xml:space="preserve"> 117.</w:t>
      </w:r>
      <w:proofErr w:type="gramEnd"/>
    </w:p>
  </w:footnote>
  <w:footnote w:id="68">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113.</w:t>
      </w:r>
    </w:p>
  </w:footnote>
  <w:footnote w:id="69">
    <w:p w:rsidR="006F6736" w:rsidRDefault="006F6736" w:rsidP="00D029BE">
      <w:pPr>
        <w:pStyle w:val="FootnoteText"/>
        <w:ind w:firstLine="720"/>
      </w:pPr>
      <w:r>
        <w:rPr>
          <w:rStyle w:val="FootnoteReference"/>
        </w:rPr>
        <w:footnoteRef/>
      </w:r>
      <w:r>
        <w:t xml:space="preserve"> </w:t>
      </w:r>
      <w:r>
        <w:rPr>
          <w:noProof/>
        </w:rPr>
        <w:t xml:space="preserve">Miller, </w:t>
      </w:r>
      <w:r>
        <w:rPr>
          <w:i/>
          <w:noProof/>
        </w:rPr>
        <w:t>Segregating Sound</w:t>
      </w:r>
      <w:r>
        <w:rPr>
          <w:noProof/>
        </w:rPr>
        <w:t>, 41.</w:t>
      </w:r>
    </w:p>
  </w:footnote>
  <w:footnote w:id="70">
    <w:p w:rsidR="006F6736" w:rsidRDefault="006F6736" w:rsidP="00D029BE">
      <w:pPr>
        <w:pStyle w:val="FootnoteText"/>
        <w:ind w:firstLine="720"/>
      </w:pPr>
      <w:r>
        <w:rPr>
          <w:rStyle w:val="FootnoteReference"/>
        </w:rPr>
        <w:footnoteRef/>
      </w:r>
      <w:r>
        <w:t xml:space="preserve"> Ibid.</w:t>
      </w:r>
    </w:p>
  </w:footnote>
  <w:footnote w:id="71">
    <w:p w:rsidR="006F6736" w:rsidRPr="00EA6E6A" w:rsidRDefault="006F6736" w:rsidP="00D029BE">
      <w:pPr>
        <w:pStyle w:val="FootnoteText"/>
        <w:ind w:firstLine="720"/>
      </w:pPr>
      <w:r>
        <w:rPr>
          <w:rStyle w:val="FootnoteReference"/>
        </w:rPr>
        <w:footnoteRef/>
      </w:r>
      <w:r>
        <w:t xml:space="preserve"> Jason Lee Oakes, “</w:t>
      </w:r>
      <w:proofErr w:type="gramStart"/>
      <w:r>
        <w:t>All the</w:t>
      </w:r>
      <w:proofErr w:type="gramEnd"/>
      <w:r>
        <w:t xml:space="preserve"> King’s </w:t>
      </w:r>
      <w:proofErr w:type="spellStart"/>
      <w:r>
        <w:t>Elvii</w:t>
      </w:r>
      <w:proofErr w:type="spellEnd"/>
      <w:r>
        <w:t xml:space="preserve">: Identifying with Elvis Through Musical Tribute,” </w:t>
      </w:r>
      <w:r>
        <w:rPr>
          <w:noProof/>
        </w:rPr>
        <w:t xml:space="preserve">in </w:t>
      </w:r>
      <w:r>
        <w:rPr>
          <w:i/>
          <w:noProof/>
        </w:rPr>
        <w:t>Access All E</w:t>
      </w:r>
      <w:r w:rsidRPr="006E4F88">
        <w:rPr>
          <w:i/>
          <w:noProof/>
        </w:rPr>
        <w:t>ras</w:t>
      </w:r>
      <w:r>
        <w:rPr>
          <w:i/>
          <w:noProof/>
        </w:rPr>
        <w:t>: T</w:t>
      </w:r>
      <w:r w:rsidRPr="006E4F88">
        <w:rPr>
          <w:i/>
          <w:noProof/>
        </w:rPr>
        <w:t>ribut</w:t>
      </w:r>
      <w:r>
        <w:rPr>
          <w:i/>
          <w:noProof/>
        </w:rPr>
        <w:t>e Bands and Global Pop C</w:t>
      </w:r>
      <w:r w:rsidRPr="006E4F88">
        <w:rPr>
          <w:i/>
          <w:noProof/>
        </w:rPr>
        <w:t>ulture</w:t>
      </w:r>
      <w:r>
        <w:rPr>
          <w:noProof/>
        </w:rPr>
        <w:t>, ed. Shane Homan (Maidenhead, Berkshire, U</w:t>
      </w:r>
      <w:r w:rsidR="005B002C">
        <w:rPr>
          <w:noProof/>
        </w:rPr>
        <w:t>K: Open University Press, 2006), 167.</w:t>
      </w:r>
    </w:p>
  </w:footnote>
  <w:footnote w:id="72">
    <w:p w:rsidR="006F6736" w:rsidRDefault="006F6736" w:rsidP="00D029BE">
      <w:pPr>
        <w:pStyle w:val="FootnoteText"/>
        <w:ind w:firstLine="720"/>
      </w:pPr>
      <w:r>
        <w:rPr>
          <w:rStyle w:val="FootnoteReference"/>
        </w:rPr>
        <w:footnoteRef/>
      </w:r>
      <w:r>
        <w:t xml:space="preserve"> </w:t>
      </w:r>
      <w:r>
        <w:rPr>
          <w:noProof/>
        </w:rPr>
        <w:t xml:space="preserve">Jason Lee Oakes, "Losers, Punks and Queers (and Elvii Too): Identification and "Identity" at New York City Music Tribute Events" (PhD diss., Columbia University, 2005), 31-32. </w:t>
      </w:r>
      <w:proofErr w:type="gramStart"/>
      <w:r>
        <w:t>Emphasis in original.</w:t>
      </w:r>
      <w:proofErr w:type="gramEnd"/>
    </w:p>
  </w:footnote>
  <w:footnote w:id="73">
    <w:p w:rsidR="006F6736" w:rsidRDefault="006F6736" w:rsidP="00D029BE">
      <w:pPr>
        <w:pStyle w:val="FootnoteText"/>
        <w:ind w:firstLine="720"/>
      </w:pPr>
      <w:r>
        <w:rPr>
          <w:rStyle w:val="FootnoteReference"/>
        </w:rPr>
        <w:footnoteRef/>
      </w:r>
      <w:r>
        <w:t xml:space="preserve"> </w:t>
      </w:r>
      <w:r>
        <w:rPr>
          <w:noProof/>
        </w:rPr>
        <w:t xml:space="preserve">Daniel Cavicchi, </w:t>
      </w:r>
      <w:r>
        <w:rPr>
          <w:i/>
          <w:noProof/>
        </w:rPr>
        <w:t>Tramps Like Us: Music and  Meaning Among Springsteen F</w:t>
      </w:r>
      <w:r w:rsidRPr="00464724">
        <w:rPr>
          <w:i/>
          <w:noProof/>
        </w:rPr>
        <w:t>ans</w:t>
      </w:r>
      <w:r>
        <w:rPr>
          <w:noProof/>
        </w:rPr>
        <w:t xml:space="preserve"> (New York: Oxford University Press, 1998), 149.</w:t>
      </w:r>
    </w:p>
  </w:footnote>
  <w:footnote w:id="74">
    <w:p w:rsidR="006F6736" w:rsidRDefault="006F6736" w:rsidP="00D029BE">
      <w:pPr>
        <w:pStyle w:val="FootnoteText"/>
        <w:ind w:firstLine="720"/>
      </w:pPr>
      <w:r>
        <w:rPr>
          <w:rStyle w:val="FootnoteReference"/>
        </w:rPr>
        <w:footnoteRef/>
      </w:r>
      <w:r>
        <w:t xml:space="preserve"> </w:t>
      </w:r>
      <w:r>
        <w:rPr>
          <w:noProof/>
        </w:rPr>
        <w:t xml:space="preserve">Aaron A. Fox, </w:t>
      </w:r>
      <w:r>
        <w:rPr>
          <w:i/>
          <w:noProof/>
        </w:rPr>
        <w:t>Real Country: Music and Language in Working-Class C</w:t>
      </w:r>
      <w:r w:rsidRPr="005D1FEF">
        <w:rPr>
          <w:i/>
          <w:noProof/>
        </w:rPr>
        <w:t>ulture</w:t>
      </w:r>
      <w:r>
        <w:rPr>
          <w:noProof/>
        </w:rPr>
        <w:t xml:space="preserve"> (Durham, NC: Duke University Press, 2004), 108.</w:t>
      </w:r>
    </w:p>
  </w:footnote>
  <w:footnote w:id="75">
    <w:p w:rsidR="006F6736" w:rsidRDefault="006F6736" w:rsidP="00D029BE">
      <w:pPr>
        <w:pStyle w:val="FootnoteText"/>
        <w:ind w:firstLine="720"/>
      </w:pPr>
      <w:r>
        <w:rPr>
          <w:rStyle w:val="FootnoteReference"/>
        </w:rPr>
        <w:footnoteRef/>
      </w:r>
      <w:r>
        <w:t xml:space="preserve"> Ibid.</w:t>
      </w:r>
    </w:p>
  </w:footnote>
  <w:footnote w:id="76">
    <w:p w:rsidR="006F6736" w:rsidRDefault="006F6736" w:rsidP="00D029BE">
      <w:pPr>
        <w:pStyle w:val="FootnoteText"/>
        <w:ind w:firstLine="720"/>
      </w:pPr>
      <w:r>
        <w:rPr>
          <w:rStyle w:val="FootnoteReference"/>
        </w:rPr>
        <w:footnoteRef/>
      </w:r>
      <w:r>
        <w:t xml:space="preserve"> </w:t>
      </w:r>
      <w:r>
        <w:rPr>
          <w:noProof/>
        </w:rPr>
        <w:t xml:space="preserve">David Nasaw, </w:t>
      </w:r>
      <w:r>
        <w:rPr>
          <w:i/>
          <w:noProof/>
        </w:rPr>
        <w:t>Going Out: The Rise and Fall of Public A</w:t>
      </w:r>
      <w:r w:rsidRPr="00FF5113">
        <w:rPr>
          <w:i/>
          <w:noProof/>
        </w:rPr>
        <w:t>musements</w:t>
      </w:r>
      <w:r>
        <w:rPr>
          <w:noProof/>
        </w:rPr>
        <w:t xml:space="preserve"> (New York: BasicBooks, 1993), 1.</w:t>
      </w:r>
    </w:p>
  </w:footnote>
  <w:footnote w:id="77">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2.</w:t>
      </w:r>
    </w:p>
  </w:footnote>
  <w:footnote w:id="78">
    <w:p w:rsidR="006F6736" w:rsidRDefault="006F6736" w:rsidP="00D029BE">
      <w:pPr>
        <w:pStyle w:val="FootnoteText"/>
        <w:ind w:firstLine="720"/>
      </w:pPr>
      <w:r>
        <w:rPr>
          <w:rStyle w:val="FootnoteReference"/>
        </w:rPr>
        <w:footnoteRef/>
      </w:r>
      <w:r>
        <w:t xml:space="preserve"> Donna R. Braden, “’The Family That Plays Together Stays Together’: Family Pastimes and Indoor Amusements, 1890-1930,” in </w:t>
      </w:r>
      <w:r>
        <w:rPr>
          <w:i/>
          <w:noProof/>
        </w:rPr>
        <w:t>American Home Life, 1880-1930 : A Social History of Spaces and S</w:t>
      </w:r>
      <w:r w:rsidRPr="0065200B">
        <w:rPr>
          <w:i/>
          <w:noProof/>
        </w:rPr>
        <w:t>ervices</w:t>
      </w:r>
      <w:r>
        <w:rPr>
          <w:noProof/>
        </w:rPr>
        <w:t>, eds. Jessica H. Foy and Thomas J. Schlereth (Knoxville: University of Tennessee Press, 1992), 145.</w:t>
      </w:r>
    </w:p>
  </w:footnote>
  <w:footnote w:id="79">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146.</w:t>
      </w:r>
    </w:p>
  </w:footnote>
  <w:footnote w:id="80">
    <w:p w:rsidR="006F6736" w:rsidRDefault="006F6736" w:rsidP="00D029BE">
      <w:pPr>
        <w:pStyle w:val="FootnoteText"/>
        <w:ind w:firstLine="720"/>
      </w:pPr>
      <w:r>
        <w:rPr>
          <w:rStyle w:val="FootnoteReference"/>
        </w:rPr>
        <w:footnoteRef/>
      </w:r>
      <w:r>
        <w:t xml:space="preserve"> </w:t>
      </w:r>
      <w:r>
        <w:rPr>
          <w:noProof/>
        </w:rPr>
        <w:t xml:space="preserve">Leslie C. Gay Jr., "Before the Deluge: The Technoculture of Song-Sheet Publishing Viewed from Late Nineteenth-Century Galveston," </w:t>
      </w:r>
      <w:r w:rsidRPr="001563B7">
        <w:rPr>
          <w:i/>
          <w:noProof/>
        </w:rPr>
        <w:t>American Music</w:t>
      </w:r>
      <w:r>
        <w:rPr>
          <w:noProof/>
        </w:rPr>
        <w:t xml:space="preserve"> 17, no. 4 (1999): 400.</w:t>
      </w:r>
    </w:p>
  </w:footnote>
  <w:footnote w:id="81">
    <w:p w:rsidR="006F6736" w:rsidRDefault="006F6736" w:rsidP="00D029BE">
      <w:pPr>
        <w:pStyle w:val="FootnoteText"/>
        <w:ind w:firstLine="720"/>
      </w:pPr>
      <w:r>
        <w:rPr>
          <w:rStyle w:val="FootnoteReference"/>
        </w:rPr>
        <w:footnoteRef/>
      </w:r>
      <w:r>
        <w:t xml:space="preserve"> </w:t>
      </w:r>
      <w:r>
        <w:rPr>
          <w:noProof/>
        </w:rPr>
        <w:t xml:space="preserve">Miller, </w:t>
      </w:r>
      <w:r>
        <w:rPr>
          <w:i/>
          <w:noProof/>
        </w:rPr>
        <w:t>Segregating Sound</w:t>
      </w:r>
      <w:r>
        <w:rPr>
          <w:noProof/>
        </w:rPr>
        <w:t>, 38.</w:t>
      </w:r>
    </w:p>
  </w:footnote>
  <w:footnote w:id="82">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39.</w:t>
      </w:r>
    </w:p>
  </w:footnote>
  <w:footnote w:id="83">
    <w:p w:rsidR="006F6736" w:rsidRDefault="006F6736" w:rsidP="00D029BE">
      <w:pPr>
        <w:pStyle w:val="FootnoteText"/>
        <w:ind w:firstLine="720"/>
      </w:pPr>
      <w:r>
        <w:rPr>
          <w:rStyle w:val="FootnoteReference"/>
        </w:rPr>
        <w:footnoteRef/>
      </w:r>
      <w:r>
        <w:t xml:space="preserve"> </w:t>
      </w:r>
      <w:r>
        <w:rPr>
          <w:noProof/>
        </w:rPr>
        <w:t xml:space="preserve">Levine, </w:t>
      </w:r>
      <w:r>
        <w:rPr>
          <w:i/>
          <w:noProof/>
        </w:rPr>
        <w:t>Highbrow/Lowbrow</w:t>
      </w:r>
      <w:r>
        <w:rPr>
          <w:noProof/>
        </w:rPr>
        <w:t>, 134.</w:t>
      </w:r>
    </w:p>
  </w:footnote>
  <w:footnote w:id="84">
    <w:p w:rsidR="006F6736" w:rsidRDefault="006F6736" w:rsidP="00D029BE">
      <w:pPr>
        <w:pStyle w:val="FootnoteText"/>
        <w:ind w:firstLine="720"/>
      </w:pPr>
      <w:r>
        <w:rPr>
          <w:rStyle w:val="FootnoteReference"/>
        </w:rPr>
        <w:footnoteRef/>
      </w:r>
      <w:r>
        <w:t xml:space="preserve"> </w:t>
      </w:r>
      <w:r>
        <w:rPr>
          <w:noProof/>
        </w:rPr>
        <w:t xml:space="preserve">Nasaw, </w:t>
      </w:r>
      <w:r>
        <w:rPr>
          <w:i/>
          <w:noProof/>
        </w:rPr>
        <w:t>Going Out</w:t>
      </w:r>
      <w:r>
        <w:rPr>
          <w:noProof/>
        </w:rPr>
        <w:t>, 13.</w:t>
      </w:r>
    </w:p>
  </w:footnote>
  <w:footnote w:id="85">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14.</w:t>
      </w:r>
    </w:p>
  </w:footnote>
  <w:footnote w:id="86">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26.</w:t>
      </w:r>
    </w:p>
  </w:footnote>
  <w:footnote w:id="87">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23.</w:t>
      </w:r>
    </w:p>
  </w:footnote>
  <w:footnote w:id="88">
    <w:p w:rsidR="006F6736" w:rsidRDefault="006F6736" w:rsidP="00D029BE">
      <w:pPr>
        <w:pStyle w:val="FootnoteText"/>
        <w:ind w:firstLine="720"/>
      </w:pPr>
      <w:r>
        <w:rPr>
          <w:rStyle w:val="FootnoteReference"/>
        </w:rPr>
        <w:footnoteRef/>
      </w:r>
      <w:r>
        <w:t xml:space="preserve"> </w:t>
      </w:r>
      <w:r>
        <w:rPr>
          <w:noProof/>
        </w:rPr>
        <w:t xml:space="preserve">Miller, </w:t>
      </w:r>
      <w:r>
        <w:rPr>
          <w:i/>
          <w:noProof/>
        </w:rPr>
        <w:t>Segregating Sound</w:t>
      </w:r>
      <w:r>
        <w:rPr>
          <w:noProof/>
        </w:rPr>
        <w:t>, 27.</w:t>
      </w:r>
    </w:p>
  </w:footnote>
  <w:footnote w:id="89">
    <w:p w:rsidR="006F6736" w:rsidRDefault="006F6736" w:rsidP="00D029BE">
      <w:pPr>
        <w:pStyle w:val="FootnoteText"/>
        <w:ind w:firstLine="720"/>
      </w:pPr>
      <w:r>
        <w:rPr>
          <w:rStyle w:val="FootnoteReference"/>
        </w:rPr>
        <w:footnoteRef/>
      </w:r>
      <w:r>
        <w:t xml:space="preserve"> Ibid.</w:t>
      </w:r>
    </w:p>
  </w:footnote>
  <w:footnote w:id="90">
    <w:p w:rsidR="006F6736" w:rsidRDefault="006F6736" w:rsidP="00D029BE">
      <w:pPr>
        <w:pStyle w:val="FootnoteText"/>
        <w:ind w:firstLine="720"/>
      </w:pPr>
      <w:r>
        <w:rPr>
          <w:rStyle w:val="FootnoteReference"/>
        </w:rPr>
        <w:footnoteRef/>
      </w:r>
      <w:r>
        <w:t xml:space="preserve"> </w:t>
      </w:r>
      <w:r>
        <w:rPr>
          <w:noProof/>
        </w:rPr>
        <w:t xml:space="preserve">Rodger, </w:t>
      </w:r>
      <w:r>
        <w:rPr>
          <w:i/>
          <w:noProof/>
        </w:rPr>
        <w:t>Champagne Charlie and Pretty Jemima</w:t>
      </w:r>
      <w:r>
        <w:rPr>
          <w:noProof/>
        </w:rPr>
        <w:t>, 5.</w:t>
      </w:r>
    </w:p>
  </w:footnote>
  <w:footnote w:id="91">
    <w:p w:rsidR="006F6736" w:rsidRDefault="006F6736" w:rsidP="00D029BE">
      <w:pPr>
        <w:pStyle w:val="FootnoteText"/>
        <w:ind w:firstLine="720"/>
      </w:pPr>
      <w:r>
        <w:rPr>
          <w:rStyle w:val="FootnoteReference"/>
        </w:rPr>
        <w:footnoteRef/>
      </w:r>
      <w:r>
        <w:t xml:space="preserve"> Ibid., 6</w:t>
      </w:r>
    </w:p>
  </w:footnote>
  <w:footnote w:id="92">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98.</w:t>
      </w:r>
    </w:p>
  </w:footnote>
  <w:footnote w:id="93">
    <w:p w:rsidR="006F6736" w:rsidRDefault="006F6736" w:rsidP="00D029BE">
      <w:pPr>
        <w:pStyle w:val="FootnoteText"/>
        <w:ind w:firstLine="720"/>
      </w:pPr>
      <w:r>
        <w:rPr>
          <w:rStyle w:val="FootnoteReference"/>
        </w:rPr>
        <w:footnoteRef/>
      </w:r>
      <w:r>
        <w:t xml:space="preserve"> </w:t>
      </w:r>
      <w:proofErr w:type="gramStart"/>
      <w:r>
        <w:t>Ibid.,</w:t>
      </w:r>
      <w:proofErr w:type="gramEnd"/>
      <w:r>
        <w:t xml:space="preserve"> 99.</w:t>
      </w:r>
    </w:p>
  </w:footnote>
  <w:footnote w:id="94">
    <w:p w:rsidR="006F6736" w:rsidRDefault="006F6736" w:rsidP="00D029BE">
      <w:pPr>
        <w:pStyle w:val="FootnoteText"/>
        <w:ind w:firstLine="720"/>
      </w:pPr>
      <w:r>
        <w:rPr>
          <w:rStyle w:val="FootnoteReference"/>
        </w:rPr>
        <w:footnoteRef/>
      </w:r>
      <w:r>
        <w:t xml:space="preserve"> </w:t>
      </w:r>
      <w:r>
        <w:rPr>
          <w:noProof/>
        </w:rPr>
        <w:t xml:space="preserve">Lott, </w:t>
      </w:r>
      <w:r>
        <w:rPr>
          <w:i/>
          <w:noProof/>
        </w:rPr>
        <w:t>Love and Theft</w:t>
      </w:r>
      <w:r>
        <w:rPr>
          <w:noProof/>
        </w:rPr>
        <w:t>, 18.</w:t>
      </w:r>
    </w:p>
  </w:footnote>
  <w:footnote w:id="95">
    <w:p w:rsidR="006F6736" w:rsidRDefault="006F6736" w:rsidP="00D029BE">
      <w:pPr>
        <w:pStyle w:val="FootnoteText"/>
        <w:ind w:firstLine="720"/>
      </w:pPr>
      <w:r>
        <w:rPr>
          <w:rStyle w:val="FootnoteReference"/>
        </w:rPr>
        <w:footnoteRef/>
      </w:r>
      <w:r>
        <w:t xml:space="preserve"> </w:t>
      </w:r>
      <w:r>
        <w:rPr>
          <w:noProof/>
        </w:rPr>
        <w:t xml:space="preserve">Ortner, </w:t>
      </w:r>
      <w:r>
        <w:rPr>
          <w:i/>
          <w:noProof/>
        </w:rPr>
        <w:t>Anthropology and Social Theory</w:t>
      </w:r>
      <w:r>
        <w:rPr>
          <w:noProof/>
        </w:rPr>
        <w:t>, 66.</w:t>
      </w:r>
    </w:p>
  </w:footnote>
  <w:footnote w:id="96">
    <w:p w:rsidR="006F6736" w:rsidRDefault="006F6736" w:rsidP="00D029BE">
      <w:pPr>
        <w:pStyle w:val="FootnoteText"/>
        <w:ind w:firstLine="720"/>
      </w:pPr>
      <w:r>
        <w:rPr>
          <w:rStyle w:val="FootnoteReference"/>
        </w:rPr>
        <w:footnoteRef/>
      </w:r>
      <w:r>
        <w:t xml:space="preserve"> </w:t>
      </w:r>
      <w:r>
        <w:rPr>
          <w:noProof/>
        </w:rPr>
        <w:t>Braden, “</w:t>
      </w:r>
      <w:r>
        <w:t xml:space="preserve">’The Family That Plays Together Stays Together,’” </w:t>
      </w:r>
      <w:r>
        <w:rPr>
          <w:noProof/>
        </w:rPr>
        <w:t>147.</w:t>
      </w:r>
    </w:p>
  </w:footnote>
  <w:footnote w:id="97">
    <w:p w:rsidR="006F6736" w:rsidRPr="0094439C" w:rsidRDefault="006F6736" w:rsidP="00D029BE">
      <w:pPr>
        <w:pStyle w:val="FootnoteText"/>
        <w:ind w:firstLine="720"/>
      </w:pPr>
      <w:r>
        <w:rPr>
          <w:rStyle w:val="FootnoteReference"/>
        </w:rPr>
        <w:footnoteRef/>
      </w:r>
      <w:r>
        <w:t xml:space="preserve"> </w:t>
      </w:r>
      <w:r>
        <w:rPr>
          <w:i/>
        </w:rPr>
        <w:t xml:space="preserve">Baldwin’s Musical Review </w:t>
      </w:r>
      <w:r>
        <w:t>(July 1880): 4. John Wesley Reams Collection, McClung Historical Collection, Knox County Public Library System, Knoxville, Tennessee.</w:t>
      </w:r>
    </w:p>
  </w:footnote>
  <w:footnote w:id="98">
    <w:p w:rsidR="006F6736" w:rsidRDefault="006F6736" w:rsidP="00D029BE">
      <w:pPr>
        <w:pStyle w:val="FootnoteText"/>
        <w:ind w:firstLine="720"/>
      </w:pPr>
      <w:r>
        <w:rPr>
          <w:rStyle w:val="FootnoteReference"/>
        </w:rPr>
        <w:footnoteRef/>
      </w:r>
      <w:r>
        <w:t xml:space="preserve"> Ibid.</w:t>
      </w:r>
    </w:p>
  </w:footnote>
  <w:footnote w:id="99">
    <w:p w:rsidR="006F6736" w:rsidRDefault="006F6736" w:rsidP="005A6C43">
      <w:pPr>
        <w:pStyle w:val="FootnoteText"/>
        <w:ind w:firstLine="720"/>
      </w:pPr>
      <w:r>
        <w:rPr>
          <w:rStyle w:val="FootnoteReference"/>
        </w:rPr>
        <w:footnoteRef/>
      </w:r>
      <w:r>
        <w:t xml:space="preserve"> </w:t>
      </w:r>
      <w:proofErr w:type="spellStart"/>
      <w:proofErr w:type="gramStart"/>
      <w:r w:rsidRPr="005A6C43">
        <w:rPr>
          <w:rFonts w:ascii="Calibri" w:eastAsia="Times New Roman" w:hAnsi="Calibri" w:cs="Times New Roman"/>
          <w:color w:val="010101"/>
        </w:rPr>
        <w:t>McDannell</w:t>
      </w:r>
      <w:proofErr w:type="spellEnd"/>
      <w:r w:rsidRPr="005A6C43">
        <w:rPr>
          <w:rFonts w:ascii="Calibri" w:eastAsia="Times New Roman" w:hAnsi="Calibri" w:cs="Times New Roman"/>
          <w:color w:val="010101"/>
        </w:rPr>
        <w:t>, </w:t>
      </w:r>
      <w:r>
        <w:rPr>
          <w:rFonts w:ascii="Calibri" w:eastAsia="Times New Roman" w:hAnsi="Calibri" w:cs="Times New Roman"/>
          <w:i/>
          <w:iCs/>
          <w:color w:val="010101"/>
        </w:rPr>
        <w:t>Christian Home in Victorian America,</w:t>
      </w:r>
      <w:r>
        <w:rPr>
          <w:rFonts w:ascii="Calibri" w:eastAsia="Times New Roman" w:hAnsi="Calibri" w:cs="Times New Roman"/>
          <w:color w:val="010101"/>
        </w:rPr>
        <w:t xml:space="preserve"> xiii</w:t>
      </w:r>
      <w:r w:rsidRPr="005A6C43">
        <w:rPr>
          <w:rFonts w:ascii="Calibri" w:eastAsia="Times New Roman" w:hAnsi="Calibri" w:cs="Times New Roman"/>
          <w:color w:val="010101"/>
        </w:rPr>
        <w:t>.</w:t>
      </w:r>
      <w:proofErr w:type="gramEnd"/>
    </w:p>
  </w:footnote>
  <w:footnote w:id="100">
    <w:p w:rsidR="006F6736" w:rsidRDefault="006F6736" w:rsidP="005A6C43">
      <w:pPr>
        <w:pStyle w:val="FootnoteText"/>
        <w:ind w:firstLine="720"/>
      </w:pPr>
      <w:r>
        <w:rPr>
          <w:rStyle w:val="FootnoteReference"/>
        </w:rPr>
        <w:footnoteRef/>
      </w:r>
      <w:r>
        <w:t xml:space="preserve"> </w:t>
      </w:r>
      <w:proofErr w:type="gramStart"/>
      <w:r>
        <w:t>Ibid.,</w:t>
      </w:r>
      <w:proofErr w:type="gramEnd"/>
      <w:r>
        <w:t xml:space="preserve"> 24.</w:t>
      </w:r>
    </w:p>
  </w:footnote>
  <w:footnote w:id="101">
    <w:p w:rsidR="006F6736" w:rsidRPr="00B06386" w:rsidRDefault="006F6736" w:rsidP="00D029BE">
      <w:pPr>
        <w:pStyle w:val="FootnoteText"/>
        <w:ind w:firstLine="720"/>
      </w:pPr>
      <w:r>
        <w:rPr>
          <w:rStyle w:val="FootnoteReference"/>
        </w:rPr>
        <w:footnoteRef/>
      </w:r>
      <w:r>
        <w:t xml:space="preserve"> “Parlor Theatricals,” </w:t>
      </w:r>
      <w:r>
        <w:rPr>
          <w:i/>
        </w:rPr>
        <w:t>The Clipper</w:t>
      </w:r>
      <w:r>
        <w:t>, January 30, 1869.</w:t>
      </w:r>
    </w:p>
  </w:footnote>
  <w:footnote w:id="102">
    <w:p w:rsidR="006F6736" w:rsidRDefault="006F6736" w:rsidP="00D029BE">
      <w:pPr>
        <w:pStyle w:val="FootnoteText"/>
        <w:ind w:firstLine="720"/>
      </w:pPr>
      <w:r>
        <w:rPr>
          <w:rStyle w:val="FootnoteReference"/>
        </w:rPr>
        <w:footnoteRef/>
      </w:r>
      <w:r>
        <w:t xml:space="preserve"> </w:t>
      </w:r>
      <w:r>
        <w:rPr>
          <w:noProof/>
        </w:rPr>
        <w:t xml:space="preserve">Hamm, </w:t>
      </w:r>
      <w:r>
        <w:rPr>
          <w:i/>
          <w:noProof/>
        </w:rPr>
        <w:t>Yesterdays</w:t>
      </w:r>
      <w:r>
        <w:rPr>
          <w:noProof/>
        </w:rPr>
        <w:t>, xix.</w:t>
      </w:r>
    </w:p>
  </w:footnote>
  <w:footnote w:id="103">
    <w:p w:rsidR="006F6736" w:rsidRDefault="006F6736" w:rsidP="00D029BE">
      <w:pPr>
        <w:pStyle w:val="FootnoteText"/>
        <w:ind w:firstLine="720"/>
      </w:pPr>
      <w:r>
        <w:rPr>
          <w:rStyle w:val="FootnoteReference"/>
        </w:rPr>
        <w:footnoteRef/>
      </w:r>
      <w:r>
        <w:t xml:space="preserve"> </w:t>
      </w:r>
      <w:r>
        <w:rPr>
          <w:noProof/>
        </w:rPr>
        <w:t xml:space="preserve">Finson, </w:t>
      </w:r>
      <w:r>
        <w:rPr>
          <w:i/>
          <w:noProof/>
        </w:rPr>
        <w:t>Voices That are Gone</w:t>
      </w:r>
      <w:r>
        <w:rPr>
          <w:noProof/>
        </w:rPr>
        <w:t>, xi.</w:t>
      </w:r>
    </w:p>
  </w:footnote>
  <w:footnote w:id="104">
    <w:p w:rsidR="006F6736" w:rsidRPr="000B4CC5" w:rsidRDefault="006F6736" w:rsidP="000B4CC5">
      <w:pPr>
        <w:pStyle w:val="FootnoteText"/>
        <w:ind w:firstLine="720"/>
      </w:pPr>
      <w:r>
        <w:rPr>
          <w:rStyle w:val="FootnoteReference"/>
        </w:rPr>
        <w:footnoteRef/>
      </w:r>
      <w:r>
        <w:t xml:space="preserve"> </w:t>
      </w:r>
      <w:proofErr w:type="spellStart"/>
      <w:proofErr w:type="gramStart"/>
      <w:r>
        <w:t>Sanjek</w:t>
      </w:r>
      <w:proofErr w:type="spellEnd"/>
      <w:r>
        <w:t xml:space="preserve">, </w:t>
      </w:r>
      <w:r>
        <w:rPr>
          <w:i/>
          <w:noProof/>
        </w:rPr>
        <w:t>American Popular Music and its Business</w:t>
      </w:r>
      <w:r>
        <w:rPr>
          <w:noProof/>
        </w:rPr>
        <w:t>.</w:t>
      </w:r>
      <w:proofErr w:type="gramEnd"/>
    </w:p>
  </w:footnote>
  <w:footnote w:id="105">
    <w:p w:rsidR="006F6736" w:rsidRPr="00A17675" w:rsidRDefault="006F6736" w:rsidP="00D029BE">
      <w:pPr>
        <w:pStyle w:val="FootnoteText"/>
        <w:ind w:firstLine="720"/>
      </w:pPr>
      <w:r>
        <w:rPr>
          <w:rStyle w:val="FootnoteReference"/>
        </w:rPr>
        <w:footnoteRef/>
      </w:r>
      <w:r>
        <w:t xml:space="preserve"> </w:t>
      </w:r>
      <w:r>
        <w:rPr>
          <w:noProof/>
        </w:rPr>
        <w:t xml:space="preserve">Levine, </w:t>
      </w:r>
      <w:r>
        <w:rPr>
          <w:i/>
          <w:noProof/>
        </w:rPr>
        <w:t>Highbrow/Lowbrow</w:t>
      </w:r>
      <w:r>
        <w:rPr>
          <w:noProof/>
        </w:rPr>
        <w:t>.</w:t>
      </w:r>
    </w:p>
  </w:footnote>
  <w:footnote w:id="106">
    <w:p w:rsidR="006F6736" w:rsidRPr="00117FAE" w:rsidRDefault="006F6736" w:rsidP="00117FAE">
      <w:pPr>
        <w:pStyle w:val="FootnoteText"/>
        <w:ind w:firstLine="720"/>
      </w:pPr>
      <w:r>
        <w:rPr>
          <w:rStyle w:val="FootnoteReference"/>
        </w:rPr>
        <w:footnoteRef/>
      </w:r>
      <w:r>
        <w:t xml:space="preserve"> </w:t>
      </w:r>
      <w:proofErr w:type="gramStart"/>
      <w:r>
        <w:t xml:space="preserve">Lott, </w:t>
      </w:r>
      <w:r>
        <w:rPr>
          <w:i/>
        </w:rPr>
        <w:t>Love and Theft</w:t>
      </w:r>
      <w:r>
        <w:t>.</w:t>
      </w:r>
      <w:proofErr w:type="gramEnd"/>
    </w:p>
  </w:footnote>
  <w:footnote w:id="107">
    <w:p w:rsidR="006F6736" w:rsidRDefault="006F6736" w:rsidP="00117FAE">
      <w:pPr>
        <w:pStyle w:val="FootnoteText"/>
        <w:ind w:firstLine="720"/>
      </w:pPr>
      <w:r>
        <w:rPr>
          <w:rStyle w:val="FootnoteReference"/>
        </w:rPr>
        <w:footnoteRef/>
      </w:r>
      <w:r>
        <w:t xml:space="preserve"> </w:t>
      </w:r>
      <w:r>
        <w:rPr>
          <w:noProof/>
        </w:rPr>
        <w:t xml:space="preserve">Dale Cockrell, </w:t>
      </w:r>
      <w:r>
        <w:rPr>
          <w:i/>
          <w:noProof/>
        </w:rPr>
        <w:t>Demons of Disorder: Early Blackface Minstrels and Their W</w:t>
      </w:r>
      <w:r w:rsidRPr="00861996">
        <w:rPr>
          <w:i/>
          <w:noProof/>
        </w:rPr>
        <w:t>orld</w:t>
      </w:r>
      <w:r>
        <w:rPr>
          <w:noProof/>
        </w:rPr>
        <w:t xml:space="preserve"> (New York: Cambridge University Press, 1997).</w:t>
      </w:r>
    </w:p>
  </w:footnote>
  <w:footnote w:id="108">
    <w:p w:rsidR="006F6736" w:rsidRPr="00117FAE" w:rsidRDefault="006F6736" w:rsidP="00117FAE">
      <w:pPr>
        <w:pStyle w:val="FootnoteText"/>
        <w:ind w:firstLine="720"/>
      </w:pPr>
      <w:r>
        <w:rPr>
          <w:rStyle w:val="FootnoteReference"/>
        </w:rPr>
        <w:footnoteRef/>
      </w:r>
      <w:r>
        <w:t xml:space="preserve"> </w:t>
      </w:r>
      <w:proofErr w:type="gramStart"/>
      <w:r>
        <w:t xml:space="preserve">Rodger, </w:t>
      </w:r>
      <w:r>
        <w:rPr>
          <w:i/>
          <w:noProof/>
        </w:rPr>
        <w:t>Champagne Charlie and Pretty Jemima</w:t>
      </w:r>
      <w:r>
        <w:rPr>
          <w:noProof/>
        </w:rPr>
        <w:t>.</w:t>
      </w:r>
      <w:proofErr w:type="gramEnd"/>
    </w:p>
  </w:footnote>
  <w:footnote w:id="109">
    <w:p w:rsidR="006F6736" w:rsidRDefault="006F6736" w:rsidP="003C2245">
      <w:pPr>
        <w:pStyle w:val="FootnoteText"/>
        <w:tabs>
          <w:tab w:val="left" w:pos="7290"/>
        </w:tabs>
        <w:ind w:firstLine="720"/>
      </w:pPr>
      <w:r>
        <w:rPr>
          <w:rStyle w:val="FootnoteReference"/>
        </w:rPr>
        <w:footnoteRef/>
      </w:r>
      <w:r>
        <w:t xml:space="preserve"> </w:t>
      </w:r>
      <w:r>
        <w:rPr>
          <w:noProof/>
        </w:rPr>
        <w:t xml:space="preserve">Nasaw, </w:t>
      </w:r>
      <w:r>
        <w:rPr>
          <w:i/>
          <w:noProof/>
        </w:rPr>
        <w:t>Going Out.</w:t>
      </w:r>
      <w:r>
        <w:rPr>
          <w:i/>
          <w:noProof/>
        </w:rPr>
        <w:tab/>
      </w:r>
    </w:p>
  </w:footnote>
  <w:footnote w:id="110">
    <w:p w:rsidR="006F6736" w:rsidRPr="00F0104A" w:rsidRDefault="006F6736" w:rsidP="003C2245">
      <w:pPr>
        <w:pStyle w:val="FootnoteText"/>
        <w:ind w:firstLine="720"/>
      </w:pPr>
      <w:r>
        <w:rPr>
          <w:rStyle w:val="FootnoteReference"/>
        </w:rPr>
        <w:footnoteRef/>
      </w:r>
      <w:r>
        <w:rPr>
          <w:noProof/>
        </w:rPr>
        <w:t xml:space="preserve">Grier, </w:t>
      </w:r>
      <w:r>
        <w:t>“Decline of the Memory Palace.”</w:t>
      </w:r>
    </w:p>
  </w:footnote>
  <w:footnote w:id="111">
    <w:p w:rsidR="006F6736" w:rsidRDefault="006F6736" w:rsidP="00BD039A">
      <w:pPr>
        <w:pStyle w:val="FootnoteText"/>
        <w:ind w:firstLine="720"/>
      </w:pPr>
      <w:r>
        <w:rPr>
          <w:rStyle w:val="FootnoteReference"/>
        </w:rPr>
        <w:footnoteRef/>
      </w:r>
      <w:r>
        <w:t xml:space="preserve"> </w:t>
      </w:r>
      <w:r>
        <w:rPr>
          <w:noProof/>
        </w:rPr>
        <w:t>Wolfe,</w:t>
      </w:r>
      <w:r w:rsidRPr="00BA1493">
        <w:rPr>
          <w:noProof/>
        </w:rPr>
        <w:t xml:space="preserve"> </w:t>
      </w:r>
      <w:r w:rsidRPr="00BA1493">
        <w:rPr>
          <w:i/>
          <w:noProof/>
        </w:rPr>
        <w:t>Early America</w:t>
      </w:r>
      <w:r>
        <w:rPr>
          <w:i/>
          <w:noProof/>
        </w:rPr>
        <w:t>n Music Engraving and Printing.</w:t>
      </w:r>
    </w:p>
  </w:footnote>
  <w:footnote w:id="112">
    <w:p w:rsidR="006F6736" w:rsidRPr="00F0104A" w:rsidRDefault="006F6736" w:rsidP="00D029BE">
      <w:pPr>
        <w:pStyle w:val="FootnoteText"/>
        <w:ind w:firstLine="720"/>
      </w:pPr>
      <w:r>
        <w:rPr>
          <w:rStyle w:val="FootnoteReference"/>
        </w:rPr>
        <w:footnoteRef/>
      </w:r>
      <w:r>
        <w:t xml:space="preserve"> </w:t>
      </w:r>
      <w:proofErr w:type="gramStart"/>
      <w:r w:rsidRPr="00F0104A">
        <w:rPr>
          <w:rFonts w:cstheme="minorHAnsi"/>
        </w:rPr>
        <w:t xml:space="preserve">Miller, </w:t>
      </w:r>
      <w:r w:rsidRPr="00F0104A">
        <w:rPr>
          <w:rFonts w:cstheme="minorHAnsi"/>
          <w:i/>
        </w:rPr>
        <w:t>Segregating Sound</w:t>
      </w:r>
      <w:r>
        <w:rPr>
          <w:rFonts w:cstheme="minorHAnsi"/>
          <w:i/>
        </w:rPr>
        <w:t>.</w:t>
      </w:r>
      <w:proofErr w:type="gramEnd"/>
    </w:p>
  </w:footnote>
  <w:footnote w:id="113">
    <w:p w:rsidR="006F6736" w:rsidRPr="00C0318A" w:rsidRDefault="006F6736" w:rsidP="00BD039A">
      <w:pPr>
        <w:pStyle w:val="FootnoteText"/>
        <w:ind w:firstLine="720"/>
      </w:pPr>
      <w:r>
        <w:rPr>
          <w:rStyle w:val="FootnoteReference"/>
        </w:rPr>
        <w:footnoteRef/>
      </w:r>
      <w:r>
        <w:t xml:space="preserve"> Richard Dyer, </w:t>
      </w:r>
      <w:r>
        <w:rPr>
          <w:i/>
        </w:rPr>
        <w:t>Only Entertainment</w:t>
      </w:r>
      <w:r>
        <w:t xml:space="preserve"> (New York: </w:t>
      </w:r>
      <w:proofErr w:type="spellStart"/>
      <w:r>
        <w:t>Routledge</w:t>
      </w:r>
      <w:proofErr w:type="spellEnd"/>
      <w:r>
        <w:t xml:space="preserve">, 1992). </w:t>
      </w:r>
    </w:p>
  </w:footnote>
  <w:footnote w:id="114">
    <w:p w:rsidR="006F6736" w:rsidRDefault="006F6736" w:rsidP="00D029BE">
      <w:pPr>
        <w:pStyle w:val="FootnoteText"/>
        <w:ind w:firstLine="720"/>
      </w:pPr>
      <w:r>
        <w:rPr>
          <w:rStyle w:val="FootnoteReference"/>
        </w:rPr>
        <w:footnoteRef/>
      </w:r>
      <w:r>
        <w:t xml:space="preserve"> </w:t>
      </w:r>
      <w:r w:rsidRPr="00B51E8A">
        <w:t xml:space="preserve">Simon </w:t>
      </w:r>
      <w:proofErr w:type="spellStart"/>
      <w:r w:rsidRPr="00B51E8A">
        <w:t>Frith</w:t>
      </w:r>
      <w:proofErr w:type="spellEnd"/>
      <w:r w:rsidRPr="00B51E8A">
        <w:t xml:space="preserve">, </w:t>
      </w:r>
      <w:r w:rsidRPr="00B51E8A">
        <w:rPr>
          <w:rFonts w:cstheme="minorHAnsi"/>
        </w:rPr>
        <w:t xml:space="preserve">“Why Do Songs Have Words?” in </w:t>
      </w:r>
      <w:r w:rsidRPr="00B51E8A">
        <w:rPr>
          <w:i/>
          <w:noProof/>
        </w:rPr>
        <w:t>Lost in Music: Culture, Style, and the Musical Event</w:t>
      </w:r>
      <w:r w:rsidRPr="00B51E8A">
        <w:rPr>
          <w:noProof/>
        </w:rPr>
        <w:t>, Avron Levine White, ed. (New York: Routledge, 1987)</w:t>
      </w:r>
      <w:r>
        <w:rPr>
          <w:noProof/>
        </w:rPr>
        <w:t>, 97.</w:t>
      </w:r>
    </w:p>
  </w:footnote>
  <w:footnote w:id="115">
    <w:p w:rsidR="006F6736" w:rsidRDefault="006F6736" w:rsidP="00D029BE">
      <w:pPr>
        <w:pStyle w:val="FootnoteText"/>
        <w:ind w:firstLine="720"/>
      </w:pPr>
      <w:r>
        <w:rPr>
          <w:rStyle w:val="FootnoteReference"/>
        </w:rPr>
        <w:footnoteRef/>
      </w:r>
      <w:r>
        <w:t xml:space="preserve"> </w:t>
      </w:r>
      <w:r>
        <w:rPr>
          <w:noProof/>
        </w:rPr>
        <w:t xml:space="preserve">Nancy Lee Chalfa Ruyter, </w:t>
      </w:r>
      <w:r w:rsidRPr="00806227">
        <w:rPr>
          <w:i/>
          <w:noProof/>
        </w:rPr>
        <w:t>The Cultivation of Body and Mind in Nineteenth-Century American Delsartism</w:t>
      </w:r>
      <w:r>
        <w:rPr>
          <w:noProof/>
        </w:rPr>
        <w:t>, (Westport, CT: Greenwood Press, 1999).</w:t>
      </w:r>
    </w:p>
  </w:footnote>
  <w:footnote w:id="116">
    <w:p w:rsidR="006F6736" w:rsidRDefault="006F6736" w:rsidP="00D029BE">
      <w:pPr>
        <w:pStyle w:val="FootnoteText"/>
        <w:ind w:firstLine="720"/>
      </w:pPr>
      <w:r>
        <w:rPr>
          <w:rStyle w:val="FootnoteReference"/>
        </w:rPr>
        <w:footnoteRef/>
      </w:r>
      <w:r>
        <w:t xml:space="preserve"> </w:t>
      </w:r>
      <w:r>
        <w:rPr>
          <w:noProof/>
        </w:rPr>
        <w:t xml:space="preserve">Carrie J. Preston, </w:t>
      </w:r>
      <w:r>
        <w:rPr>
          <w:i/>
          <w:noProof/>
        </w:rPr>
        <w:t>Modernism's Mythic Pose: Gender, Genre, Solo P</w:t>
      </w:r>
      <w:r w:rsidRPr="00AD7513">
        <w:rPr>
          <w:i/>
          <w:noProof/>
        </w:rPr>
        <w:t>erformance</w:t>
      </w:r>
      <w:r>
        <w:rPr>
          <w:noProof/>
        </w:rPr>
        <w:t xml:space="preserve"> (New York: Oxford University Press, 2011).</w:t>
      </w:r>
    </w:p>
  </w:footnote>
  <w:footnote w:id="117">
    <w:p w:rsidR="006F6736" w:rsidRDefault="006F6736" w:rsidP="00D029BE">
      <w:pPr>
        <w:pStyle w:val="FootnoteText"/>
        <w:ind w:firstLine="720"/>
      </w:pPr>
      <w:r>
        <w:rPr>
          <w:rStyle w:val="FootnoteReference"/>
        </w:rPr>
        <w:footnoteRef/>
      </w:r>
      <w:r>
        <w:t xml:space="preserve"> </w:t>
      </w:r>
      <w:r>
        <w:rPr>
          <w:noProof/>
        </w:rPr>
        <w:t xml:space="preserve">Elisabeth Le Guin, </w:t>
      </w:r>
      <w:r w:rsidRPr="00BD4170">
        <w:rPr>
          <w:i/>
          <w:noProof/>
        </w:rPr>
        <w:t>Boccherini's Body an Essay in Carnal Musicology</w:t>
      </w:r>
      <w:r>
        <w:rPr>
          <w:noProof/>
        </w:rPr>
        <w:t xml:space="preserve"> (Berkeley, CA: University of California Press, 2006).</w:t>
      </w:r>
    </w:p>
  </w:footnote>
  <w:footnote w:id="118">
    <w:p w:rsidR="006F6736" w:rsidRDefault="006F6736" w:rsidP="00D029BE">
      <w:pPr>
        <w:pStyle w:val="FootnoteText"/>
        <w:ind w:firstLine="720"/>
      </w:pPr>
      <w:r>
        <w:rPr>
          <w:rStyle w:val="FootnoteReference"/>
        </w:rPr>
        <w:footnoteRef/>
      </w:r>
      <w:r>
        <w:t xml:space="preserve"> </w:t>
      </w:r>
      <w:r>
        <w:rPr>
          <w:noProof/>
        </w:rPr>
        <w:t xml:space="preserve">Ortner, </w:t>
      </w:r>
      <w:r>
        <w:rPr>
          <w:i/>
          <w:noProof/>
        </w:rPr>
        <w:t>Anthropology and Social Theory</w:t>
      </w:r>
      <w:r>
        <w:rPr>
          <w:noProof/>
        </w:rPr>
        <w:t>.</w:t>
      </w:r>
    </w:p>
  </w:footnote>
  <w:footnote w:id="119">
    <w:p w:rsidR="006F6736" w:rsidRDefault="006F6736" w:rsidP="00D029BE">
      <w:pPr>
        <w:pStyle w:val="FootnoteText"/>
        <w:ind w:firstLine="720"/>
      </w:pPr>
      <w:r>
        <w:rPr>
          <w:rStyle w:val="FootnoteReference"/>
        </w:rPr>
        <w:footnoteRef/>
      </w:r>
      <w:r>
        <w:t xml:space="preserve"> </w:t>
      </w:r>
      <w:r>
        <w:rPr>
          <w:noProof/>
        </w:rPr>
        <w:t xml:space="preserve">Butler, </w:t>
      </w:r>
      <w:r w:rsidRPr="00F900FA">
        <w:rPr>
          <w:i/>
          <w:noProof/>
        </w:rPr>
        <w:t>Gender Trouble</w:t>
      </w:r>
      <w:r>
        <w:rPr>
          <w:noProof/>
        </w:rPr>
        <w:t>.</w:t>
      </w:r>
    </w:p>
  </w:footnote>
  <w:footnote w:id="120">
    <w:p w:rsidR="006F6736" w:rsidRPr="00A17675" w:rsidRDefault="006F6736" w:rsidP="00D029BE">
      <w:pPr>
        <w:pStyle w:val="FootnoteText"/>
        <w:ind w:firstLine="720"/>
      </w:pPr>
      <w:r>
        <w:rPr>
          <w:rStyle w:val="FootnoteReference"/>
        </w:rPr>
        <w:footnoteRef/>
      </w:r>
      <w:r>
        <w:t xml:space="preserve"> </w:t>
      </w:r>
      <w:r>
        <w:rPr>
          <w:noProof/>
        </w:rPr>
        <w:t xml:space="preserve">Taussig, </w:t>
      </w:r>
      <w:r>
        <w:rPr>
          <w:i/>
          <w:noProof/>
        </w:rPr>
        <w:t>Mimesis and Alterity</w:t>
      </w:r>
      <w:r>
        <w:rPr>
          <w:noProof/>
        </w:rPr>
        <w:t>.</w:t>
      </w:r>
    </w:p>
  </w:footnote>
  <w:footnote w:id="121">
    <w:p w:rsidR="006F6736" w:rsidRDefault="006F6736" w:rsidP="00D029BE">
      <w:pPr>
        <w:pStyle w:val="FootnoteText"/>
        <w:ind w:firstLine="720"/>
      </w:pPr>
      <w:r>
        <w:rPr>
          <w:rStyle w:val="FootnoteReference"/>
        </w:rPr>
        <w:footnoteRef/>
      </w:r>
      <w:r>
        <w:t xml:space="preserve"> </w:t>
      </w:r>
      <w:r>
        <w:rPr>
          <w:noProof/>
        </w:rPr>
        <w:t>Oakes, "Losers, Punks and Queers (and Elvii Too).”</w:t>
      </w:r>
    </w:p>
  </w:footnote>
  <w:footnote w:id="122">
    <w:p w:rsidR="006F6736" w:rsidRDefault="006F6736" w:rsidP="00D029BE">
      <w:pPr>
        <w:pStyle w:val="FootnoteText"/>
        <w:ind w:firstLine="720"/>
      </w:pPr>
      <w:r>
        <w:rPr>
          <w:rStyle w:val="FootnoteReference"/>
        </w:rPr>
        <w:footnoteRef/>
      </w:r>
      <w:r>
        <w:t xml:space="preserve"> </w:t>
      </w:r>
      <w:r>
        <w:rPr>
          <w:noProof/>
        </w:rPr>
        <w:t xml:space="preserve">Fox, </w:t>
      </w:r>
      <w:r>
        <w:rPr>
          <w:i/>
          <w:noProof/>
        </w:rPr>
        <w:t>Real Country</w:t>
      </w:r>
      <w:r>
        <w:rPr>
          <w:noProof/>
        </w:rPr>
        <w:t>.</w:t>
      </w:r>
    </w:p>
  </w:footnote>
  <w:footnote w:id="123">
    <w:p w:rsidR="006F6736" w:rsidRPr="00C744D6" w:rsidRDefault="006F6736" w:rsidP="00D029BE">
      <w:pPr>
        <w:spacing w:line="240" w:lineRule="auto"/>
        <w:ind w:firstLine="720"/>
        <w:rPr>
          <w:rFonts w:cstheme="minorHAnsi"/>
          <w:sz w:val="20"/>
          <w:szCs w:val="20"/>
        </w:rPr>
      </w:pPr>
      <w:r>
        <w:rPr>
          <w:rStyle w:val="FootnoteReference"/>
        </w:rPr>
        <w:footnoteRef/>
      </w:r>
      <w:r>
        <w:t xml:space="preserve"> </w:t>
      </w:r>
      <w:r w:rsidRPr="00C744D6">
        <w:rPr>
          <w:sz w:val="20"/>
          <w:szCs w:val="20"/>
        </w:rPr>
        <w:t>G</w:t>
      </w:r>
      <w:r>
        <w:rPr>
          <w:sz w:val="20"/>
          <w:szCs w:val="20"/>
        </w:rPr>
        <w:t xml:space="preserve">eo. </w:t>
      </w:r>
      <w:proofErr w:type="spellStart"/>
      <w:r>
        <w:rPr>
          <w:sz w:val="20"/>
          <w:szCs w:val="20"/>
        </w:rPr>
        <w:t>Foertsch</w:t>
      </w:r>
      <w:proofErr w:type="spellEnd"/>
      <w:r>
        <w:rPr>
          <w:sz w:val="20"/>
          <w:szCs w:val="20"/>
        </w:rPr>
        <w:t>, and Kate Kauffman, “Laugh Ha-Ha, Ha-Ha</w:t>
      </w:r>
      <w:r w:rsidRPr="00C744D6">
        <w:rPr>
          <w:sz w:val="20"/>
          <w:szCs w:val="20"/>
        </w:rPr>
        <w:t xml:space="preserve">” </w:t>
      </w:r>
      <w:r>
        <w:rPr>
          <w:sz w:val="20"/>
          <w:szCs w:val="20"/>
        </w:rPr>
        <w:t>(</w:t>
      </w:r>
      <w:r w:rsidRPr="00C744D6">
        <w:rPr>
          <w:sz w:val="20"/>
          <w:szCs w:val="20"/>
        </w:rPr>
        <w:t>Cincinnati: J</w:t>
      </w:r>
      <w:r>
        <w:rPr>
          <w:sz w:val="20"/>
          <w:szCs w:val="20"/>
        </w:rPr>
        <w:t xml:space="preserve">.C. </w:t>
      </w:r>
      <w:proofErr w:type="spellStart"/>
      <w:r>
        <w:rPr>
          <w:sz w:val="20"/>
          <w:szCs w:val="20"/>
        </w:rPr>
        <w:t>Groene</w:t>
      </w:r>
      <w:proofErr w:type="spellEnd"/>
      <w:r>
        <w:rPr>
          <w:sz w:val="20"/>
          <w:szCs w:val="20"/>
        </w:rPr>
        <w:t xml:space="preserve"> &amp; Co., 1892) Box 25, </w:t>
      </w:r>
      <w:r w:rsidRPr="00C744D6">
        <w:rPr>
          <w:rFonts w:cstheme="minorHAnsi"/>
          <w:sz w:val="20"/>
          <w:szCs w:val="20"/>
        </w:rPr>
        <w:t>Edison Sheet Music Collection, Music Division, Library of Congress, Washington, D.C.</w:t>
      </w:r>
      <w:r>
        <w:rPr>
          <w:rFonts w:cstheme="minorHAnsi"/>
          <w:sz w:val="20"/>
          <w:szCs w:val="20"/>
        </w:rPr>
        <w:t xml:space="preserve"> Emphasis added.</w:t>
      </w:r>
    </w:p>
  </w:footnote>
  <w:footnote w:id="124">
    <w:p w:rsidR="006F6736" w:rsidRDefault="006F6736" w:rsidP="00C27A3E">
      <w:pPr>
        <w:pStyle w:val="FootnoteText"/>
        <w:ind w:firstLine="720"/>
      </w:pPr>
      <w:r>
        <w:rPr>
          <w:rStyle w:val="FootnoteReference"/>
        </w:rPr>
        <w:footnoteRef/>
      </w:r>
      <w:r>
        <w:t xml:space="preserve"> </w:t>
      </w:r>
      <w:r>
        <w:rPr>
          <w:noProof/>
        </w:rPr>
        <w:t xml:space="preserve">Richard A. Wells, </w:t>
      </w:r>
      <w:r>
        <w:rPr>
          <w:i/>
          <w:noProof/>
        </w:rPr>
        <w:t>Manners, Culture and Dress of the Best American S</w:t>
      </w:r>
      <w:r w:rsidRPr="00846DCB">
        <w:rPr>
          <w:i/>
          <w:noProof/>
        </w:rPr>
        <w:t>ociety</w:t>
      </w:r>
      <w:r>
        <w:rPr>
          <w:noProof/>
        </w:rPr>
        <w:t xml:space="preserve"> (Springfield, MA: King, Richardson, 1894), 389.</w:t>
      </w:r>
    </w:p>
  </w:footnote>
  <w:footnote w:id="125">
    <w:p w:rsidR="006F6736" w:rsidRDefault="006F6736" w:rsidP="00C27A3E">
      <w:pPr>
        <w:pStyle w:val="FootnoteText"/>
        <w:ind w:firstLine="720"/>
      </w:pPr>
      <w:r>
        <w:rPr>
          <w:rStyle w:val="FootnoteReference"/>
        </w:rPr>
        <w:footnoteRef/>
      </w:r>
      <w:r>
        <w:t xml:space="preserve"> </w:t>
      </w:r>
      <w:r>
        <w:rPr>
          <w:noProof/>
        </w:rPr>
        <w:t>Ibid., 390.</w:t>
      </w:r>
    </w:p>
  </w:footnote>
  <w:footnote w:id="126">
    <w:p w:rsidR="006F6736" w:rsidRDefault="006F6736" w:rsidP="00C27A3E">
      <w:pPr>
        <w:pStyle w:val="FootnoteText"/>
        <w:ind w:firstLine="720"/>
      </w:pPr>
      <w:r>
        <w:rPr>
          <w:rStyle w:val="FootnoteReference"/>
        </w:rPr>
        <w:footnoteRef/>
      </w:r>
      <w:r>
        <w:t xml:space="preserve"> </w:t>
      </w:r>
      <w:r>
        <w:rPr>
          <w:noProof/>
        </w:rPr>
        <w:t>Ibid., 390-91.</w:t>
      </w:r>
    </w:p>
  </w:footnote>
  <w:footnote w:id="127">
    <w:p w:rsidR="006F6736" w:rsidRDefault="006F6736" w:rsidP="006C4408">
      <w:pPr>
        <w:pStyle w:val="FootnoteText"/>
        <w:ind w:firstLine="720"/>
      </w:pPr>
      <w:r>
        <w:rPr>
          <w:rStyle w:val="FootnoteReference"/>
        </w:rPr>
        <w:footnoteRef/>
      </w:r>
      <w:r>
        <w:t xml:space="preserve"> </w:t>
      </w:r>
      <w:r w:rsidRPr="00B51E8A">
        <w:t xml:space="preserve">Lawrence Levine, </w:t>
      </w:r>
      <w:r w:rsidRPr="00B51E8A">
        <w:rPr>
          <w:rFonts w:cstheme="minorHAnsi"/>
          <w:i/>
          <w:noProof/>
        </w:rPr>
        <w:t>Highbrow/Lowbrow: The Emergence of Cultural Hierarchy in America</w:t>
      </w:r>
      <w:r w:rsidRPr="00B51E8A">
        <w:rPr>
          <w:rFonts w:cstheme="minorHAnsi"/>
          <w:noProof/>
        </w:rPr>
        <w:t>, (Cambridge, MA: Harvard University Press, 1988)</w:t>
      </w:r>
      <w:r>
        <w:rPr>
          <w:rFonts w:cstheme="minorHAnsi"/>
          <w:noProof/>
        </w:rPr>
        <w:t>.</w:t>
      </w:r>
    </w:p>
  </w:footnote>
  <w:footnote w:id="128">
    <w:p w:rsidR="006F6736" w:rsidRDefault="006F6736" w:rsidP="00C27A3E">
      <w:pPr>
        <w:pStyle w:val="FootnoteText"/>
        <w:ind w:firstLine="720"/>
      </w:pPr>
      <w:r>
        <w:rPr>
          <w:rStyle w:val="FootnoteReference"/>
        </w:rPr>
        <w:footnoteRef/>
      </w:r>
      <w:r>
        <w:t xml:space="preserve"> </w:t>
      </w:r>
      <w:r>
        <w:rPr>
          <w:noProof/>
        </w:rPr>
        <w:t xml:space="preserve">R. Murray Schafer, </w:t>
      </w:r>
      <w:r>
        <w:rPr>
          <w:i/>
          <w:noProof/>
        </w:rPr>
        <w:t>The Tuning of the W</w:t>
      </w:r>
      <w:r w:rsidRPr="00CB404D">
        <w:rPr>
          <w:i/>
          <w:noProof/>
        </w:rPr>
        <w:t>orld</w:t>
      </w:r>
      <w:r>
        <w:rPr>
          <w:noProof/>
        </w:rPr>
        <w:t xml:space="preserve"> (New York: A. A. Knopf, 1977), 274.</w:t>
      </w:r>
    </w:p>
  </w:footnote>
  <w:footnote w:id="129">
    <w:p w:rsidR="006F6736" w:rsidRDefault="006F6736" w:rsidP="00C27A3E">
      <w:pPr>
        <w:pStyle w:val="FootnoteText"/>
        <w:ind w:firstLine="720"/>
      </w:pPr>
      <w:r>
        <w:rPr>
          <w:rStyle w:val="FootnoteReference"/>
        </w:rPr>
        <w:footnoteRef/>
      </w:r>
      <w:r>
        <w:t xml:space="preserve"> </w:t>
      </w:r>
      <w:r>
        <w:rPr>
          <w:noProof/>
        </w:rPr>
        <w:t>Ibid., 71.</w:t>
      </w:r>
    </w:p>
  </w:footnote>
  <w:footnote w:id="130">
    <w:p w:rsidR="006F6736" w:rsidRDefault="006F6736" w:rsidP="00C27A3E">
      <w:pPr>
        <w:pStyle w:val="FootnoteText"/>
        <w:ind w:firstLine="720"/>
      </w:pPr>
      <w:r>
        <w:rPr>
          <w:rStyle w:val="FootnoteReference"/>
        </w:rPr>
        <w:footnoteRef/>
      </w:r>
      <w:r>
        <w:t xml:space="preserve"> Katherine C. Grier, “The Decline of the Memory Palace: The Parlor after 1890,” in </w:t>
      </w:r>
      <w:r>
        <w:rPr>
          <w:i/>
          <w:noProof/>
        </w:rPr>
        <w:t>American Home Life, 1880-1930: A Social History of Spaces and S</w:t>
      </w:r>
      <w:r w:rsidRPr="006811DD">
        <w:rPr>
          <w:i/>
          <w:noProof/>
        </w:rPr>
        <w:t>ervices</w:t>
      </w:r>
      <w:r>
        <w:rPr>
          <w:noProof/>
        </w:rPr>
        <w:t>, eds. Jessica H. Foy and Thomas J. Schlereth (Knoxville: University of Tennessee Press, 1992), 51.</w:t>
      </w:r>
    </w:p>
  </w:footnote>
  <w:footnote w:id="131">
    <w:p w:rsidR="006F6736" w:rsidRDefault="006F6736" w:rsidP="00C27A3E">
      <w:pPr>
        <w:pStyle w:val="FootnoteText"/>
        <w:ind w:firstLine="720"/>
      </w:pPr>
      <w:r>
        <w:rPr>
          <w:rStyle w:val="FootnoteReference"/>
        </w:rPr>
        <w:footnoteRef/>
      </w:r>
      <w:r>
        <w:t xml:space="preserve"> </w:t>
      </w:r>
      <w:r>
        <w:rPr>
          <w:noProof/>
        </w:rPr>
        <w:t xml:space="preserve">Wells, </w:t>
      </w:r>
      <w:r>
        <w:rPr>
          <w:i/>
          <w:noProof/>
        </w:rPr>
        <w:t>Manners, Culture and Dress of the Best American S</w:t>
      </w:r>
      <w:r w:rsidRPr="00846DCB">
        <w:rPr>
          <w:i/>
          <w:noProof/>
        </w:rPr>
        <w:t>ociety</w:t>
      </w:r>
      <w:r>
        <w:rPr>
          <w:noProof/>
        </w:rPr>
        <w:t>, 465.</w:t>
      </w:r>
    </w:p>
  </w:footnote>
  <w:footnote w:id="132">
    <w:p w:rsidR="006F6736" w:rsidRPr="00A84475" w:rsidRDefault="006F6736" w:rsidP="00C27A3E">
      <w:pPr>
        <w:pStyle w:val="FootnoteText"/>
        <w:ind w:firstLine="720"/>
      </w:pPr>
      <w:r>
        <w:rPr>
          <w:rStyle w:val="FootnoteReference"/>
        </w:rPr>
        <w:footnoteRef/>
      </w:r>
      <w:r>
        <w:t xml:space="preserve"> </w:t>
      </w:r>
      <w:proofErr w:type="gramStart"/>
      <w:r>
        <w:t xml:space="preserve">Daniel F. Beatty, “Beatty’s Cabinet or Parlor Organs,” advertisement, </w:t>
      </w:r>
      <w:r>
        <w:rPr>
          <w:i/>
        </w:rPr>
        <w:t>The Clipper</w:t>
      </w:r>
      <w:r>
        <w:t>, May 28, 1881, 164.</w:t>
      </w:r>
      <w:proofErr w:type="gramEnd"/>
    </w:p>
  </w:footnote>
  <w:footnote w:id="133">
    <w:p w:rsidR="006F6736" w:rsidRDefault="006F6736" w:rsidP="00C27A3E">
      <w:pPr>
        <w:pStyle w:val="FootnoteText"/>
        <w:ind w:firstLine="720"/>
      </w:pPr>
      <w:r>
        <w:rPr>
          <w:rStyle w:val="FootnoteReference"/>
        </w:rPr>
        <w:footnoteRef/>
      </w:r>
      <w:r>
        <w:t xml:space="preserve"> Ibid.</w:t>
      </w:r>
    </w:p>
  </w:footnote>
  <w:footnote w:id="134">
    <w:p w:rsidR="006F6736" w:rsidRDefault="006F6736" w:rsidP="00C27A3E">
      <w:pPr>
        <w:pStyle w:val="FootnoteText"/>
        <w:ind w:firstLine="720"/>
      </w:pPr>
      <w:r>
        <w:rPr>
          <w:rStyle w:val="FootnoteReference"/>
        </w:rPr>
        <w:footnoteRef/>
      </w:r>
      <w:r>
        <w:t xml:space="preserve"> Ibid.</w:t>
      </w:r>
    </w:p>
  </w:footnote>
  <w:footnote w:id="135">
    <w:p w:rsidR="006F6736" w:rsidRDefault="006F6736" w:rsidP="00C27A3E">
      <w:pPr>
        <w:pStyle w:val="FootnoteText"/>
        <w:ind w:firstLine="720"/>
      </w:pPr>
      <w:r>
        <w:rPr>
          <w:rStyle w:val="FootnoteReference"/>
        </w:rPr>
        <w:footnoteRef/>
      </w:r>
      <w:r>
        <w:t xml:space="preserve"> </w:t>
      </w:r>
      <w:r>
        <w:rPr>
          <w:noProof/>
        </w:rPr>
        <w:t xml:space="preserve">Wells, </w:t>
      </w:r>
      <w:r>
        <w:rPr>
          <w:i/>
          <w:noProof/>
        </w:rPr>
        <w:t>Manners, Culture and Dress of the Best American S</w:t>
      </w:r>
      <w:r w:rsidRPr="00846DCB">
        <w:rPr>
          <w:i/>
          <w:noProof/>
        </w:rPr>
        <w:t>ociety</w:t>
      </w:r>
      <w:r>
        <w:rPr>
          <w:noProof/>
        </w:rPr>
        <w:t>, 320.</w:t>
      </w:r>
    </w:p>
  </w:footnote>
  <w:footnote w:id="136">
    <w:p w:rsidR="006F6736" w:rsidRDefault="006F6736" w:rsidP="00C27A3E">
      <w:pPr>
        <w:pStyle w:val="FootnoteText"/>
        <w:ind w:firstLine="720"/>
      </w:pPr>
      <w:r>
        <w:rPr>
          <w:rStyle w:val="FootnoteReference"/>
        </w:rPr>
        <w:footnoteRef/>
      </w:r>
      <w:r>
        <w:t xml:space="preserve"> </w:t>
      </w:r>
      <w:r>
        <w:rPr>
          <w:noProof/>
        </w:rPr>
        <w:t>Ibid., 389-90.</w:t>
      </w:r>
    </w:p>
  </w:footnote>
  <w:footnote w:id="137">
    <w:p w:rsidR="006F6736" w:rsidRDefault="006F6736" w:rsidP="00C27A3E">
      <w:pPr>
        <w:pStyle w:val="FootnoteText"/>
        <w:ind w:firstLine="720"/>
      </w:pPr>
      <w:r>
        <w:rPr>
          <w:rStyle w:val="FootnoteReference"/>
        </w:rPr>
        <w:footnoteRef/>
      </w:r>
      <w:r>
        <w:t xml:space="preserve"> </w:t>
      </w:r>
      <w:r>
        <w:rPr>
          <w:noProof/>
        </w:rPr>
        <w:t xml:space="preserve">Karl Hagstrom Miller, </w:t>
      </w:r>
      <w:r>
        <w:rPr>
          <w:i/>
          <w:noProof/>
        </w:rPr>
        <w:t>Segregating Sound: Inventing Folk and Pop Music in the A</w:t>
      </w:r>
      <w:r w:rsidRPr="00596A51">
        <w:rPr>
          <w:i/>
          <w:noProof/>
        </w:rPr>
        <w:t>ge of Jim Crow</w:t>
      </w:r>
      <w:r>
        <w:rPr>
          <w:noProof/>
        </w:rPr>
        <w:t xml:space="preserve"> (Durham, NC: Duke University Press, 2010), 39.</w:t>
      </w:r>
    </w:p>
  </w:footnote>
  <w:footnote w:id="138">
    <w:p w:rsidR="006F6736" w:rsidRDefault="006F6736" w:rsidP="00C27A3E">
      <w:pPr>
        <w:pStyle w:val="FootnoteText"/>
        <w:ind w:firstLine="720"/>
      </w:pPr>
      <w:r>
        <w:rPr>
          <w:rStyle w:val="FootnoteReference"/>
        </w:rPr>
        <w:footnoteRef/>
      </w:r>
      <w:r>
        <w:t xml:space="preserve"> </w:t>
      </w:r>
      <w:r>
        <w:rPr>
          <w:noProof/>
        </w:rPr>
        <w:t>Ibid.</w:t>
      </w:r>
    </w:p>
  </w:footnote>
  <w:footnote w:id="139">
    <w:p w:rsidR="006F6736" w:rsidRDefault="006F6736" w:rsidP="00C27A3E">
      <w:pPr>
        <w:pStyle w:val="FootnoteText"/>
        <w:ind w:firstLine="720"/>
      </w:pPr>
      <w:r>
        <w:rPr>
          <w:rStyle w:val="FootnoteReference"/>
        </w:rPr>
        <w:footnoteRef/>
      </w:r>
      <w:r>
        <w:t xml:space="preserve"> </w:t>
      </w:r>
      <w:r>
        <w:rPr>
          <w:noProof/>
        </w:rPr>
        <w:t xml:space="preserve">Nancy Lee Chalfa Ruyter, </w:t>
      </w:r>
      <w:r w:rsidRPr="00DF04D9">
        <w:rPr>
          <w:i/>
          <w:noProof/>
        </w:rPr>
        <w:t>The Cultivation of Body and Mind in Nineteenth-Century American Delsartism</w:t>
      </w:r>
      <w:r>
        <w:rPr>
          <w:noProof/>
        </w:rPr>
        <w:t xml:space="preserve">, (Westport, CT: Greenwood Press, 1999), </w:t>
      </w:r>
      <w:r>
        <w:t>77.</w:t>
      </w:r>
    </w:p>
  </w:footnote>
  <w:footnote w:id="140">
    <w:p w:rsidR="006F6736" w:rsidRDefault="006F6736" w:rsidP="00C27A3E">
      <w:pPr>
        <w:pStyle w:val="FootnoteText"/>
        <w:ind w:firstLine="720"/>
      </w:pPr>
      <w:r>
        <w:rPr>
          <w:rStyle w:val="FootnoteReference"/>
        </w:rPr>
        <w:footnoteRef/>
      </w:r>
      <w:r>
        <w:t xml:space="preserve"> </w:t>
      </w:r>
      <w:r>
        <w:rPr>
          <w:noProof/>
        </w:rPr>
        <w:t>Ibid., xiii.</w:t>
      </w:r>
    </w:p>
  </w:footnote>
  <w:footnote w:id="141">
    <w:p w:rsidR="006F6736" w:rsidRDefault="006F6736" w:rsidP="00C27A3E">
      <w:pPr>
        <w:pStyle w:val="FootnoteText"/>
        <w:ind w:firstLine="720"/>
      </w:pPr>
      <w:r>
        <w:rPr>
          <w:rStyle w:val="FootnoteReference"/>
        </w:rPr>
        <w:footnoteRef/>
      </w:r>
      <w:r>
        <w:t xml:space="preserve"> </w:t>
      </w:r>
      <w:r>
        <w:rPr>
          <w:noProof/>
        </w:rPr>
        <w:t>Ibid., xvii.</w:t>
      </w:r>
    </w:p>
  </w:footnote>
  <w:footnote w:id="142">
    <w:p w:rsidR="006F6736" w:rsidRDefault="006F6736" w:rsidP="00C27A3E">
      <w:pPr>
        <w:pStyle w:val="FootnoteText"/>
        <w:ind w:firstLine="720"/>
      </w:pPr>
      <w:r>
        <w:rPr>
          <w:rStyle w:val="FootnoteReference"/>
        </w:rPr>
        <w:footnoteRef/>
      </w:r>
      <w:r>
        <w:t xml:space="preserve"> </w:t>
      </w:r>
      <w:r>
        <w:rPr>
          <w:noProof/>
        </w:rPr>
        <w:t>Ibid., xvi-xvii.</w:t>
      </w:r>
    </w:p>
  </w:footnote>
  <w:footnote w:id="143">
    <w:p w:rsidR="006F6736" w:rsidRDefault="006F6736" w:rsidP="00C27A3E">
      <w:pPr>
        <w:pStyle w:val="FootnoteText"/>
        <w:ind w:firstLine="720"/>
      </w:pPr>
      <w:r>
        <w:rPr>
          <w:rStyle w:val="FootnoteReference"/>
        </w:rPr>
        <w:footnoteRef/>
      </w:r>
      <w:r>
        <w:t xml:space="preserve"> </w:t>
      </w:r>
      <w:r>
        <w:rPr>
          <w:noProof/>
        </w:rPr>
        <w:t>Ibid.</w:t>
      </w:r>
    </w:p>
  </w:footnote>
  <w:footnote w:id="144">
    <w:p w:rsidR="006F6736" w:rsidRDefault="006F6736" w:rsidP="00C27A3E">
      <w:pPr>
        <w:pStyle w:val="FootnoteText"/>
        <w:ind w:firstLine="720"/>
      </w:pPr>
      <w:r>
        <w:rPr>
          <w:rStyle w:val="FootnoteReference"/>
        </w:rPr>
        <w:footnoteRef/>
      </w:r>
      <w:r>
        <w:t xml:space="preserve"> </w:t>
      </w:r>
      <w:r>
        <w:rPr>
          <w:noProof/>
        </w:rPr>
        <w:t xml:space="preserve">Wells, </w:t>
      </w:r>
      <w:r>
        <w:rPr>
          <w:i/>
          <w:noProof/>
        </w:rPr>
        <w:t>Manners, Culture and Dress of the Best American S</w:t>
      </w:r>
      <w:r w:rsidRPr="00846DCB">
        <w:rPr>
          <w:i/>
          <w:noProof/>
        </w:rPr>
        <w:t>ociety</w:t>
      </w:r>
      <w:r>
        <w:rPr>
          <w:noProof/>
        </w:rPr>
        <w:t>, 417.</w:t>
      </w:r>
    </w:p>
  </w:footnote>
  <w:footnote w:id="145">
    <w:p w:rsidR="006F6736" w:rsidRDefault="006F6736" w:rsidP="00C27A3E">
      <w:pPr>
        <w:pStyle w:val="FootnoteText"/>
        <w:ind w:firstLine="720"/>
      </w:pPr>
      <w:r>
        <w:rPr>
          <w:rStyle w:val="FootnoteReference"/>
        </w:rPr>
        <w:footnoteRef/>
      </w:r>
      <w:r>
        <w:t xml:space="preserve"> </w:t>
      </w:r>
      <w:r>
        <w:rPr>
          <w:noProof/>
        </w:rPr>
        <w:t>Ibid.</w:t>
      </w:r>
    </w:p>
  </w:footnote>
  <w:footnote w:id="146">
    <w:p w:rsidR="006F6736" w:rsidRDefault="006F6736" w:rsidP="00C27A3E">
      <w:pPr>
        <w:pStyle w:val="FootnoteText"/>
        <w:ind w:firstLine="720"/>
      </w:pPr>
      <w:r>
        <w:rPr>
          <w:rStyle w:val="FootnoteReference"/>
        </w:rPr>
        <w:footnoteRef/>
      </w:r>
      <w:r>
        <w:t xml:space="preserve"> </w:t>
      </w:r>
      <w:r>
        <w:rPr>
          <w:noProof/>
        </w:rPr>
        <w:t xml:space="preserve">Ruyter, </w:t>
      </w:r>
      <w:r w:rsidRPr="00DF04D9">
        <w:rPr>
          <w:i/>
          <w:noProof/>
        </w:rPr>
        <w:t>Cultivation of Body and Mind in Nineteenth-Century American Delsartism</w:t>
      </w:r>
      <w:r>
        <w:rPr>
          <w:noProof/>
        </w:rPr>
        <w:t>, 21.</w:t>
      </w:r>
    </w:p>
  </w:footnote>
  <w:footnote w:id="147">
    <w:p w:rsidR="006F6736" w:rsidRDefault="006F6736" w:rsidP="00C27A3E">
      <w:pPr>
        <w:pStyle w:val="FootnoteText"/>
        <w:ind w:firstLine="720"/>
      </w:pPr>
      <w:r>
        <w:rPr>
          <w:rStyle w:val="FootnoteReference"/>
        </w:rPr>
        <w:footnoteRef/>
      </w:r>
      <w:r>
        <w:t xml:space="preserve"> </w:t>
      </w:r>
      <w:r>
        <w:rPr>
          <w:noProof/>
        </w:rPr>
        <w:t>Ibid., 28.</w:t>
      </w:r>
    </w:p>
  </w:footnote>
  <w:footnote w:id="148">
    <w:p w:rsidR="006F6736" w:rsidRDefault="006F6736" w:rsidP="00C27A3E">
      <w:pPr>
        <w:pStyle w:val="FootnoteText"/>
        <w:ind w:firstLine="720"/>
      </w:pPr>
      <w:r>
        <w:rPr>
          <w:rStyle w:val="FootnoteReference"/>
        </w:rPr>
        <w:footnoteRef/>
      </w:r>
      <w:r>
        <w:t xml:space="preserve"> </w:t>
      </w:r>
      <w:r>
        <w:rPr>
          <w:noProof/>
        </w:rPr>
        <w:t>Ibid., 40.</w:t>
      </w:r>
    </w:p>
  </w:footnote>
  <w:footnote w:id="149">
    <w:p w:rsidR="006F6736" w:rsidRDefault="006F6736" w:rsidP="00C27A3E">
      <w:pPr>
        <w:pStyle w:val="FootnoteText"/>
        <w:ind w:firstLine="720"/>
      </w:pPr>
      <w:r>
        <w:rPr>
          <w:rStyle w:val="FootnoteReference"/>
        </w:rPr>
        <w:footnoteRef/>
      </w:r>
      <w:r>
        <w:t xml:space="preserve"> </w:t>
      </w:r>
      <w:r>
        <w:rPr>
          <w:noProof/>
        </w:rPr>
        <w:t>Ibid., 41.</w:t>
      </w:r>
    </w:p>
  </w:footnote>
  <w:footnote w:id="150">
    <w:p w:rsidR="006F6736" w:rsidRDefault="006F6736" w:rsidP="00C27A3E">
      <w:pPr>
        <w:pStyle w:val="FootnoteText"/>
        <w:ind w:firstLine="720"/>
      </w:pPr>
      <w:r>
        <w:rPr>
          <w:rStyle w:val="FootnoteReference"/>
        </w:rPr>
        <w:footnoteRef/>
      </w:r>
      <w:r>
        <w:t xml:space="preserve"> </w:t>
      </w:r>
      <w:r>
        <w:rPr>
          <w:noProof/>
        </w:rPr>
        <w:t>Ibid., 48.</w:t>
      </w:r>
    </w:p>
  </w:footnote>
  <w:footnote w:id="151">
    <w:p w:rsidR="006F6736" w:rsidRDefault="006F6736" w:rsidP="00C27A3E">
      <w:pPr>
        <w:pStyle w:val="FootnoteText"/>
        <w:ind w:firstLine="720"/>
      </w:pPr>
      <w:r>
        <w:rPr>
          <w:rStyle w:val="FootnoteReference"/>
        </w:rPr>
        <w:footnoteRef/>
      </w:r>
      <w:r>
        <w:t xml:space="preserve"> </w:t>
      </w:r>
      <w:r>
        <w:rPr>
          <w:noProof/>
        </w:rPr>
        <w:t xml:space="preserve">Genevieve Stebbins, </w:t>
      </w:r>
      <w:r>
        <w:rPr>
          <w:i/>
          <w:noProof/>
        </w:rPr>
        <w:t>Delsarte System of E</w:t>
      </w:r>
      <w:r w:rsidRPr="003E08F5">
        <w:rPr>
          <w:i/>
          <w:noProof/>
        </w:rPr>
        <w:t>xpression</w:t>
      </w:r>
      <w:r>
        <w:rPr>
          <w:noProof/>
        </w:rPr>
        <w:t xml:space="preserve"> (New York: Dance Horizons, 1977).</w:t>
      </w:r>
    </w:p>
  </w:footnote>
  <w:footnote w:id="152">
    <w:p w:rsidR="006F6736" w:rsidRDefault="006F6736" w:rsidP="00C27A3E">
      <w:pPr>
        <w:pStyle w:val="FootnoteText"/>
        <w:ind w:firstLine="720"/>
      </w:pPr>
      <w:r>
        <w:rPr>
          <w:rStyle w:val="FootnoteReference"/>
        </w:rPr>
        <w:footnoteRef/>
      </w:r>
      <w:r>
        <w:t xml:space="preserve"> </w:t>
      </w:r>
      <w:proofErr w:type="spellStart"/>
      <w:r>
        <w:t>L’Abbé</w:t>
      </w:r>
      <w:proofErr w:type="spellEnd"/>
      <w:r>
        <w:t xml:space="preserve"> </w:t>
      </w:r>
      <w:r>
        <w:rPr>
          <w:noProof/>
        </w:rPr>
        <w:t xml:space="preserve">Delaumosne et al., </w:t>
      </w:r>
      <w:r>
        <w:rPr>
          <w:i/>
          <w:noProof/>
        </w:rPr>
        <w:t>Delsarte System of O</w:t>
      </w:r>
      <w:r w:rsidRPr="00A44977">
        <w:rPr>
          <w:i/>
          <w:noProof/>
        </w:rPr>
        <w:t>ratory</w:t>
      </w:r>
      <w:r>
        <w:rPr>
          <w:noProof/>
        </w:rPr>
        <w:t xml:space="preserve"> (New York: E.S. Werner, 1893), xxvii.</w:t>
      </w:r>
    </w:p>
  </w:footnote>
  <w:footnote w:id="153">
    <w:p w:rsidR="006F6736" w:rsidRDefault="006F6736" w:rsidP="00C27A3E">
      <w:pPr>
        <w:pStyle w:val="FootnoteText"/>
        <w:ind w:firstLine="720"/>
      </w:pPr>
      <w:r>
        <w:rPr>
          <w:rStyle w:val="FootnoteReference"/>
        </w:rPr>
        <w:footnoteRef/>
      </w:r>
      <w:r>
        <w:t xml:space="preserve"> </w:t>
      </w:r>
      <w:r>
        <w:rPr>
          <w:noProof/>
        </w:rPr>
        <w:t>Ruyter,</w:t>
      </w:r>
      <w:r w:rsidRPr="003D7C6F">
        <w:rPr>
          <w:i/>
          <w:noProof/>
        </w:rPr>
        <w:t xml:space="preserve"> </w:t>
      </w:r>
      <w:r w:rsidRPr="00DF04D9">
        <w:rPr>
          <w:i/>
          <w:noProof/>
        </w:rPr>
        <w:t>Cultivation of Body and Mind in Nineteenth-Century American Delsartism</w:t>
      </w:r>
      <w:r>
        <w:rPr>
          <w:noProof/>
        </w:rPr>
        <w:t>,</w:t>
      </w:r>
      <w:r>
        <w:t xml:space="preserve"> 76-77.</w:t>
      </w:r>
    </w:p>
  </w:footnote>
  <w:footnote w:id="154">
    <w:p w:rsidR="006F6736" w:rsidRDefault="006F6736" w:rsidP="00C27A3E">
      <w:pPr>
        <w:pStyle w:val="FootnoteText"/>
        <w:ind w:firstLine="720"/>
      </w:pPr>
      <w:r>
        <w:rPr>
          <w:rStyle w:val="FootnoteReference"/>
        </w:rPr>
        <w:footnoteRef/>
      </w:r>
      <w:r>
        <w:t xml:space="preserve"> </w:t>
      </w:r>
      <w:proofErr w:type="gramStart"/>
      <w:r>
        <w:rPr>
          <w:noProof/>
        </w:rPr>
        <w:t>Ibid.</w:t>
      </w:r>
      <w:r>
        <w:t>,</w:t>
      </w:r>
      <w:proofErr w:type="gramEnd"/>
      <w:r>
        <w:t xml:space="preserve"> 77.</w:t>
      </w:r>
    </w:p>
  </w:footnote>
  <w:footnote w:id="155">
    <w:p w:rsidR="006F6736" w:rsidRDefault="006F6736" w:rsidP="00C27A3E">
      <w:pPr>
        <w:pStyle w:val="FootnoteText"/>
        <w:ind w:firstLine="720"/>
      </w:pPr>
      <w:r>
        <w:rPr>
          <w:rStyle w:val="FootnoteReference"/>
        </w:rPr>
        <w:footnoteRef/>
      </w:r>
      <w:r>
        <w:t xml:space="preserve"> </w:t>
      </w:r>
      <w:r>
        <w:rPr>
          <w:noProof/>
        </w:rPr>
        <w:t>Ibid., 76.</w:t>
      </w:r>
    </w:p>
  </w:footnote>
  <w:footnote w:id="156">
    <w:p w:rsidR="006F6736" w:rsidRDefault="006F6736" w:rsidP="00C27A3E">
      <w:pPr>
        <w:pStyle w:val="FootnoteText"/>
        <w:ind w:firstLine="720"/>
      </w:pPr>
      <w:r>
        <w:rPr>
          <w:rStyle w:val="FootnoteReference"/>
        </w:rPr>
        <w:footnoteRef/>
      </w:r>
      <w:r>
        <w:t xml:space="preserve"> </w:t>
      </w:r>
      <w:r>
        <w:rPr>
          <w:noProof/>
        </w:rPr>
        <w:t>Ibid.</w:t>
      </w:r>
    </w:p>
  </w:footnote>
  <w:footnote w:id="157">
    <w:p w:rsidR="006F6736" w:rsidRDefault="006F6736" w:rsidP="00C27A3E">
      <w:pPr>
        <w:pStyle w:val="FootnoteText"/>
        <w:ind w:firstLine="720"/>
      </w:pPr>
      <w:r>
        <w:rPr>
          <w:rStyle w:val="FootnoteReference"/>
        </w:rPr>
        <w:footnoteRef/>
      </w:r>
      <w:r>
        <w:t xml:space="preserve"> </w:t>
      </w:r>
      <w:r>
        <w:rPr>
          <w:noProof/>
        </w:rPr>
        <w:t xml:space="preserve">Stebbins, </w:t>
      </w:r>
      <w:r>
        <w:rPr>
          <w:i/>
          <w:noProof/>
        </w:rPr>
        <w:t>Delsarte System of E</w:t>
      </w:r>
      <w:r w:rsidRPr="003E08F5">
        <w:rPr>
          <w:i/>
          <w:noProof/>
        </w:rPr>
        <w:t>xpression</w:t>
      </w:r>
      <w:r>
        <w:rPr>
          <w:noProof/>
        </w:rPr>
        <w:t>, 391.</w:t>
      </w:r>
    </w:p>
  </w:footnote>
  <w:footnote w:id="158">
    <w:p w:rsidR="006F6736" w:rsidRDefault="006F6736" w:rsidP="00C27A3E">
      <w:pPr>
        <w:pStyle w:val="FootnoteText"/>
        <w:ind w:firstLine="720"/>
      </w:pPr>
      <w:r>
        <w:rPr>
          <w:rStyle w:val="FootnoteReference"/>
        </w:rPr>
        <w:footnoteRef/>
      </w:r>
      <w:r>
        <w:t xml:space="preserve"> </w:t>
      </w:r>
      <w:r>
        <w:rPr>
          <w:noProof/>
        </w:rPr>
        <w:t xml:space="preserve">Delaumosne et al., </w:t>
      </w:r>
      <w:r>
        <w:rPr>
          <w:i/>
          <w:noProof/>
        </w:rPr>
        <w:t>Delsarte System of O</w:t>
      </w:r>
      <w:r w:rsidRPr="00A44977">
        <w:rPr>
          <w:i/>
          <w:noProof/>
        </w:rPr>
        <w:t>ratory</w:t>
      </w:r>
      <w:r>
        <w:rPr>
          <w:noProof/>
        </w:rPr>
        <w:t>, xxvii.</w:t>
      </w:r>
    </w:p>
  </w:footnote>
  <w:footnote w:id="159">
    <w:p w:rsidR="006F6736" w:rsidRDefault="006F6736" w:rsidP="00C27A3E">
      <w:pPr>
        <w:pStyle w:val="FootnoteText"/>
        <w:ind w:firstLine="720"/>
      </w:pPr>
      <w:r>
        <w:rPr>
          <w:rStyle w:val="FootnoteReference"/>
        </w:rPr>
        <w:footnoteRef/>
      </w:r>
      <w:r>
        <w:t xml:space="preserve"> </w:t>
      </w:r>
      <w:r>
        <w:rPr>
          <w:noProof/>
        </w:rPr>
        <w:t xml:space="preserve">Carrie J. Preston, </w:t>
      </w:r>
      <w:r>
        <w:rPr>
          <w:i/>
          <w:noProof/>
        </w:rPr>
        <w:t>Modernism's Mythic Pose: Gender, Genre, Solo P</w:t>
      </w:r>
      <w:r w:rsidRPr="003A601D">
        <w:rPr>
          <w:i/>
          <w:noProof/>
        </w:rPr>
        <w:t>erformance</w:t>
      </w:r>
      <w:r>
        <w:rPr>
          <w:noProof/>
        </w:rPr>
        <w:t xml:space="preserve"> (New York: Oxford University Press, 2011), 60.</w:t>
      </w:r>
    </w:p>
  </w:footnote>
  <w:footnote w:id="160">
    <w:p w:rsidR="006F6736" w:rsidRDefault="006F6736" w:rsidP="00C27A3E">
      <w:pPr>
        <w:pStyle w:val="FootnoteText"/>
        <w:ind w:firstLine="720"/>
      </w:pPr>
      <w:r>
        <w:rPr>
          <w:rStyle w:val="FootnoteReference"/>
        </w:rPr>
        <w:footnoteRef/>
      </w:r>
      <w:r>
        <w:t xml:space="preserve"> </w:t>
      </w:r>
      <w:r>
        <w:rPr>
          <w:noProof/>
        </w:rPr>
        <w:t>Ibid.</w:t>
      </w:r>
    </w:p>
  </w:footnote>
  <w:footnote w:id="161">
    <w:p w:rsidR="006F6736" w:rsidRDefault="006F6736" w:rsidP="00C27A3E">
      <w:pPr>
        <w:pStyle w:val="FootnoteText"/>
        <w:ind w:firstLine="720"/>
      </w:pPr>
      <w:r>
        <w:rPr>
          <w:rStyle w:val="FootnoteReference"/>
        </w:rPr>
        <w:footnoteRef/>
      </w:r>
      <w:r>
        <w:t xml:space="preserve"> </w:t>
      </w:r>
      <w:r>
        <w:rPr>
          <w:noProof/>
        </w:rPr>
        <w:t xml:space="preserve">Stebbins, </w:t>
      </w:r>
      <w:r>
        <w:rPr>
          <w:i/>
          <w:noProof/>
        </w:rPr>
        <w:t>Delsarte System of E</w:t>
      </w:r>
      <w:r w:rsidRPr="003E08F5">
        <w:rPr>
          <w:i/>
          <w:noProof/>
        </w:rPr>
        <w:t>xpression</w:t>
      </w:r>
      <w:r>
        <w:rPr>
          <w:noProof/>
        </w:rPr>
        <w:t>, 372.</w:t>
      </w:r>
    </w:p>
  </w:footnote>
  <w:footnote w:id="162">
    <w:p w:rsidR="006F6736" w:rsidRDefault="006F6736" w:rsidP="00C27A3E">
      <w:pPr>
        <w:pStyle w:val="FootnoteText"/>
        <w:ind w:firstLine="720"/>
      </w:pPr>
      <w:r>
        <w:rPr>
          <w:rStyle w:val="FootnoteReference"/>
        </w:rPr>
        <w:footnoteRef/>
      </w:r>
      <w:r>
        <w:t xml:space="preserve"> </w:t>
      </w:r>
      <w:r>
        <w:rPr>
          <w:noProof/>
        </w:rPr>
        <w:t>Ibid.</w:t>
      </w:r>
    </w:p>
  </w:footnote>
  <w:footnote w:id="163">
    <w:p w:rsidR="006F6736" w:rsidRDefault="006F6736" w:rsidP="00C27A3E">
      <w:pPr>
        <w:pStyle w:val="FootnoteText"/>
        <w:ind w:firstLine="720"/>
      </w:pPr>
      <w:r>
        <w:rPr>
          <w:rStyle w:val="FootnoteReference"/>
        </w:rPr>
        <w:footnoteRef/>
      </w:r>
      <w:r>
        <w:t xml:space="preserve"> </w:t>
      </w:r>
      <w:r>
        <w:rPr>
          <w:noProof/>
        </w:rPr>
        <w:t>Ibid., 373.</w:t>
      </w:r>
    </w:p>
  </w:footnote>
  <w:footnote w:id="164">
    <w:p w:rsidR="006F6736" w:rsidRDefault="006F6736" w:rsidP="00C27A3E">
      <w:pPr>
        <w:pStyle w:val="FootnoteText"/>
        <w:ind w:firstLine="720"/>
      </w:pPr>
      <w:r>
        <w:rPr>
          <w:rStyle w:val="FootnoteReference"/>
        </w:rPr>
        <w:footnoteRef/>
      </w:r>
      <w:r>
        <w:t xml:space="preserve"> </w:t>
      </w:r>
      <w:r>
        <w:rPr>
          <w:noProof/>
        </w:rPr>
        <w:t>Ibid.</w:t>
      </w:r>
    </w:p>
  </w:footnote>
  <w:footnote w:id="165">
    <w:p w:rsidR="006F6736" w:rsidRDefault="006F6736" w:rsidP="00C27A3E">
      <w:pPr>
        <w:pStyle w:val="FootnoteText"/>
        <w:ind w:firstLine="720"/>
      </w:pPr>
      <w:r>
        <w:rPr>
          <w:rStyle w:val="FootnoteReference"/>
        </w:rPr>
        <w:footnoteRef/>
      </w:r>
      <w:r>
        <w:t xml:space="preserve"> </w:t>
      </w:r>
      <w:r>
        <w:rPr>
          <w:noProof/>
        </w:rPr>
        <w:t>Ibid.</w:t>
      </w:r>
    </w:p>
  </w:footnote>
  <w:footnote w:id="166">
    <w:p w:rsidR="006F6736" w:rsidRDefault="006F6736" w:rsidP="00C27A3E">
      <w:pPr>
        <w:pStyle w:val="FootnoteText"/>
        <w:ind w:firstLine="720"/>
      </w:pPr>
      <w:r>
        <w:rPr>
          <w:rStyle w:val="FootnoteReference"/>
        </w:rPr>
        <w:footnoteRef/>
      </w:r>
      <w:r>
        <w:t xml:space="preserve"> </w:t>
      </w:r>
      <w:r>
        <w:rPr>
          <w:noProof/>
        </w:rPr>
        <w:t xml:space="preserve">Michael T. Taussig, </w:t>
      </w:r>
      <w:r>
        <w:rPr>
          <w:i/>
          <w:noProof/>
        </w:rPr>
        <w:t>Mimesis and Alterity: A Particular History of the S</w:t>
      </w:r>
      <w:r w:rsidRPr="00307CDA">
        <w:rPr>
          <w:i/>
          <w:noProof/>
        </w:rPr>
        <w:t>enses</w:t>
      </w:r>
      <w:r>
        <w:rPr>
          <w:noProof/>
        </w:rPr>
        <w:t xml:space="preserve"> (New York: Routledge, 1993), 177.</w:t>
      </w:r>
    </w:p>
  </w:footnote>
  <w:footnote w:id="167">
    <w:p w:rsidR="006F6736" w:rsidRDefault="006F6736" w:rsidP="00C27A3E">
      <w:pPr>
        <w:pStyle w:val="FootnoteText"/>
        <w:ind w:firstLine="720"/>
      </w:pPr>
      <w:r>
        <w:rPr>
          <w:rStyle w:val="FootnoteReference"/>
        </w:rPr>
        <w:footnoteRef/>
      </w:r>
      <w:r>
        <w:t xml:space="preserve"> </w:t>
      </w:r>
      <w:r>
        <w:rPr>
          <w:noProof/>
        </w:rPr>
        <w:t>Ibid.</w:t>
      </w:r>
    </w:p>
  </w:footnote>
  <w:footnote w:id="168">
    <w:p w:rsidR="006F6736" w:rsidRDefault="006F6736" w:rsidP="00C27A3E">
      <w:pPr>
        <w:pStyle w:val="FootnoteText"/>
        <w:ind w:firstLine="720"/>
      </w:pPr>
      <w:r>
        <w:rPr>
          <w:rStyle w:val="FootnoteReference"/>
        </w:rPr>
        <w:footnoteRef/>
      </w:r>
      <w:r>
        <w:t xml:space="preserve"> </w:t>
      </w:r>
      <w:r>
        <w:rPr>
          <w:noProof/>
        </w:rPr>
        <w:t xml:space="preserve">Elisabeth Le Guin, </w:t>
      </w:r>
      <w:r>
        <w:rPr>
          <w:i/>
          <w:noProof/>
        </w:rPr>
        <w:t>Boccherini's B</w:t>
      </w:r>
      <w:r w:rsidRPr="00DF04D9">
        <w:rPr>
          <w:i/>
          <w:noProof/>
        </w:rPr>
        <w:t>ody</w:t>
      </w:r>
      <w:r>
        <w:rPr>
          <w:i/>
          <w:noProof/>
        </w:rPr>
        <w:t>: An Essay in Carnal M</w:t>
      </w:r>
      <w:r w:rsidRPr="00DF04D9">
        <w:rPr>
          <w:i/>
          <w:noProof/>
        </w:rPr>
        <w:t>usicology</w:t>
      </w:r>
      <w:r>
        <w:rPr>
          <w:noProof/>
        </w:rPr>
        <w:t xml:space="preserve"> (Berkeley, CA: University of California Press</w:t>
      </w:r>
      <w:r>
        <w:t>, 2006), 91.</w:t>
      </w:r>
    </w:p>
  </w:footnote>
  <w:footnote w:id="169">
    <w:p w:rsidR="006F6736" w:rsidRDefault="006F6736" w:rsidP="00C27A3E">
      <w:pPr>
        <w:pStyle w:val="FootnoteText"/>
        <w:ind w:firstLine="720"/>
      </w:pPr>
      <w:r>
        <w:rPr>
          <w:rStyle w:val="FootnoteReference"/>
        </w:rPr>
        <w:footnoteRef/>
      </w:r>
      <w:r>
        <w:t xml:space="preserve"> </w:t>
      </w:r>
      <w:proofErr w:type="gramStart"/>
      <w:r>
        <w:rPr>
          <w:noProof/>
        </w:rPr>
        <w:t>Ibid.</w:t>
      </w:r>
      <w:r>
        <w:t>,</w:t>
      </w:r>
      <w:proofErr w:type="gramEnd"/>
      <w:r>
        <w:t xml:space="preserve"> 91.</w:t>
      </w:r>
    </w:p>
  </w:footnote>
  <w:footnote w:id="170">
    <w:p w:rsidR="006F6736" w:rsidRDefault="006F6736" w:rsidP="00C27A3E">
      <w:pPr>
        <w:pStyle w:val="FootnoteText"/>
        <w:ind w:firstLine="720"/>
      </w:pPr>
      <w:r>
        <w:rPr>
          <w:rStyle w:val="FootnoteReference"/>
        </w:rPr>
        <w:footnoteRef/>
      </w:r>
      <w:r>
        <w:t xml:space="preserve"> </w:t>
      </w:r>
      <w:r>
        <w:rPr>
          <w:noProof/>
        </w:rPr>
        <w:t>Ibid., 7.</w:t>
      </w:r>
      <w:r>
        <w:t xml:space="preserve"> </w:t>
      </w:r>
      <w:proofErr w:type="gramStart"/>
      <w:r>
        <w:t>Emphasis in original.</w:t>
      </w:r>
      <w:proofErr w:type="gramEnd"/>
    </w:p>
  </w:footnote>
  <w:footnote w:id="171">
    <w:p w:rsidR="006F6736" w:rsidRDefault="006F6736" w:rsidP="00AE63B4">
      <w:pPr>
        <w:pStyle w:val="FootnoteText"/>
        <w:ind w:firstLine="720"/>
      </w:pPr>
      <w:r>
        <w:rPr>
          <w:rStyle w:val="FootnoteReference"/>
        </w:rPr>
        <w:footnoteRef/>
      </w:r>
      <w:r>
        <w:t xml:space="preserve"> </w:t>
      </w:r>
      <w:r>
        <w:rPr>
          <w:noProof/>
        </w:rPr>
        <w:t xml:space="preserve">Judith Butler, </w:t>
      </w:r>
      <w:r w:rsidRPr="00DF04D9">
        <w:rPr>
          <w:i/>
          <w:noProof/>
        </w:rPr>
        <w:t>Gender Trouble</w:t>
      </w:r>
      <w:r>
        <w:rPr>
          <w:i/>
          <w:noProof/>
        </w:rPr>
        <w:t>:</w:t>
      </w:r>
      <w:r w:rsidRPr="00DF04D9">
        <w:rPr>
          <w:i/>
          <w:noProof/>
        </w:rPr>
        <w:t xml:space="preserve"> Feminism and the Subversion of Identity</w:t>
      </w:r>
      <w:r>
        <w:rPr>
          <w:noProof/>
        </w:rPr>
        <w:t>, (New York: Routledge, 1990)</w:t>
      </w:r>
      <w:r>
        <w:t>, 173.</w:t>
      </w:r>
    </w:p>
  </w:footnote>
  <w:footnote w:id="172">
    <w:p w:rsidR="006F6736" w:rsidRDefault="006F6736" w:rsidP="00AE63B4">
      <w:pPr>
        <w:pStyle w:val="FootnoteText"/>
        <w:ind w:firstLine="720"/>
      </w:pPr>
      <w:r>
        <w:rPr>
          <w:rStyle w:val="FootnoteReference"/>
        </w:rPr>
        <w:footnoteRef/>
      </w:r>
      <w:r>
        <w:t xml:space="preserve"> Ibid.</w:t>
      </w:r>
    </w:p>
  </w:footnote>
  <w:footnote w:id="173">
    <w:p w:rsidR="006F6736" w:rsidRDefault="006F6736" w:rsidP="00C27A3E">
      <w:pPr>
        <w:pStyle w:val="FootnoteText"/>
        <w:ind w:firstLine="720"/>
      </w:pPr>
      <w:r>
        <w:rPr>
          <w:rStyle w:val="FootnoteReference"/>
        </w:rPr>
        <w:footnoteRef/>
      </w:r>
      <w:r>
        <w:t xml:space="preserve"> </w:t>
      </w:r>
      <w:r>
        <w:rPr>
          <w:noProof/>
        </w:rPr>
        <w:t xml:space="preserve">Taussig, </w:t>
      </w:r>
      <w:r>
        <w:rPr>
          <w:i/>
          <w:noProof/>
        </w:rPr>
        <w:t>Mimesis and Alterity</w:t>
      </w:r>
      <w:r>
        <w:rPr>
          <w:noProof/>
        </w:rPr>
        <w:t>, 43.</w:t>
      </w:r>
    </w:p>
  </w:footnote>
  <w:footnote w:id="174">
    <w:p w:rsidR="006F6736" w:rsidRDefault="006F6736" w:rsidP="00C27A3E">
      <w:pPr>
        <w:pStyle w:val="FootnoteText"/>
        <w:ind w:firstLine="720"/>
      </w:pPr>
      <w:r>
        <w:rPr>
          <w:rStyle w:val="FootnoteReference"/>
        </w:rPr>
        <w:footnoteRef/>
      </w:r>
      <w:r>
        <w:t xml:space="preserve"> </w:t>
      </w:r>
      <w:r>
        <w:rPr>
          <w:noProof/>
        </w:rPr>
        <w:t>Ibid., 129.</w:t>
      </w:r>
    </w:p>
  </w:footnote>
  <w:footnote w:id="175">
    <w:p w:rsidR="006F6736" w:rsidRDefault="006F6736" w:rsidP="00C27A3E">
      <w:pPr>
        <w:pStyle w:val="FootnoteText"/>
        <w:ind w:firstLine="720"/>
      </w:pPr>
      <w:r>
        <w:rPr>
          <w:rStyle w:val="FootnoteReference"/>
        </w:rPr>
        <w:footnoteRef/>
      </w:r>
      <w:r>
        <w:t xml:space="preserve"> </w:t>
      </w:r>
      <w:r>
        <w:rPr>
          <w:noProof/>
        </w:rPr>
        <w:t xml:space="preserve">Aaron A. Fox, </w:t>
      </w:r>
      <w:r>
        <w:rPr>
          <w:i/>
          <w:noProof/>
        </w:rPr>
        <w:t>Real Country: Music and Language in Working-Class C</w:t>
      </w:r>
      <w:r w:rsidRPr="00AA3BA6">
        <w:rPr>
          <w:i/>
          <w:noProof/>
        </w:rPr>
        <w:t>ulture</w:t>
      </w:r>
      <w:r>
        <w:rPr>
          <w:noProof/>
        </w:rPr>
        <w:t xml:space="preserve"> (Durham, NC: Duke University Press, 2004), 128.</w:t>
      </w:r>
    </w:p>
  </w:footnote>
  <w:footnote w:id="176">
    <w:p w:rsidR="006F6736" w:rsidRDefault="006F6736" w:rsidP="00C27A3E">
      <w:pPr>
        <w:pStyle w:val="FootnoteText"/>
        <w:ind w:firstLine="720"/>
      </w:pPr>
      <w:r>
        <w:rPr>
          <w:rStyle w:val="FootnoteReference"/>
        </w:rPr>
        <w:footnoteRef/>
      </w:r>
      <w:r>
        <w:t xml:space="preserve"> </w:t>
      </w:r>
      <w:r>
        <w:rPr>
          <w:noProof/>
        </w:rPr>
        <w:t>Ibid., 129.</w:t>
      </w:r>
    </w:p>
  </w:footnote>
  <w:footnote w:id="177">
    <w:p w:rsidR="006F6736" w:rsidRPr="008D193F" w:rsidRDefault="006F6736" w:rsidP="00C27A3E">
      <w:pPr>
        <w:pStyle w:val="FootnoteText"/>
        <w:ind w:firstLine="720"/>
      </w:pPr>
      <w:r>
        <w:rPr>
          <w:rStyle w:val="FootnoteReference"/>
        </w:rPr>
        <w:footnoteRef/>
      </w:r>
      <w:r>
        <w:t xml:space="preserve"> A stereopticon was a form of “magic lantern” or projection system invented in 1860 that projected two images at once to either create the illusion of depth or to dissolve between two images. </w:t>
      </w:r>
      <w:r>
        <w:rPr>
          <w:i/>
        </w:rPr>
        <w:t>Oxford Reference Online</w:t>
      </w:r>
      <w:r>
        <w:t xml:space="preserve">, </w:t>
      </w:r>
      <w:proofErr w:type="spellStart"/>
      <w:r>
        <w:t>s.v</w:t>
      </w:r>
      <w:proofErr w:type="spellEnd"/>
      <w:r>
        <w:t xml:space="preserve">. “Stereopticon,” </w:t>
      </w:r>
      <w:r w:rsidRPr="006F6A9A">
        <w:t>http://www.oxfordreference.com/view/10.1093/oi/authority.20110803100530489</w:t>
      </w:r>
      <w:r>
        <w:t xml:space="preserve"> (accessed February 24, 2013).</w:t>
      </w:r>
    </w:p>
  </w:footnote>
  <w:footnote w:id="178">
    <w:p w:rsidR="006F6736" w:rsidRPr="00C366D1" w:rsidRDefault="006F6736" w:rsidP="00C27A3E">
      <w:pPr>
        <w:pStyle w:val="FootnoteText"/>
        <w:ind w:firstLine="720"/>
      </w:pPr>
      <w:r>
        <w:rPr>
          <w:rStyle w:val="FootnoteReference"/>
        </w:rPr>
        <w:footnoteRef/>
      </w:r>
      <w:r>
        <w:t xml:space="preserve"> </w:t>
      </w:r>
      <w:proofErr w:type="gramStart"/>
      <w:r>
        <w:t xml:space="preserve">Friday, Hall &amp; Co., “Dead!” advertisement, </w:t>
      </w:r>
      <w:r>
        <w:rPr>
          <w:i/>
        </w:rPr>
        <w:t>The Clipper</w:t>
      </w:r>
      <w:r>
        <w:t>, January 26, 1895, 756.</w:t>
      </w:r>
      <w:proofErr w:type="gramEnd"/>
    </w:p>
  </w:footnote>
  <w:footnote w:id="179">
    <w:p w:rsidR="006F6736" w:rsidRDefault="006F6736" w:rsidP="00C27A3E">
      <w:pPr>
        <w:pStyle w:val="FootnoteText"/>
        <w:ind w:firstLine="720"/>
      </w:pPr>
      <w:r>
        <w:rPr>
          <w:rStyle w:val="FootnoteReference"/>
        </w:rPr>
        <w:footnoteRef/>
      </w:r>
      <w:r>
        <w:t xml:space="preserve"> </w:t>
      </w:r>
      <w:r w:rsidRPr="00F11E6F">
        <w:t xml:space="preserve">Maude Anita Hart, </w:t>
      </w:r>
      <w:r>
        <w:t>“The Owl, Parrot, Duck and Crow</w:t>
      </w:r>
      <w:r w:rsidRPr="00F11E6F">
        <w:t xml:space="preserve">” (Chicago: S. </w:t>
      </w:r>
      <w:proofErr w:type="spellStart"/>
      <w:r w:rsidRPr="00F11E6F">
        <w:t>Brainard's</w:t>
      </w:r>
      <w:proofErr w:type="spellEnd"/>
      <w:r w:rsidRPr="00F11E6F">
        <w:t xml:space="preserve"> Sons Co., 1898), Box 054, Item 097, The Lester S. Levy Collection of Sheet Music, The Sheridan Libraries, </w:t>
      </w:r>
      <w:r>
        <w:t>Johns Hopkins</w:t>
      </w:r>
      <w:r w:rsidRPr="00F11E6F">
        <w:t xml:space="preserve"> University, Baltimore, Maryland.</w:t>
      </w:r>
    </w:p>
  </w:footnote>
  <w:footnote w:id="180">
    <w:p w:rsidR="006F6736" w:rsidRDefault="006F6736" w:rsidP="00726EDE">
      <w:pPr>
        <w:pStyle w:val="FootnoteText"/>
        <w:ind w:firstLine="720"/>
      </w:pPr>
      <w:r>
        <w:rPr>
          <w:rStyle w:val="FootnoteReference"/>
        </w:rPr>
        <w:footnoteRef/>
      </w:r>
      <w:r>
        <w:t xml:space="preserve"> Ibid.</w:t>
      </w:r>
    </w:p>
  </w:footnote>
  <w:footnote w:id="181">
    <w:p w:rsidR="006F6736" w:rsidRDefault="006F6736" w:rsidP="002566BD">
      <w:pPr>
        <w:pStyle w:val="FootnoteText"/>
        <w:ind w:firstLine="720"/>
      </w:pPr>
      <w:r>
        <w:rPr>
          <w:rStyle w:val="FootnoteReference"/>
        </w:rPr>
        <w:footnoteRef/>
      </w:r>
      <w:r>
        <w:t xml:space="preserve"> Ibid.</w:t>
      </w:r>
    </w:p>
  </w:footnote>
  <w:footnote w:id="182">
    <w:p w:rsidR="006F6736" w:rsidRDefault="006F6736" w:rsidP="00C27A3E">
      <w:pPr>
        <w:pStyle w:val="FootnoteText"/>
        <w:ind w:firstLine="720"/>
      </w:pPr>
      <w:r>
        <w:rPr>
          <w:rStyle w:val="FootnoteReference"/>
        </w:rPr>
        <w:footnoteRef/>
      </w:r>
      <w:r>
        <w:t xml:space="preserve"> Ibid.</w:t>
      </w:r>
    </w:p>
  </w:footnote>
  <w:footnote w:id="183">
    <w:p w:rsidR="006F6736" w:rsidRDefault="006F6736" w:rsidP="003E6056">
      <w:pPr>
        <w:pStyle w:val="FootnoteText"/>
        <w:ind w:firstLine="720"/>
      </w:pPr>
      <w:r>
        <w:rPr>
          <w:rStyle w:val="FootnoteReference"/>
        </w:rPr>
        <w:footnoteRef/>
      </w:r>
      <w:r>
        <w:t xml:space="preserve"> Ibid.</w:t>
      </w:r>
    </w:p>
  </w:footnote>
  <w:footnote w:id="184">
    <w:p w:rsidR="006F6736" w:rsidRDefault="006F6736" w:rsidP="00C27A3E">
      <w:pPr>
        <w:pStyle w:val="FootnoteText"/>
        <w:ind w:firstLine="720"/>
      </w:pPr>
      <w:r>
        <w:rPr>
          <w:rStyle w:val="FootnoteReference"/>
        </w:rPr>
        <w:footnoteRef/>
      </w:r>
      <w:r>
        <w:t xml:space="preserve"> </w:t>
      </w:r>
      <w:r w:rsidRPr="00AE6DB4">
        <w:t>Gus B. Brigham, “Old K</w:t>
      </w:r>
      <w:r>
        <w:t>ing Joel. The Comic Gaping Song</w:t>
      </w:r>
      <w:r w:rsidRPr="00AE6DB4">
        <w:t xml:space="preserve">” </w:t>
      </w:r>
      <w:r>
        <w:t>(</w:t>
      </w:r>
      <w:r w:rsidRPr="00AE6DB4">
        <w:t>Chicago: National Music Company, 1885</w:t>
      </w:r>
      <w:r>
        <w:t>),</w:t>
      </w:r>
      <w:r w:rsidRPr="00AE6DB4">
        <w:t xml:space="preserve"> Box 054, Item 092, The Lester S. Levy Collection of Sheet Music, The Sheridan Libraries, </w:t>
      </w:r>
      <w:r>
        <w:t>Johns Hopkins</w:t>
      </w:r>
      <w:r w:rsidRPr="00AE6DB4">
        <w:t xml:space="preserve"> University, Baltimore, Maryland.</w:t>
      </w:r>
    </w:p>
  </w:footnote>
  <w:footnote w:id="185">
    <w:p w:rsidR="006F6736" w:rsidRDefault="006F6736" w:rsidP="00C27A3E">
      <w:pPr>
        <w:pStyle w:val="FootnoteText"/>
        <w:ind w:firstLine="720"/>
      </w:pPr>
      <w:r>
        <w:rPr>
          <w:rStyle w:val="FootnoteReference"/>
        </w:rPr>
        <w:footnoteRef/>
      </w:r>
      <w:r>
        <w:t xml:space="preserve"> Ibid.</w:t>
      </w:r>
    </w:p>
  </w:footnote>
  <w:footnote w:id="186">
    <w:p w:rsidR="006F6736" w:rsidRDefault="006F6736" w:rsidP="00C27A3E">
      <w:pPr>
        <w:pStyle w:val="FootnoteText"/>
        <w:ind w:firstLine="720"/>
      </w:pPr>
      <w:r>
        <w:rPr>
          <w:rStyle w:val="FootnoteReference"/>
        </w:rPr>
        <w:footnoteRef/>
      </w:r>
      <w:r>
        <w:t xml:space="preserve"> F. Belasco and M.H. Rosenfeld,</w:t>
      </w:r>
      <w:r w:rsidRPr="003A5E75">
        <w:t xml:space="preserve"> </w:t>
      </w:r>
      <w:r>
        <w:t>“</w:t>
      </w:r>
      <w:r w:rsidRPr="00AE6DB4">
        <w:t xml:space="preserve">He's </w:t>
      </w:r>
      <w:proofErr w:type="gramStart"/>
      <w:r w:rsidRPr="00AE6DB4">
        <w:t>The</w:t>
      </w:r>
      <w:proofErr w:type="gramEnd"/>
      <w:r w:rsidRPr="00AE6DB4">
        <w:t xml:space="preserve"> Picture of His Daddy in a 1000 Different Ways!</w:t>
      </w:r>
      <w:r>
        <w:t>”</w:t>
      </w:r>
      <w:r w:rsidRPr="003A5E75">
        <w:t xml:space="preserve"> </w:t>
      </w:r>
      <w:r>
        <w:t>(</w:t>
      </w:r>
      <w:proofErr w:type="spellStart"/>
      <w:r>
        <w:t>n.p</w:t>
      </w:r>
      <w:proofErr w:type="spellEnd"/>
      <w:r>
        <w:t xml:space="preserve">.: </w:t>
      </w:r>
      <w:r w:rsidRPr="003A5E75">
        <w:t>W.F. Shaw, 1886</w:t>
      </w:r>
      <w:r>
        <w:t>),</w:t>
      </w:r>
      <w:r w:rsidRPr="003A5E75">
        <w:t xml:space="preserve"> Box 054, Item 049, The Lester S. Levy Collection of Sheet Music, The Sheridan Libraries, </w:t>
      </w:r>
      <w:r>
        <w:t>Johns Hopkins</w:t>
      </w:r>
      <w:r w:rsidRPr="003A5E75">
        <w:t xml:space="preserve"> U</w:t>
      </w:r>
      <w:r>
        <w:t>niversity, Baltimore, Maryland.</w:t>
      </w:r>
    </w:p>
  </w:footnote>
  <w:footnote w:id="187">
    <w:p w:rsidR="006F6736" w:rsidRDefault="006F6736" w:rsidP="00C27A3E">
      <w:pPr>
        <w:pStyle w:val="FootnoteText"/>
        <w:ind w:firstLine="720"/>
      </w:pPr>
      <w:r>
        <w:rPr>
          <w:rStyle w:val="FootnoteReference"/>
        </w:rPr>
        <w:footnoteRef/>
      </w:r>
      <w:r>
        <w:t xml:space="preserve"> Ibid. Emphasis added.</w:t>
      </w:r>
    </w:p>
  </w:footnote>
  <w:footnote w:id="188">
    <w:p w:rsidR="006F6736" w:rsidRDefault="006F6736" w:rsidP="00C27A3E">
      <w:pPr>
        <w:pStyle w:val="FootnoteText"/>
        <w:ind w:firstLine="720"/>
      </w:pPr>
      <w:r>
        <w:rPr>
          <w:rStyle w:val="FootnoteReference"/>
        </w:rPr>
        <w:footnoteRef/>
      </w:r>
      <w:r>
        <w:t xml:space="preserve"> Ibid.</w:t>
      </w:r>
    </w:p>
  </w:footnote>
  <w:footnote w:id="189">
    <w:p w:rsidR="006F6736" w:rsidRDefault="006F6736" w:rsidP="003E6056">
      <w:pPr>
        <w:pStyle w:val="FootnoteText"/>
        <w:ind w:firstLine="720"/>
      </w:pPr>
      <w:r>
        <w:rPr>
          <w:rStyle w:val="FootnoteReference"/>
        </w:rPr>
        <w:footnoteRef/>
      </w:r>
      <w:r>
        <w:t xml:space="preserve"> Ibid.</w:t>
      </w:r>
    </w:p>
  </w:footnote>
  <w:footnote w:id="190">
    <w:p w:rsidR="006F6736" w:rsidRDefault="006F6736" w:rsidP="00C27A3E">
      <w:pPr>
        <w:pStyle w:val="FootnoteText"/>
        <w:ind w:firstLine="720"/>
      </w:pPr>
      <w:r>
        <w:rPr>
          <w:rStyle w:val="FootnoteReference"/>
        </w:rPr>
        <w:footnoteRef/>
      </w:r>
      <w:r>
        <w:t xml:space="preserve"> Ibid.</w:t>
      </w:r>
    </w:p>
  </w:footnote>
  <w:footnote w:id="191">
    <w:p w:rsidR="006F6736" w:rsidRDefault="006F6736" w:rsidP="00C27A3E">
      <w:pPr>
        <w:pStyle w:val="FootnoteText"/>
        <w:ind w:firstLine="720"/>
      </w:pPr>
      <w:r>
        <w:rPr>
          <w:rStyle w:val="FootnoteReference"/>
        </w:rPr>
        <w:footnoteRef/>
      </w:r>
      <w:r>
        <w:t xml:space="preserve"> Ibid.</w:t>
      </w:r>
    </w:p>
  </w:footnote>
  <w:footnote w:id="192">
    <w:p w:rsidR="006F6736" w:rsidRDefault="006F6736" w:rsidP="00C27A3E">
      <w:pPr>
        <w:pStyle w:val="FootnoteText"/>
        <w:ind w:firstLine="720"/>
      </w:pPr>
      <w:r>
        <w:rPr>
          <w:rStyle w:val="FootnoteReference"/>
        </w:rPr>
        <w:footnoteRef/>
      </w:r>
      <w:r>
        <w:t xml:space="preserve"> Ibid.</w:t>
      </w:r>
    </w:p>
  </w:footnote>
  <w:footnote w:id="193">
    <w:p w:rsidR="006F6736" w:rsidRDefault="006F6736" w:rsidP="00726EDE">
      <w:pPr>
        <w:pStyle w:val="FootnoteText"/>
        <w:ind w:firstLine="720"/>
      </w:pPr>
      <w:r>
        <w:rPr>
          <w:rStyle w:val="FootnoteReference"/>
        </w:rPr>
        <w:footnoteRef/>
      </w:r>
      <w:r>
        <w:t xml:space="preserve"> Ibid.</w:t>
      </w:r>
    </w:p>
  </w:footnote>
  <w:footnote w:id="194">
    <w:p w:rsidR="006F6736" w:rsidRDefault="006F6736" w:rsidP="00C27A3E">
      <w:pPr>
        <w:pStyle w:val="FootnoteText"/>
        <w:ind w:firstLine="720"/>
      </w:pPr>
      <w:r>
        <w:rPr>
          <w:rStyle w:val="FootnoteReference"/>
        </w:rPr>
        <w:footnoteRef/>
      </w:r>
      <w:r>
        <w:t xml:space="preserve"> Ibid.</w:t>
      </w:r>
    </w:p>
  </w:footnote>
  <w:footnote w:id="195">
    <w:p w:rsidR="006F6736" w:rsidRDefault="006F6736" w:rsidP="00C27A3E">
      <w:pPr>
        <w:pStyle w:val="FootnoteText"/>
        <w:ind w:firstLine="720"/>
      </w:pPr>
      <w:r>
        <w:rPr>
          <w:rStyle w:val="FootnoteReference"/>
        </w:rPr>
        <w:footnoteRef/>
      </w:r>
      <w:r>
        <w:t xml:space="preserve"> </w:t>
      </w:r>
      <w:r w:rsidRPr="00BA2286">
        <w:t>Dennison</w:t>
      </w:r>
      <w:r>
        <w:t xml:space="preserve"> Cook and Edith Maida Lessing,</w:t>
      </w:r>
      <w:r w:rsidRPr="00BA2286">
        <w:t xml:space="preserve"> “When Cr</w:t>
      </w:r>
      <w:r>
        <w:t>azy Joe Did the Alligator Slide</w:t>
      </w:r>
      <w:r w:rsidRPr="00BA2286">
        <w:t xml:space="preserve">” </w:t>
      </w:r>
      <w:r>
        <w:t>(</w:t>
      </w:r>
      <w:r w:rsidRPr="00BA2286">
        <w:t xml:space="preserve">Chicago: Will </w:t>
      </w:r>
      <w:proofErr w:type="spellStart"/>
      <w:r w:rsidRPr="00BA2286">
        <w:t>Rossiter</w:t>
      </w:r>
      <w:proofErr w:type="spellEnd"/>
      <w:r w:rsidRPr="00BA2286">
        <w:t>, 1912</w:t>
      </w:r>
      <w:r>
        <w:t>),</w:t>
      </w:r>
      <w:r w:rsidRPr="00BA2286">
        <w:t xml:space="preserve"> Box 16, </w:t>
      </w:r>
      <w:r w:rsidRPr="00BA2286">
        <w:rPr>
          <w:rFonts w:cstheme="minorHAnsi"/>
        </w:rPr>
        <w:t>Edison Sheet Music Collection, Music Division, Library of Congress, Washington, D.C</w:t>
      </w:r>
      <w:r>
        <w:rPr>
          <w:rFonts w:cstheme="minorHAnsi"/>
        </w:rPr>
        <w:t>.</w:t>
      </w:r>
    </w:p>
  </w:footnote>
  <w:footnote w:id="196">
    <w:p w:rsidR="006F6736" w:rsidRDefault="006F6736" w:rsidP="00C27A3E">
      <w:pPr>
        <w:pStyle w:val="FootnoteText"/>
        <w:ind w:firstLine="720"/>
      </w:pPr>
      <w:r>
        <w:rPr>
          <w:rStyle w:val="FootnoteReference"/>
        </w:rPr>
        <w:footnoteRef/>
      </w:r>
      <w:r>
        <w:t xml:space="preserve"> Ibid.</w:t>
      </w:r>
    </w:p>
  </w:footnote>
  <w:footnote w:id="197">
    <w:p w:rsidR="006F6736" w:rsidRDefault="006F6736" w:rsidP="00C27A3E">
      <w:pPr>
        <w:pStyle w:val="FootnoteText"/>
        <w:ind w:firstLine="720"/>
      </w:pPr>
      <w:r>
        <w:rPr>
          <w:rStyle w:val="FootnoteReference"/>
        </w:rPr>
        <w:footnoteRef/>
      </w:r>
      <w:r>
        <w:rPr>
          <w:noProof/>
        </w:rPr>
        <w:t xml:space="preserve">Eric Lott, </w:t>
      </w:r>
      <w:r>
        <w:rPr>
          <w:i/>
          <w:noProof/>
        </w:rPr>
        <w:t>Love and Theft: Blackface Minstrelsy and the American Working C</w:t>
      </w:r>
      <w:r w:rsidRPr="00160855">
        <w:rPr>
          <w:i/>
          <w:noProof/>
        </w:rPr>
        <w:t>lass</w:t>
      </w:r>
      <w:r>
        <w:rPr>
          <w:noProof/>
        </w:rPr>
        <w:t xml:space="preserve"> (New York: Oxford University Press, 1993), 118.</w:t>
      </w:r>
    </w:p>
  </w:footnote>
  <w:footnote w:id="198">
    <w:p w:rsidR="006F6736" w:rsidRDefault="006F6736" w:rsidP="00C27A3E">
      <w:pPr>
        <w:pStyle w:val="FootnoteText"/>
        <w:ind w:firstLine="720"/>
      </w:pPr>
      <w:r>
        <w:rPr>
          <w:rStyle w:val="FootnoteReference"/>
        </w:rPr>
        <w:footnoteRef/>
      </w:r>
      <w:r>
        <w:t xml:space="preserve"> Ibid.</w:t>
      </w:r>
    </w:p>
  </w:footnote>
  <w:footnote w:id="199">
    <w:p w:rsidR="006F6736" w:rsidRDefault="006F6736" w:rsidP="00C27A3E">
      <w:pPr>
        <w:pStyle w:val="FootnoteText"/>
        <w:ind w:firstLine="720"/>
      </w:pPr>
      <w:r>
        <w:rPr>
          <w:rStyle w:val="FootnoteReference"/>
        </w:rPr>
        <w:footnoteRef/>
      </w:r>
      <w:r>
        <w:t xml:space="preserve"> Cook, </w:t>
      </w:r>
      <w:r w:rsidRPr="00BA2286">
        <w:t>“When Cr</w:t>
      </w:r>
      <w:r>
        <w:t>azy Joe Did the Alligator Slide.</w:t>
      </w:r>
      <w:r w:rsidRPr="00BA2286">
        <w:t>”</w:t>
      </w:r>
    </w:p>
  </w:footnote>
  <w:footnote w:id="200">
    <w:p w:rsidR="006F6736" w:rsidRDefault="006F6736" w:rsidP="00C27A3E">
      <w:pPr>
        <w:pStyle w:val="FootnoteText"/>
        <w:ind w:firstLine="720"/>
      </w:pPr>
      <w:r>
        <w:rPr>
          <w:rStyle w:val="FootnoteReference"/>
        </w:rPr>
        <w:footnoteRef/>
      </w:r>
      <w:r>
        <w:t xml:space="preserve"> </w:t>
      </w:r>
      <w:r>
        <w:rPr>
          <w:noProof/>
        </w:rPr>
        <w:t xml:space="preserve">Karl Hagstrom Miller, </w:t>
      </w:r>
      <w:r>
        <w:rPr>
          <w:i/>
          <w:noProof/>
        </w:rPr>
        <w:t>Segregating Sound</w:t>
      </w:r>
      <w:r>
        <w:rPr>
          <w:noProof/>
        </w:rPr>
        <w:t>, 41.</w:t>
      </w:r>
    </w:p>
  </w:footnote>
  <w:footnote w:id="201">
    <w:p w:rsidR="006F6736" w:rsidRDefault="006F6736" w:rsidP="006F7C5F">
      <w:pPr>
        <w:pStyle w:val="FootnoteText"/>
        <w:ind w:firstLine="720"/>
      </w:pPr>
      <w:r>
        <w:rPr>
          <w:rStyle w:val="FootnoteReference"/>
        </w:rPr>
        <w:footnoteRef/>
      </w:r>
      <w:r>
        <w:t xml:space="preserve"> Cook, </w:t>
      </w:r>
      <w:r w:rsidRPr="00BA2286">
        <w:t>“When Cr</w:t>
      </w:r>
      <w:r>
        <w:t>azy Joe Did the Alligator Slide.</w:t>
      </w:r>
      <w:r w:rsidRPr="00BA2286">
        <w:t>”</w:t>
      </w:r>
    </w:p>
  </w:footnote>
  <w:footnote w:id="202">
    <w:p w:rsidR="006F6736" w:rsidRDefault="006F6736" w:rsidP="006F7C5F">
      <w:pPr>
        <w:pStyle w:val="FootnoteText"/>
        <w:ind w:firstLine="720"/>
      </w:pPr>
      <w:r>
        <w:rPr>
          <w:rStyle w:val="FootnoteReference"/>
        </w:rPr>
        <w:footnoteRef/>
      </w:r>
      <w:r>
        <w:t xml:space="preserve"> Ibid.</w:t>
      </w:r>
    </w:p>
  </w:footnote>
  <w:footnote w:id="203">
    <w:p w:rsidR="006F6736" w:rsidRPr="00B51E8A" w:rsidRDefault="006F6736" w:rsidP="00B51E8A">
      <w:pPr>
        <w:spacing w:after="0" w:line="240" w:lineRule="auto"/>
        <w:ind w:firstLine="720"/>
        <w:rPr>
          <w:rFonts w:cstheme="minorHAnsi"/>
          <w:noProof/>
          <w:sz w:val="20"/>
          <w:szCs w:val="20"/>
        </w:rPr>
      </w:pPr>
      <w:r w:rsidRPr="00B51E8A">
        <w:rPr>
          <w:rStyle w:val="FootnoteReference"/>
          <w:sz w:val="20"/>
          <w:szCs w:val="20"/>
        </w:rPr>
        <w:footnoteRef/>
      </w:r>
      <w:r w:rsidRPr="00B51E8A">
        <w:rPr>
          <w:sz w:val="20"/>
          <w:szCs w:val="20"/>
        </w:rPr>
        <w:t xml:space="preserve"> Hiram M. </w:t>
      </w:r>
      <w:proofErr w:type="spellStart"/>
      <w:r w:rsidRPr="00B51E8A">
        <w:rPr>
          <w:sz w:val="20"/>
          <w:szCs w:val="20"/>
        </w:rPr>
        <w:t>Stanely</w:t>
      </w:r>
      <w:proofErr w:type="spellEnd"/>
      <w:r w:rsidRPr="00B51E8A">
        <w:rPr>
          <w:sz w:val="20"/>
          <w:szCs w:val="20"/>
        </w:rPr>
        <w:t xml:space="preserve"> </w:t>
      </w:r>
      <w:r>
        <w:rPr>
          <w:sz w:val="20"/>
          <w:szCs w:val="20"/>
        </w:rPr>
        <w:t xml:space="preserve">quoted </w:t>
      </w:r>
      <w:r w:rsidRPr="00B51E8A">
        <w:rPr>
          <w:sz w:val="20"/>
          <w:szCs w:val="20"/>
        </w:rPr>
        <w:t>in</w:t>
      </w:r>
      <w:r>
        <w:rPr>
          <w:sz w:val="20"/>
          <w:szCs w:val="20"/>
        </w:rPr>
        <w:t xml:space="preserve"> Levine</w:t>
      </w:r>
      <w:r w:rsidRPr="00B51E8A">
        <w:rPr>
          <w:sz w:val="20"/>
          <w:szCs w:val="20"/>
        </w:rPr>
        <w:t>,</w:t>
      </w:r>
      <w:r>
        <w:rPr>
          <w:sz w:val="20"/>
          <w:szCs w:val="20"/>
        </w:rPr>
        <w:t xml:space="preserve"> </w:t>
      </w:r>
      <w:r>
        <w:rPr>
          <w:i/>
          <w:sz w:val="20"/>
          <w:szCs w:val="20"/>
        </w:rPr>
        <w:t>Highbrow/Lowbrow</w:t>
      </w:r>
      <w:r>
        <w:rPr>
          <w:sz w:val="20"/>
          <w:szCs w:val="20"/>
        </w:rPr>
        <w:t>,</w:t>
      </w:r>
      <w:r w:rsidRPr="00B51E8A">
        <w:rPr>
          <w:sz w:val="20"/>
          <w:szCs w:val="20"/>
        </w:rPr>
        <w:t xml:space="preserve"> 225.</w:t>
      </w:r>
    </w:p>
  </w:footnote>
  <w:footnote w:id="204">
    <w:p w:rsidR="006F6736" w:rsidRDefault="006F6736" w:rsidP="00C27A3E">
      <w:pPr>
        <w:pStyle w:val="FootnoteText"/>
        <w:ind w:firstLine="720"/>
      </w:pPr>
      <w:r>
        <w:rPr>
          <w:rStyle w:val="FootnoteReference"/>
        </w:rPr>
        <w:footnoteRef/>
      </w:r>
      <w:r>
        <w:t xml:space="preserve"> </w:t>
      </w:r>
      <w:r>
        <w:rPr>
          <w:noProof/>
        </w:rPr>
        <w:t xml:space="preserve">Wells, </w:t>
      </w:r>
      <w:r>
        <w:rPr>
          <w:i/>
          <w:noProof/>
        </w:rPr>
        <w:t>Manners, Culture and Dress of the Best American S</w:t>
      </w:r>
      <w:r w:rsidRPr="0027214B">
        <w:rPr>
          <w:i/>
          <w:noProof/>
        </w:rPr>
        <w:t>ociety</w:t>
      </w:r>
      <w:r>
        <w:rPr>
          <w:noProof/>
        </w:rPr>
        <w:t>, 410.</w:t>
      </w:r>
    </w:p>
  </w:footnote>
  <w:footnote w:id="205">
    <w:p w:rsidR="006F6736" w:rsidRDefault="006F6736" w:rsidP="00F212C9">
      <w:pPr>
        <w:pStyle w:val="FootnoteText"/>
        <w:ind w:firstLine="720"/>
      </w:pPr>
      <w:r>
        <w:rPr>
          <w:rStyle w:val="FootnoteReference"/>
        </w:rPr>
        <w:footnoteRef/>
      </w:r>
      <w:r>
        <w:t xml:space="preserve"> </w:t>
      </w:r>
      <w:r>
        <w:rPr>
          <w:noProof/>
        </w:rPr>
        <w:t xml:space="preserve">Edith Borroff, "An American Parlor at the Turn of the Century," </w:t>
      </w:r>
      <w:r w:rsidRPr="004C42C8">
        <w:rPr>
          <w:i/>
          <w:noProof/>
        </w:rPr>
        <w:t>American Music</w:t>
      </w:r>
      <w:r>
        <w:rPr>
          <w:noProof/>
        </w:rPr>
        <w:t xml:space="preserve"> 4, no. 3 (1986): 302.</w:t>
      </w:r>
    </w:p>
  </w:footnote>
  <w:footnote w:id="206">
    <w:p w:rsidR="006F6736" w:rsidRDefault="006F6736" w:rsidP="00F212C9">
      <w:pPr>
        <w:pStyle w:val="FootnoteText"/>
        <w:ind w:firstLine="720"/>
      </w:pPr>
      <w:r>
        <w:rPr>
          <w:rStyle w:val="FootnoteReference"/>
        </w:rPr>
        <w:footnoteRef/>
      </w:r>
      <w:r>
        <w:t xml:space="preserve"> </w:t>
      </w:r>
      <w:r>
        <w:rPr>
          <w:noProof/>
        </w:rPr>
        <w:t>Ibid.</w:t>
      </w:r>
    </w:p>
  </w:footnote>
  <w:footnote w:id="207">
    <w:p w:rsidR="006F6736" w:rsidRDefault="006F6736" w:rsidP="00F212C9">
      <w:pPr>
        <w:pStyle w:val="FootnoteText"/>
        <w:ind w:firstLine="720"/>
      </w:pPr>
      <w:r>
        <w:rPr>
          <w:rStyle w:val="FootnoteReference"/>
        </w:rPr>
        <w:footnoteRef/>
      </w:r>
      <w:r>
        <w:t xml:space="preserve"> </w:t>
      </w:r>
      <w:r>
        <w:rPr>
          <w:noProof/>
        </w:rPr>
        <w:t>Ibid., 308.</w:t>
      </w:r>
    </w:p>
  </w:footnote>
  <w:footnote w:id="208">
    <w:p w:rsidR="006F6736" w:rsidRDefault="006F6736" w:rsidP="00F212C9">
      <w:pPr>
        <w:pStyle w:val="FootnoteText"/>
        <w:ind w:firstLine="720"/>
      </w:pPr>
      <w:r>
        <w:rPr>
          <w:rStyle w:val="FootnoteReference"/>
        </w:rPr>
        <w:footnoteRef/>
      </w:r>
      <w:r>
        <w:t xml:space="preserve"> </w:t>
      </w:r>
      <w:r>
        <w:rPr>
          <w:noProof/>
        </w:rPr>
        <w:t>Ibid.</w:t>
      </w:r>
    </w:p>
  </w:footnote>
  <w:footnote w:id="209">
    <w:p w:rsidR="006F6736" w:rsidRDefault="006F6736" w:rsidP="00F212C9">
      <w:pPr>
        <w:pStyle w:val="FootnoteText"/>
        <w:ind w:firstLine="720"/>
      </w:pPr>
      <w:r>
        <w:rPr>
          <w:rStyle w:val="FootnoteReference"/>
        </w:rPr>
        <w:footnoteRef/>
      </w:r>
      <w:r>
        <w:t xml:space="preserve"> </w:t>
      </w:r>
      <w:r>
        <w:rPr>
          <w:noProof/>
        </w:rPr>
        <w:t>Ibid., 304.</w:t>
      </w:r>
      <w:r>
        <w:t xml:space="preserve"> Emphasis added.</w:t>
      </w:r>
    </w:p>
  </w:footnote>
  <w:footnote w:id="210">
    <w:p w:rsidR="006F6736" w:rsidRDefault="006F6736" w:rsidP="00F212C9">
      <w:pPr>
        <w:pStyle w:val="FootnoteText"/>
        <w:ind w:firstLine="720"/>
      </w:pPr>
      <w:r>
        <w:rPr>
          <w:rStyle w:val="FootnoteReference"/>
        </w:rPr>
        <w:footnoteRef/>
      </w:r>
      <w:r>
        <w:t xml:space="preserve"> </w:t>
      </w:r>
      <w:r>
        <w:rPr>
          <w:noProof/>
        </w:rPr>
        <w:t>Ibid.</w:t>
      </w:r>
    </w:p>
  </w:footnote>
  <w:footnote w:id="211">
    <w:p w:rsidR="006F6736" w:rsidRDefault="006F6736" w:rsidP="00F212C9">
      <w:pPr>
        <w:pStyle w:val="FootnoteText"/>
        <w:ind w:firstLine="720"/>
      </w:pPr>
      <w:r>
        <w:rPr>
          <w:rStyle w:val="FootnoteReference"/>
        </w:rPr>
        <w:footnoteRef/>
      </w:r>
      <w:r>
        <w:t xml:space="preserve"> </w:t>
      </w:r>
      <w:r>
        <w:rPr>
          <w:noProof/>
        </w:rPr>
        <w:t xml:space="preserve">Gillian M. Rodger, </w:t>
      </w:r>
      <w:r>
        <w:rPr>
          <w:i/>
          <w:noProof/>
        </w:rPr>
        <w:t>Champagne Charlie and Pretty Jemima: Variety Theater in the Nineteenth C</w:t>
      </w:r>
      <w:r w:rsidRPr="00B81E05">
        <w:rPr>
          <w:i/>
          <w:noProof/>
        </w:rPr>
        <w:t>entury</w:t>
      </w:r>
      <w:r>
        <w:rPr>
          <w:noProof/>
        </w:rPr>
        <w:t xml:space="preserve"> (Urbana: University of Illinois Press, 2010), 99.</w:t>
      </w:r>
    </w:p>
  </w:footnote>
  <w:footnote w:id="212">
    <w:p w:rsidR="006F6736" w:rsidRDefault="006F6736" w:rsidP="00F212C9">
      <w:pPr>
        <w:pStyle w:val="FootnoteText"/>
        <w:ind w:firstLine="720"/>
      </w:pPr>
      <w:r>
        <w:rPr>
          <w:rStyle w:val="FootnoteReference"/>
        </w:rPr>
        <w:footnoteRef/>
      </w:r>
      <w:r>
        <w:t xml:space="preserve"> </w:t>
      </w:r>
      <w:r>
        <w:rPr>
          <w:noProof/>
        </w:rPr>
        <w:t>Ibid., 98.</w:t>
      </w:r>
    </w:p>
  </w:footnote>
  <w:footnote w:id="213">
    <w:p w:rsidR="006F6736" w:rsidRDefault="006F6736" w:rsidP="00F212C9">
      <w:pPr>
        <w:pStyle w:val="FootnoteText"/>
        <w:ind w:firstLine="720"/>
      </w:pPr>
      <w:r>
        <w:rPr>
          <w:rStyle w:val="FootnoteReference"/>
        </w:rPr>
        <w:footnoteRef/>
      </w:r>
      <w:r>
        <w:t xml:space="preserve"> </w:t>
      </w:r>
      <w:r>
        <w:rPr>
          <w:noProof/>
        </w:rPr>
        <w:t>Ibid.</w:t>
      </w:r>
    </w:p>
  </w:footnote>
  <w:footnote w:id="214">
    <w:p w:rsidR="006F6736" w:rsidRDefault="006F6736" w:rsidP="00F212C9">
      <w:pPr>
        <w:pStyle w:val="FootnoteText"/>
        <w:ind w:firstLine="720"/>
      </w:pPr>
      <w:r>
        <w:rPr>
          <w:rStyle w:val="FootnoteReference"/>
        </w:rPr>
        <w:footnoteRef/>
      </w:r>
      <w:r>
        <w:t xml:space="preserve"> </w:t>
      </w:r>
      <w:r>
        <w:rPr>
          <w:noProof/>
        </w:rPr>
        <w:t>Ibid., 98-99.</w:t>
      </w:r>
    </w:p>
  </w:footnote>
  <w:footnote w:id="215">
    <w:p w:rsidR="006F6736" w:rsidRDefault="006F6736" w:rsidP="00F212C9">
      <w:pPr>
        <w:pStyle w:val="FootnoteText"/>
        <w:ind w:firstLine="720"/>
      </w:pPr>
      <w:r>
        <w:rPr>
          <w:rStyle w:val="FootnoteReference"/>
        </w:rPr>
        <w:footnoteRef/>
      </w:r>
      <w:r>
        <w:t xml:space="preserve"> </w:t>
      </w:r>
      <w:r>
        <w:rPr>
          <w:noProof/>
        </w:rPr>
        <w:t xml:space="preserve">Aaron A. Fox, </w:t>
      </w:r>
      <w:r>
        <w:rPr>
          <w:i/>
          <w:noProof/>
        </w:rPr>
        <w:t>Real Country: Music and Language in Working-Class C</w:t>
      </w:r>
      <w:r w:rsidRPr="00DD47D9">
        <w:rPr>
          <w:i/>
          <w:noProof/>
        </w:rPr>
        <w:t>ulture</w:t>
      </w:r>
      <w:r>
        <w:rPr>
          <w:noProof/>
        </w:rPr>
        <w:t xml:space="preserve"> (Durham, NC: Duke University Press, 2004), 272.</w:t>
      </w:r>
    </w:p>
  </w:footnote>
  <w:footnote w:id="216">
    <w:p w:rsidR="006F6736" w:rsidRDefault="006F6736" w:rsidP="00F212C9">
      <w:pPr>
        <w:pStyle w:val="FootnoteText"/>
        <w:ind w:firstLine="720"/>
      </w:pPr>
      <w:r>
        <w:rPr>
          <w:rStyle w:val="FootnoteReference"/>
        </w:rPr>
        <w:footnoteRef/>
      </w:r>
      <w:r>
        <w:t xml:space="preserve"> </w:t>
      </w:r>
      <w:r>
        <w:rPr>
          <w:noProof/>
        </w:rPr>
        <w:t xml:space="preserve">Daniel Cavicchi, </w:t>
      </w:r>
      <w:r>
        <w:rPr>
          <w:i/>
          <w:noProof/>
        </w:rPr>
        <w:t>Tramps Like Us: Music and Meaning Among Springsteen F</w:t>
      </w:r>
      <w:r w:rsidRPr="003A37F0">
        <w:rPr>
          <w:i/>
          <w:noProof/>
        </w:rPr>
        <w:t>ans</w:t>
      </w:r>
      <w:r>
        <w:rPr>
          <w:noProof/>
        </w:rPr>
        <w:t xml:space="preserve"> (New York: Oxford University Press, 1998), 137.</w:t>
      </w:r>
    </w:p>
  </w:footnote>
  <w:footnote w:id="217">
    <w:p w:rsidR="006F6736" w:rsidRDefault="006F6736" w:rsidP="00F212C9">
      <w:pPr>
        <w:pStyle w:val="FootnoteText"/>
        <w:ind w:firstLine="720"/>
      </w:pPr>
      <w:r>
        <w:rPr>
          <w:rStyle w:val="FootnoteReference"/>
        </w:rPr>
        <w:footnoteRef/>
      </w:r>
      <w:r>
        <w:t xml:space="preserve"> </w:t>
      </w:r>
      <w:r w:rsidRPr="00B51E8A">
        <w:t xml:space="preserve">Simon </w:t>
      </w:r>
      <w:proofErr w:type="spellStart"/>
      <w:r w:rsidRPr="00B51E8A">
        <w:t>Frith</w:t>
      </w:r>
      <w:proofErr w:type="spellEnd"/>
      <w:r w:rsidRPr="00B51E8A">
        <w:t xml:space="preserve">, </w:t>
      </w:r>
      <w:r w:rsidRPr="00B51E8A">
        <w:rPr>
          <w:rFonts w:cstheme="minorHAnsi"/>
        </w:rPr>
        <w:t xml:space="preserve">“Why Do Songs Have Words?” in </w:t>
      </w:r>
      <w:r w:rsidRPr="00B51E8A">
        <w:rPr>
          <w:i/>
          <w:noProof/>
        </w:rPr>
        <w:t>Lost in Music: Culture, Style, and the Musical Event</w:t>
      </w:r>
      <w:r w:rsidRPr="00B51E8A">
        <w:rPr>
          <w:noProof/>
        </w:rPr>
        <w:t>, Avron Levine White, ed.</w:t>
      </w:r>
      <w:r>
        <w:rPr>
          <w:noProof/>
        </w:rPr>
        <w:t xml:space="preserve"> (New York: Routledge, 1987), 97.</w:t>
      </w:r>
    </w:p>
  </w:footnote>
  <w:footnote w:id="218">
    <w:p w:rsidR="006F6736" w:rsidRDefault="006F6736" w:rsidP="00F212C9">
      <w:pPr>
        <w:pStyle w:val="FootnoteText"/>
        <w:ind w:firstLine="720"/>
      </w:pPr>
      <w:r>
        <w:rPr>
          <w:rStyle w:val="FootnoteReference"/>
        </w:rPr>
        <w:footnoteRef/>
      </w:r>
      <w:r>
        <w:t xml:space="preserve"> </w:t>
      </w:r>
      <w:r>
        <w:rPr>
          <w:noProof/>
        </w:rPr>
        <w:t xml:space="preserve">Simon Frith, </w:t>
      </w:r>
      <w:r>
        <w:rPr>
          <w:i/>
          <w:noProof/>
        </w:rPr>
        <w:t>Performing Rites: On the Value of Popular M</w:t>
      </w:r>
      <w:r w:rsidRPr="00284E79">
        <w:rPr>
          <w:i/>
          <w:noProof/>
        </w:rPr>
        <w:t>usic</w:t>
      </w:r>
      <w:r>
        <w:rPr>
          <w:noProof/>
        </w:rPr>
        <w:t xml:space="preserve"> (Cambridge, MA: Harvard University Press, 1996), 196.</w:t>
      </w:r>
    </w:p>
  </w:footnote>
  <w:footnote w:id="219">
    <w:p w:rsidR="006F6736" w:rsidRDefault="006F6736" w:rsidP="00F212C9">
      <w:pPr>
        <w:pStyle w:val="FootnoteText"/>
        <w:ind w:firstLine="720"/>
      </w:pPr>
      <w:r>
        <w:rPr>
          <w:rStyle w:val="FootnoteReference"/>
        </w:rPr>
        <w:footnoteRef/>
      </w:r>
      <w:r>
        <w:t xml:space="preserve"> </w:t>
      </w:r>
      <w:r>
        <w:rPr>
          <w:noProof/>
        </w:rPr>
        <w:t>Ibid., 197.</w:t>
      </w:r>
    </w:p>
  </w:footnote>
  <w:footnote w:id="220">
    <w:p w:rsidR="006F6736" w:rsidRDefault="006F6736" w:rsidP="00F212C9">
      <w:pPr>
        <w:pStyle w:val="FootnoteText"/>
        <w:ind w:firstLine="720"/>
      </w:pPr>
      <w:r>
        <w:rPr>
          <w:rStyle w:val="FootnoteReference"/>
        </w:rPr>
        <w:footnoteRef/>
      </w:r>
      <w:r>
        <w:t xml:space="preserve"> </w:t>
      </w:r>
      <w:r>
        <w:rPr>
          <w:noProof/>
        </w:rPr>
        <w:t>Ibid.</w:t>
      </w:r>
    </w:p>
  </w:footnote>
  <w:footnote w:id="221">
    <w:p w:rsidR="006F6736" w:rsidRDefault="006F6736" w:rsidP="00F212C9">
      <w:pPr>
        <w:pStyle w:val="FootnoteText"/>
        <w:ind w:firstLine="720"/>
      </w:pPr>
      <w:r>
        <w:rPr>
          <w:rStyle w:val="FootnoteReference"/>
        </w:rPr>
        <w:footnoteRef/>
      </w:r>
      <w:r>
        <w:t xml:space="preserve"> </w:t>
      </w:r>
      <w:r>
        <w:rPr>
          <w:noProof/>
        </w:rPr>
        <w:t xml:space="preserve">Frith, </w:t>
      </w:r>
      <w:r>
        <w:rPr>
          <w:i/>
          <w:noProof/>
        </w:rPr>
        <w:t>Performing Rites</w:t>
      </w:r>
      <w:r>
        <w:rPr>
          <w:noProof/>
        </w:rPr>
        <w:t>, 198. Emphasis in original.</w:t>
      </w:r>
    </w:p>
  </w:footnote>
  <w:footnote w:id="222">
    <w:p w:rsidR="006F6736" w:rsidRDefault="006F6736" w:rsidP="00F212C9">
      <w:pPr>
        <w:pStyle w:val="FootnoteText"/>
        <w:ind w:firstLine="720"/>
      </w:pPr>
      <w:r>
        <w:rPr>
          <w:rStyle w:val="FootnoteReference"/>
        </w:rPr>
        <w:footnoteRef/>
      </w:r>
      <w:r>
        <w:t xml:space="preserve"> </w:t>
      </w:r>
      <w:r>
        <w:rPr>
          <w:noProof/>
        </w:rPr>
        <w:t>Ibid.</w:t>
      </w:r>
    </w:p>
  </w:footnote>
  <w:footnote w:id="223">
    <w:p w:rsidR="006F6736" w:rsidRDefault="006F6736" w:rsidP="00BB1A53">
      <w:pPr>
        <w:pStyle w:val="FootnoteText"/>
        <w:ind w:firstLine="720"/>
      </w:pPr>
      <w:r>
        <w:rPr>
          <w:rStyle w:val="FootnoteReference"/>
        </w:rPr>
        <w:footnoteRef/>
      </w:r>
      <w:r>
        <w:t xml:space="preserve"> </w:t>
      </w:r>
      <w:r>
        <w:rPr>
          <w:noProof/>
        </w:rPr>
        <w:t>Jason Lee Oakes, "Losers, Punks and Queers (and Elvii too): Identification and ‘Identity’ at New York City music tribute events" (PhD diss., Columbia University, 2005), 30.</w:t>
      </w:r>
    </w:p>
  </w:footnote>
  <w:footnote w:id="224">
    <w:p w:rsidR="006F6736" w:rsidRDefault="006F6736" w:rsidP="00BB1A53">
      <w:pPr>
        <w:pStyle w:val="FootnoteText"/>
        <w:ind w:firstLine="720"/>
      </w:pPr>
      <w:r>
        <w:rPr>
          <w:rStyle w:val="FootnoteReference"/>
        </w:rPr>
        <w:footnoteRef/>
      </w:r>
      <w:r>
        <w:t xml:space="preserve"> </w:t>
      </w:r>
      <w:r>
        <w:rPr>
          <w:noProof/>
        </w:rPr>
        <w:t>Ibid., 31.</w:t>
      </w:r>
    </w:p>
  </w:footnote>
  <w:footnote w:id="225">
    <w:p w:rsidR="006F6736" w:rsidRDefault="006F6736" w:rsidP="00BB1A53">
      <w:pPr>
        <w:pStyle w:val="FootnoteText"/>
        <w:ind w:firstLine="720"/>
      </w:pPr>
      <w:r>
        <w:rPr>
          <w:rStyle w:val="FootnoteReference"/>
        </w:rPr>
        <w:footnoteRef/>
      </w:r>
      <w:r>
        <w:t xml:space="preserve"> </w:t>
      </w:r>
      <w:r>
        <w:rPr>
          <w:noProof/>
        </w:rPr>
        <w:t>Ibid.</w:t>
      </w:r>
    </w:p>
  </w:footnote>
  <w:footnote w:id="226">
    <w:p w:rsidR="006F6736" w:rsidRDefault="006F6736" w:rsidP="00BB1A53">
      <w:pPr>
        <w:pStyle w:val="FootnoteText"/>
        <w:ind w:firstLine="720"/>
      </w:pPr>
      <w:r>
        <w:rPr>
          <w:rStyle w:val="FootnoteReference"/>
        </w:rPr>
        <w:footnoteRef/>
      </w:r>
      <w:r>
        <w:t xml:space="preserve"> </w:t>
      </w:r>
      <w:r>
        <w:rPr>
          <w:noProof/>
        </w:rPr>
        <w:t>Ibid., 182-83.</w:t>
      </w:r>
    </w:p>
  </w:footnote>
  <w:footnote w:id="227">
    <w:p w:rsidR="006F6736" w:rsidRDefault="006F6736" w:rsidP="00BB1A53">
      <w:pPr>
        <w:pStyle w:val="FootnoteText"/>
        <w:ind w:firstLine="720"/>
      </w:pPr>
      <w:r>
        <w:rPr>
          <w:rStyle w:val="FootnoteReference"/>
        </w:rPr>
        <w:footnoteRef/>
      </w:r>
      <w:r>
        <w:t xml:space="preserve"> </w:t>
      </w:r>
      <w:r>
        <w:rPr>
          <w:noProof/>
        </w:rPr>
        <w:t>Ibid., 182.</w:t>
      </w:r>
    </w:p>
  </w:footnote>
  <w:footnote w:id="228">
    <w:p w:rsidR="006F6736" w:rsidRDefault="006F6736" w:rsidP="00BB1A53">
      <w:pPr>
        <w:pStyle w:val="FootnoteText"/>
        <w:ind w:firstLine="720"/>
        <w:jc w:val="both"/>
      </w:pPr>
      <w:r>
        <w:rPr>
          <w:rStyle w:val="FootnoteReference"/>
        </w:rPr>
        <w:footnoteRef/>
      </w:r>
      <w:r>
        <w:t xml:space="preserve"> </w:t>
      </w:r>
      <w:r>
        <w:rPr>
          <w:noProof/>
        </w:rPr>
        <w:t xml:space="preserve">Cavicchi, </w:t>
      </w:r>
      <w:r>
        <w:rPr>
          <w:i/>
          <w:noProof/>
        </w:rPr>
        <w:t>Tramps Like Us</w:t>
      </w:r>
      <w:r>
        <w:rPr>
          <w:noProof/>
        </w:rPr>
        <w:t>, 137.</w:t>
      </w:r>
    </w:p>
  </w:footnote>
  <w:footnote w:id="229">
    <w:p w:rsidR="006F6736" w:rsidRDefault="006F6736" w:rsidP="00BB1A53">
      <w:pPr>
        <w:pStyle w:val="FootnoteText"/>
        <w:ind w:firstLine="720"/>
      </w:pPr>
      <w:r>
        <w:rPr>
          <w:rStyle w:val="FootnoteReference"/>
        </w:rPr>
        <w:footnoteRef/>
      </w:r>
      <w:r>
        <w:t xml:space="preserve"> </w:t>
      </w:r>
      <w:r>
        <w:rPr>
          <w:noProof/>
        </w:rPr>
        <w:t>Ibid.</w:t>
      </w:r>
    </w:p>
  </w:footnote>
  <w:footnote w:id="230">
    <w:p w:rsidR="006F6736" w:rsidRDefault="006F6736" w:rsidP="00BB1A53">
      <w:pPr>
        <w:pStyle w:val="FootnoteText"/>
        <w:ind w:firstLine="720"/>
      </w:pPr>
      <w:r>
        <w:rPr>
          <w:rStyle w:val="FootnoteReference"/>
        </w:rPr>
        <w:footnoteRef/>
      </w:r>
      <w:r>
        <w:t xml:space="preserve"> </w:t>
      </w:r>
      <w:r>
        <w:rPr>
          <w:noProof/>
        </w:rPr>
        <w:t>Ibid., 140.</w:t>
      </w:r>
    </w:p>
  </w:footnote>
  <w:footnote w:id="231">
    <w:p w:rsidR="006F6736" w:rsidRDefault="006F6736" w:rsidP="00BB1A53">
      <w:pPr>
        <w:pStyle w:val="FootnoteText"/>
        <w:ind w:firstLine="720"/>
      </w:pPr>
      <w:r>
        <w:rPr>
          <w:rStyle w:val="FootnoteReference"/>
        </w:rPr>
        <w:footnoteRef/>
      </w:r>
      <w:r>
        <w:t xml:space="preserve"> </w:t>
      </w:r>
      <w:r>
        <w:rPr>
          <w:noProof/>
        </w:rPr>
        <w:t>Ibid.</w:t>
      </w:r>
    </w:p>
  </w:footnote>
  <w:footnote w:id="232">
    <w:p w:rsidR="006F6736" w:rsidRDefault="006F6736" w:rsidP="00F212C9">
      <w:pPr>
        <w:pStyle w:val="FootnoteText"/>
        <w:ind w:firstLine="720"/>
      </w:pPr>
      <w:r>
        <w:rPr>
          <w:rStyle w:val="FootnoteReference"/>
        </w:rPr>
        <w:footnoteRef/>
      </w:r>
      <w:r>
        <w:t xml:space="preserve"> Roland Barthes, “The Grain of the Voice,” reprinted in</w:t>
      </w:r>
      <w:r>
        <w:rPr>
          <w:noProof/>
        </w:rPr>
        <w:t xml:space="preserve"> </w:t>
      </w:r>
      <w:r>
        <w:rPr>
          <w:i/>
          <w:noProof/>
        </w:rPr>
        <w:t>On Record: Rock, Pop, and the Written W</w:t>
      </w:r>
      <w:r w:rsidRPr="00FE731C">
        <w:rPr>
          <w:i/>
          <w:noProof/>
        </w:rPr>
        <w:t>ord</w:t>
      </w:r>
      <w:r>
        <w:rPr>
          <w:noProof/>
        </w:rPr>
        <w:t>, Simon Frith and Andrew Goodwin, eds. (New York: Pantheon Books, 1990), 294.</w:t>
      </w:r>
    </w:p>
  </w:footnote>
  <w:footnote w:id="233">
    <w:p w:rsidR="006F6736" w:rsidRDefault="006F6736" w:rsidP="00F3534B">
      <w:pPr>
        <w:pStyle w:val="FootnoteText"/>
        <w:tabs>
          <w:tab w:val="left" w:pos="3210"/>
        </w:tabs>
        <w:ind w:firstLine="720"/>
      </w:pPr>
      <w:r>
        <w:rPr>
          <w:rStyle w:val="FootnoteReference"/>
        </w:rPr>
        <w:footnoteRef/>
      </w:r>
      <w:r>
        <w:t xml:space="preserve"> </w:t>
      </w:r>
      <w:proofErr w:type="gramStart"/>
      <w:r>
        <w:t>Ibid.</w:t>
      </w:r>
      <w:proofErr w:type="gramEnd"/>
      <w:r>
        <w:tab/>
      </w:r>
    </w:p>
  </w:footnote>
  <w:footnote w:id="234">
    <w:p w:rsidR="006F6736" w:rsidRDefault="006F6736" w:rsidP="00F212C9">
      <w:pPr>
        <w:pStyle w:val="FootnoteText"/>
        <w:ind w:firstLine="720"/>
      </w:pPr>
      <w:r>
        <w:rPr>
          <w:rStyle w:val="FootnoteReference"/>
        </w:rPr>
        <w:footnoteRef/>
      </w:r>
      <w:r>
        <w:t xml:space="preserve"> </w:t>
      </w:r>
      <w:proofErr w:type="gramStart"/>
      <w:r>
        <w:t>Ibid.,</w:t>
      </w:r>
      <w:proofErr w:type="gramEnd"/>
      <w:r>
        <w:t xml:space="preserve"> </w:t>
      </w:r>
      <w:r>
        <w:rPr>
          <w:noProof/>
        </w:rPr>
        <w:t>299.</w:t>
      </w:r>
    </w:p>
  </w:footnote>
  <w:footnote w:id="235">
    <w:p w:rsidR="006F6736" w:rsidRDefault="006F6736" w:rsidP="00F212C9">
      <w:pPr>
        <w:pStyle w:val="FootnoteText"/>
        <w:ind w:firstLine="720"/>
      </w:pPr>
      <w:r>
        <w:rPr>
          <w:rStyle w:val="FootnoteReference"/>
        </w:rPr>
        <w:footnoteRef/>
      </w:r>
      <w:r>
        <w:t xml:space="preserve"> </w:t>
      </w:r>
      <w:r>
        <w:rPr>
          <w:noProof/>
        </w:rPr>
        <w:t>Ibid., 295.</w:t>
      </w:r>
    </w:p>
  </w:footnote>
  <w:footnote w:id="236">
    <w:p w:rsidR="006F6736" w:rsidRDefault="006F6736" w:rsidP="001C274F">
      <w:pPr>
        <w:pStyle w:val="FootnoteText"/>
        <w:ind w:firstLine="720"/>
      </w:pPr>
      <w:r>
        <w:rPr>
          <w:rStyle w:val="FootnoteReference"/>
        </w:rPr>
        <w:footnoteRef/>
      </w:r>
      <w:r>
        <w:t xml:space="preserve"> </w:t>
      </w:r>
      <w:proofErr w:type="gramStart"/>
      <w:r>
        <w:t>Ibid.,</w:t>
      </w:r>
      <w:proofErr w:type="gramEnd"/>
      <w:r>
        <w:t xml:space="preserve"> 299.</w:t>
      </w:r>
    </w:p>
  </w:footnote>
  <w:footnote w:id="237">
    <w:p w:rsidR="006F6736" w:rsidRDefault="006F6736" w:rsidP="00F212C9">
      <w:pPr>
        <w:pStyle w:val="FootnoteText"/>
        <w:ind w:firstLine="720"/>
      </w:pPr>
      <w:r>
        <w:rPr>
          <w:rStyle w:val="FootnoteReference"/>
        </w:rPr>
        <w:footnoteRef/>
      </w:r>
      <w:r>
        <w:t xml:space="preserve"> </w:t>
      </w:r>
      <w:r>
        <w:rPr>
          <w:noProof/>
        </w:rPr>
        <w:t xml:space="preserve">J. L. Austin, </w:t>
      </w:r>
      <w:r w:rsidRPr="00616F1E">
        <w:rPr>
          <w:i/>
          <w:noProof/>
        </w:rPr>
        <w:t>The Wor</w:t>
      </w:r>
      <w:r>
        <w:rPr>
          <w:i/>
          <w:noProof/>
        </w:rPr>
        <w:t>ks of J. L. Austin. Electronic E</w:t>
      </w:r>
      <w:r w:rsidRPr="00616F1E">
        <w:rPr>
          <w:i/>
          <w:noProof/>
        </w:rPr>
        <w:t>dition. How To Do Things With Words</w:t>
      </w:r>
      <w:r>
        <w:rPr>
          <w:noProof/>
        </w:rPr>
        <w:t xml:space="preserve"> (Charlottesville, VA: InteLex Corporation, 2000), 5-6.</w:t>
      </w:r>
    </w:p>
  </w:footnote>
  <w:footnote w:id="238">
    <w:p w:rsidR="006F6736" w:rsidRDefault="006F6736" w:rsidP="00F212C9">
      <w:pPr>
        <w:pStyle w:val="FootnoteText"/>
        <w:ind w:firstLine="720"/>
      </w:pPr>
      <w:r>
        <w:rPr>
          <w:rStyle w:val="FootnoteReference"/>
        </w:rPr>
        <w:footnoteRef/>
      </w:r>
      <w:r>
        <w:t xml:space="preserve"> </w:t>
      </w:r>
      <w:r>
        <w:rPr>
          <w:noProof/>
        </w:rPr>
        <w:t>Ibid.</w:t>
      </w:r>
    </w:p>
  </w:footnote>
  <w:footnote w:id="239">
    <w:p w:rsidR="006F6736" w:rsidRDefault="006F6736" w:rsidP="00156A8D">
      <w:pPr>
        <w:pStyle w:val="FootnoteText"/>
        <w:ind w:firstLine="720"/>
      </w:pPr>
      <w:r>
        <w:rPr>
          <w:rStyle w:val="FootnoteReference"/>
        </w:rPr>
        <w:footnoteRef/>
      </w:r>
      <w:r>
        <w:t xml:space="preserve"> </w:t>
      </w:r>
      <w:r>
        <w:rPr>
          <w:noProof/>
        </w:rPr>
        <w:t xml:space="preserve">Lawrence W. Levine, </w:t>
      </w:r>
      <w:r>
        <w:rPr>
          <w:i/>
          <w:noProof/>
        </w:rPr>
        <w:t>Highbrow/Lowbrow: The Emergence of Cultural H</w:t>
      </w:r>
      <w:r w:rsidRPr="000E44A8">
        <w:rPr>
          <w:i/>
          <w:noProof/>
        </w:rPr>
        <w:t>ierarchy in America</w:t>
      </w:r>
      <w:r>
        <w:rPr>
          <w:noProof/>
        </w:rPr>
        <w:t xml:space="preserve"> (Cambridge, MA: Harvard University Press, 1988), 178.</w:t>
      </w:r>
    </w:p>
  </w:footnote>
  <w:footnote w:id="240">
    <w:p w:rsidR="006F6736" w:rsidRDefault="006F6736" w:rsidP="00156A8D">
      <w:pPr>
        <w:pStyle w:val="FootnoteText"/>
        <w:ind w:firstLine="720"/>
      </w:pPr>
      <w:r>
        <w:rPr>
          <w:rStyle w:val="FootnoteReference"/>
        </w:rPr>
        <w:footnoteRef/>
      </w:r>
      <w:r>
        <w:t xml:space="preserve"> </w:t>
      </w:r>
      <w:r>
        <w:rPr>
          <w:noProof/>
        </w:rPr>
        <w:t>Ibid., 200.</w:t>
      </w:r>
    </w:p>
  </w:footnote>
  <w:footnote w:id="241">
    <w:p w:rsidR="006F6736" w:rsidRDefault="006F6736" w:rsidP="00F212C9">
      <w:pPr>
        <w:pStyle w:val="FootnoteText"/>
        <w:ind w:firstLine="720"/>
      </w:pPr>
      <w:r>
        <w:rPr>
          <w:rStyle w:val="FootnoteReference"/>
        </w:rPr>
        <w:footnoteRef/>
      </w:r>
      <w:r>
        <w:t xml:space="preserve"> </w:t>
      </w:r>
      <w:r>
        <w:rPr>
          <w:noProof/>
        </w:rPr>
        <w:t xml:space="preserve">Genevieve Stebbins, </w:t>
      </w:r>
      <w:r>
        <w:rPr>
          <w:i/>
          <w:noProof/>
        </w:rPr>
        <w:t>Delsarte System of E</w:t>
      </w:r>
      <w:r w:rsidRPr="007141FA">
        <w:rPr>
          <w:i/>
          <w:noProof/>
        </w:rPr>
        <w:t>xpression</w:t>
      </w:r>
      <w:r>
        <w:rPr>
          <w:noProof/>
        </w:rPr>
        <w:t xml:space="preserve"> (New York: Dance Horizons, 1977), 290.</w:t>
      </w:r>
    </w:p>
  </w:footnote>
  <w:footnote w:id="242">
    <w:p w:rsidR="006F6736" w:rsidRDefault="006F6736" w:rsidP="00F212C9">
      <w:pPr>
        <w:pStyle w:val="FootnoteText"/>
        <w:ind w:firstLine="720"/>
      </w:pPr>
      <w:r>
        <w:rPr>
          <w:rStyle w:val="FootnoteReference"/>
        </w:rPr>
        <w:footnoteRef/>
      </w:r>
      <w:r>
        <w:t xml:space="preserve"> </w:t>
      </w:r>
      <w:r>
        <w:rPr>
          <w:noProof/>
        </w:rPr>
        <w:t>Ibid., 293.</w:t>
      </w:r>
    </w:p>
  </w:footnote>
  <w:footnote w:id="243">
    <w:p w:rsidR="006F6736" w:rsidRDefault="006F6736" w:rsidP="00F212C9">
      <w:pPr>
        <w:pStyle w:val="FootnoteText"/>
        <w:ind w:firstLine="720"/>
      </w:pPr>
      <w:r>
        <w:rPr>
          <w:rStyle w:val="FootnoteReference"/>
        </w:rPr>
        <w:footnoteRef/>
      </w:r>
      <w:r>
        <w:t xml:space="preserve"> </w:t>
      </w:r>
      <w:r>
        <w:rPr>
          <w:noProof/>
        </w:rPr>
        <w:t>Ibid., 311.</w:t>
      </w:r>
    </w:p>
  </w:footnote>
  <w:footnote w:id="244">
    <w:p w:rsidR="006F6736" w:rsidRDefault="006F6736" w:rsidP="001E3CC0">
      <w:pPr>
        <w:pStyle w:val="FootnoteText"/>
        <w:ind w:firstLine="720"/>
      </w:pPr>
      <w:r>
        <w:rPr>
          <w:rStyle w:val="FootnoteReference"/>
        </w:rPr>
        <w:footnoteRef/>
      </w:r>
      <w:r>
        <w:t xml:space="preserve"> </w:t>
      </w:r>
      <w:proofErr w:type="gramStart"/>
      <w:r>
        <w:t>Ibid.,</w:t>
      </w:r>
      <w:proofErr w:type="gramEnd"/>
      <w:r>
        <w:t xml:space="preserve"> 309.</w:t>
      </w:r>
    </w:p>
  </w:footnote>
  <w:footnote w:id="245">
    <w:p w:rsidR="006F6736" w:rsidRDefault="006F6736" w:rsidP="00F212C9">
      <w:pPr>
        <w:pStyle w:val="FootnoteText"/>
        <w:ind w:firstLine="720"/>
      </w:pPr>
      <w:r>
        <w:rPr>
          <w:rStyle w:val="FootnoteReference"/>
        </w:rPr>
        <w:footnoteRef/>
      </w:r>
      <w:r>
        <w:t xml:space="preserve"> </w:t>
      </w:r>
      <w:r>
        <w:rPr>
          <w:noProof/>
        </w:rPr>
        <w:t>Ibid., 311.</w:t>
      </w:r>
    </w:p>
  </w:footnote>
  <w:footnote w:id="246">
    <w:p w:rsidR="006F6736" w:rsidRDefault="006F6736" w:rsidP="00F212C9">
      <w:pPr>
        <w:pStyle w:val="FootnoteText"/>
        <w:ind w:firstLine="720"/>
      </w:pPr>
      <w:r>
        <w:rPr>
          <w:rStyle w:val="FootnoteReference"/>
        </w:rPr>
        <w:footnoteRef/>
      </w:r>
      <w:r>
        <w:t xml:space="preserve"> </w:t>
      </w:r>
      <w:r w:rsidRPr="00B9787F">
        <w:t xml:space="preserve">C.P. </w:t>
      </w:r>
      <w:proofErr w:type="spellStart"/>
      <w:r w:rsidRPr="00B9787F">
        <w:t>Cranch</w:t>
      </w:r>
      <w:proofErr w:type="spellEnd"/>
      <w:r w:rsidRPr="00B9787F">
        <w:t xml:space="preserve">, “The </w:t>
      </w:r>
      <w:proofErr w:type="spellStart"/>
      <w:r w:rsidRPr="00B9787F">
        <w:t>Roomatiz</w:t>
      </w:r>
      <w:proofErr w:type="spellEnd"/>
      <w:r w:rsidRPr="00B9787F">
        <w:t xml:space="preserve">,” (New York: Wm. A. Pond &amp; Co., 1871), Box 054, Item 115, </w:t>
      </w:r>
      <w:proofErr w:type="gramStart"/>
      <w:r w:rsidRPr="00B9787F">
        <w:t>The</w:t>
      </w:r>
      <w:proofErr w:type="gramEnd"/>
      <w:r w:rsidRPr="00B9787F">
        <w:t xml:space="preserve"> Lester S. Levy Collection of Sheet Music, The Sheridan Libraries, </w:t>
      </w:r>
      <w:r>
        <w:t>Johns Hopkins</w:t>
      </w:r>
      <w:r w:rsidRPr="00B9787F">
        <w:t xml:space="preserve"> U</w:t>
      </w:r>
      <w:r>
        <w:t>niversity, Baltimore, Maryland.</w:t>
      </w:r>
    </w:p>
  </w:footnote>
  <w:footnote w:id="247">
    <w:p w:rsidR="006F6736" w:rsidRDefault="006F6736" w:rsidP="00F212C9">
      <w:pPr>
        <w:pStyle w:val="FootnoteText"/>
        <w:ind w:firstLine="720"/>
      </w:pPr>
      <w:r>
        <w:rPr>
          <w:rStyle w:val="FootnoteReference"/>
        </w:rPr>
        <w:footnoteRef/>
      </w:r>
      <w:r>
        <w:t xml:space="preserve"> Ibid.</w:t>
      </w:r>
    </w:p>
  </w:footnote>
  <w:footnote w:id="248">
    <w:p w:rsidR="006F6736" w:rsidRDefault="006F6736" w:rsidP="00F212C9">
      <w:pPr>
        <w:pStyle w:val="FootnoteText"/>
        <w:ind w:firstLine="720"/>
      </w:pPr>
      <w:r>
        <w:rPr>
          <w:rStyle w:val="FootnoteReference"/>
        </w:rPr>
        <w:footnoteRef/>
      </w:r>
      <w:r>
        <w:t xml:space="preserve"> Ibid.</w:t>
      </w:r>
    </w:p>
  </w:footnote>
  <w:footnote w:id="249">
    <w:p w:rsidR="006F6736" w:rsidRDefault="006F6736" w:rsidP="00F212C9">
      <w:pPr>
        <w:pStyle w:val="FootnoteText"/>
        <w:ind w:firstLine="720"/>
      </w:pPr>
      <w:r>
        <w:rPr>
          <w:rStyle w:val="FootnoteReference"/>
        </w:rPr>
        <w:footnoteRef/>
      </w:r>
      <w:r>
        <w:t xml:space="preserve"> Ibid.</w:t>
      </w:r>
    </w:p>
  </w:footnote>
  <w:footnote w:id="250">
    <w:p w:rsidR="006F6736" w:rsidRDefault="006F6736" w:rsidP="00F212C9">
      <w:pPr>
        <w:pStyle w:val="FootnoteText"/>
        <w:ind w:firstLine="720"/>
      </w:pPr>
      <w:r>
        <w:rPr>
          <w:rStyle w:val="FootnoteReference"/>
        </w:rPr>
        <w:footnoteRef/>
      </w:r>
      <w:r>
        <w:t xml:space="preserve"> </w:t>
      </w:r>
      <w:r>
        <w:rPr>
          <w:noProof/>
        </w:rPr>
        <w:t xml:space="preserve">Jon W. Finson, </w:t>
      </w:r>
      <w:r>
        <w:rPr>
          <w:i/>
          <w:noProof/>
        </w:rPr>
        <w:t>The Voices That are Gone: Themes in Nineteenth-Century American Popular S</w:t>
      </w:r>
      <w:r w:rsidRPr="00E467BD">
        <w:rPr>
          <w:i/>
          <w:noProof/>
        </w:rPr>
        <w:t>ong</w:t>
      </w:r>
      <w:r>
        <w:rPr>
          <w:noProof/>
        </w:rPr>
        <w:t xml:space="preserve"> (New York: Oxford University Press, 1994), 83-84.</w:t>
      </w:r>
    </w:p>
  </w:footnote>
  <w:footnote w:id="251">
    <w:p w:rsidR="006F6736" w:rsidRDefault="006F6736" w:rsidP="00DB05D7">
      <w:pPr>
        <w:pStyle w:val="FootnoteText"/>
        <w:ind w:firstLine="720"/>
      </w:pPr>
      <w:r>
        <w:rPr>
          <w:rStyle w:val="FootnoteReference"/>
        </w:rPr>
        <w:footnoteRef/>
      </w:r>
      <w:r>
        <w:t xml:space="preserve"> </w:t>
      </w:r>
      <w:proofErr w:type="spellStart"/>
      <w:r>
        <w:t>Cranch</w:t>
      </w:r>
      <w:proofErr w:type="spellEnd"/>
      <w:r>
        <w:t xml:space="preserve">, “The </w:t>
      </w:r>
      <w:proofErr w:type="spellStart"/>
      <w:r>
        <w:t>Roomatiz</w:t>
      </w:r>
      <w:proofErr w:type="spellEnd"/>
      <w:r>
        <w:t>.</w:t>
      </w:r>
      <w:r w:rsidRPr="00B9787F">
        <w:t>”</w:t>
      </w:r>
    </w:p>
  </w:footnote>
  <w:footnote w:id="252">
    <w:p w:rsidR="006F6736" w:rsidRDefault="006F6736" w:rsidP="00DB05D7">
      <w:pPr>
        <w:pStyle w:val="FootnoteText"/>
        <w:ind w:firstLine="720"/>
      </w:pPr>
      <w:r>
        <w:rPr>
          <w:rStyle w:val="FootnoteReference"/>
        </w:rPr>
        <w:footnoteRef/>
      </w:r>
      <w:r>
        <w:t xml:space="preserve"> Ibid.</w:t>
      </w:r>
    </w:p>
  </w:footnote>
  <w:footnote w:id="253">
    <w:p w:rsidR="006F6736" w:rsidRDefault="006F6736" w:rsidP="009E2BA8">
      <w:pPr>
        <w:pStyle w:val="FootnoteText"/>
        <w:ind w:firstLine="720"/>
      </w:pPr>
      <w:r>
        <w:rPr>
          <w:rStyle w:val="FootnoteReference"/>
        </w:rPr>
        <w:footnoteRef/>
      </w:r>
      <w:r>
        <w:t xml:space="preserve"> </w:t>
      </w:r>
      <w:r w:rsidRPr="009E2BA8">
        <w:rPr>
          <w:rFonts w:ascii="Calibri" w:eastAsia="Times New Roman" w:hAnsi="Calibri" w:cs="Times New Roman"/>
          <w:color w:val="000000"/>
        </w:rPr>
        <w:t xml:space="preserve">Georgina </w:t>
      </w:r>
      <w:r>
        <w:rPr>
          <w:rFonts w:ascii="Calibri" w:eastAsia="Times New Roman" w:hAnsi="Calibri" w:cs="Times New Roman"/>
          <w:color w:val="000000"/>
        </w:rPr>
        <w:t xml:space="preserve">Born and David </w:t>
      </w:r>
      <w:proofErr w:type="spellStart"/>
      <w:r>
        <w:rPr>
          <w:rFonts w:ascii="Calibri" w:eastAsia="Times New Roman" w:hAnsi="Calibri" w:cs="Times New Roman"/>
          <w:color w:val="000000"/>
        </w:rPr>
        <w:t>Hesmondhalgh</w:t>
      </w:r>
      <w:proofErr w:type="spellEnd"/>
      <w:r>
        <w:rPr>
          <w:rFonts w:ascii="Calibri" w:eastAsia="Times New Roman" w:hAnsi="Calibri" w:cs="Times New Roman"/>
          <w:color w:val="000000"/>
        </w:rPr>
        <w:t>,</w:t>
      </w:r>
      <w:r w:rsidRPr="009E2BA8">
        <w:rPr>
          <w:rFonts w:ascii="Calibri" w:eastAsia="Times New Roman" w:hAnsi="Calibri" w:cs="Times New Roman"/>
          <w:color w:val="000000"/>
        </w:rPr>
        <w:t> </w:t>
      </w:r>
      <w:r>
        <w:rPr>
          <w:rFonts w:ascii="Calibri" w:eastAsia="Times New Roman" w:hAnsi="Calibri" w:cs="Times New Roman"/>
          <w:color w:val="000000"/>
        </w:rPr>
        <w:t xml:space="preserve">“Introduction: On Difference, Representation, and Appropriation in Music,” in </w:t>
      </w:r>
      <w:r w:rsidRPr="009E2BA8">
        <w:rPr>
          <w:rFonts w:ascii="Calibri" w:eastAsia="Times New Roman" w:hAnsi="Calibri" w:cs="Times New Roman"/>
          <w:i/>
          <w:iCs/>
          <w:color w:val="000000"/>
        </w:rPr>
        <w:t>Western Mu</w:t>
      </w:r>
      <w:r>
        <w:rPr>
          <w:rFonts w:ascii="Calibri" w:eastAsia="Times New Roman" w:hAnsi="Calibri" w:cs="Times New Roman"/>
          <w:i/>
          <w:iCs/>
          <w:color w:val="000000"/>
        </w:rPr>
        <w:t xml:space="preserve">sic and its Others: Difference, </w:t>
      </w:r>
      <w:r w:rsidRPr="009E2BA8">
        <w:rPr>
          <w:rFonts w:ascii="Calibri" w:eastAsia="Times New Roman" w:hAnsi="Calibri" w:cs="Times New Roman"/>
          <w:i/>
          <w:iCs/>
          <w:color w:val="000000"/>
        </w:rPr>
        <w:t>Representation, and Appropriation in Music</w:t>
      </w:r>
      <w:r>
        <w:rPr>
          <w:rFonts w:ascii="Calibri" w:eastAsia="Times New Roman" w:hAnsi="Calibri" w:cs="Times New Roman"/>
          <w:color w:val="000000"/>
        </w:rPr>
        <w:t xml:space="preserve">, Georgina Born and David </w:t>
      </w:r>
      <w:proofErr w:type="spellStart"/>
      <w:r>
        <w:rPr>
          <w:rFonts w:ascii="Calibri" w:eastAsia="Times New Roman" w:hAnsi="Calibri" w:cs="Times New Roman"/>
          <w:color w:val="000000"/>
        </w:rPr>
        <w:t>Hesmondhalgh</w:t>
      </w:r>
      <w:proofErr w:type="spellEnd"/>
      <w:r>
        <w:rPr>
          <w:rFonts w:ascii="Calibri" w:eastAsia="Times New Roman" w:hAnsi="Calibri" w:cs="Times New Roman"/>
          <w:color w:val="000000"/>
        </w:rPr>
        <w:t>, eds. (</w:t>
      </w:r>
      <w:r w:rsidRPr="009E2BA8">
        <w:rPr>
          <w:rFonts w:ascii="Calibri" w:eastAsia="Times New Roman" w:hAnsi="Calibri" w:cs="Times New Roman"/>
          <w:color w:val="000000"/>
        </w:rPr>
        <w:t>Berkeley: University of California Press, 2000</w:t>
      </w:r>
      <w:r>
        <w:rPr>
          <w:rFonts w:ascii="Calibri" w:eastAsia="Times New Roman" w:hAnsi="Calibri" w:cs="Times New Roman"/>
          <w:color w:val="000000"/>
        </w:rPr>
        <w:t>)</w:t>
      </w:r>
      <w:r w:rsidRPr="009E2BA8">
        <w:rPr>
          <w:rFonts w:ascii="Calibri" w:eastAsia="Times New Roman" w:hAnsi="Calibri" w:cs="Times New Roman"/>
          <w:color w:val="000000"/>
        </w:rPr>
        <w:t xml:space="preserve">, </w:t>
      </w:r>
      <w:r w:rsidRPr="009E2BA8">
        <w:t>7</w:t>
      </w:r>
      <w:r>
        <w:t>.</w:t>
      </w:r>
    </w:p>
  </w:footnote>
  <w:footnote w:id="254">
    <w:p w:rsidR="006F6736" w:rsidRDefault="006F6736" w:rsidP="00AD5B9D">
      <w:pPr>
        <w:pStyle w:val="FootnoteText"/>
        <w:ind w:firstLine="720"/>
      </w:pPr>
      <w:r>
        <w:rPr>
          <w:rStyle w:val="FootnoteReference"/>
        </w:rPr>
        <w:footnoteRef/>
      </w:r>
      <w:r>
        <w:t xml:space="preserve"> </w:t>
      </w:r>
      <w:proofErr w:type="gramStart"/>
      <w:r>
        <w:t>Ibid.,</w:t>
      </w:r>
      <w:proofErr w:type="gramEnd"/>
      <w:r>
        <w:t xml:space="preserve"> 11.</w:t>
      </w:r>
    </w:p>
  </w:footnote>
  <w:footnote w:id="255">
    <w:p w:rsidR="006F6736" w:rsidRDefault="006F6736" w:rsidP="00AD5B9D">
      <w:pPr>
        <w:pStyle w:val="FootnoteText"/>
        <w:ind w:firstLine="720"/>
      </w:pPr>
      <w:r>
        <w:rPr>
          <w:rStyle w:val="FootnoteReference"/>
        </w:rPr>
        <w:footnoteRef/>
      </w:r>
      <w:r>
        <w:t xml:space="preserve"> </w:t>
      </w:r>
      <w:r>
        <w:rPr>
          <w:noProof/>
        </w:rPr>
        <w:t xml:space="preserve">Rodger, </w:t>
      </w:r>
      <w:r>
        <w:rPr>
          <w:i/>
          <w:noProof/>
        </w:rPr>
        <w:t>Champagne Charlie and Pretty Jemima</w:t>
      </w:r>
      <w:r>
        <w:rPr>
          <w:noProof/>
        </w:rPr>
        <w:t>, 100.</w:t>
      </w:r>
    </w:p>
  </w:footnote>
  <w:footnote w:id="256">
    <w:p w:rsidR="006F6736" w:rsidRDefault="006F6736" w:rsidP="00AD5B9D">
      <w:pPr>
        <w:pStyle w:val="FootnoteText"/>
        <w:ind w:firstLine="720"/>
      </w:pPr>
      <w:r>
        <w:rPr>
          <w:rStyle w:val="FootnoteReference"/>
        </w:rPr>
        <w:footnoteRef/>
      </w:r>
      <w:r>
        <w:t xml:space="preserve"> </w:t>
      </w:r>
      <w:r>
        <w:rPr>
          <w:noProof/>
        </w:rPr>
        <w:t xml:space="preserve">Charles Hamm, </w:t>
      </w:r>
      <w:r>
        <w:rPr>
          <w:i/>
          <w:noProof/>
        </w:rPr>
        <w:t>Yesterdays: Popular S</w:t>
      </w:r>
      <w:r w:rsidRPr="00F64F77">
        <w:rPr>
          <w:i/>
          <w:noProof/>
        </w:rPr>
        <w:t>ong in America</w:t>
      </w:r>
      <w:r>
        <w:rPr>
          <w:noProof/>
        </w:rPr>
        <w:t xml:space="preserve"> (New York: Norton, 1979), 54.</w:t>
      </w:r>
    </w:p>
  </w:footnote>
  <w:footnote w:id="257">
    <w:p w:rsidR="006F6736" w:rsidRDefault="006F6736" w:rsidP="00F75D81">
      <w:pPr>
        <w:pStyle w:val="FootnoteText"/>
        <w:ind w:firstLine="720"/>
      </w:pPr>
      <w:r>
        <w:rPr>
          <w:rStyle w:val="FootnoteReference"/>
        </w:rPr>
        <w:footnoteRef/>
      </w:r>
      <w:r>
        <w:t xml:space="preserve"> </w:t>
      </w:r>
      <w:proofErr w:type="gramStart"/>
      <w:r w:rsidRPr="0075036E">
        <w:t xml:space="preserve">R.H. Stoddard, Esq. and Alfred B. Sedgwick, “What’s the World to a Man When His Wife is a </w:t>
      </w:r>
      <w:proofErr w:type="spellStart"/>
      <w:r w:rsidRPr="0075036E">
        <w:t>Widdy</w:t>
      </w:r>
      <w:proofErr w:type="spellEnd"/>
      <w:r w:rsidRPr="0075036E">
        <w:t>?”</w:t>
      </w:r>
      <w:proofErr w:type="gramEnd"/>
      <w:r w:rsidRPr="0075036E">
        <w:t xml:space="preserve"> </w:t>
      </w:r>
      <w:proofErr w:type="gramStart"/>
      <w:r w:rsidRPr="0075036E">
        <w:t xml:space="preserve">(New York: S.T. Gordon &amp; Son, 1875), Box 69, </w:t>
      </w:r>
      <w:r w:rsidRPr="0075036E">
        <w:rPr>
          <w:rFonts w:cstheme="minorHAnsi"/>
        </w:rPr>
        <w:t>Edison Sheet Music Collection, Music Division, Librar</w:t>
      </w:r>
      <w:r>
        <w:rPr>
          <w:rFonts w:cstheme="minorHAnsi"/>
        </w:rPr>
        <w:t>y of Congress, Washington, D.C.</w:t>
      </w:r>
      <w:proofErr w:type="gramEnd"/>
    </w:p>
  </w:footnote>
  <w:footnote w:id="258">
    <w:p w:rsidR="006F6736" w:rsidRDefault="006F6736" w:rsidP="00DB05D7">
      <w:pPr>
        <w:pStyle w:val="FootnoteText"/>
        <w:ind w:firstLine="720"/>
      </w:pPr>
      <w:r>
        <w:rPr>
          <w:rStyle w:val="FootnoteReference"/>
        </w:rPr>
        <w:footnoteRef/>
      </w:r>
      <w:r>
        <w:t xml:space="preserve"> Ibid.</w:t>
      </w:r>
    </w:p>
  </w:footnote>
  <w:footnote w:id="259">
    <w:p w:rsidR="006F6736" w:rsidRDefault="006F6736" w:rsidP="00AD5B9D">
      <w:pPr>
        <w:pStyle w:val="FootnoteText"/>
        <w:ind w:firstLine="720"/>
      </w:pPr>
      <w:r>
        <w:rPr>
          <w:rStyle w:val="FootnoteReference"/>
        </w:rPr>
        <w:footnoteRef/>
      </w:r>
      <w:r>
        <w:t xml:space="preserve"> </w:t>
      </w:r>
      <w:r>
        <w:rPr>
          <w:noProof/>
        </w:rPr>
        <w:t xml:space="preserve">Finson, </w:t>
      </w:r>
      <w:r>
        <w:rPr>
          <w:i/>
          <w:noProof/>
        </w:rPr>
        <w:t>Voices That are Gone</w:t>
      </w:r>
      <w:r>
        <w:rPr>
          <w:noProof/>
        </w:rPr>
        <w:t>, 271.</w:t>
      </w:r>
    </w:p>
  </w:footnote>
  <w:footnote w:id="260">
    <w:p w:rsidR="006F6736" w:rsidRDefault="006F6736" w:rsidP="00AD5B9D">
      <w:pPr>
        <w:pStyle w:val="FootnoteText"/>
        <w:ind w:firstLine="720"/>
      </w:pPr>
      <w:r>
        <w:rPr>
          <w:rStyle w:val="FootnoteReference"/>
        </w:rPr>
        <w:footnoteRef/>
      </w:r>
      <w:r>
        <w:t xml:space="preserve"> </w:t>
      </w:r>
      <w:r>
        <w:rPr>
          <w:noProof/>
        </w:rPr>
        <w:t>Ibid., 274.</w:t>
      </w:r>
    </w:p>
  </w:footnote>
  <w:footnote w:id="261">
    <w:p w:rsidR="006F6736" w:rsidRDefault="006F6736" w:rsidP="00DA79F4">
      <w:pPr>
        <w:pStyle w:val="FootnoteText"/>
        <w:ind w:firstLine="720"/>
      </w:pPr>
      <w:r>
        <w:rPr>
          <w:rStyle w:val="FootnoteReference"/>
        </w:rPr>
        <w:footnoteRef/>
      </w:r>
      <w:r>
        <w:t xml:space="preserve"> </w:t>
      </w:r>
      <w:proofErr w:type="gramStart"/>
      <w:r>
        <w:t>Stoddard and Sedgwick,</w:t>
      </w:r>
      <w:r w:rsidRPr="0075036E">
        <w:t xml:space="preserve"> “What’s the World to a Man When His Wife is a </w:t>
      </w:r>
      <w:proofErr w:type="spellStart"/>
      <w:r w:rsidRPr="0075036E">
        <w:t>Widdy</w:t>
      </w:r>
      <w:proofErr w:type="spellEnd"/>
      <w:r w:rsidRPr="0075036E">
        <w:t>?”</w:t>
      </w:r>
      <w:proofErr w:type="gramEnd"/>
    </w:p>
  </w:footnote>
  <w:footnote w:id="262">
    <w:p w:rsidR="006F6736" w:rsidRDefault="006F6736" w:rsidP="009E2BA8">
      <w:pPr>
        <w:pStyle w:val="FootnoteText"/>
        <w:ind w:firstLine="720"/>
      </w:pPr>
      <w:r>
        <w:rPr>
          <w:rStyle w:val="FootnoteReference"/>
        </w:rPr>
        <w:footnoteRef/>
      </w:r>
      <w:r>
        <w:t xml:space="preserve"> </w:t>
      </w:r>
      <w:proofErr w:type="spellStart"/>
      <w:r>
        <w:t>Cavicchi</w:t>
      </w:r>
      <w:proofErr w:type="spellEnd"/>
      <w:r>
        <w:t xml:space="preserve">, </w:t>
      </w:r>
      <w:r>
        <w:rPr>
          <w:i/>
          <w:noProof/>
        </w:rPr>
        <w:t>Tramps Like Us</w:t>
      </w:r>
      <w:r>
        <w:rPr>
          <w:noProof/>
        </w:rPr>
        <w:t>,</w:t>
      </w:r>
      <w:r>
        <w:t xml:space="preserve"> 149.</w:t>
      </w:r>
    </w:p>
  </w:footnote>
  <w:footnote w:id="263">
    <w:p w:rsidR="006F6736" w:rsidRDefault="006F6736" w:rsidP="0048083F">
      <w:pPr>
        <w:pStyle w:val="FootnoteText"/>
        <w:ind w:firstLine="720"/>
      </w:pPr>
      <w:r>
        <w:rPr>
          <w:rStyle w:val="FootnoteReference"/>
        </w:rPr>
        <w:footnoteRef/>
      </w:r>
      <w:r>
        <w:t xml:space="preserve"> </w:t>
      </w:r>
      <w:proofErr w:type="gramStart"/>
      <w:r>
        <w:t>Stoddard and Sedgwick,</w:t>
      </w:r>
      <w:r w:rsidRPr="0075036E">
        <w:t xml:space="preserve"> “What’s the World to a Man When His Wife is a </w:t>
      </w:r>
      <w:proofErr w:type="spellStart"/>
      <w:r w:rsidRPr="0075036E">
        <w:t>Widdy</w:t>
      </w:r>
      <w:proofErr w:type="spellEnd"/>
      <w:r w:rsidRPr="0075036E">
        <w:t>?”</w:t>
      </w:r>
      <w:proofErr w:type="gramEnd"/>
    </w:p>
  </w:footnote>
  <w:footnote w:id="264">
    <w:p w:rsidR="006F6736" w:rsidRDefault="006F6736" w:rsidP="00AD5B9D">
      <w:pPr>
        <w:pStyle w:val="FootnoteText"/>
        <w:ind w:firstLine="720"/>
      </w:pPr>
      <w:r>
        <w:rPr>
          <w:rStyle w:val="FootnoteReference"/>
        </w:rPr>
        <w:footnoteRef/>
      </w:r>
      <w:r>
        <w:t xml:space="preserve"> Ibid.</w:t>
      </w:r>
    </w:p>
  </w:footnote>
  <w:footnote w:id="265">
    <w:p w:rsidR="006F6736" w:rsidRDefault="006F6736" w:rsidP="00AD5B9D">
      <w:pPr>
        <w:pStyle w:val="FootnoteText"/>
        <w:ind w:firstLine="720"/>
      </w:pPr>
      <w:r>
        <w:rPr>
          <w:rStyle w:val="FootnoteReference"/>
        </w:rPr>
        <w:footnoteRef/>
      </w:r>
      <w:r>
        <w:t xml:space="preserve"> </w:t>
      </w:r>
      <w:r>
        <w:rPr>
          <w:noProof/>
        </w:rPr>
        <w:t xml:space="preserve">Frith, </w:t>
      </w:r>
      <w:r>
        <w:rPr>
          <w:i/>
          <w:noProof/>
        </w:rPr>
        <w:t>Performing Rites</w:t>
      </w:r>
      <w:r>
        <w:rPr>
          <w:noProof/>
        </w:rPr>
        <w:t>, 199.</w:t>
      </w:r>
    </w:p>
  </w:footnote>
  <w:footnote w:id="266">
    <w:p w:rsidR="006F6736" w:rsidRDefault="006F6736" w:rsidP="00AD5B9D">
      <w:pPr>
        <w:pStyle w:val="FootnoteText"/>
        <w:ind w:firstLine="720"/>
      </w:pPr>
      <w:r>
        <w:rPr>
          <w:rStyle w:val="FootnoteReference"/>
        </w:rPr>
        <w:footnoteRef/>
      </w:r>
      <w:r>
        <w:t xml:space="preserve"> </w:t>
      </w:r>
      <w:r>
        <w:rPr>
          <w:noProof/>
        </w:rPr>
        <w:t>Ibid.</w:t>
      </w:r>
    </w:p>
  </w:footnote>
  <w:footnote w:id="267">
    <w:p w:rsidR="006F6736" w:rsidRDefault="006F6736" w:rsidP="0048083F">
      <w:pPr>
        <w:pStyle w:val="FootnoteText"/>
        <w:ind w:firstLine="720"/>
      </w:pPr>
      <w:r>
        <w:rPr>
          <w:rStyle w:val="FootnoteReference"/>
        </w:rPr>
        <w:footnoteRef/>
      </w:r>
      <w:r>
        <w:t xml:space="preserve"> In the nineteenth century, the term “Dutch” did not refer to the </w:t>
      </w:r>
      <w:proofErr w:type="spellStart"/>
      <w:r>
        <w:t>Netherlandish</w:t>
      </w:r>
      <w:proofErr w:type="spellEnd"/>
      <w:r>
        <w:t>. It was a transliteration of “Deutsch,” and was used to refer to anything German.</w:t>
      </w:r>
    </w:p>
  </w:footnote>
  <w:footnote w:id="268">
    <w:p w:rsidR="006F6736" w:rsidRDefault="006F6736" w:rsidP="0048083F">
      <w:pPr>
        <w:pStyle w:val="FootnoteText"/>
        <w:ind w:firstLine="720"/>
      </w:pPr>
      <w:r>
        <w:rPr>
          <w:rStyle w:val="FootnoteReference"/>
        </w:rPr>
        <w:footnoteRef/>
      </w:r>
      <w:r>
        <w:t xml:space="preserve"> </w:t>
      </w:r>
      <w:r w:rsidRPr="00F305D1">
        <w:t xml:space="preserve">George </w:t>
      </w:r>
      <w:proofErr w:type="spellStart"/>
      <w:r w:rsidRPr="00F305D1">
        <w:t>Schleiffarth</w:t>
      </w:r>
      <w:proofErr w:type="spellEnd"/>
      <w:r w:rsidRPr="00F305D1">
        <w:t xml:space="preserve"> and Harry G. </w:t>
      </w:r>
      <w:proofErr w:type="spellStart"/>
      <w:r w:rsidRPr="00F305D1">
        <w:t>Nee</w:t>
      </w:r>
      <w:r>
        <w:t>ler</w:t>
      </w:r>
      <w:proofErr w:type="spellEnd"/>
      <w:r>
        <w:t>, “Dot Beautiful Hebrew Girl</w:t>
      </w:r>
      <w:r w:rsidRPr="00F305D1">
        <w:t xml:space="preserve">” (Chicago: The Chicago Music Co., 1881), Box 054, Item 033, The Lester S. Levy Collection of Sheet Music, The Sheridan Libraries, </w:t>
      </w:r>
      <w:r>
        <w:t>Johns Hopkins</w:t>
      </w:r>
      <w:r w:rsidRPr="00F305D1">
        <w:t xml:space="preserve"> U</w:t>
      </w:r>
      <w:r>
        <w:t>niversity, Baltimore, Maryland.</w:t>
      </w:r>
    </w:p>
  </w:footnote>
  <w:footnote w:id="269">
    <w:p w:rsidR="006F6736" w:rsidRDefault="006F6736" w:rsidP="00AD5B9D">
      <w:pPr>
        <w:pStyle w:val="FootnoteText"/>
        <w:ind w:firstLine="720"/>
      </w:pPr>
      <w:r>
        <w:rPr>
          <w:rStyle w:val="FootnoteReference"/>
        </w:rPr>
        <w:footnoteRef/>
      </w:r>
      <w:r>
        <w:t xml:space="preserve"> Ibid.</w:t>
      </w:r>
    </w:p>
  </w:footnote>
  <w:footnote w:id="270">
    <w:p w:rsidR="006F6736" w:rsidRDefault="006F6736" w:rsidP="00AD5B9D">
      <w:pPr>
        <w:pStyle w:val="FootnoteText"/>
        <w:ind w:firstLine="720"/>
      </w:pPr>
      <w:r>
        <w:rPr>
          <w:rStyle w:val="FootnoteReference"/>
        </w:rPr>
        <w:footnoteRef/>
      </w:r>
      <w:r>
        <w:t xml:space="preserve"> Ibid.</w:t>
      </w:r>
    </w:p>
  </w:footnote>
  <w:footnote w:id="271">
    <w:p w:rsidR="006F6736" w:rsidRDefault="006F6736" w:rsidP="0048083F">
      <w:pPr>
        <w:pStyle w:val="FootnoteText"/>
        <w:ind w:firstLine="720"/>
      </w:pPr>
      <w:r>
        <w:rPr>
          <w:rStyle w:val="FootnoteReference"/>
        </w:rPr>
        <w:footnoteRef/>
      </w:r>
      <w:r>
        <w:t xml:space="preserve"> </w:t>
      </w:r>
      <w:proofErr w:type="spellStart"/>
      <w:r w:rsidRPr="00B51E8A">
        <w:t>Frith</w:t>
      </w:r>
      <w:proofErr w:type="spellEnd"/>
      <w:r w:rsidRPr="00B51E8A">
        <w:t xml:space="preserve">, </w:t>
      </w:r>
      <w:r w:rsidRPr="00B51E8A">
        <w:rPr>
          <w:rFonts w:cstheme="minorHAnsi"/>
        </w:rPr>
        <w:t xml:space="preserve">“Why Do Songs Have Words?” </w:t>
      </w:r>
      <w:r>
        <w:rPr>
          <w:noProof/>
        </w:rPr>
        <w:t>79.</w:t>
      </w:r>
    </w:p>
  </w:footnote>
  <w:footnote w:id="272">
    <w:p w:rsidR="006F6736" w:rsidRDefault="006F6736" w:rsidP="0048083F">
      <w:pPr>
        <w:pStyle w:val="FootnoteText"/>
        <w:ind w:firstLine="720"/>
      </w:pPr>
      <w:r>
        <w:rPr>
          <w:rStyle w:val="FootnoteReference"/>
        </w:rPr>
        <w:footnoteRef/>
      </w:r>
      <w:r>
        <w:t xml:space="preserve"> </w:t>
      </w:r>
      <w:r>
        <w:rPr>
          <w:noProof/>
        </w:rPr>
        <w:t xml:space="preserve">Jon W. Finson, </w:t>
      </w:r>
      <w:r>
        <w:rPr>
          <w:i/>
          <w:noProof/>
        </w:rPr>
        <w:t>The Voices That are Gone: Themes in Nineteenth-Century American Popular S</w:t>
      </w:r>
      <w:r w:rsidRPr="00EA5A55">
        <w:rPr>
          <w:i/>
          <w:noProof/>
        </w:rPr>
        <w:t>ong</w:t>
      </w:r>
      <w:r>
        <w:rPr>
          <w:noProof/>
        </w:rPr>
        <w:t xml:space="preserve"> (New York: Oxford University Press, 1994), 270.</w:t>
      </w:r>
    </w:p>
  </w:footnote>
  <w:footnote w:id="273">
    <w:p w:rsidR="006F6736" w:rsidRDefault="006F6736" w:rsidP="0048083F">
      <w:pPr>
        <w:pStyle w:val="FootnoteText"/>
        <w:ind w:firstLine="720"/>
      </w:pPr>
      <w:r>
        <w:rPr>
          <w:rStyle w:val="FootnoteReference"/>
        </w:rPr>
        <w:footnoteRef/>
      </w:r>
      <w:r>
        <w:t xml:space="preserve"> </w:t>
      </w:r>
      <w:r>
        <w:rPr>
          <w:noProof/>
        </w:rPr>
        <w:t>Ibid., 270-71.</w:t>
      </w:r>
    </w:p>
  </w:footnote>
  <w:footnote w:id="274">
    <w:p w:rsidR="006F6736" w:rsidRPr="008409E0" w:rsidRDefault="006F6736" w:rsidP="0048083F">
      <w:pPr>
        <w:pStyle w:val="FootnoteText"/>
        <w:ind w:firstLine="720"/>
      </w:pPr>
      <w:r>
        <w:rPr>
          <w:rStyle w:val="FootnoteReference"/>
        </w:rPr>
        <w:footnoteRef/>
      </w:r>
      <w:r>
        <w:t xml:space="preserve"> J. </w:t>
      </w:r>
      <w:proofErr w:type="spellStart"/>
      <w:r>
        <w:t>Keppler</w:t>
      </w:r>
      <w:proofErr w:type="spellEnd"/>
      <w:r>
        <w:t xml:space="preserve">, “The Chinese Invasion,” </w:t>
      </w:r>
      <w:r>
        <w:rPr>
          <w:i/>
        </w:rPr>
        <w:t>Puck</w:t>
      </w:r>
      <w:r>
        <w:t xml:space="preserve"> 7, no. 158 (1880), </w:t>
      </w:r>
      <w:r w:rsidRPr="0028475D">
        <w:t>http://www.loc.gov/pictures/item/91793028/</w:t>
      </w:r>
      <w:r>
        <w:t xml:space="preserve"> (accessed March 31, 2013)</w:t>
      </w:r>
    </w:p>
  </w:footnote>
  <w:footnote w:id="275">
    <w:p w:rsidR="006F6736" w:rsidRDefault="006F6736" w:rsidP="00DB05D7">
      <w:pPr>
        <w:pStyle w:val="FootnoteText"/>
        <w:ind w:firstLine="720"/>
      </w:pPr>
      <w:r>
        <w:rPr>
          <w:rStyle w:val="FootnoteReference"/>
        </w:rPr>
        <w:footnoteRef/>
      </w:r>
      <w:r>
        <w:t xml:space="preserve"> Ibid.</w:t>
      </w:r>
    </w:p>
  </w:footnote>
  <w:footnote w:id="276">
    <w:p w:rsidR="006F6736" w:rsidRDefault="006F6736" w:rsidP="0048083F">
      <w:pPr>
        <w:pStyle w:val="FootnoteText"/>
        <w:ind w:firstLine="720"/>
      </w:pPr>
      <w:r>
        <w:rPr>
          <w:rStyle w:val="FootnoteReference"/>
        </w:rPr>
        <w:footnoteRef/>
      </w:r>
      <w:r>
        <w:t xml:space="preserve"> Thomas J. Archdeacon, "Immigration Law," in </w:t>
      </w:r>
      <w:proofErr w:type="gramStart"/>
      <w:r>
        <w:rPr>
          <w:rStyle w:val="Emphasis"/>
        </w:rPr>
        <w:t>The</w:t>
      </w:r>
      <w:proofErr w:type="gramEnd"/>
      <w:r>
        <w:rPr>
          <w:rStyle w:val="Emphasis"/>
        </w:rPr>
        <w:t xml:space="preserve"> Oxford Companion to United States History</w:t>
      </w:r>
      <w:r>
        <w:t xml:space="preserve">: Oxford University Press, 2001. </w:t>
      </w:r>
      <w:r w:rsidRPr="007C5DC3">
        <w:t>http://www.oxfordreference.com/view/10.1093/acref/9780195082098.001.0001/acref-9780195082098-e-0747</w:t>
      </w:r>
      <w:r>
        <w:t xml:space="preserve"> (accessed March 31, 2013)</w:t>
      </w:r>
    </w:p>
  </w:footnote>
  <w:footnote w:id="277">
    <w:p w:rsidR="006F6736" w:rsidRDefault="006F6736" w:rsidP="0048083F">
      <w:pPr>
        <w:pStyle w:val="FootnoteText"/>
        <w:ind w:firstLine="720"/>
      </w:pPr>
      <w:r>
        <w:rPr>
          <w:rStyle w:val="FootnoteReference"/>
        </w:rPr>
        <w:footnoteRef/>
      </w:r>
      <w:r>
        <w:t xml:space="preserve"> Historical Census Browser, “State Level Results for 1880,” University of Virginia Library. </w:t>
      </w:r>
      <w:r w:rsidRPr="00097C26">
        <w:t>http://mapserver.lib.virginia.edu/php/state.php</w:t>
      </w:r>
      <w:r>
        <w:t xml:space="preserve"> (accessed April 17, 2013)</w:t>
      </w:r>
    </w:p>
  </w:footnote>
  <w:footnote w:id="278">
    <w:p w:rsidR="006F6736" w:rsidRDefault="006F6736" w:rsidP="0048083F">
      <w:pPr>
        <w:pStyle w:val="FootnoteText"/>
        <w:ind w:firstLine="720"/>
      </w:pPr>
      <w:r>
        <w:rPr>
          <w:rStyle w:val="FootnoteReference"/>
        </w:rPr>
        <w:footnoteRef/>
      </w:r>
      <w:r>
        <w:t xml:space="preserve"> Based upon the stereotyped dialect of the song this likely translates as “Mexican.”</w:t>
      </w:r>
    </w:p>
  </w:footnote>
  <w:footnote w:id="279">
    <w:p w:rsidR="006F6736" w:rsidRDefault="006F6736" w:rsidP="0048083F">
      <w:pPr>
        <w:pStyle w:val="FootnoteText"/>
        <w:ind w:firstLine="720"/>
      </w:pPr>
      <w:r>
        <w:rPr>
          <w:rStyle w:val="FootnoteReference"/>
        </w:rPr>
        <w:footnoteRef/>
      </w:r>
      <w:r>
        <w:t xml:space="preserve"> </w:t>
      </w:r>
      <w:r w:rsidRPr="00F97923">
        <w:t>Harry R. Wi</w:t>
      </w:r>
      <w:r>
        <w:t>lliams, “’Ah Sin.’ Chinese Song</w:t>
      </w:r>
      <w:r w:rsidRPr="00F97923">
        <w:t xml:space="preserve">” (Detroit: Roe Stephens, Successor to </w:t>
      </w:r>
      <w:proofErr w:type="spellStart"/>
      <w:r w:rsidRPr="00F97923">
        <w:t>Whittemore</w:t>
      </w:r>
      <w:proofErr w:type="spellEnd"/>
      <w:r w:rsidRPr="00F97923">
        <w:t xml:space="preserve"> &amp; Stephens, 1878), Box 054, Item 002, The Lester S. Levy Collection of Sheet Music, The Sheridan Libraries, </w:t>
      </w:r>
      <w:r>
        <w:t>Johns Hopkins</w:t>
      </w:r>
      <w:r w:rsidRPr="00F97923">
        <w:t xml:space="preserve"> University, Baltimore, Maryland.</w:t>
      </w:r>
    </w:p>
  </w:footnote>
  <w:footnote w:id="280">
    <w:p w:rsidR="006F6736" w:rsidRDefault="006F6736" w:rsidP="0048083F">
      <w:pPr>
        <w:pStyle w:val="FootnoteText"/>
        <w:ind w:firstLine="720"/>
      </w:pPr>
      <w:r>
        <w:rPr>
          <w:rStyle w:val="FootnoteReference"/>
        </w:rPr>
        <w:footnoteRef/>
      </w:r>
      <w:r>
        <w:t xml:space="preserve"> Ibid.</w:t>
      </w:r>
    </w:p>
  </w:footnote>
  <w:footnote w:id="281">
    <w:p w:rsidR="006F6736" w:rsidRDefault="006F6736" w:rsidP="0048083F">
      <w:pPr>
        <w:pStyle w:val="FootnoteText"/>
        <w:ind w:firstLine="720"/>
      </w:pPr>
      <w:r>
        <w:rPr>
          <w:rStyle w:val="FootnoteReference"/>
        </w:rPr>
        <w:footnoteRef/>
      </w:r>
      <w:r>
        <w:t xml:space="preserve"> Ibid.</w:t>
      </w:r>
    </w:p>
  </w:footnote>
  <w:footnote w:id="282">
    <w:p w:rsidR="006F6736" w:rsidRPr="00BD267D" w:rsidRDefault="006F6736" w:rsidP="001F582F">
      <w:pPr>
        <w:spacing w:after="0" w:line="240" w:lineRule="auto"/>
        <w:ind w:firstLine="720"/>
        <w:rPr>
          <w:rFonts w:cstheme="minorHAnsi"/>
          <w:noProof/>
          <w:sz w:val="20"/>
          <w:szCs w:val="20"/>
        </w:rPr>
      </w:pPr>
      <w:r w:rsidRPr="002846C1">
        <w:rPr>
          <w:rStyle w:val="FootnoteReference"/>
          <w:sz w:val="20"/>
          <w:szCs w:val="20"/>
        </w:rPr>
        <w:footnoteRef/>
      </w:r>
      <w:r w:rsidRPr="002846C1">
        <w:rPr>
          <w:sz w:val="20"/>
          <w:szCs w:val="20"/>
        </w:rPr>
        <w:t xml:space="preserve"> </w:t>
      </w:r>
      <w:proofErr w:type="gramStart"/>
      <w:r w:rsidRPr="002846C1">
        <w:rPr>
          <w:sz w:val="20"/>
          <w:szCs w:val="20"/>
        </w:rPr>
        <w:t xml:space="preserve">Hannah </w:t>
      </w:r>
      <w:proofErr w:type="spellStart"/>
      <w:r w:rsidRPr="002846C1">
        <w:rPr>
          <w:sz w:val="20"/>
          <w:szCs w:val="20"/>
        </w:rPr>
        <w:t>Aspinall</w:t>
      </w:r>
      <w:proofErr w:type="spellEnd"/>
      <w:r w:rsidRPr="002846C1">
        <w:rPr>
          <w:sz w:val="20"/>
          <w:szCs w:val="20"/>
        </w:rPr>
        <w:t xml:space="preserve">, “The </w:t>
      </w:r>
      <w:proofErr w:type="spellStart"/>
      <w:r w:rsidRPr="002846C1">
        <w:rPr>
          <w:sz w:val="20"/>
          <w:szCs w:val="20"/>
        </w:rPr>
        <w:t>Fetishization</w:t>
      </w:r>
      <w:proofErr w:type="spellEnd"/>
      <w:r w:rsidRPr="002846C1">
        <w:rPr>
          <w:sz w:val="20"/>
          <w:szCs w:val="20"/>
        </w:rPr>
        <w:t xml:space="preserve"> and Objectification of the Female Body in Victorian Culture</w:t>
      </w:r>
      <w:r>
        <w:rPr>
          <w:sz w:val="20"/>
          <w:szCs w:val="20"/>
        </w:rPr>
        <w:t>,</w:t>
      </w:r>
      <w:r w:rsidRPr="002846C1">
        <w:rPr>
          <w:sz w:val="20"/>
          <w:szCs w:val="20"/>
        </w:rPr>
        <w:t xml:space="preserve">” </w:t>
      </w:r>
      <w:proofErr w:type="spellStart"/>
      <w:r w:rsidRPr="002846C1">
        <w:rPr>
          <w:i/>
          <w:sz w:val="20"/>
          <w:szCs w:val="20"/>
        </w:rPr>
        <w:t>brightONLINE</w:t>
      </w:r>
      <w:proofErr w:type="spellEnd"/>
      <w:r w:rsidRPr="002846C1">
        <w:rPr>
          <w:sz w:val="20"/>
          <w:szCs w:val="20"/>
        </w:rPr>
        <w:t xml:space="preserve"> </w:t>
      </w:r>
      <w:r w:rsidRPr="002846C1">
        <w:rPr>
          <w:i/>
          <w:sz w:val="20"/>
          <w:szCs w:val="20"/>
        </w:rPr>
        <w:t>Online Journal of Literary Criticism and Creativity</w:t>
      </w:r>
      <w:r w:rsidRPr="002846C1">
        <w:rPr>
          <w:sz w:val="20"/>
          <w:szCs w:val="20"/>
        </w:rPr>
        <w:t xml:space="preserve"> 2 (August 2012)</w:t>
      </w:r>
      <w:r>
        <w:rPr>
          <w:sz w:val="20"/>
          <w:szCs w:val="20"/>
        </w:rPr>
        <w:t xml:space="preserve">, </w:t>
      </w:r>
      <w:r w:rsidRPr="002846C1">
        <w:rPr>
          <w:sz w:val="20"/>
          <w:szCs w:val="20"/>
        </w:rPr>
        <w:t>http://arts.brighton.ac.uk/study/english-literature-studies-brighton/brightonline/issue-number-two/the-fetishization-and-objectification-of-the-female-body-in-victorian-culture.</w:t>
      </w:r>
      <w:proofErr w:type="gramEnd"/>
    </w:p>
  </w:footnote>
  <w:footnote w:id="283">
    <w:p w:rsidR="006F6736" w:rsidRDefault="006F6736" w:rsidP="001F582F">
      <w:pPr>
        <w:pStyle w:val="FootnoteText"/>
        <w:ind w:firstLine="720"/>
      </w:pPr>
      <w:r>
        <w:rPr>
          <w:rStyle w:val="FootnoteReference"/>
        </w:rPr>
        <w:footnoteRef/>
      </w:r>
      <w:r>
        <w:t xml:space="preserve"> Ibid.</w:t>
      </w:r>
    </w:p>
  </w:footnote>
  <w:footnote w:id="284">
    <w:p w:rsidR="006F6736" w:rsidRDefault="006F6736" w:rsidP="0062520D">
      <w:pPr>
        <w:pStyle w:val="FootnoteText"/>
        <w:ind w:firstLine="720"/>
      </w:pPr>
      <w:r>
        <w:rPr>
          <w:rStyle w:val="FootnoteReference"/>
        </w:rPr>
        <w:footnoteRef/>
      </w:r>
      <w:r>
        <w:t xml:space="preserve"> </w:t>
      </w:r>
      <w:r w:rsidRPr="005A6C43">
        <w:rPr>
          <w:rFonts w:ascii="Calibri" w:eastAsia="Times New Roman" w:hAnsi="Calibri" w:cs="Times New Roman"/>
          <w:color w:val="010101"/>
        </w:rPr>
        <w:t xml:space="preserve">Colleen </w:t>
      </w:r>
      <w:proofErr w:type="spellStart"/>
      <w:r w:rsidRPr="005A6C43">
        <w:rPr>
          <w:rFonts w:ascii="Calibri" w:eastAsia="Times New Roman" w:hAnsi="Calibri" w:cs="Times New Roman"/>
          <w:color w:val="010101"/>
        </w:rPr>
        <w:t>McDannell</w:t>
      </w:r>
      <w:proofErr w:type="spellEnd"/>
      <w:r w:rsidRPr="005A6C43">
        <w:rPr>
          <w:rFonts w:ascii="Calibri" w:eastAsia="Times New Roman" w:hAnsi="Calibri" w:cs="Times New Roman"/>
          <w:color w:val="010101"/>
        </w:rPr>
        <w:t>, </w:t>
      </w:r>
      <w:proofErr w:type="gramStart"/>
      <w:r w:rsidRPr="005A6C43">
        <w:rPr>
          <w:rFonts w:ascii="Calibri" w:eastAsia="Times New Roman" w:hAnsi="Calibri" w:cs="Times New Roman"/>
          <w:i/>
          <w:iCs/>
          <w:color w:val="010101"/>
        </w:rPr>
        <w:t>The</w:t>
      </w:r>
      <w:proofErr w:type="gramEnd"/>
      <w:r w:rsidRPr="005A6C43">
        <w:rPr>
          <w:rFonts w:ascii="Calibri" w:eastAsia="Times New Roman" w:hAnsi="Calibri" w:cs="Times New Roman"/>
          <w:i/>
          <w:iCs/>
          <w:color w:val="010101"/>
        </w:rPr>
        <w:t xml:space="preserve"> Christian h</w:t>
      </w:r>
      <w:r>
        <w:rPr>
          <w:rFonts w:ascii="Calibri" w:eastAsia="Times New Roman" w:hAnsi="Calibri" w:cs="Times New Roman"/>
          <w:i/>
          <w:iCs/>
          <w:color w:val="010101"/>
        </w:rPr>
        <w:t xml:space="preserve">ome in Victorian America, </w:t>
      </w:r>
      <w:r w:rsidRPr="005A6C43">
        <w:rPr>
          <w:rFonts w:ascii="Calibri" w:eastAsia="Times New Roman" w:hAnsi="Calibri" w:cs="Times New Roman"/>
          <w:i/>
          <w:iCs/>
          <w:color w:val="010101"/>
        </w:rPr>
        <w:t>1840-1900</w:t>
      </w:r>
      <w:r w:rsidRPr="005A6C43">
        <w:rPr>
          <w:rFonts w:ascii="Calibri" w:eastAsia="Times New Roman" w:hAnsi="Calibri" w:cs="Times New Roman"/>
          <w:color w:val="010101"/>
        </w:rPr>
        <w:t xml:space="preserve"> </w:t>
      </w:r>
      <w:r>
        <w:rPr>
          <w:rFonts w:ascii="Calibri" w:eastAsia="Times New Roman" w:hAnsi="Calibri" w:cs="Times New Roman"/>
          <w:color w:val="010101"/>
        </w:rPr>
        <w:t xml:space="preserve">(Bloomington: </w:t>
      </w:r>
      <w:r w:rsidRPr="005A6C43">
        <w:rPr>
          <w:rFonts w:ascii="Calibri" w:eastAsia="Times New Roman" w:hAnsi="Calibri" w:cs="Times New Roman"/>
          <w:color w:val="010101"/>
        </w:rPr>
        <w:t>Indiana University Press, 1994</w:t>
      </w:r>
      <w:r>
        <w:rPr>
          <w:rFonts w:ascii="Calibri" w:eastAsia="Times New Roman" w:hAnsi="Calibri" w:cs="Times New Roman"/>
          <w:color w:val="010101"/>
        </w:rPr>
        <w:t>), 11.</w:t>
      </w:r>
    </w:p>
  </w:footnote>
  <w:footnote w:id="285">
    <w:p w:rsidR="006F6736" w:rsidRDefault="006F6736" w:rsidP="0062520D">
      <w:pPr>
        <w:pStyle w:val="FootnoteText"/>
        <w:ind w:firstLine="720"/>
      </w:pPr>
      <w:r>
        <w:rPr>
          <w:rStyle w:val="FootnoteReference"/>
        </w:rPr>
        <w:footnoteRef/>
      </w:r>
      <w:r>
        <w:t xml:space="preserve"> Ibid.</w:t>
      </w:r>
    </w:p>
  </w:footnote>
  <w:footnote w:id="286">
    <w:p w:rsidR="006F6736" w:rsidRDefault="006F6736" w:rsidP="00F212C9">
      <w:pPr>
        <w:pStyle w:val="FootnoteText"/>
        <w:ind w:firstLine="720"/>
      </w:pPr>
      <w:r>
        <w:rPr>
          <w:rStyle w:val="FootnoteReference"/>
        </w:rPr>
        <w:footnoteRef/>
      </w:r>
      <w:r>
        <w:t xml:space="preserve"> </w:t>
      </w:r>
      <w:r w:rsidRPr="00291AC1">
        <w:t xml:space="preserve">G. </w:t>
      </w:r>
      <w:proofErr w:type="spellStart"/>
      <w:r w:rsidRPr="00291AC1">
        <w:t>Bickwell</w:t>
      </w:r>
      <w:proofErr w:type="spellEnd"/>
      <w:r w:rsidRPr="00291AC1">
        <w:t xml:space="preserve"> and T. </w:t>
      </w:r>
      <w:proofErr w:type="spellStart"/>
      <w:r w:rsidRPr="00291AC1">
        <w:t>Kenn</w:t>
      </w:r>
      <w:r>
        <w:t>ick</w:t>
      </w:r>
      <w:proofErr w:type="spellEnd"/>
      <w:r>
        <w:t>, “You Naughty, Naughty Men”</w:t>
      </w:r>
      <w:r w:rsidRPr="00291AC1">
        <w:t xml:space="preserve"> (New York: S.T. Gordon &amp; Son, 1866), Box 7, </w:t>
      </w:r>
      <w:r w:rsidRPr="00291AC1">
        <w:rPr>
          <w:rFonts w:cstheme="minorHAnsi"/>
        </w:rPr>
        <w:t>Edison Sheet Music Collection, Music Division, Library of Congress, Washington, D.C.</w:t>
      </w:r>
    </w:p>
  </w:footnote>
  <w:footnote w:id="287">
    <w:p w:rsidR="006F6736" w:rsidRDefault="006F6736" w:rsidP="00F212C9">
      <w:pPr>
        <w:pStyle w:val="FootnoteText"/>
        <w:ind w:firstLine="720"/>
      </w:pPr>
      <w:r>
        <w:rPr>
          <w:rStyle w:val="FootnoteReference"/>
        </w:rPr>
        <w:footnoteRef/>
      </w:r>
      <w:r>
        <w:t xml:space="preserve"> Ibid.</w:t>
      </w:r>
    </w:p>
  </w:footnote>
  <w:footnote w:id="288">
    <w:p w:rsidR="006F6736" w:rsidRDefault="006F6736" w:rsidP="00F212C9">
      <w:pPr>
        <w:pStyle w:val="FootnoteText"/>
        <w:ind w:firstLine="720"/>
      </w:pPr>
      <w:r>
        <w:rPr>
          <w:rStyle w:val="FootnoteReference"/>
        </w:rPr>
        <w:footnoteRef/>
      </w:r>
      <w:r>
        <w:t xml:space="preserve"> Ibid.</w:t>
      </w:r>
    </w:p>
  </w:footnote>
  <w:footnote w:id="289">
    <w:p w:rsidR="006F6736" w:rsidRDefault="006F6736" w:rsidP="00F212C9">
      <w:pPr>
        <w:pStyle w:val="FootnoteText"/>
        <w:ind w:firstLine="720"/>
        <w:contextualSpacing/>
      </w:pPr>
      <w:r>
        <w:rPr>
          <w:rStyle w:val="FootnoteReference"/>
        </w:rPr>
        <w:footnoteRef/>
      </w:r>
      <w:r>
        <w:t xml:space="preserve"> </w:t>
      </w:r>
      <w:r w:rsidRPr="004721D0">
        <w:t xml:space="preserve">Joe Cooper and Dave Oppenheim, “Tickle It!” (New York: Shapiro Music Pub. </w:t>
      </w:r>
      <w:proofErr w:type="gramStart"/>
      <w:r w:rsidRPr="004721D0">
        <w:t xml:space="preserve">Co., 1912), Box 16, </w:t>
      </w:r>
      <w:r w:rsidRPr="004721D0">
        <w:rPr>
          <w:rFonts w:cstheme="minorHAnsi"/>
        </w:rPr>
        <w:t>Edison Sheet Music Collection, Music Division, Library of Congress, Washington, D.C.</w:t>
      </w:r>
      <w:proofErr w:type="gramEnd"/>
    </w:p>
  </w:footnote>
  <w:footnote w:id="290">
    <w:p w:rsidR="006F6736" w:rsidRDefault="006F6736" w:rsidP="00F212C9">
      <w:pPr>
        <w:pStyle w:val="FootnoteText"/>
        <w:ind w:firstLine="720"/>
      </w:pPr>
      <w:r>
        <w:rPr>
          <w:rStyle w:val="FootnoteReference"/>
        </w:rPr>
        <w:footnoteRef/>
      </w:r>
      <w:r>
        <w:t xml:space="preserve"> Ibid.</w:t>
      </w:r>
    </w:p>
  </w:footnote>
  <w:footnote w:id="291">
    <w:p w:rsidR="006F6736" w:rsidRDefault="006F6736" w:rsidP="00F212C9">
      <w:pPr>
        <w:pStyle w:val="FootnoteText"/>
        <w:ind w:firstLine="720"/>
      </w:pPr>
      <w:r>
        <w:rPr>
          <w:rStyle w:val="FootnoteReference"/>
        </w:rPr>
        <w:footnoteRef/>
      </w:r>
      <w:r>
        <w:t xml:space="preserve"> Ibid.</w:t>
      </w:r>
    </w:p>
  </w:footnote>
  <w:footnote w:id="292">
    <w:p w:rsidR="006F6736" w:rsidRDefault="006F6736" w:rsidP="00F212C9">
      <w:pPr>
        <w:pStyle w:val="FootnoteText"/>
        <w:ind w:firstLine="720"/>
      </w:pPr>
      <w:r>
        <w:rPr>
          <w:rStyle w:val="FootnoteReference"/>
        </w:rPr>
        <w:footnoteRef/>
      </w:r>
      <w:r>
        <w:t xml:space="preserve"> Ibid.</w:t>
      </w:r>
    </w:p>
  </w:footnote>
  <w:footnote w:id="293">
    <w:p w:rsidR="006F6736" w:rsidRDefault="006F6736" w:rsidP="00DB05D7">
      <w:pPr>
        <w:pStyle w:val="FootnoteText"/>
        <w:ind w:firstLine="720"/>
      </w:pPr>
      <w:r>
        <w:rPr>
          <w:rStyle w:val="FootnoteReference"/>
        </w:rPr>
        <w:footnoteRef/>
      </w:r>
      <w:r>
        <w:t xml:space="preserve"> Ibid.</w:t>
      </w:r>
    </w:p>
  </w:footnote>
  <w:footnote w:id="294">
    <w:p w:rsidR="006F6736" w:rsidRDefault="006F6736" w:rsidP="00DB05D7">
      <w:pPr>
        <w:pStyle w:val="FootnoteText"/>
        <w:ind w:firstLine="720"/>
      </w:pPr>
      <w:r>
        <w:rPr>
          <w:rStyle w:val="FootnoteReference"/>
        </w:rPr>
        <w:footnoteRef/>
      </w:r>
      <w:r>
        <w:t xml:space="preserve"> Ibid.</w:t>
      </w:r>
    </w:p>
  </w:footnote>
  <w:footnote w:id="295">
    <w:p w:rsidR="006F6736" w:rsidRDefault="006F6736" w:rsidP="00DB05D7">
      <w:pPr>
        <w:pStyle w:val="FootnoteText"/>
        <w:ind w:firstLine="720"/>
      </w:pPr>
      <w:r>
        <w:rPr>
          <w:rStyle w:val="FootnoteReference"/>
        </w:rPr>
        <w:footnoteRef/>
      </w:r>
      <w:r>
        <w:t xml:space="preserve"> Ibid.</w:t>
      </w:r>
    </w:p>
  </w:footnote>
  <w:footnote w:id="296">
    <w:p w:rsidR="006F6736" w:rsidRDefault="006F6736" w:rsidP="00F212C9">
      <w:pPr>
        <w:pStyle w:val="FootnoteText"/>
        <w:ind w:firstLine="720"/>
      </w:pPr>
      <w:r>
        <w:rPr>
          <w:rStyle w:val="FootnoteReference"/>
        </w:rPr>
        <w:footnoteRef/>
      </w:r>
      <w:r>
        <w:t xml:space="preserve"> </w:t>
      </w:r>
      <w:r>
        <w:rPr>
          <w:noProof/>
        </w:rPr>
        <w:t xml:space="preserve">Levine, </w:t>
      </w:r>
      <w:r>
        <w:rPr>
          <w:i/>
          <w:noProof/>
        </w:rPr>
        <w:t>Highbrow/Lowbrow</w:t>
      </w:r>
      <w:r>
        <w:rPr>
          <w:noProof/>
        </w:rPr>
        <w:t>, 200.</w:t>
      </w:r>
    </w:p>
  </w:footnote>
  <w:footnote w:id="297">
    <w:p w:rsidR="006F6736" w:rsidRDefault="006F6736" w:rsidP="00F212C9">
      <w:pPr>
        <w:pStyle w:val="FootnoteText"/>
        <w:ind w:firstLine="720"/>
      </w:pPr>
      <w:r>
        <w:rPr>
          <w:rStyle w:val="FootnoteReference"/>
        </w:rPr>
        <w:footnoteRef/>
      </w:r>
      <w:r>
        <w:t xml:space="preserve"> John Sullivan Dwight, quoted in </w:t>
      </w:r>
      <w:r>
        <w:rPr>
          <w:noProof/>
        </w:rPr>
        <w:t xml:space="preserve">Levine, </w:t>
      </w:r>
      <w:r>
        <w:rPr>
          <w:i/>
          <w:noProof/>
        </w:rPr>
        <w:t>Highbrow/Lowbrow</w:t>
      </w:r>
      <w:r>
        <w:rPr>
          <w:noProof/>
        </w:rPr>
        <w:t>, 200.</w:t>
      </w:r>
    </w:p>
  </w:footnote>
  <w:footnote w:id="298">
    <w:p w:rsidR="006F6736" w:rsidRDefault="006F6736" w:rsidP="00F212C9">
      <w:pPr>
        <w:pStyle w:val="FootnoteText"/>
        <w:ind w:firstLine="720"/>
      </w:pPr>
      <w:r>
        <w:rPr>
          <w:rStyle w:val="FootnoteReference"/>
        </w:rPr>
        <w:footnoteRef/>
      </w:r>
      <w:r>
        <w:t xml:space="preserve"> </w:t>
      </w:r>
      <w:r>
        <w:rPr>
          <w:noProof/>
        </w:rPr>
        <w:t>Ibid.</w:t>
      </w:r>
    </w:p>
  </w:footnote>
  <w:footnote w:id="299">
    <w:p w:rsidR="006F6736" w:rsidRDefault="006F6736" w:rsidP="009C1165">
      <w:pPr>
        <w:pStyle w:val="FootnoteText"/>
        <w:ind w:firstLine="720"/>
      </w:pPr>
      <w:r>
        <w:rPr>
          <w:rStyle w:val="FootnoteReference"/>
        </w:rPr>
        <w:footnoteRef/>
      </w:r>
      <w:r>
        <w:t xml:space="preserve"> </w:t>
      </w:r>
      <w:proofErr w:type="gramStart"/>
      <w:r>
        <w:rPr>
          <w:noProof/>
        </w:rPr>
        <w:t>Frederick Hallen, Sydney Rosenfeld, and Ludwig Engl</w:t>
      </w:r>
      <w:proofErr w:type="spellStart"/>
      <w:r w:rsidRPr="008A5EE0">
        <w:rPr>
          <w:rFonts w:cstheme="minorHAnsi"/>
        </w:rPr>
        <w:t>ä</w:t>
      </w:r>
      <w:r>
        <w:t>nder</w:t>
      </w:r>
      <w:proofErr w:type="spellEnd"/>
      <w:r>
        <w:t>,</w:t>
      </w:r>
      <w:r>
        <w:rPr>
          <w:noProof/>
        </w:rPr>
        <w:t xml:space="preserve"> </w:t>
      </w:r>
      <w:r>
        <w:rPr>
          <w:i/>
          <w:noProof/>
        </w:rPr>
        <w:t>The 20th Century G</w:t>
      </w:r>
      <w:r w:rsidRPr="00FB425C">
        <w:rPr>
          <w:i/>
          <w:noProof/>
        </w:rPr>
        <w:t>irl</w:t>
      </w:r>
      <w:r>
        <w:rPr>
          <w:noProof/>
        </w:rPr>
        <w:t>, playbill (New York: Grand Opera House, 1895).</w:t>
      </w:r>
      <w:proofErr w:type="gramEnd"/>
    </w:p>
  </w:footnote>
  <w:footnote w:id="300">
    <w:p w:rsidR="006F6736" w:rsidRPr="00FB425C" w:rsidRDefault="006F6736" w:rsidP="009C1165">
      <w:pPr>
        <w:pStyle w:val="FootnoteText"/>
        <w:ind w:firstLine="720"/>
      </w:pPr>
      <w:r>
        <w:rPr>
          <w:rStyle w:val="FootnoteReference"/>
        </w:rPr>
        <w:footnoteRef/>
      </w:r>
      <w:r>
        <w:t xml:space="preserve"> “The New Bijou </w:t>
      </w:r>
      <w:proofErr w:type="spellStart"/>
      <w:r>
        <w:t>Burletta</w:t>
      </w:r>
      <w:proofErr w:type="spellEnd"/>
      <w:r>
        <w:t xml:space="preserve">: Great Applause for ‘The Twentieth Century Girl’ Last Night,” </w:t>
      </w:r>
      <w:r>
        <w:rPr>
          <w:i/>
        </w:rPr>
        <w:t>New York Times</w:t>
      </w:r>
      <w:r>
        <w:t>, January 26, 1895.</w:t>
      </w:r>
    </w:p>
  </w:footnote>
  <w:footnote w:id="301">
    <w:p w:rsidR="006F6736" w:rsidRDefault="006F6736" w:rsidP="009C1165">
      <w:pPr>
        <w:pStyle w:val="FootnoteText"/>
        <w:ind w:firstLine="720"/>
      </w:pPr>
      <w:r>
        <w:rPr>
          <w:rStyle w:val="FootnoteReference"/>
        </w:rPr>
        <w:footnoteRef/>
      </w:r>
      <w:r>
        <w:t xml:space="preserve"> Ibid.</w:t>
      </w:r>
    </w:p>
  </w:footnote>
  <w:footnote w:id="302">
    <w:p w:rsidR="006F6736" w:rsidRPr="00F46D5E" w:rsidRDefault="006F6736" w:rsidP="009C1165">
      <w:pPr>
        <w:pStyle w:val="FootnoteText"/>
        <w:ind w:firstLine="720"/>
      </w:pPr>
      <w:r>
        <w:rPr>
          <w:rStyle w:val="FootnoteReference"/>
        </w:rPr>
        <w:footnoteRef/>
      </w:r>
      <w:r>
        <w:t xml:space="preserve"> </w:t>
      </w:r>
      <w:proofErr w:type="spellStart"/>
      <w:r w:rsidRPr="00F46D5E">
        <w:rPr>
          <w:rStyle w:val="Emphasis"/>
        </w:rPr>
        <w:t>Encyclopædia</w:t>
      </w:r>
      <w:proofErr w:type="spellEnd"/>
      <w:r w:rsidRPr="00F46D5E">
        <w:rPr>
          <w:rStyle w:val="Emphasis"/>
        </w:rPr>
        <w:t xml:space="preserve"> Britannica Online</w:t>
      </w:r>
      <w:r w:rsidRPr="00F46D5E">
        <w:t>, s. v. "</w:t>
      </w:r>
      <w:r w:rsidRPr="00BC0168">
        <w:rPr>
          <w:rStyle w:val="Strong"/>
          <w:b w:val="0"/>
        </w:rPr>
        <w:t>Sylvester</w:t>
      </w:r>
      <w:r w:rsidRPr="00BC0168">
        <w:rPr>
          <w:b/>
        </w:rPr>
        <w:t xml:space="preserve"> </w:t>
      </w:r>
      <w:r w:rsidRPr="00BC0168">
        <w:rPr>
          <w:rStyle w:val="Strong"/>
          <w:b w:val="0"/>
        </w:rPr>
        <w:t>Graham</w:t>
      </w:r>
      <w:r w:rsidRPr="00F46D5E">
        <w:t xml:space="preserve">," </w:t>
      </w:r>
      <w:r w:rsidRPr="00122176">
        <w:t>http://www.britannica.com/EBchecked/topic/240742/Sylvester-Graham</w:t>
      </w:r>
      <w:r>
        <w:t xml:space="preserve"> (</w:t>
      </w:r>
      <w:r w:rsidRPr="00F46D5E">
        <w:t>accessed April 16, 2013</w:t>
      </w:r>
      <w:r>
        <w:t>).</w:t>
      </w:r>
    </w:p>
  </w:footnote>
  <w:footnote w:id="303">
    <w:p w:rsidR="006F6736" w:rsidRDefault="006F6736" w:rsidP="009C1165">
      <w:pPr>
        <w:pStyle w:val="FootnoteText"/>
        <w:ind w:firstLine="720"/>
      </w:pPr>
      <w:r w:rsidRPr="00F46D5E">
        <w:rPr>
          <w:rStyle w:val="FootnoteReference"/>
        </w:rPr>
        <w:footnoteRef/>
      </w:r>
      <w:r w:rsidRPr="00F46D5E">
        <w:t xml:space="preserve"> </w:t>
      </w:r>
      <w:proofErr w:type="spellStart"/>
      <w:r w:rsidRPr="00F46D5E">
        <w:rPr>
          <w:rStyle w:val="Emphasis"/>
        </w:rPr>
        <w:t>Encyclopædia</w:t>
      </w:r>
      <w:proofErr w:type="spellEnd"/>
      <w:r w:rsidRPr="00F46D5E">
        <w:rPr>
          <w:rStyle w:val="Emphasis"/>
        </w:rPr>
        <w:t xml:space="preserve"> Britannica Online</w:t>
      </w:r>
      <w:r w:rsidRPr="00F46D5E">
        <w:t>, s. v. "</w:t>
      </w:r>
      <w:r w:rsidRPr="00BC0168">
        <w:rPr>
          <w:rStyle w:val="Strong"/>
          <w:b w:val="0"/>
        </w:rPr>
        <w:t>Oneida</w:t>
      </w:r>
      <w:r>
        <w:t xml:space="preserve"> Community,</w:t>
      </w:r>
      <w:r w:rsidRPr="00F46D5E">
        <w:t xml:space="preserve">" </w:t>
      </w:r>
      <w:r w:rsidRPr="00122176">
        <w:t>http://www.britannica.com/EBchecked/topic/429132/Oneida-Community</w:t>
      </w:r>
      <w:r>
        <w:t xml:space="preserve"> (</w:t>
      </w:r>
      <w:r w:rsidRPr="00F46D5E">
        <w:t>accessed April 16, 2013</w:t>
      </w:r>
      <w:r>
        <w:t>).</w:t>
      </w:r>
    </w:p>
  </w:footnote>
  <w:footnote w:id="304">
    <w:p w:rsidR="006F6736" w:rsidRDefault="006F6736" w:rsidP="009C1165">
      <w:pPr>
        <w:pStyle w:val="FootnoteText"/>
        <w:ind w:firstLine="720"/>
      </w:pPr>
      <w:r>
        <w:rPr>
          <w:rStyle w:val="FootnoteReference"/>
        </w:rPr>
        <w:footnoteRef/>
      </w:r>
      <w:r>
        <w:t xml:space="preserve"> Ibid.</w:t>
      </w:r>
    </w:p>
  </w:footnote>
  <w:footnote w:id="305">
    <w:p w:rsidR="006F6736" w:rsidRPr="008A5EE0" w:rsidRDefault="006F6736" w:rsidP="005C5639">
      <w:pPr>
        <w:autoSpaceDE w:val="0"/>
        <w:autoSpaceDN w:val="0"/>
        <w:adjustRightInd w:val="0"/>
        <w:spacing w:after="0" w:line="240" w:lineRule="auto"/>
        <w:ind w:firstLine="720"/>
        <w:rPr>
          <w:rFonts w:cstheme="minorHAnsi"/>
          <w:sz w:val="20"/>
          <w:szCs w:val="20"/>
        </w:rPr>
      </w:pPr>
      <w:r>
        <w:rPr>
          <w:rStyle w:val="FootnoteReference"/>
        </w:rPr>
        <w:footnoteRef/>
      </w:r>
      <w:r>
        <w:t xml:space="preserve"> </w:t>
      </w:r>
      <w:r w:rsidRPr="008A5EE0">
        <w:rPr>
          <w:sz w:val="20"/>
          <w:szCs w:val="20"/>
        </w:rPr>
        <w:t xml:space="preserve">Ludwig </w:t>
      </w:r>
      <w:proofErr w:type="spellStart"/>
      <w:r w:rsidRPr="008A5EE0">
        <w:rPr>
          <w:sz w:val="20"/>
          <w:szCs w:val="20"/>
        </w:rPr>
        <w:t>Engl</w:t>
      </w:r>
      <w:r w:rsidRPr="008A5EE0">
        <w:rPr>
          <w:rFonts w:cstheme="minorHAnsi"/>
          <w:sz w:val="20"/>
          <w:szCs w:val="20"/>
        </w:rPr>
        <w:t>ä</w:t>
      </w:r>
      <w:r>
        <w:rPr>
          <w:sz w:val="20"/>
          <w:szCs w:val="20"/>
        </w:rPr>
        <w:t>nder</w:t>
      </w:r>
      <w:proofErr w:type="spellEnd"/>
      <w:r w:rsidRPr="008A5EE0">
        <w:rPr>
          <w:sz w:val="20"/>
          <w:szCs w:val="20"/>
        </w:rPr>
        <w:t xml:space="preserve"> </w:t>
      </w:r>
      <w:r>
        <w:rPr>
          <w:sz w:val="20"/>
          <w:szCs w:val="20"/>
        </w:rPr>
        <w:t>and Sydney Rosenfeld,</w:t>
      </w:r>
      <w:r w:rsidRPr="008A5EE0">
        <w:rPr>
          <w:sz w:val="20"/>
          <w:szCs w:val="20"/>
        </w:rPr>
        <w:t xml:space="preserve"> “The Ambitious Magpie!” </w:t>
      </w:r>
      <w:proofErr w:type="gramStart"/>
      <w:r>
        <w:rPr>
          <w:sz w:val="20"/>
          <w:szCs w:val="20"/>
        </w:rPr>
        <w:t>(</w:t>
      </w:r>
      <w:r w:rsidRPr="008A5EE0">
        <w:rPr>
          <w:sz w:val="20"/>
          <w:szCs w:val="20"/>
        </w:rPr>
        <w:t>New York: T.B. Harms &amp;</w:t>
      </w:r>
      <w:r>
        <w:rPr>
          <w:sz w:val="20"/>
          <w:szCs w:val="20"/>
        </w:rPr>
        <w:t xml:space="preserve"> </w:t>
      </w:r>
      <w:r w:rsidRPr="008A5EE0">
        <w:rPr>
          <w:sz w:val="20"/>
          <w:szCs w:val="20"/>
        </w:rPr>
        <w:t>Co., 1895</w:t>
      </w:r>
      <w:r>
        <w:rPr>
          <w:sz w:val="20"/>
          <w:szCs w:val="20"/>
        </w:rPr>
        <w:t>),</w:t>
      </w:r>
      <w:r w:rsidRPr="008A5EE0">
        <w:rPr>
          <w:sz w:val="20"/>
          <w:szCs w:val="20"/>
        </w:rPr>
        <w:t xml:space="preserve"> Box 23, </w:t>
      </w:r>
      <w:r w:rsidRPr="008A5EE0">
        <w:rPr>
          <w:rFonts w:cstheme="minorHAnsi"/>
          <w:sz w:val="20"/>
          <w:szCs w:val="20"/>
        </w:rPr>
        <w:t>Edison Sheet Music Collection, Music Division, Library of Congress,</w:t>
      </w:r>
      <w:r>
        <w:rPr>
          <w:rFonts w:cstheme="minorHAnsi"/>
          <w:sz w:val="20"/>
          <w:szCs w:val="20"/>
        </w:rPr>
        <w:t xml:space="preserve"> Washington, D.C.</w:t>
      </w:r>
      <w:proofErr w:type="gramEnd"/>
    </w:p>
  </w:footnote>
  <w:footnote w:id="306">
    <w:p w:rsidR="006F6736" w:rsidRDefault="006F6736" w:rsidP="009C1165">
      <w:pPr>
        <w:pStyle w:val="FootnoteText"/>
        <w:ind w:firstLine="720"/>
      </w:pPr>
      <w:r>
        <w:rPr>
          <w:rStyle w:val="FootnoteReference"/>
        </w:rPr>
        <w:footnoteRef/>
      </w:r>
      <w:r>
        <w:t xml:space="preserve"> </w:t>
      </w:r>
      <w:r>
        <w:rPr>
          <w:noProof/>
        </w:rPr>
        <w:t xml:space="preserve">Richard Dyer, </w:t>
      </w:r>
      <w:r>
        <w:rPr>
          <w:i/>
          <w:noProof/>
        </w:rPr>
        <w:t>Only E</w:t>
      </w:r>
      <w:r w:rsidRPr="00017C77">
        <w:rPr>
          <w:i/>
          <w:noProof/>
        </w:rPr>
        <w:t>ntertainment</w:t>
      </w:r>
      <w:r>
        <w:rPr>
          <w:noProof/>
        </w:rPr>
        <w:t xml:space="preserve"> (New York: Routledge, 1992), 18.</w:t>
      </w:r>
    </w:p>
  </w:footnote>
  <w:footnote w:id="307">
    <w:p w:rsidR="006F6736" w:rsidRDefault="006F6736" w:rsidP="009C1165">
      <w:pPr>
        <w:pStyle w:val="FootnoteText"/>
        <w:ind w:firstLine="720"/>
      </w:pPr>
      <w:r>
        <w:rPr>
          <w:rStyle w:val="FootnoteReference"/>
        </w:rPr>
        <w:footnoteRef/>
      </w:r>
      <w:r>
        <w:t xml:space="preserve"> </w:t>
      </w:r>
      <w:r>
        <w:rPr>
          <w:noProof/>
        </w:rPr>
        <w:t>Ibid.</w:t>
      </w:r>
    </w:p>
  </w:footnote>
  <w:footnote w:id="308">
    <w:p w:rsidR="006F6736" w:rsidRDefault="006F6736" w:rsidP="009C1165">
      <w:pPr>
        <w:pStyle w:val="FootnoteText"/>
        <w:ind w:firstLine="720"/>
      </w:pPr>
      <w:r>
        <w:rPr>
          <w:rStyle w:val="FootnoteReference"/>
        </w:rPr>
        <w:footnoteRef/>
      </w:r>
      <w:r>
        <w:t xml:space="preserve"> </w:t>
      </w:r>
      <w:r>
        <w:rPr>
          <w:noProof/>
        </w:rPr>
        <w:t>Ibid.</w:t>
      </w:r>
    </w:p>
  </w:footnote>
  <w:footnote w:id="309">
    <w:p w:rsidR="006F6736" w:rsidRDefault="006F6736" w:rsidP="009C1165">
      <w:pPr>
        <w:pStyle w:val="FootnoteText"/>
        <w:ind w:firstLine="720"/>
      </w:pPr>
      <w:r>
        <w:rPr>
          <w:rStyle w:val="FootnoteReference"/>
        </w:rPr>
        <w:footnoteRef/>
      </w:r>
      <w:r>
        <w:t xml:space="preserve"> Richard Dyer, “Entertainment and Utopia,” reprinted in</w:t>
      </w:r>
      <w:r>
        <w:rPr>
          <w:noProof/>
        </w:rPr>
        <w:t xml:space="preserve"> </w:t>
      </w:r>
      <w:r>
        <w:rPr>
          <w:i/>
          <w:noProof/>
        </w:rPr>
        <w:t>Genre, The Musical: A R</w:t>
      </w:r>
      <w:r w:rsidRPr="00A95222">
        <w:rPr>
          <w:i/>
          <w:noProof/>
        </w:rPr>
        <w:t>eader</w:t>
      </w:r>
      <w:r>
        <w:rPr>
          <w:noProof/>
        </w:rPr>
        <w:t>, Rick Altman, ed. (Boston: Routledge &amp; Kegan Paul in association with the British Film Institute, 1981), 177.</w:t>
      </w:r>
    </w:p>
  </w:footnote>
  <w:footnote w:id="310">
    <w:p w:rsidR="006F6736" w:rsidRDefault="006F6736" w:rsidP="009C1165">
      <w:pPr>
        <w:pStyle w:val="FootnoteText"/>
        <w:ind w:firstLine="720"/>
      </w:pPr>
      <w:r>
        <w:rPr>
          <w:rStyle w:val="FootnoteReference"/>
        </w:rPr>
        <w:footnoteRef/>
      </w:r>
      <w:r>
        <w:t xml:space="preserve"> </w:t>
      </w:r>
      <w:r>
        <w:rPr>
          <w:noProof/>
        </w:rPr>
        <w:t>Ibid., 183.</w:t>
      </w:r>
    </w:p>
  </w:footnote>
  <w:footnote w:id="311">
    <w:p w:rsidR="006F6736" w:rsidRDefault="006F6736" w:rsidP="009C1165">
      <w:pPr>
        <w:pStyle w:val="FootnoteText"/>
        <w:ind w:firstLine="720"/>
      </w:pPr>
      <w:r>
        <w:rPr>
          <w:rStyle w:val="FootnoteReference"/>
        </w:rPr>
        <w:footnoteRef/>
      </w:r>
      <w:r>
        <w:t xml:space="preserve"> </w:t>
      </w:r>
      <w:r>
        <w:rPr>
          <w:noProof/>
        </w:rPr>
        <w:t>Ibid., 184.</w:t>
      </w:r>
    </w:p>
  </w:footnote>
  <w:footnote w:id="312">
    <w:p w:rsidR="006F6736" w:rsidRDefault="006F6736" w:rsidP="009C1165">
      <w:pPr>
        <w:pStyle w:val="FootnoteText"/>
        <w:ind w:firstLine="720"/>
      </w:pPr>
      <w:r>
        <w:rPr>
          <w:rStyle w:val="FootnoteReference"/>
        </w:rPr>
        <w:footnoteRef/>
      </w:r>
      <w:r>
        <w:t xml:space="preserve"> Geoffrey </w:t>
      </w:r>
      <w:proofErr w:type="spellStart"/>
      <w:r>
        <w:t>Nowell</w:t>
      </w:r>
      <w:proofErr w:type="spellEnd"/>
      <w:r>
        <w:t>-Smith, quoted in .</w:t>
      </w:r>
      <w:r>
        <w:rPr>
          <w:noProof/>
        </w:rPr>
        <w:t xml:space="preserve">John Mercer and Martin Shingler, </w:t>
      </w:r>
      <w:r w:rsidRPr="00017C77">
        <w:rPr>
          <w:i/>
          <w:noProof/>
        </w:rPr>
        <w:t>Melodr</w:t>
      </w:r>
      <w:r>
        <w:rPr>
          <w:i/>
          <w:noProof/>
        </w:rPr>
        <w:t>ama: Genre, Style, Sensibility</w:t>
      </w:r>
      <w:r>
        <w:rPr>
          <w:noProof/>
        </w:rPr>
        <w:t xml:space="preserve"> (New York: Wallflower, 2004), 22.</w:t>
      </w:r>
    </w:p>
  </w:footnote>
  <w:footnote w:id="313">
    <w:p w:rsidR="006F6736" w:rsidRDefault="006F6736" w:rsidP="009C1165">
      <w:pPr>
        <w:pStyle w:val="FootnoteText"/>
        <w:ind w:firstLine="720"/>
      </w:pPr>
      <w:r>
        <w:rPr>
          <w:rStyle w:val="FootnoteReference"/>
        </w:rPr>
        <w:footnoteRef/>
      </w:r>
      <w:r>
        <w:t xml:space="preserve"> Peter Brooks, “Melodrama, Body, Revolution,” in</w:t>
      </w:r>
      <w:r>
        <w:rPr>
          <w:noProof/>
        </w:rPr>
        <w:t xml:space="preserve"> </w:t>
      </w:r>
      <w:r>
        <w:rPr>
          <w:i/>
          <w:noProof/>
        </w:rPr>
        <w:t>Melodrama: Stage, Picture, S</w:t>
      </w:r>
      <w:r w:rsidRPr="00122176">
        <w:rPr>
          <w:i/>
          <w:noProof/>
        </w:rPr>
        <w:t>creen</w:t>
      </w:r>
      <w:r>
        <w:rPr>
          <w:noProof/>
        </w:rPr>
        <w:t>, J. S. Bratton et al, eds. (London, 1994), 19.</w:t>
      </w:r>
    </w:p>
  </w:footnote>
  <w:footnote w:id="314">
    <w:p w:rsidR="006F6736" w:rsidRDefault="006F6736" w:rsidP="009C1165">
      <w:pPr>
        <w:pStyle w:val="FootnoteText"/>
        <w:ind w:firstLine="720"/>
      </w:pPr>
      <w:r>
        <w:rPr>
          <w:rStyle w:val="FootnoteReference"/>
        </w:rPr>
        <w:footnoteRef/>
      </w:r>
      <w:r>
        <w:t xml:space="preserve"> </w:t>
      </w:r>
      <w:r>
        <w:rPr>
          <w:noProof/>
        </w:rPr>
        <w:t xml:space="preserve">Mercer and Shingler, </w:t>
      </w:r>
      <w:r>
        <w:rPr>
          <w:i/>
          <w:noProof/>
        </w:rPr>
        <w:t>Melodrama</w:t>
      </w:r>
      <w:r>
        <w:rPr>
          <w:noProof/>
        </w:rPr>
        <w:t>, 22.</w:t>
      </w:r>
    </w:p>
  </w:footnote>
  <w:footnote w:id="315">
    <w:p w:rsidR="006F6736" w:rsidRDefault="006F6736" w:rsidP="009C1165">
      <w:pPr>
        <w:pStyle w:val="FootnoteText"/>
        <w:ind w:firstLine="720"/>
      </w:pPr>
      <w:r>
        <w:rPr>
          <w:rStyle w:val="FootnoteReference"/>
        </w:rPr>
        <w:footnoteRef/>
      </w:r>
      <w:r>
        <w:t xml:space="preserve"> </w:t>
      </w:r>
      <w:r>
        <w:rPr>
          <w:noProof/>
        </w:rPr>
        <w:t>Ibid.</w:t>
      </w:r>
    </w:p>
  </w:footnote>
  <w:footnote w:id="316">
    <w:p w:rsidR="006F6736" w:rsidRDefault="006F6736" w:rsidP="009C1165">
      <w:pPr>
        <w:pStyle w:val="FootnoteText"/>
        <w:ind w:firstLine="720"/>
      </w:pPr>
      <w:r>
        <w:rPr>
          <w:rStyle w:val="FootnoteReference"/>
        </w:rPr>
        <w:footnoteRef/>
      </w:r>
      <w:r>
        <w:t xml:space="preserve"> </w:t>
      </w:r>
      <w:proofErr w:type="spellStart"/>
      <w:r>
        <w:t>Nowell</w:t>
      </w:r>
      <w:proofErr w:type="spellEnd"/>
      <w:r>
        <w:t xml:space="preserve">-Smith, quoted in </w:t>
      </w:r>
      <w:r>
        <w:rPr>
          <w:noProof/>
        </w:rPr>
        <w:t xml:space="preserve">Mercer and Shingler, </w:t>
      </w:r>
      <w:r>
        <w:rPr>
          <w:i/>
          <w:noProof/>
        </w:rPr>
        <w:t>Melodrama</w:t>
      </w:r>
      <w:r>
        <w:rPr>
          <w:noProof/>
        </w:rPr>
        <w:t>, 23.</w:t>
      </w:r>
    </w:p>
  </w:footnote>
  <w:footnote w:id="317">
    <w:p w:rsidR="006F6736" w:rsidRDefault="006F6736" w:rsidP="009C1165">
      <w:pPr>
        <w:pStyle w:val="FootnoteText"/>
        <w:ind w:firstLine="720"/>
      </w:pPr>
      <w:r>
        <w:rPr>
          <w:rStyle w:val="FootnoteReference"/>
        </w:rPr>
        <w:footnoteRef/>
      </w:r>
      <w:r>
        <w:t xml:space="preserve"> </w:t>
      </w:r>
      <w:r>
        <w:rPr>
          <w:noProof/>
        </w:rPr>
        <w:t>Ibid., 24.</w:t>
      </w:r>
    </w:p>
  </w:footnote>
  <w:footnote w:id="318">
    <w:p w:rsidR="006F6736" w:rsidRDefault="006F6736" w:rsidP="009C1165">
      <w:pPr>
        <w:pStyle w:val="FootnoteText"/>
        <w:ind w:firstLine="720"/>
      </w:pPr>
      <w:r>
        <w:rPr>
          <w:rStyle w:val="FootnoteReference"/>
        </w:rPr>
        <w:footnoteRef/>
      </w:r>
      <w:r>
        <w:t xml:space="preserve"> </w:t>
      </w:r>
      <w:r>
        <w:rPr>
          <w:noProof/>
        </w:rPr>
        <w:t>Ibid.</w:t>
      </w:r>
    </w:p>
  </w:footnote>
  <w:footnote w:id="319">
    <w:p w:rsidR="006F6736" w:rsidRDefault="006F6736" w:rsidP="009C1165">
      <w:pPr>
        <w:pStyle w:val="FootnoteText"/>
        <w:ind w:firstLine="720"/>
      </w:pPr>
      <w:r>
        <w:rPr>
          <w:rStyle w:val="FootnoteReference"/>
        </w:rPr>
        <w:footnoteRef/>
      </w:r>
      <w:r>
        <w:t xml:space="preserve"> </w:t>
      </w:r>
      <w:r>
        <w:rPr>
          <w:noProof/>
        </w:rPr>
        <w:t xml:space="preserve">Lawrence W. Levine, </w:t>
      </w:r>
      <w:r>
        <w:rPr>
          <w:i/>
          <w:noProof/>
        </w:rPr>
        <w:t>Highbrow/Lowbrow: The E</w:t>
      </w:r>
      <w:r w:rsidRPr="006C6248">
        <w:rPr>
          <w:i/>
          <w:noProof/>
        </w:rPr>
        <w:t xml:space="preserve">mergence </w:t>
      </w:r>
      <w:r>
        <w:rPr>
          <w:i/>
          <w:noProof/>
        </w:rPr>
        <w:t>of Cultural H</w:t>
      </w:r>
      <w:r w:rsidRPr="006C6248">
        <w:rPr>
          <w:i/>
          <w:noProof/>
        </w:rPr>
        <w:t>ierarchy in America</w:t>
      </w:r>
      <w:r>
        <w:rPr>
          <w:noProof/>
        </w:rPr>
        <w:t xml:space="preserve"> (Cambridge, MA: Harvard University Press, 1988).</w:t>
      </w:r>
    </w:p>
  </w:footnote>
  <w:footnote w:id="320">
    <w:p w:rsidR="006F6736" w:rsidRDefault="006F6736" w:rsidP="009C1165">
      <w:pPr>
        <w:pStyle w:val="FootnoteText"/>
        <w:ind w:firstLine="720"/>
      </w:pPr>
      <w:r>
        <w:rPr>
          <w:rStyle w:val="FootnoteReference"/>
        </w:rPr>
        <w:footnoteRef/>
      </w:r>
      <w:r>
        <w:t xml:space="preserve"> </w:t>
      </w:r>
      <w:r>
        <w:rPr>
          <w:noProof/>
        </w:rPr>
        <w:t xml:space="preserve">George Kateb, </w:t>
      </w:r>
      <w:r>
        <w:rPr>
          <w:i/>
          <w:noProof/>
        </w:rPr>
        <w:t>Utopia and Its E</w:t>
      </w:r>
      <w:r w:rsidRPr="00CA5EDE">
        <w:rPr>
          <w:i/>
          <w:noProof/>
        </w:rPr>
        <w:t>nemies</w:t>
      </w:r>
      <w:r>
        <w:rPr>
          <w:noProof/>
        </w:rPr>
        <w:t xml:space="preserve"> (New York: Free Press of Glencoe, 1963), 9.</w:t>
      </w:r>
    </w:p>
  </w:footnote>
  <w:footnote w:id="321">
    <w:p w:rsidR="006F6736" w:rsidRDefault="006F6736" w:rsidP="009C1165">
      <w:pPr>
        <w:pStyle w:val="FootnoteText"/>
        <w:ind w:firstLine="720"/>
      </w:pPr>
      <w:r>
        <w:rPr>
          <w:rStyle w:val="FootnoteReference"/>
        </w:rPr>
        <w:footnoteRef/>
      </w:r>
      <w:r>
        <w:t xml:space="preserve"> </w:t>
      </w:r>
      <w:r>
        <w:rPr>
          <w:noProof/>
        </w:rPr>
        <w:t>Ibid., 8.</w:t>
      </w:r>
    </w:p>
  </w:footnote>
  <w:footnote w:id="322">
    <w:p w:rsidR="006F6736" w:rsidRDefault="006F6736" w:rsidP="009C1165">
      <w:pPr>
        <w:pStyle w:val="FootnoteText"/>
        <w:ind w:firstLine="720"/>
      </w:pPr>
      <w:r>
        <w:rPr>
          <w:rStyle w:val="FootnoteReference"/>
        </w:rPr>
        <w:footnoteRef/>
      </w:r>
      <w:r>
        <w:t xml:space="preserve"> </w:t>
      </w:r>
      <w:r>
        <w:rPr>
          <w:noProof/>
        </w:rPr>
        <w:t xml:space="preserve">Elisabeth Hansot, </w:t>
      </w:r>
      <w:r>
        <w:rPr>
          <w:i/>
          <w:noProof/>
        </w:rPr>
        <w:t>Perfection and Progress: Two Modes of Utopian T</w:t>
      </w:r>
      <w:r w:rsidRPr="00C44BFF">
        <w:rPr>
          <w:i/>
          <w:noProof/>
        </w:rPr>
        <w:t>hought</w:t>
      </w:r>
      <w:r>
        <w:rPr>
          <w:noProof/>
        </w:rPr>
        <w:t xml:space="preserve"> (Cambridge, MA: MIT Press, 1974), 9.</w:t>
      </w:r>
    </w:p>
  </w:footnote>
  <w:footnote w:id="323">
    <w:p w:rsidR="006F6736" w:rsidRDefault="006F6736" w:rsidP="009C1165">
      <w:pPr>
        <w:pStyle w:val="FootnoteText"/>
        <w:ind w:firstLine="720"/>
      </w:pPr>
      <w:r>
        <w:rPr>
          <w:rStyle w:val="FootnoteReference"/>
        </w:rPr>
        <w:footnoteRef/>
      </w:r>
      <w:r>
        <w:t xml:space="preserve"> </w:t>
      </w:r>
      <w:r>
        <w:rPr>
          <w:noProof/>
        </w:rPr>
        <w:t>Ibid.</w:t>
      </w:r>
    </w:p>
  </w:footnote>
  <w:footnote w:id="324">
    <w:p w:rsidR="006F6736" w:rsidRDefault="006F6736" w:rsidP="009C1165">
      <w:pPr>
        <w:pStyle w:val="FootnoteText"/>
        <w:ind w:firstLine="720"/>
      </w:pPr>
      <w:r>
        <w:rPr>
          <w:rStyle w:val="FootnoteReference"/>
        </w:rPr>
        <w:footnoteRef/>
      </w:r>
      <w:r>
        <w:t xml:space="preserve"> </w:t>
      </w:r>
      <w:r>
        <w:rPr>
          <w:noProof/>
        </w:rPr>
        <w:t xml:space="preserve">Levine, </w:t>
      </w:r>
      <w:r>
        <w:rPr>
          <w:i/>
          <w:noProof/>
        </w:rPr>
        <w:t>Highbrow/Lowbrow</w:t>
      </w:r>
      <w:r>
        <w:rPr>
          <w:noProof/>
        </w:rPr>
        <w:t>, 133.</w:t>
      </w:r>
    </w:p>
  </w:footnote>
  <w:footnote w:id="325">
    <w:p w:rsidR="006F6736" w:rsidRDefault="006F6736" w:rsidP="009C1165">
      <w:pPr>
        <w:pStyle w:val="FootnoteText"/>
        <w:ind w:firstLine="720"/>
      </w:pPr>
      <w:r>
        <w:rPr>
          <w:rStyle w:val="FootnoteReference"/>
        </w:rPr>
        <w:footnoteRef/>
      </w:r>
      <w:r>
        <w:t xml:space="preserve"> </w:t>
      </w:r>
      <w:r>
        <w:rPr>
          <w:noProof/>
        </w:rPr>
        <w:t>Ibid., 132.</w:t>
      </w:r>
    </w:p>
  </w:footnote>
  <w:footnote w:id="326">
    <w:p w:rsidR="006F6736" w:rsidRDefault="006F6736" w:rsidP="009C1165">
      <w:pPr>
        <w:pStyle w:val="FootnoteText"/>
        <w:ind w:firstLine="720"/>
      </w:pPr>
      <w:r>
        <w:rPr>
          <w:rStyle w:val="FootnoteReference"/>
        </w:rPr>
        <w:footnoteRef/>
      </w:r>
      <w:r>
        <w:t xml:space="preserve"> </w:t>
      </w:r>
      <w:proofErr w:type="gramStart"/>
      <w:r>
        <w:t>Ibid.,</w:t>
      </w:r>
      <w:proofErr w:type="gramEnd"/>
      <w:r>
        <w:t xml:space="preserve"> 134.</w:t>
      </w:r>
    </w:p>
  </w:footnote>
  <w:footnote w:id="327">
    <w:p w:rsidR="006F6736" w:rsidRPr="004A34F8" w:rsidRDefault="006F6736" w:rsidP="009C1165">
      <w:pPr>
        <w:pStyle w:val="FootnoteText"/>
        <w:ind w:firstLine="720"/>
      </w:pPr>
      <w:r>
        <w:rPr>
          <w:rStyle w:val="FootnoteReference"/>
        </w:rPr>
        <w:footnoteRef/>
      </w:r>
      <w:r>
        <w:t xml:space="preserve"> Theodor Thomas quoted in </w:t>
      </w:r>
      <w:r>
        <w:rPr>
          <w:noProof/>
        </w:rPr>
        <w:t xml:space="preserve">Levine, </w:t>
      </w:r>
      <w:r>
        <w:rPr>
          <w:i/>
          <w:noProof/>
        </w:rPr>
        <w:t>Highbrow/Lowbrow</w:t>
      </w:r>
      <w:r>
        <w:rPr>
          <w:noProof/>
        </w:rPr>
        <w:t>, 134.</w:t>
      </w:r>
    </w:p>
  </w:footnote>
  <w:footnote w:id="328">
    <w:p w:rsidR="006F6736" w:rsidRDefault="006F6736" w:rsidP="009C1165">
      <w:pPr>
        <w:pStyle w:val="FootnoteText"/>
        <w:ind w:firstLine="720"/>
      </w:pPr>
      <w:r>
        <w:rPr>
          <w:rStyle w:val="FootnoteReference"/>
        </w:rPr>
        <w:footnoteRef/>
      </w:r>
      <w:r>
        <w:t xml:space="preserve"> Max Weber quoted in </w:t>
      </w:r>
      <w:proofErr w:type="spellStart"/>
      <w:r>
        <w:t>Arved</w:t>
      </w:r>
      <w:proofErr w:type="spellEnd"/>
      <w:r>
        <w:t xml:space="preserve"> Ashby, “Schoenberg, Boulez, and Twelve Tone Composition as an Ideal Type,” </w:t>
      </w:r>
      <w:r>
        <w:rPr>
          <w:i/>
        </w:rPr>
        <w:t>Journal of the American Musicological Society</w:t>
      </w:r>
      <w:r>
        <w:t xml:space="preserve"> vol. 54, no. 3 (2001): 588.</w:t>
      </w:r>
    </w:p>
  </w:footnote>
  <w:footnote w:id="329">
    <w:p w:rsidR="006F6736" w:rsidRDefault="006F6736" w:rsidP="009C1165">
      <w:pPr>
        <w:pStyle w:val="FootnoteText"/>
        <w:ind w:firstLine="720"/>
      </w:pPr>
      <w:r>
        <w:rPr>
          <w:rStyle w:val="FootnoteReference"/>
        </w:rPr>
        <w:footnoteRef/>
      </w:r>
      <w:r>
        <w:t xml:space="preserve"> Ibid.</w:t>
      </w:r>
    </w:p>
  </w:footnote>
  <w:footnote w:id="330">
    <w:p w:rsidR="006F6736" w:rsidRDefault="006F6736" w:rsidP="009C1165">
      <w:pPr>
        <w:pStyle w:val="FootnoteText"/>
        <w:ind w:firstLine="720"/>
      </w:pPr>
      <w:r>
        <w:rPr>
          <w:rStyle w:val="FootnoteReference"/>
        </w:rPr>
        <w:footnoteRef/>
      </w:r>
      <w:r>
        <w:t xml:space="preserve"> </w:t>
      </w:r>
      <w:r>
        <w:rPr>
          <w:noProof/>
        </w:rPr>
        <w:t xml:space="preserve">David Nasaw, </w:t>
      </w:r>
      <w:r>
        <w:rPr>
          <w:i/>
          <w:noProof/>
        </w:rPr>
        <w:t>Going Out: The Rise and Fall of Public A</w:t>
      </w:r>
      <w:r w:rsidRPr="000E2C26">
        <w:rPr>
          <w:i/>
          <w:noProof/>
        </w:rPr>
        <w:t>musements</w:t>
      </w:r>
      <w:r>
        <w:rPr>
          <w:noProof/>
        </w:rPr>
        <w:t xml:space="preserve"> (New York: BasicBooks, 1993), 45.</w:t>
      </w:r>
    </w:p>
  </w:footnote>
  <w:footnote w:id="331">
    <w:p w:rsidR="006F6736" w:rsidRDefault="006F6736" w:rsidP="009C1165">
      <w:pPr>
        <w:pStyle w:val="FootnoteText"/>
        <w:ind w:firstLine="720"/>
      </w:pPr>
      <w:r>
        <w:rPr>
          <w:rStyle w:val="FootnoteReference"/>
        </w:rPr>
        <w:footnoteRef/>
      </w:r>
      <w:r>
        <w:t xml:space="preserve"> </w:t>
      </w:r>
      <w:r>
        <w:rPr>
          <w:noProof/>
        </w:rPr>
        <w:t xml:space="preserve">Karl Hagstrom Miller, </w:t>
      </w:r>
      <w:r>
        <w:rPr>
          <w:i/>
          <w:noProof/>
        </w:rPr>
        <w:t>Segregating Sound: Inventing Folk and Pop Music in the A</w:t>
      </w:r>
      <w:r w:rsidRPr="00A31B74">
        <w:rPr>
          <w:i/>
          <w:noProof/>
        </w:rPr>
        <w:t>ge of Jim Crow</w:t>
      </w:r>
      <w:r>
        <w:rPr>
          <w:noProof/>
        </w:rPr>
        <w:t xml:space="preserve"> (Durham, NC: Duke University Press, 2010), 41.</w:t>
      </w:r>
    </w:p>
  </w:footnote>
  <w:footnote w:id="332">
    <w:p w:rsidR="006F6736" w:rsidRDefault="006F6736" w:rsidP="009C1165">
      <w:pPr>
        <w:pStyle w:val="FootnoteText"/>
        <w:ind w:firstLine="720"/>
      </w:pPr>
      <w:r>
        <w:rPr>
          <w:rStyle w:val="FootnoteReference"/>
        </w:rPr>
        <w:footnoteRef/>
      </w:r>
      <w:r>
        <w:t xml:space="preserve"> </w:t>
      </w:r>
      <w:r>
        <w:rPr>
          <w:noProof/>
        </w:rPr>
        <w:t>Ibid.</w:t>
      </w:r>
    </w:p>
  </w:footnote>
  <w:footnote w:id="333">
    <w:p w:rsidR="006F6736" w:rsidRDefault="006F6736" w:rsidP="009C1165">
      <w:pPr>
        <w:pStyle w:val="FootnoteText"/>
        <w:ind w:firstLine="720"/>
      </w:pPr>
      <w:r>
        <w:rPr>
          <w:rStyle w:val="FootnoteReference"/>
        </w:rPr>
        <w:footnoteRef/>
      </w:r>
      <w:r>
        <w:t xml:space="preserve"> </w:t>
      </w:r>
      <w:r>
        <w:rPr>
          <w:noProof/>
        </w:rPr>
        <w:t>Ibid., 41-42.</w:t>
      </w:r>
    </w:p>
  </w:footnote>
  <w:footnote w:id="334">
    <w:p w:rsidR="006F6736" w:rsidRDefault="006F6736" w:rsidP="009C1165">
      <w:pPr>
        <w:pStyle w:val="FootnoteText"/>
        <w:ind w:firstLine="720"/>
      </w:pPr>
      <w:r>
        <w:rPr>
          <w:rStyle w:val="FootnoteReference"/>
        </w:rPr>
        <w:footnoteRef/>
      </w:r>
      <w:r>
        <w:t xml:space="preserve"> </w:t>
      </w:r>
      <w:proofErr w:type="gramStart"/>
      <w:r w:rsidRPr="00615EBB">
        <w:t xml:space="preserve">Gussie L. Davis, “The Coon That I Suspected” </w:t>
      </w:r>
      <w:r>
        <w:t>(</w:t>
      </w:r>
      <w:r w:rsidRPr="00615EBB">
        <w:t>Cincinnati: The John Church Company, 1895</w:t>
      </w:r>
      <w:r>
        <w:t>),</w:t>
      </w:r>
      <w:r w:rsidRPr="00615EBB">
        <w:t xml:space="preserve"> Box 19, </w:t>
      </w:r>
      <w:r w:rsidRPr="00615EBB">
        <w:rPr>
          <w:rFonts w:cstheme="minorHAnsi"/>
        </w:rPr>
        <w:t>Edison Sheet Music Collection, Music Division, Library of Congress, Washington, D.C.</w:t>
      </w:r>
      <w:proofErr w:type="gramEnd"/>
    </w:p>
  </w:footnote>
  <w:footnote w:id="335">
    <w:p w:rsidR="006F6736" w:rsidRDefault="006F6736" w:rsidP="009C1165">
      <w:pPr>
        <w:pStyle w:val="FootnoteText"/>
        <w:ind w:firstLine="720"/>
      </w:pPr>
      <w:r>
        <w:rPr>
          <w:rStyle w:val="FootnoteReference"/>
        </w:rPr>
        <w:footnoteRef/>
      </w:r>
      <w:r>
        <w:t xml:space="preserve"> </w:t>
      </w:r>
      <w:r>
        <w:rPr>
          <w:noProof/>
        </w:rPr>
        <w:t xml:space="preserve">Miller, </w:t>
      </w:r>
      <w:r>
        <w:rPr>
          <w:i/>
          <w:noProof/>
        </w:rPr>
        <w:t>Segregating Sound</w:t>
      </w:r>
      <w:r>
        <w:rPr>
          <w:noProof/>
        </w:rPr>
        <w:t>, 8.</w:t>
      </w:r>
    </w:p>
  </w:footnote>
  <w:footnote w:id="336">
    <w:p w:rsidR="006F6736" w:rsidRPr="00A14E4D" w:rsidRDefault="006F6736" w:rsidP="005C5639">
      <w:pPr>
        <w:autoSpaceDE w:val="0"/>
        <w:autoSpaceDN w:val="0"/>
        <w:adjustRightInd w:val="0"/>
        <w:spacing w:after="0" w:line="240" w:lineRule="auto"/>
        <w:ind w:firstLine="720"/>
        <w:rPr>
          <w:rFonts w:cstheme="minorHAnsi"/>
          <w:sz w:val="20"/>
          <w:szCs w:val="20"/>
        </w:rPr>
      </w:pPr>
      <w:r w:rsidRPr="00A14E4D">
        <w:rPr>
          <w:rStyle w:val="FootnoteReference"/>
          <w:sz w:val="20"/>
          <w:szCs w:val="20"/>
        </w:rPr>
        <w:footnoteRef/>
      </w:r>
      <w:r w:rsidRPr="00A14E4D">
        <w:rPr>
          <w:sz w:val="20"/>
          <w:szCs w:val="20"/>
        </w:rPr>
        <w:t xml:space="preserve"> </w:t>
      </w:r>
      <w:r w:rsidRPr="00A14E4D">
        <w:rPr>
          <w:rFonts w:cstheme="minorHAnsi"/>
          <w:sz w:val="20"/>
          <w:szCs w:val="20"/>
        </w:rPr>
        <w:t xml:space="preserve">S.V. </w:t>
      </w:r>
      <w:proofErr w:type="spellStart"/>
      <w:r w:rsidRPr="00A14E4D">
        <w:rPr>
          <w:rFonts w:cstheme="minorHAnsi"/>
          <w:sz w:val="20"/>
          <w:szCs w:val="20"/>
        </w:rPr>
        <w:t>Engali</w:t>
      </w:r>
      <w:proofErr w:type="spellEnd"/>
      <w:r w:rsidRPr="00A14E4D">
        <w:rPr>
          <w:rFonts w:cstheme="minorHAnsi"/>
          <w:sz w:val="20"/>
          <w:szCs w:val="20"/>
        </w:rPr>
        <w:t xml:space="preserve"> and J. Sherman Brist</w:t>
      </w:r>
      <w:r>
        <w:rPr>
          <w:rFonts w:cstheme="minorHAnsi"/>
          <w:sz w:val="20"/>
          <w:szCs w:val="20"/>
        </w:rPr>
        <w:t>ol, “Little Billie’s Sweetheart</w:t>
      </w:r>
      <w:r w:rsidRPr="00A14E4D">
        <w:rPr>
          <w:rFonts w:cstheme="minorHAnsi"/>
          <w:sz w:val="20"/>
          <w:szCs w:val="20"/>
        </w:rPr>
        <w:t>” (New York: New World Novelty Co., 1895), Box 23, Edison Sheet Music Collection, Music Division, Library of Congress, Washington, D.C.</w:t>
      </w:r>
    </w:p>
  </w:footnote>
  <w:footnote w:id="337">
    <w:p w:rsidR="006F6736" w:rsidRDefault="006F6736" w:rsidP="009C1165">
      <w:pPr>
        <w:pStyle w:val="FootnoteText"/>
        <w:ind w:firstLine="720"/>
      </w:pPr>
      <w:r>
        <w:rPr>
          <w:rStyle w:val="FootnoteReference"/>
        </w:rPr>
        <w:footnoteRef/>
      </w:r>
      <w:r>
        <w:t xml:space="preserve"> Ibid.</w:t>
      </w:r>
    </w:p>
  </w:footnote>
  <w:footnote w:id="338">
    <w:p w:rsidR="006F6736" w:rsidRDefault="006F6736" w:rsidP="009C1165">
      <w:pPr>
        <w:pStyle w:val="FootnoteText"/>
        <w:ind w:firstLine="720"/>
      </w:pPr>
      <w:r>
        <w:rPr>
          <w:rStyle w:val="FootnoteReference"/>
        </w:rPr>
        <w:footnoteRef/>
      </w:r>
      <w:r>
        <w:t xml:space="preserve"> Ibid.</w:t>
      </w:r>
    </w:p>
  </w:footnote>
  <w:footnote w:id="339">
    <w:p w:rsidR="006F6736" w:rsidRPr="00E12A60" w:rsidRDefault="006F6736" w:rsidP="009C1165">
      <w:pPr>
        <w:pStyle w:val="FootnoteText"/>
        <w:ind w:firstLine="720"/>
      </w:pPr>
      <w:r>
        <w:rPr>
          <w:rStyle w:val="FootnoteReference"/>
        </w:rPr>
        <w:footnoteRef/>
      </w:r>
      <w:r>
        <w:t xml:space="preserve"> “The King of Ballads,” advertisement, </w:t>
      </w:r>
      <w:r>
        <w:rPr>
          <w:i/>
        </w:rPr>
        <w:t>The Clipper</w:t>
      </w:r>
      <w:r>
        <w:t>, May 25, 1895, 192.</w:t>
      </w:r>
    </w:p>
  </w:footnote>
  <w:footnote w:id="340">
    <w:p w:rsidR="006F6736" w:rsidRPr="00FA5AC5" w:rsidRDefault="006F6736" w:rsidP="009C1165">
      <w:pPr>
        <w:pStyle w:val="FootnoteText"/>
        <w:ind w:firstLine="720"/>
      </w:pPr>
      <w:r>
        <w:rPr>
          <w:rStyle w:val="FootnoteReference"/>
        </w:rPr>
        <w:footnoteRef/>
      </w:r>
      <w:r>
        <w:t xml:space="preserve"> “Lottie Collins’ Latest Song Success,” advertisement, </w:t>
      </w:r>
      <w:r>
        <w:rPr>
          <w:i/>
        </w:rPr>
        <w:t>The Clipper</w:t>
      </w:r>
      <w:r>
        <w:t>, April 6, 1895, 76.</w:t>
      </w:r>
    </w:p>
  </w:footnote>
  <w:footnote w:id="341">
    <w:p w:rsidR="006F6736" w:rsidRPr="00FA5AC5" w:rsidRDefault="006F6736" w:rsidP="009C1165">
      <w:pPr>
        <w:pStyle w:val="FootnoteText"/>
        <w:ind w:firstLine="720"/>
      </w:pPr>
      <w:r>
        <w:rPr>
          <w:rStyle w:val="FootnoteReference"/>
        </w:rPr>
        <w:footnoteRef/>
      </w:r>
      <w:r>
        <w:t xml:space="preserve"> “Who’s Trilby?” advertisement, </w:t>
      </w:r>
      <w:r>
        <w:rPr>
          <w:i/>
        </w:rPr>
        <w:t>The Clipper</w:t>
      </w:r>
      <w:r>
        <w:t>, March 2, 1895, 839.</w:t>
      </w:r>
    </w:p>
  </w:footnote>
  <w:footnote w:id="342">
    <w:p w:rsidR="006F6736" w:rsidRPr="00FA5AC5" w:rsidRDefault="006F6736" w:rsidP="009C1165">
      <w:pPr>
        <w:pStyle w:val="FootnoteText"/>
        <w:ind w:firstLine="720"/>
      </w:pPr>
      <w:r>
        <w:rPr>
          <w:rStyle w:val="FootnoteReference"/>
        </w:rPr>
        <w:footnoteRef/>
      </w:r>
      <w:r>
        <w:t xml:space="preserve"> </w:t>
      </w:r>
      <w:proofErr w:type="gramStart"/>
      <w:r>
        <w:t xml:space="preserve">“Who Hypnotized O’Leary?” advertisement, </w:t>
      </w:r>
      <w:r>
        <w:rPr>
          <w:i/>
        </w:rPr>
        <w:t>The Clipper</w:t>
      </w:r>
      <w:r>
        <w:t>, February 16, 1895, 808.</w:t>
      </w:r>
      <w:proofErr w:type="gramEnd"/>
    </w:p>
  </w:footnote>
  <w:footnote w:id="343">
    <w:p w:rsidR="006F6736" w:rsidRPr="00FA5AC5" w:rsidRDefault="006F6736" w:rsidP="009C1165">
      <w:pPr>
        <w:pStyle w:val="FootnoteText"/>
        <w:ind w:firstLine="720"/>
      </w:pPr>
      <w:r>
        <w:rPr>
          <w:rStyle w:val="FootnoteReference"/>
        </w:rPr>
        <w:footnoteRef/>
      </w:r>
      <w:r>
        <w:t xml:space="preserve"> </w:t>
      </w:r>
      <w:proofErr w:type="gramStart"/>
      <w:r>
        <w:t xml:space="preserve">“An Up to Date Song,” advertisement, </w:t>
      </w:r>
      <w:r>
        <w:rPr>
          <w:i/>
        </w:rPr>
        <w:t>The Clipper</w:t>
      </w:r>
      <w:r>
        <w:t>, March 16, 1895, 28.</w:t>
      </w:r>
      <w:proofErr w:type="gramEnd"/>
    </w:p>
  </w:footnote>
  <w:footnote w:id="344">
    <w:p w:rsidR="006F6736" w:rsidRPr="00FA5AC5" w:rsidRDefault="006F6736" w:rsidP="009C1165">
      <w:pPr>
        <w:pStyle w:val="FootnoteText"/>
        <w:ind w:firstLine="720"/>
      </w:pPr>
      <w:r>
        <w:rPr>
          <w:rStyle w:val="FootnoteReference"/>
        </w:rPr>
        <w:footnoteRef/>
      </w:r>
      <w:r>
        <w:t xml:space="preserve"> </w:t>
      </w:r>
      <w:proofErr w:type="gramStart"/>
      <w:r>
        <w:t xml:space="preserve">“A Novelty for Comedy Plays, Minstrels, Combinations and The Only Act of its Kind in the World,” advertisement, </w:t>
      </w:r>
      <w:r>
        <w:rPr>
          <w:i/>
        </w:rPr>
        <w:t xml:space="preserve">The Clipper, </w:t>
      </w:r>
      <w:r>
        <w:t>March 16, 1895, 27.</w:t>
      </w:r>
      <w:proofErr w:type="gramEnd"/>
    </w:p>
  </w:footnote>
  <w:footnote w:id="345">
    <w:p w:rsidR="006F6736" w:rsidRDefault="006F6736" w:rsidP="006F6736">
      <w:pPr>
        <w:pStyle w:val="FootnoteText"/>
        <w:ind w:firstLine="720"/>
      </w:pPr>
      <w:r>
        <w:rPr>
          <w:rStyle w:val="FootnoteReference"/>
        </w:rPr>
        <w:footnoteRef/>
      </w:r>
      <w:r>
        <w:t xml:space="preserve"> </w:t>
      </w:r>
      <w:r w:rsidRPr="00A520B4">
        <w:t xml:space="preserve">J.B. </w:t>
      </w:r>
      <w:r>
        <w:t>Cohen</w:t>
      </w:r>
      <w:r w:rsidRPr="00A520B4">
        <w:t xml:space="preserve"> </w:t>
      </w:r>
      <w:r>
        <w:t xml:space="preserve">and G.A. </w:t>
      </w:r>
      <w:proofErr w:type="spellStart"/>
      <w:r>
        <w:t>Scofield</w:t>
      </w:r>
      <w:proofErr w:type="spellEnd"/>
      <w:r>
        <w:t>, “Possum,” (</w:t>
      </w:r>
      <w:r w:rsidRPr="00A520B4">
        <w:t>New York: Pease Piano Company, 1909</w:t>
      </w:r>
      <w:r>
        <w:t>),</w:t>
      </w:r>
      <w:r w:rsidRPr="00A520B4">
        <w:t xml:space="preserve"> Box 15, </w:t>
      </w:r>
      <w:r w:rsidRPr="00A520B4">
        <w:rPr>
          <w:rFonts w:cstheme="minorHAnsi"/>
        </w:rPr>
        <w:t>Edison Sheet Music Collection, Music Division, Library of Congress, Washington, D.C.</w:t>
      </w:r>
    </w:p>
  </w:footnote>
  <w:footnote w:id="346">
    <w:p w:rsidR="006F6736" w:rsidRPr="00BD61E3" w:rsidRDefault="006F6736" w:rsidP="00BD61E3">
      <w:pPr>
        <w:pStyle w:val="FootnoteText"/>
        <w:ind w:firstLine="720"/>
      </w:pPr>
      <w:r>
        <w:rPr>
          <w:rStyle w:val="FootnoteReference"/>
        </w:rPr>
        <w:footnoteRef/>
      </w:r>
      <w:r>
        <w:t xml:space="preserve"> </w:t>
      </w:r>
      <w:r>
        <w:rPr>
          <w:i/>
        </w:rPr>
        <w:t xml:space="preserve">“Possum” Dinner Tendered to President-Elect </w:t>
      </w:r>
      <w:r w:rsidRPr="00BD61E3">
        <w:rPr>
          <w:i/>
        </w:rPr>
        <w:t>William Howard Taft by the Atlanta Chamber of Commerce, January 15, 1909</w:t>
      </w:r>
      <w:r>
        <w:t xml:space="preserve"> (1909), </w:t>
      </w:r>
      <w:r w:rsidRPr="00BD61E3">
        <w:t>http://www.loc.gov/pictures/resource/cph.3c01551/</w:t>
      </w:r>
    </w:p>
  </w:footnote>
  <w:footnote w:id="347">
    <w:p w:rsidR="006F6736" w:rsidRDefault="006F6736" w:rsidP="009C1165">
      <w:pPr>
        <w:pStyle w:val="FootnoteText"/>
        <w:ind w:firstLine="720"/>
      </w:pPr>
      <w:r>
        <w:rPr>
          <w:rStyle w:val="FootnoteReference"/>
        </w:rPr>
        <w:footnoteRef/>
      </w:r>
      <w:r>
        <w:t xml:space="preserve"> Cohen</w:t>
      </w:r>
      <w:r w:rsidRPr="00A520B4">
        <w:t xml:space="preserve"> </w:t>
      </w:r>
      <w:r>
        <w:t xml:space="preserve">and </w:t>
      </w:r>
      <w:proofErr w:type="spellStart"/>
      <w:r>
        <w:t>Scofield</w:t>
      </w:r>
      <w:proofErr w:type="spellEnd"/>
      <w:r>
        <w:t>, “Possum.”</w:t>
      </w:r>
    </w:p>
  </w:footnote>
  <w:footnote w:id="348">
    <w:p w:rsidR="006F6736" w:rsidRDefault="006F6736" w:rsidP="009C1165">
      <w:pPr>
        <w:pStyle w:val="FootnoteText"/>
        <w:ind w:firstLine="720"/>
      </w:pPr>
      <w:r>
        <w:rPr>
          <w:rStyle w:val="FootnoteReference"/>
        </w:rPr>
        <w:footnoteRef/>
      </w:r>
      <w:r>
        <w:t xml:space="preserve"> </w:t>
      </w:r>
      <w:r>
        <w:rPr>
          <w:noProof/>
        </w:rPr>
        <w:t xml:space="preserve">Dale Cockrell, </w:t>
      </w:r>
      <w:r>
        <w:rPr>
          <w:i/>
          <w:noProof/>
        </w:rPr>
        <w:t>Demons of Disorder: Early Blackface Minstrels and Their W</w:t>
      </w:r>
      <w:r w:rsidRPr="00861996">
        <w:rPr>
          <w:i/>
          <w:noProof/>
        </w:rPr>
        <w:t>orld</w:t>
      </w:r>
      <w:r>
        <w:rPr>
          <w:noProof/>
        </w:rPr>
        <w:t xml:space="preserve"> (New York: Cambridge University Press, 1997), 73.</w:t>
      </w:r>
    </w:p>
  </w:footnote>
  <w:footnote w:id="349">
    <w:p w:rsidR="006F6736" w:rsidRDefault="006F6736" w:rsidP="009C1165">
      <w:pPr>
        <w:pStyle w:val="FootnoteText"/>
        <w:ind w:firstLine="720"/>
      </w:pPr>
      <w:r>
        <w:rPr>
          <w:rStyle w:val="FootnoteReference"/>
        </w:rPr>
        <w:footnoteRef/>
      </w:r>
      <w:r>
        <w:t xml:space="preserve"> Ike</w:t>
      </w:r>
      <w:r w:rsidRPr="007B7B62">
        <w:t xml:space="preserve"> Browne, “</w:t>
      </w:r>
      <w:r>
        <w:t>All On Account of the Tariff</w:t>
      </w:r>
      <w:r w:rsidRPr="007B7B62">
        <w:t xml:space="preserve">” </w:t>
      </w:r>
      <w:r>
        <w:t>(</w:t>
      </w:r>
      <w:r w:rsidRPr="007B7B62">
        <w:t>Boston: I.S. Browne, 1890</w:t>
      </w:r>
      <w:r>
        <w:t>),</w:t>
      </w:r>
      <w:r w:rsidRPr="007B7B62">
        <w:t xml:space="preserve"> Box 054, Item 004, The</w:t>
      </w:r>
      <w:r>
        <w:t xml:space="preserve"> L</w:t>
      </w:r>
      <w:r w:rsidRPr="007B7B62">
        <w:t xml:space="preserve">ester S. Levy Collection of Sheet Music, The Sheridan Libraries, </w:t>
      </w:r>
      <w:r>
        <w:t>Johns Hopkins</w:t>
      </w:r>
      <w:r w:rsidRPr="007B7B62">
        <w:t xml:space="preserve"> University,</w:t>
      </w:r>
      <w:r>
        <w:t xml:space="preserve"> </w:t>
      </w:r>
      <w:r w:rsidRPr="007B7B62">
        <w:t>Baltimore, Maryland.</w:t>
      </w:r>
    </w:p>
  </w:footnote>
  <w:footnote w:id="350">
    <w:p w:rsidR="006F6736" w:rsidRDefault="006F6736" w:rsidP="007208C3">
      <w:pPr>
        <w:pStyle w:val="FootnoteText"/>
        <w:ind w:firstLine="720"/>
      </w:pPr>
      <w:r>
        <w:rPr>
          <w:rStyle w:val="FootnoteReference"/>
        </w:rPr>
        <w:footnoteRef/>
      </w:r>
      <w:r>
        <w:t xml:space="preserve"> </w:t>
      </w:r>
      <w:r>
        <w:rPr>
          <w:i/>
        </w:rPr>
        <w:t xml:space="preserve">“Possum” Dinner Tendered to President-Elect </w:t>
      </w:r>
      <w:r w:rsidRPr="00BD61E3">
        <w:rPr>
          <w:i/>
        </w:rPr>
        <w:t>William Howard Taft by the Atlanta Chamber of Commerce, January 15, 1909</w:t>
      </w:r>
      <w:r>
        <w:t xml:space="preserve"> (1909), </w:t>
      </w:r>
      <w:r w:rsidRPr="00BD61E3">
        <w:t>http://www.loc.gov</w:t>
      </w:r>
      <w:r>
        <w:t>/pictures/resource/cph.3c01551/</w:t>
      </w:r>
    </w:p>
  </w:footnote>
  <w:footnote w:id="351">
    <w:p w:rsidR="006F6736" w:rsidRDefault="006F6736" w:rsidP="009C1165">
      <w:pPr>
        <w:pStyle w:val="FootnoteText"/>
        <w:ind w:firstLine="720"/>
      </w:pPr>
      <w:r>
        <w:rPr>
          <w:rStyle w:val="FootnoteReference"/>
        </w:rPr>
        <w:footnoteRef/>
      </w:r>
      <w:r>
        <w:t xml:space="preserve"> </w:t>
      </w:r>
      <w:proofErr w:type="gramStart"/>
      <w:r w:rsidRPr="007906FF">
        <w:t xml:space="preserve">Harry </w:t>
      </w:r>
      <w:r>
        <w:t>Armstrong</w:t>
      </w:r>
      <w:r w:rsidRPr="007906FF">
        <w:t xml:space="preserve"> </w:t>
      </w:r>
      <w:r>
        <w:t>and G.B. Brigham,</w:t>
      </w:r>
      <w:r w:rsidRPr="007906FF">
        <w:t xml:space="preserve"> “That’s a Fact Did You Notice It?”</w:t>
      </w:r>
      <w:proofErr w:type="gramEnd"/>
      <w:r w:rsidRPr="007906FF">
        <w:t xml:space="preserve"> </w:t>
      </w:r>
      <w:proofErr w:type="gramStart"/>
      <w:r>
        <w:t>(</w:t>
      </w:r>
      <w:r w:rsidRPr="007906FF">
        <w:t>Chicago: National Music Co., 1892</w:t>
      </w:r>
      <w:r>
        <w:t>),</w:t>
      </w:r>
      <w:r w:rsidRPr="007906FF">
        <w:t xml:space="preserve"> Box 2, </w:t>
      </w:r>
      <w:r w:rsidRPr="007906FF">
        <w:rPr>
          <w:rFonts w:cstheme="minorHAnsi"/>
        </w:rPr>
        <w:t xml:space="preserve">Edison Sheet Music Collection, Music Division, Library of Congress, Washington, </w:t>
      </w:r>
      <w:r>
        <w:rPr>
          <w:rFonts w:cstheme="minorHAnsi"/>
        </w:rPr>
        <w:t>D.C.</w:t>
      </w:r>
      <w:proofErr w:type="gramEnd"/>
    </w:p>
  </w:footnote>
  <w:footnote w:id="352">
    <w:p w:rsidR="006F6736" w:rsidRDefault="006F6736" w:rsidP="009C1165">
      <w:pPr>
        <w:pStyle w:val="FootnoteText"/>
        <w:ind w:firstLine="720"/>
      </w:pPr>
      <w:r>
        <w:rPr>
          <w:rStyle w:val="FootnoteReference"/>
        </w:rPr>
        <w:footnoteRef/>
      </w:r>
      <w:r>
        <w:t xml:space="preserve"> Ibid.</w:t>
      </w:r>
    </w:p>
  </w:footnote>
  <w:footnote w:id="353">
    <w:p w:rsidR="006F6736" w:rsidRDefault="006F6736" w:rsidP="009C1165">
      <w:pPr>
        <w:pStyle w:val="FootnoteText"/>
        <w:ind w:firstLine="720"/>
      </w:pPr>
      <w:r>
        <w:rPr>
          <w:rStyle w:val="FootnoteReference"/>
        </w:rPr>
        <w:footnoteRef/>
      </w:r>
      <w:r>
        <w:t xml:space="preserve"> In 1889, both New York and Chicago were vying to host the World’s Columbian Exposition that would eventually take place in Chicago in 1893.</w:t>
      </w:r>
    </w:p>
  </w:footnote>
  <w:footnote w:id="354">
    <w:p w:rsidR="006F6736" w:rsidRDefault="006F6736" w:rsidP="009C1165">
      <w:pPr>
        <w:pStyle w:val="FootnoteText"/>
        <w:ind w:firstLine="720"/>
      </w:pPr>
      <w:r>
        <w:rPr>
          <w:rStyle w:val="FootnoteReference"/>
        </w:rPr>
        <w:footnoteRef/>
      </w:r>
      <w:r>
        <w:t xml:space="preserve"> </w:t>
      </w:r>
      <w:r w:rsidRPr="009622BD">
        <w:t xml:space="preserve">G.B. Brigham and George </w:t>
      </w:r>
      <w:proofErr w:type="spellStart"/>
      <w:r w:rsidRPr="009622BD">
        <w:t>LeRoy</w:t>
      </w:r>
      <w:proofErr w:type="spellEnd"/>
      <w:r w:rsidRPr="009622BD">
        <w:t>, “It Is a Te</w:t>
      </w:r>
      <w:r w:rsidR="00981D27">
        <w:t>rrible Deal: A Topical Song</w:t>
      </w:r>
      <w:r w:rsidRPr="009622BD">
        <w:t xml:space="preserve">” (Chicago: National Music Co., 1889), Box 054, Item 064, The Lester S. Levy Collection of Sheet Music, The Sheridan Libraries, </w:t>
      </w:r>
      <w:r>
        <w:t>Johns Hopkins</w:t>
      </w:r>
      <w:r w:rsidRPr="009622BD">
        <w:t xml:space="preserve"> U</w:t>
      </w:r>
      <w:r>
        <w:t>niversity, Baltimore, Maryland.</w:t>
      </w:r>
    </w:p>
  </w:footnote>
  <w:footnote w:id="355">
    <w:p w:rsidR="006F6736" w:rsidRDefault="006F6736" w:rsidP="009C1165">
      <w:pPr>
        <w:pStyle w:val="FootnoteText"/>
        <w:ind w:firstLine="720"/>
      </w:pPr>
      <w:r>
        <w:rPr>
          <w:rStyle w:val="FootnoteReference"/>
        </w:rPr>
        <w:footnoteRef/>
      </w:r>
      <w:r>
        <w:t xml:space="preserve"> Ibid.</w:t>
      </w:r>
    </w:p>
  </w:footnote>
  <w:footnote w:id="356">
    <w:p w:rsidR="006F6736" w:rsidRDefault="006F6736" w:rsidP="009C1165">
      <w:pPr>
        <w:pStyle w:val="FootnoteText"/>
        <w:ind w:firstLine="720"/>
      </w:pPr>
      <w:r>
        <w:rPr>
          <w:rStyle w:val="FootnoteReference"/>
        </w:rPr>
        <w:footnoteRef/>
      </w:r>
      <w:r>
        <w:t xml:space="preserve"> Ibid.</w:t>
      </w:r>
    </w:p>
  </w:footnote>
  <w:footnote w:id="357">
    <w:p w:rsidR="006F6736" w:rsidRPr="009C1165" w:rsidRDefault="006F6736" w:rsidP="009C1165">
      <w:pPr>
        <w:autoSpaceDE w:val="0"/>
        <w:autoSpaceDN w:val="0"/>
        <w:adjustRightInd w:val="0"/>
        <w:spacing w:after="0" w:line="240" w:lineRule="auto"/>
        <w:ind w:firstLine="720"/>
        <w:rPr>
          <w:rFonts w:cstheme="minorHAnsi"/>
          <w:sz w:val="20"/>
          <w:szCs w:val="20"/>
        </w:rPr>
      </w:pPr>
      <w:r w:rsidRPr="009C1165">
        <w:rPr>
          <w:rStyle w:val="FootnoteReference"/>
          <w:sz w:val="20"/>
          <w:szCs w:val="20"/>
        </w:rPr>
        <w:footnoteRef/>
      </w:r>
      <w:r w:rsidRPr="009C1165">
        <w:rPr>
          <w:sz w:val="20"/>
          <w:szCs w:val="20"/>
        </w:rPr>
        <w:t xml:space="preserve"> Richard Stahl and Chas. Hoyt, “Her</w:t>
      </w:r>
      <w:r>
        <w:rPr>
          <w:sz w:val="20"/>
          <w:szCs w:val="20"/>
        </w:rPr>
        <w:t xml:space="preserve"> Skirt Went A Little Bit Higher</w:t>
      </w:r>
      <w:r w:rsidRPr="009C1165">
        <w:rPr>
          <w:sz w:val="20"/>
          <w:szCs w:val="20"/>
        </w:rPr>
        <w:t xml:space="preserve">” (New York: Carl Fischer, 1896), Box 73, </w:t>
      </w:r>
      <w:r w:rsidRPr="009C1165">
        <w:rPr>
          <w:rFonts w:cstheme="minorHAnsi"/>
          <w:sz w:val="20"/>
          <w:szCs w:val="20"/>
        </w:rPr>
        <w:t>Edison Sheet Music Collection, Music Division, Library of Congress, Washington, D.C.</w:t>
      </w:r>
    </w:p>
  </w:footnote>
  <w:footnote w:id="358">
    <w:p w:rsidR="006F6736" w:rsidRDefault="006F6736" w:rsidP="009C1165">
      <w:pPr>
        <w:pStyle w:val="FootnoteText"/>
        <w:ind w:firstLine="720"/>
      </w:pPr>
      <w:r>
        <w:rPr>
          <w:rStyle w:val="FootnoteReference"/>
        </w:rPr>
        <w:footnoteRef/>
      </w:r>
      <w:r>
        <w:t xml:space="preserve"> Ibid.</w:t>
      </w:r>
    </w:p>
  </w:footnote>
  <w:footnote w:id="359">
    <w:p w:rsidR="006F6736" w:rsidRDefault="006F6736" w:rsidP="007208C3">
      <w:pPr>
        <w:pStyle w:val="FootnoteText"/>
        <w:ind w:firstLine="720"/>
      </w:pPr>
      <w:r>
        <w:rPr>
          <w:rStyle w:val="FootnoteReference"/>
        </w:rPr>
        <w:footnoteRef/>
      </w:r>
      <w:r>
        <w:t xml:space="preserve"> Ibid.</w:t>
      </w:r>
    </w:p>
  </w:footnote>
  <w:footnote w:id="360">
    <w:p w:rsidR="006F6736" w:rsidRDefault="006F6736" w:rsidP="009C1165">
      <w:pPr>
        <w:pStyle w:val="FootnoteText"/>
        <w:ind w:firstLine="720"/>
      </w:pPr>
      <w:r>
        <w:rPr>
          <w:rStyle w:val="FootnoteReference"/>
        </w:rPr>
        <w:footnoteRef/>
      </w:r>
      <w:r>
        <w:t xml:space="preserve"> </w:t>
      </w:r>
      <w:proofErr w:type="spellStart"/>
      <w:proofErr w:type="gramStart"/>
      <w:r w:rsidRPr="00CB6BD6">
        <w:t>Chrles</w:t>
      </w:r>
      <w:proofErr w:type="spellEnd"/>
      <w:r w:rsidRPr="00CB6BD6">
        <w:t>[</w:t>
      </w:r>
      <w:proofErr w:type="gramEnd"/>
      <w:r w:rsidRPr="00CB6BD6">
        <w:t xml:space="preserve">sic] </w:t>
      </w:r>
      <w:r>
        <w:t>Duncan</w:t>
      </w:r>
      <w:r w:rsidRPr="00CB6BD6">
        <w:t xml:space="preserve"> </w:t>
      </w:r>
      <w:r>
        <w:t xml:space="preserve">and Arthur </w:t>
      </w:r>
      <w:proofErr w:type="spellStart"/>
      <w:r>
        <w:t>Corney</w:t>
      </w:r>
      <w:proofErr w:type="spellEnd"/>
      <w:r>
        <w:t>,</w:t>
      </w:r>
      <w:r w:rsidRPr="00CB6BD6">
        <w:t xml:space="preserve"> </w:t>
      </w:r>
      <w:r>
        <w:t>“Close To It,</w:t>
      </w:r>
      <w:r w:rsidRPr="00CB6BD6">
        <w:t xml:space="preserve">” Edmund Forman, arr. </w:t>
      </w:r>
      <w:r>
        <w:t>(New York</w:t>
      </w:r>
      <w:r w:rsidRPr="00CB6BD6">
        <w:t>: Harding's Music Office, 1889</w:t>
      </w:r>
      <w:r>
        <w:t>),</w:t>
      </w:r>
      <w:r w:rsidRPr="00CB6BD6">
        <w:t xml:space="preserve"> Box 054, Item 024, The Lester S. Levy Collection of Sheet Music, The Sheridan Libraries, </w:t>
      </w:r>
      <w:r>
        <w:t>Johns Hopkins</w:t>
      </w:r>
      <w:r w:rsidRPr="00CB6BD6">
        <w:t xml:space="preserve"> U</w:t>
      </w:r>
      <w:r>
        <w:t>niversity, Baltimore, Maryland.</w:t>
      </w:r>
    </w:p>
  </w:footnote>
  <w:footnote w:id="361">
    <w:p w:rsidR="006F6736" w:rsidRDefault="006F6736" w:rsidP="009C1165">
      <w:pPr>
        <w:pStyle w:val="FootnoteText"/>
        <w:ind w:firstLine="720"/>
      </w:pPr>
      <w:r>
        <w:rPr>
          <w:rStyle w:val="FootnoteReference"/>
        </w:rPr>
        <w:footnoteRef/>
      </w:r>
      <w:r>
        <w:t xml:space="preserve"> </w:t>
      </w:r>
      <w:r w:rsidRPr="00E15920">
        <w:t>Fred G. Carnes and John G. Sax</w:t>
      </w:r>
      <w:r w:rsidR="00F75D1B">
        <w:t>e, “What They do at the Springs</w:t>
      </w:r>
      <w:r w:rsidRPr="00E15920">
        <w:t xml:space="preserve">” (San Francisco: California Music Publishing Company, 1878), Box 054, Item 155, The Lester S. Levy Collection of Sheet Music, The Sheridan Libraries, </w:t>
      </w:r>
      <w:r>
        <w:t>Johns Hopkins</w:t>
      </w:r>
      <w:r w:rsidRPr="00E15920">
        <w:t xml:space="preserve"> U</w:t>
      </w:r>
      <w:r>
        <w:t>niversity, Baltimore, Maryland.</w:t>
      </w:r>
    </w:p>
  </w:footnote>
  <w:footnote w:id="362">
    <w:p w:rsidR="006F6736" w:rsidRDefault="006F6736" w:rsidP="009C1165">
      <w:pPr>
        <w:pStyle w:val="FootnoteText"/>
        <w:ind w:firstLine="720"/>
      </w:pPr>
      <w:r>
        <w:rPr>
          <w:rStyle w:val="FootnoteReference"/>
        </w:rPr>
        <w:footnoteRef/>
      </w:r>
      <w:r>
        <w:t xml:space="preserve"> Ibid.</w:t>
      </w:r>
    </w:p>
  </w:footnote>
  <w:footnote w:id="363">
    <w:p w:rsidR="006F6736" w:rsidRDefault="006F6736" w:rsidP="009C1165">
      <w:pPr>
        <w:pStyle w:val="FootnoteText"/>
        <w:ind w:firstLine="720"/>
      </w:pPr>
      <w:r>
        <w:rPr>
          <w:rStyle w:val="FootnoteReference"/>
        </w:rPr>
        <w:footnoteRef/>
      </w:r>
      <w:r>
        <w:t xml:space="preserve"> </w:t>
      </w:r>
      <w:r w:rsidRPr="004F6037">
        <w:t>Edward F. Edwards, “Turn the Cran</w:t>
      </w:r>
      <w:r w:rsidR="00F75D1B">
        <w:t>k!! A Plea for Personal Liberty</w:t>
      </w:r>
      <w:r w:rsidRPr="004F6037">
        <w:t xml:space="preserve">” (Chicago: Metropolitan Music Co., 1886), Box 054, Item 147, The Lester S. Levy Collection of Sheet Music, The Sheridan Libraries, </w:t>
      </w:r>
      <w:r>
        <w:t>Johns Hopkins</w:t>
      </w:r>
      <w:r w:rsidRPr="004F6037">
        <w:t xml:space="preserve"> U</w:t>
      </w:r>
      <w:r>
        <w:t>niversity, Baltimore, Maryland.</w:t>
      </w:r>
    </w:p>
  </w:footnote>
  <w:footnote w:id="364">
    <w:p w:rsidR="006F6736" w:rsidRDefault="006F6736" w:rsidP="009C1165">
      <w:pPr>
        <w:pStyle w:val="FootnoteText"/>
        <w:ind w:firstLine="720"/>
      </w:pPr>
      <w:r>
        <w:rPr>
          <w:rStyle w:val="FootnoteReference"/>
        </w:rPr>
        <w:footnoteRef/>
      </w:r>
      <w:r>
        <w:t xml:space="preserve"> Ibid.</w:t>
      </w:r>
    </w:p>
  </w:footnote>
  <w:footnote w:id="365">
    <w:p w:rsidR="006F6736" w:rsidRDefault="006F6736" w:rsidP="009C1165">
      <w:pPr>
        <w:pStyle w:val="FootnoteText"/>
        <w:ind w:firstLine="720"/>
      </w:pPr>
      <w:r>
        <w:rPr>
          <w:rStyle w:val="FootnoteReference"/>
        </w:rPr>
        <w:footnoteRef/>
      </w:r>
      <w:r>
        <w:t xml:space="preserve"> Ibid.</w:t>
      </w:r>
    </w:p>
  </w:footnote>
  <w:footnote w:id="366">
    <w:p w:rsidR="006F6736" w:rsidRDefault="006F6736" w:rsidP="009C1165">
      <w:pPr>
        <w:pStyle w:val="FootnoteText"/>
        <w:ind w:firstLine="720"/>
      </w:pPr>
      <w:r>
        <w:rPr>
          <w:rStyle w:val="FootnoteReference"/>
        </w:rPr>
        <w:footnoteRef/>
      </w:r>
      <w:r>
        <w:t xml:space="preserve"> </w:t>
      </w:r>
      <w:r w:rsidRPr="00506137">
        <w:t>Jesse Williams, “Popular</w:t>
      </w:r>
      <w:r>
        <w:t xml:space="preserve"> Songs. No.5. All Among the Hay</w:t>
      </w:r>
      <w:r w:rsidRPr="00506137">
        <w:t xml:space="preserve">” (Boston: White &amp; </w:t>
      </w:r>
      <w:proofErr w:type="spellStart"/>
      <w:r w:rsidRPr="00506137">
        <w:t>Goullaud</w:t>
      </w:r>
      <w:proofErr w:type="spellEnd"/>
      <w:r w:rsidRPr="00506137">
        <w:t xml:space="preserve">, 1870), Box 054, Item 003, The Lester S. Levy Collection of Sheet Music, The Sheridan Libraries, </w:t>
      </w:r>
      <w:r>
        <w:t>Johns Hopkins</w:t>
      </w:r>
      <w:r w:rsidRPr="00506137">
        <w:t xml:space="preserve"> U</w:t>
      </w:r>
      <w:r>
        <w:t>niversity, Baltimore, Maryland.</w:t>
      </w:r>
    </w:p>
  </w:footnote>
  <w:footnote w:id="367">
    <w:p w:rsidR="006F6736" w:rsidRDefault="006F6736" w:rsidP="009C1165">
      <w:pPr>
        <w:pStyle w:val="FootnoteText"/>
        <w:ind w:firstLine="720"/>
      </w:pPr>
      <w:r>
        <w:rPr>
          <w:rStyle w:val="FootnoteReference"/>
        </w:rPr>
        <w:footnoteRef/>
      </w:r>
      <w:r>
        <w:t xml:space="preserve"> Ibid.</w:t>
      </w:r>
    </w:p>
  </w:footnote>
  <w:footnote w:id="368">
    <w:p w:rsidR="006F6736" w:rsidRDefault="006F6736" w:rsidP="009C1165">
      <w:pPr>
        <w:pStyle w:val="FootnoteText"/>
        <w:ind w:firstLine="720"/>
      </w:pPr>
      <w:r>
        <w:rPr>
          <w:rStyle w:val="FootnoteReference"/>
        </w:rPr>
        <w:footnoteRef/>
      </w:r>
      <w:r>
        <w:t xml:space="preserve"> Ibid.</w:t>
      </w:r>
    </w:p>
  </w:footnote>
  <w:footnote w:id="369">
    <w:p w:rsidR="006F6736" w:rsidRPr="00EB2721" w:rsidRDefault="006F6736" w:rsidP="009C1165">
      <w:pPr>
        <w:pStyle w:val="FootnoteText"/>
        <w:ind w:firstLine="720"/>
      </w:pPr>
      <w:r w:rsidRPr="00EB2721">
        <w:rPr>
          <w:rStyle w:val="FootnoteReference"/>
        </w:rPr>
        <w:footnoteRef/>
      </w:r>
      <w:r>
        <w:t xml:space="preserve"> </w:t>
      </w:r>
      <w:proofErr w:type="spellStart"/>
      <w:r w:rsidRPr="008A5EE0">
        <w:t>Engl</w:t>
      </w:r>
      <w:r w:rsidRPr="008A5EE0">
        <w:rPr>
          <w:rFonts w:cstheme="minorHAnsi"/>
        </w:rPr>
        <w:t>ä</w:t>
      </w:r>
      <w:r>
        <w:t>nder</w:t>
      </w:r>
      <w:proofErr w:type="spellEnd"/>
      <w:r w:rsidRPr="008A5EE0">
        <w:t xml:space="preserve"> </w:t>
      </w:r>
      <w:r>
        <w:t>and Rosenfeld, “The Ambitious Magpie!”</w:t>
      </w:r>
    </w:p>
  </w:footnote>
  <w:footnote w:id="370">
    <w:p w:rsidR="006F6736" w:rsidRDefault="006F6736" w:rsidP="00FB0A40">
      <w:pPr>
        <w:pStyle w:val="FootnoteText"/>
        <w:ind w:firstLine="720"/>
      </w:pPr>
      <w:r>
        <w:rPr>
          <w:rStyle w:val="FootnoteReference"/>
        </w:rPr>
        <w:footnoteRef/>
      </w:r>
      <w:r>
        <w:t xml:space="preserve"> </w:t>
      </w:r>
      <w:r>
        <w:rPr>
          <w:noProof/>
        </w:rPr>
        <w:t xml:space="preserve">Lawrence W. Levine, </w:t>
      </w:r>
      <w:r>
        <w:rPr>
          <w:i/>
          <w:noProof/>
        </w:rPr>
        <w:t>Highbrow/Lowbrow: The E</w:t>
      </w:r>
      <w:r w:rsidRPr="004219FB">
        <w:rPr>
          <w:i/>
          <w:noProof/>
        </w:rPr>
        <w:t>mergenc</w:t>
      </w:r>
      <w:r>
        <w:rPr>
          <w:i/>
          <w:noProof/>
        </w:rPr>
        <w:t>e of Cultural H</w:t>
      </w:r>
      <w:r w:rsidRPr="004219FB">
        <w:rPr>
          <w:i/>
          <w:noProof/>
        </w:rPr>
        <w:t>ierarchy in America</w:t>
      </w:r>
      <w:r>
        <w:rPr>
          <w:noProof/>
        </w:rPr>
        <w:t xml:space="preserve"> (Cambridge, MA: Harvard University Press, 1988), 225.</w:t>
      </w:r>
    </w:p>
  </w:footnote>
  <w:footnote w:id="371">
    <w:p w:rsidR="006F6736" w:rsidRDefault="006F6736" w:rsidP="00FB0A40">
      <w:pPr>
        <w:pStyle w:val="FootnoteText"/>
        <w:ind w:firstLine="720"/>
      </w:pPr>
      <w:r>
        <w:rPr>
          <w:rStyle w:val="FootnoteReference"/>
        </w:rPr>
        <w:footnoteRef/>
      </w:r>
      <w:r>
        <w:t xml:space="preserve"> </w:t>
      </w:r>
      <w:r>
        <w:rPr>
          <w:noProof/>
        </w:rPr>
        <w:t>Ibid.</w:t>
      </w:r>
    </w:p>
  </w:footnote>
  <w:footnote w:id="372">
    <w:p w:rsidR="006F6736" w:rsidRDefault="006F6736" w:rsidP="00FB0A40">
      <w:pPr>
        <w:pStyle w:val="FootnoteText"/>
        <w:ind w:firstLine="720"/>
      </w:pPr>
      <w:r>
        <w:rPr>
          <w:rStyle w:val="FootnoteReference"/>
        </w:rPr>
        <w:footnoteRef/>
      </w:r>
      <w:r>
        <w:t xml:space="preserve"> Candace M. </w:t>
      </w:r>
      <w:proofErr w:type="spellStart"/>
      <w:r>
        <w:t>Volz</w:t>
      </w:r>
      <w:proofErr w:type="spellEnd"/>
      <w:r>
        <w:t>, “The Modern Look of the Early Twentieth-Century House: A Mirror of Changing Lifestyles,” in</w:t>
      </w:r>
      <w:r>
        <w:rPr>
          <w:noProof/>
        </w:rPr>
        <w:t xml:space="preserve"> </w:t>
      </w:r>
      <w:r>
        <w:rPr>
          <w:i/>
          <w:noProof/>
        </w:rPr>
        <w:t>American Home Life, 1880-1930: A Social History of Spaces and S</w:t>
      </w:r>
      <w:r w:rsidRPr="00514CAF">
        <w:rPr>
          <w:i/>
          <w:noProof/>
        </w:rPr>
        <w:t>ervices</w:t>
      </w:r>
      <w:r>
        <w:rPr>
          <w:noProof/>
        </w:rPr>
        <w:t>, Jessica H. Foy and Thomas J. Schlereth, eds. (Knoxville: University of Tennessee Press, 1992), 46.</w:t>
      </w:r>
    </w:p>
  </w:footnote>
  <w:footnote w:id="373">
    <w:p w:rsidR="006F6736" w:rsidRDefault="006F6736" w:rsidP="00FB0A40">
      <w:pPr>
        <w:pStyle w:val="FootnoteText"/>
        <w:ind w:firstLine="720"/>
      </w:pPr>
      <w:r>
        <w:rPr>
          <w:rStyle w:val="FootnoteReference"/>
        </w:rPr>
        <w:footnoteRef/>
      </w:r>
      <w:r w:rsidR="005B002C">
        <w:rPr>
          <w:noProof/>
        </w:rPr>
        <w:t xml:space="preserve"> Thomas J. Schlereth</w:t>
      </w:r>
      <w:r>
        <w:rPr>
          <w:noProof/>
        </w:rPr>
        <w:t xml:space="preserve">, </w:t>
      </w:r>
      <w:r w:rsidR="005B002C">
        <w:rPr>
          <w:noProof/>
        </w:rPr>
        <w:t xml:space="preserve">“Introduction: American Homes and American Scholars,” in </w:t>
      </w:r>
      <w:r>
        <w:rPr>
          <w:i/>
          <w:noProof/>
        </w:rPr>
        <w:t>American Home Life, 1880-1930: A Social History of Spaces and S</w:t>
      </w:r>
      <w:r w:rsidRPr="00514CAF">
        <w:rPr>
          <w:i/>
          <w:noProof/>
        </w:rPr>
        <w:t>ervices</w:t>
      </w:r>
      <w:r w:rsidR="005B002C">
        <w:rPr>
          <w:noProof/>
        </w:rPr>
        <w:t>, Jessica H. Foy and Thomas J. Schlereth, eds.</w:t>
      </w:r>
      <w:r>
        <w:rPr>
          <w:noProof/>
        </w:rPr>
        <w:t xml:space="preserve"> (Knoxville: University of Tennessee Press, 1992), 5.</w:t>
      </w:r>
    </w:p>
  </w:footnote>
  <w:footnote w:id="374">
    <w:p w:rsidR="006F6736" w:rsidRDefault="006F6736" w:rsidP="00FB0A40">
      <w:pPr>
        <w:pStyle w:val="FootnoteText"/>
        <w:ind w:firstLine="720"/>
      </w:pPr>
      <w:r>
        <w:rPr>
          <w:rStyle w:val="FootnoteReference"/>
        </w:rPr>
        <w:footnoteRef/>
      </w:r>
      <w:r>
        <w:t xml:space="preserve"> </w:t>
      </w:r>
      <w:r>
        <w:rPr>
          <w:noProof/>
        </w:rPr>
        <w:t xml:space="preserve">Eric Lott, </w:t>
      </w:r>
      <w:r>
        <w:rPr>
          <w:i/>
          <w:noProof/>
        </w:rPr>
        <w:t>Love and Theft: Blackface M</w:t>
      </w:r>
      <w:r w:rsidRPr="00880B38">
        <w:rPr>
          <w:i/>
          <w:noProof/>
        </w:rPr>
        <w:t>in</w:t>
      </w:r>
      <w:r>
        <w:rPr>
          <w:i/>
          <w:noProof/>
        </w:rPr>
        <w:t>strelsy and the American Working C</w:t>
      </w:r>
      <w:r w:rsidRPr="00880B38">
        <w:rPr>
          <w:i/>
          <w:noProof/>
        </w:rPr>
        <w:t>lass</w:t>
      </w:r>
      <w:r>
        <w:rPr>
          <w:noProof/>
        </w:rPr>
        <w:t xml:space="preserve"> (New York: Oxford University Press, 1993).</w:t>
      </w:r>
    </w:p>
  </w:footnote>
  <w:footnote w:id="375">
    <w:p w:rsidR="006F6736" w:rsidRDefault="006F6736" w:rsidP="00FB0A40">
      <w:pPr>
        <w:pStyle w:val="FootnoteText"/>
        <w:ind w:firstLine="720"/>
      </w:pPr>
      <w:r>
        <w:rPr>
          <w:rStyle w:val="FootnoteReference"/>
        </w:rPr>
        <w:footnoteRef/>
      </w:r>
      <w:r>
        <w:t xml:space="preserve"> </w:t>
      </w:r>
      <w:r>
        <w:rPr>
          <w:noProof/>
        </w:rPr>
        <w:t xml:space="preserve">George Lipsitz, </w:t>
      </w:r>
      <w:r>
        <w:rPr>
          <w:i/>
          <w:noProof/>
        </w:rPr>
        <w:t>Dangerous Crossroads: Popular Music, Postmodernism, and the Poetics of P</w:t>
      </w:r>
      <w:r w:rsidRPr="00FB12FA">
        <w:rPr>
          <w:i/>
          <w:noProof/>
        </w:rPr>
        <w:t>lace</w:t>
      </w:r>
      <w:r>
        <w:rPr>
          <w:noProof/>
        </w:rPr>
        <w:t xml:space="preserve"> (New York: Verso, 1994), 63.</w:t>
      </w:r>
    </w:p>
  </w:footnote>
  <w:footnote w:id="376">
    <w:p w:rsidR="006F6736" w:rsidRDefault="006F6736" w:rsidP="00FB0A40">
      <w:pPr>
        <w:pStyle w:val="FootnoteText"/>
        <w:ind w:firstLine="720"/>
      </w:pPr>
      <w:r>
        <w:rPr>
          <w:rStyle w:val="FootnoteReference"/>
        </w:rPr>
        <w:footnoteRef/>
      </w:r>
      <w:r>
        <w:t xml:space="preserve"> </w:t>
      </w:r>
      <w:r>
        <w:rPr>
          <w:noProof/>
        </w:rPr>
        <w:t>Ibid., 51.</w:t>
      </w:r>
    </w:p>
  </w:footnote>
  <w:footnote w:id="377">
    <w:p w:rsidR="006F6736" w:rsidRDefault="006F6736" w:rsidP="00FB0A40">
      <w:pPr>
        <w:pStyle w:val="FootnoteText"/>
        <w:ind w:firstLine="720"/>
      </w:pPr>
      <w:r>
        <w:rPr>
          <w:rStyle w:val="FootnoteReference"/>
        </w:rPr>
        <w:footnoteRef/>
      </w:r>
      <w:r>
        <w:t xml:space="preserve"> </w:t>
      </w:r>
      <w:r>
        <w:rPr>
          <w:noProof/>
        </w:rPr>
        <w:t>Ibid., 53.</w:t>
      </w:r>
    </w:p>
  </w:footnote>
  <w:footnote w:id="378">
    <w:p w:rsidR="006F6736" w:rsidRDefault="006F6736" w:rsidP="00FB0A40">
      <w:pPr>
        <w:pStyle w:val="FootnoteText"/>
        <w:ind w:firstLine="720"/>
      </w:pPr>
      <w:r>
        <w:rPr>
          <w:rStyle w:val="FootnoteReference"/>
        </w:rPr>
        <w:footnoteRef/>
      </w:r>
      <w:r>
        <w:t xml:space="preserve"> </w:t>
      </w:r>
      <w:r w:rsidRPr="00C744D6">
        <w:t>G</w:t>
      </w:r>
      <w:r>
        <w:t xml:space="preserve">eo. </w:t>
      </w:r>
      <w:proofErr w:type="spellStart"/>
      <w:r>
        <w:t>Foertsch</w:t>
      </w:r>
      <w:proofErr w:type="spellEnd"/>
      <w:r>
        <w:t>, and Kate Kauffman, “Laugh Ha-Ha, Ha-Ha</w:t>
      </w:r>
      <w:r w:rsidRPr="00C744D6">
        <w:t xml:space="preserve">” </w:t>
      </w:r>
      <w:r>
        <w:t>(</w:t>
      </w:r>
      <w:r w:rsidRPr="00C744D6">
        <w:t>Cincinnati: J</w:t>
      </w:r>
      <w:r>
        <w:t xml:space="preserve">.C. </w:t>
      </w:r>
      <w:proofErr w:type="spellStart"/>
      <w:r>
        <w:t>Groene</w:t>
      </w:r>
      <w:proofErr w:type="spellEnd"/>
      <w:r>
        <w:t xml:space="preserve"> &amp; Co., 1892) Box 25, </w:t>
      </w:r>
      <w:r w:rsidRPr="00C744D6">
        <w:rPr>
          <w:rFonts w:cstheme="minorHAnsi"/>
        </w:rPr>
        <w:t>Edison Sheet Music Collection, Music Division, Library of Congress, Washington, D.C.</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520139"/>
      <w:docPartObj>
        <w:docPartGallery w:val="Page Numbers (Top of Page)"/>
        <w:docPartUnique/>
      </w:docPartObj>
    </w:sdtPr>
    <w:sdtContent>
      <w:p w:rsidR="006F6736" w:rsidRDefault="006F6736">
        <w:pPr>
          <w:pStyle w:val="Header"/>
          <w:jc w:val="right"/>
        </w:pPr>
        <w:fldSimple w:instr=" PAGE   \* MERGEFORMAT ">
          <w:r w:rsidR="001075CB">
            <w:rPr>
              <w:noProof/>
            </w:rPr>
            <w:t>v</w:t>
          </w:r>
        </w:fldSimple>
      </w:p>
    </w:sdtContent>
  </w:sdt>
  <w:p w:rsidR="006F6736" w:rsidRDefault="006F67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94E03"/>
    <w:multiLevelType w:val="multilevel"/>
    <w:tmpl w:val="9DDCA6D8"/>
    <w:lvl w:ilvl="0">
      <w:start w:val="1"/>
      <w:numFmt w:val="decimal"/>
      <w:pStyle w:val="Heading1"/>
      <w:suff w:val="space"/>
      <w:lvlText w:val="Chapter %1"/>
      <w:lvlJc w:val="left"/>
      <w:pPr>
        <w:ind w:left="0" w:firstLine="0"/>
      </w:pPr>
      <w:rPr>
        <w:color w:val="auto"/>
        <w:sz w:val="24"/>
        <w:szCs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0166A5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59E1E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220081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E23B8F"/>
    <w:rsid w:val="00007733"/>
    <w:rsid w:val="00027414"/>
    <w:rsid w:val="00036273"/>
    <w:rsid w:val="00037D9A"/>
    <w:rsid w:val="00041C4B"/>
    <w:rsid w:val="00044996"/>
    <w:rsid w:val="00052888"/>
    <w:rsid w:val="00073523"/>
    <w:rsid w:val="000821D7"/>
    <w:rsid w:val="000B4CC5"/>
    <w:rsid w:val="000D2963"/>
    <w:rsid w:val="000D3243"/>
    <w:rsid w:val="000D7CEB"/>
    <w:rsid w:val="000E4059"/>
    <w:rsid w:val="000F6F03"/>
    <w:rsid w:val="001045D5"/>
    <w:rsid w:val="001075CB"/>
    <w:rsid w:val="00117FAE"/>
    <w:rsid w:val="00121253"/>
    <w:rsid w:val="001212F2"/>
    <w:rsid w:val="001414C7"/>
    <w:rsid w:val="00146B12"/>
    <w:rsid w:val="001520F3"/>
    <w:rsid w:val="0015659B"/>
    <w:rsid w:val="00156A8D"/>
    <w:rsid w:val="00161254"/>
    <w:rsid w:val="00170F6C"/>
    <w:rsid w:val="001A0F13"/>
    <w:rsid w:val="001A636F"/>
    <w:rsid w:val="001B1BA5"/>
    <w:rsid w:val="001B7D67"/>
    <w:rsid w:val="001C274F"/>
    <w:rsid w:val="001C4D16"/>
    <w:rsid w:val="001D5D4F"/>
    <w:rsid w:val="001E3CC0"/>
    <w:rsid w:val="001E54A8"/>
    <w:rsid w:val="001F2D48"/>
    <w:rsid w:val="001F582F"/>
    <w:rsid w:val="00204E9E"/>
    <w:rsid w:val="00207145"/>
    <w:rsid w:val="002111B5"/>
    <w:rsid w:val="0022080D"/>
    <w:rsid w:val="00231BF0"/>
    <w:rsid w:val="002367D4"/>
    <w:rsid w:val="002540CD"/>
    <w:rsid w:val="002566BD"/>
    <w:rsid w:val="00267FFB"/>
    <w:rsid w:val="00271B9A"/>
    <w:rsid w:val="00284631"/>
    <w:rsid w:val="00290EFF"/>
    <w:rsid w:val="002923C5"/>
    <w:rsid w:val="00296604"/>
    <w:rsid w:val="002A4E90"/>
    <w:rsid w:val="002A5319"/>
    <w:rsid w:val="002B34F4"/>
    <w:rsid w:val="002C7DE7"/>
    <w:rsid w:val="002C7F17"/>
    <w:rsid w:val="002D2264"/>
    <w:rsid w:val="002D49DF"/>
    <w:rsid w:val="002F1D7D"/>
    <w:rsid w:val="002F7ED9"/>
    <w:rsid w:val="00343381"/>
    <w:rsid w:val="00354200"/>
    <w:rsid w:val="0036368A"/>
    <w:rsid w:val="003636C7"/>
    <w:rsid w:val="00385A92"/>
    <w:rsid w:val="0039452B"/>
    <w:rsid w:val="00396E10"/>
    <w:rsid w:val="003A45EB"/>
    <w:rsid w:val="003B4A05"/>
    <w:rsid w:val="003C078E"/>
    <w:rsid w:val="003C2245"/>
    <w:rsid w:val="003C57BE"/>
    <w:rsid w:val="003E0724"/>
    <w:rsid w:val="003E6056"/>
    <w:rsid w:val="003F2A36"/>
    <w:rsid w:val="004001C8"/>
    <w:rsid w:val="004144E4"/>
    <w:rsid w:val="00414DBC"/>
    <w:rsid w:val="00416EC3"/>
    <w:rsid w:val="00416F91"/>
    <w:rsid w:val="00422278"/>
    <w:rsid w:val="00423184"/>
    <w:rsid w:val="00424ADF"/>
    <w:rsid w:val="004414A3"/>
    <w:rsid w:val="004436D6"/>
    <w:rsid w:val="0045313E"/>
    <w:rsid w:val="00461038"/>
    <w:rsid w:val="00476242"/>
    <w:rsid w:val="00476C8C"/>
    <w:rsid w:val="0048083F"/>
    <w:rsid w:val="00491105"/>
    <w:rsid w:val="0049438B"/>
    <w:rsid w:val="004A34F8"/>
    <w:rsid w:val="004D0365"/>
    <w:rsid w:val="004D46FE"/>
    <w:rsid w:val="004D6158"/>
    <w:rsid w:val="00504423"/>
    <w:rsid w:val="00514C90"/>
    <w:rsid w:val="00522DC1"/>
    <w:rsid w:val="00540CE4"/>
    <w:rsid w:val="00544070"/>
    <w:rsid w:val="005450F5"/>
    <w:rsid w:val="00545A37"/>
    <w:rsid w:val="005548C8"/>
    <w:rsid w:val="00564D9C"/>
    <w:rsid w:val="00565229"/>
    <w:rsid w:val="00571726"/>
    <w:rsid w:val="00590D0B"/>
    <w:rsid w:val="0059337C"/>
    <w:rsid w:val="005A3428"/>
    <w:rsid w:val="005A6C43"/>
    <w:rsid w:val="005B002C"/>
    <w:rsid w:val="005B23D6"/>
    <w:rsid w:val="005C131C"/>
    <w:rsid w:val="005C18C9"/>
    <w:rsid w:val="005C5639"/>
    <w:rsid w:val="005E56A8"/>
    <w:rsid w:val="0061094E"/>
    <w:rsid w:val="0061333A"/>
    <w:rsid w:val="0062520D"/>
    <w:rsid w:val="00632918"/>
    <w:rsid w:val="00634F95"/>
    <w:rsid w:val="00642536"/>
    <w:rsid w:val="00642FFD"/>
    <w:rsid w:val="00653A1A"/>
    <w:rsid w:val="00656A1E"/>
    <w:rsid w:val="0066394C"/>
    <w:rsid w:val="00685F35"/>
    <w:rsid w:val="00686939"/>
    <w:rsid w:val="006872AA"/>
    <w:rsid w:val="0069298D"/>
    <w:rsid w:val="00697E29"/>
    <w:rsid w:val="006A7F29"/>
    <w:rsid w:val="006B07BE"/>
    <w:rsid w:val="006B26A5"/>
    <w:rsid w:val="006B2830"/>
    <w:rsid w:val="006C2C9C"/>
    <w:rsid w:val="006C4408"/>
    <w:rsid w:val="006D51DC"/>
    <w:rsid w:val="006F2228"/>
    <w:rsid w:val="006F34F4"/>
    <w:rsid w:val="006F6736"/>
    <w:rsid w:val="006F7C5F"/>
    <w:rsid w:val="007024F5"/>
    <w:rsid w:val="00702BA8"/>
    <w:rsid w:val="007208C3"/>
    <w:rsid w:val="007231E4"/>
    <w:rsid w:val="00723DCB"/>
    <w:rsid w:val="00726EDE"/>
    <w:rsid w:val="00734461"/>
    <w:rsid w:val="007434F6"/>
    <w:rsid w:val="0076012B"/>
    <w:rsid w:val="007624F1"/>
    <w:rsid w:val="00762BEE"/>
    <w:rsid w:val="0076380A"/>
    <w:rsid w:val="0078048C"/>
    <w:rsid w:val="00782073"/>
    <w:rsid w:val="00784679"/>
    <w:rsid w:val="007A179D"/>
    <w:rsid w:val="007A5BD4"/>
    <w:rsid w:val="007B1C43"/>
    <w:rsid w:val="007B29F5"/>
    <w:rsid w:val="007B3705"/>
    <w:rsid w:val="007B394C"/>
    <w:rsid w:val="007B5A16"/>
    <w:rsid w:val="007C0C74"/>
    <w:rsid w:val="007C725F"/>
    <w:rsid w:val="007D40CD"/>
    <w:rsid w:val="007E094C"/>
    <w:rsid w:val="007E4BCF"/>
    <w:rsid w:val="007F05D7"/>
    <w:rsid w:val="007F0A8C"/>
    <w:rsid w:val="007F0D29"/>
    <w:rsid w:val="00806E40"/>
    <w:rsid w:val="00811F65"/>
    <w:rsid w:val="00834054"/>
    <w:rsid w:val="00842522"/>
    <w:rsid w:val="00842757"/>
    <w:rsid w:val="008467D0"/>
    <w:rsid w:val="0084689D"/>
    <w:rsid w:val="00864A8B"/>
    <w:rsid w:val="00877504"/>
    <w:rsid w:val="00881782"/>
    <w:rsid w:val="00895586"/>
    <w:rsid w:val="00897B6D"/>
    <w:rsid w:val="008B490A"/>
    <w:rsid w:val="008C63CE"/>
    <w:rsid w:val="008E4D80"/>
    <w:rsid w:val="008E60DA"/>
    <w:rsid w:val="008E7202"/>
    <w:rsid w:val="009000C2"/>
    <w:rsid w:val="0090303F"/>
    <w:rsid w:val="00917E80"/>
    <w:rsid w:val="00944C39"/>
    <w:rsid w:val="0094502B"/>
    <w:rsid w:val="00952924"/>
    <w:rsid w:val="00956A5C"/>
    <w:rsid w:val="009658BF"/>
    <w:rsid w:val="0097697C"/>
    <w:rsid w:val="00981D27"/>
    <w:rsid w:val="00991A99"/>
    <w:rsid w:val="00994D76"/>
    <w:rsid w:val="009B2F53"/>
    <w:rsid w:val="009B7FAC"/>
    <w:rsid w:val="009C1165"/>
    <w:rsid w:val="009E2BA8"/>
    <w:rsid w:val="00A11D61"/>
    <w:rsid w:val="00A1389D"/>
    <w:rsid w:val="00A1698B"/>
    <w:rsid w:val="00A22BF7"/>
    <w:rsid w:val="00A22F48"/>
    <w:rsid w:val="00A370AC"/>
    <w:rsid w:val="00A73C63"/>
    <w:rsid w:val="00A83C79"/>
    <w:rsid w:val="00A8602F"/>
    <w:rsid w:val="00A87868"/>
    <w:rsid w:val="00AA2C8F"/>
    <w:rsid w:val="00AA4F38"/>
    <w:rsid w:val="00AB076E"/>
    <w:rsid w:val="00AC45BA"/>
    <w:rsid w:val="00AC6866"/>
    <w:rsid w:val="00AD40FE"/>
    <w:rsid w:val="00AD42FC"/>
    <w:rsid w:val="00AD5B9D"/>
    <w:rsid w:val="00AE0473"/>
    <w:rsid w:val="00AE3611"/>
    <w:rsid w:val="00AE63B4"/>
    <w:rsid w:val="00AE64BD"/>
    <w:rsid w:val="00AE7A5D"/>
    <w:rsid w:val="00B01B00"/>
    <w:rsid w:val="00B1663B"/>
    <w:rsid w:val="00B20988"/>
    <w:rsid w:val="00B22F1B"/>
    <w:rsid w:val="00B44F32"/>
    <w:rsid w:val="00B51E8A"/>
    <w:rsid w:val="00B56E76"/>
    <w:rsid w:val="00B83650"/>
    <w:rsid w:val="00B91A78"/>
    <w:rsid w:val="00BA1255"/>
    <w:rsid w:val="00BA4A20"/>
    <w:rsid w:val="00BB1114"/>
    <w:rsid w:val="00BB1A53"/>
    <w:rsid w:val="00BB6917"/>
    <w:rsid w:val="00BC0168"/>
    <w:rsid w:val="00BC138F"/>
    <w:rsid w:val="00BD039A"/>
    <w:rsid w:val="00BD61E3"/>
    <w:rsid w:val="00BE3433"/>
    <w:rsid w:val="00C10EA4"/>
    <w:rsid w:val="00C15A17"/>
    <w:rsid w:val="00C1726F"/>
    <w:rsid w:val="00C17735"/>
    <w:rsid w:val="00C27A3E"/>
    <w:rsid w:val="00C30857"/>
    <w:rsid w:val="00C32F13"/>
    <w:rsid w:val="00C619A9"/>
    <w:rsid w:val="00C61CDC"/>
    <w:rsid w:val="00C64E57"/>
    <w:rsid w:val="00C67BBC"/>
    <w:rsid w:val="00C76A88"/>
    <w:rsid w:val="00C7719A"/>
    <w:rsid w:val="00C77D0C"/>
    <w:rsid w:val="00C823A9"/>
    <w:rsid w:val="00CA786B"/>
    <w:rsid w:val="00CB00CA"/>
    <w:rsid w:val="00CB187A"/>
    <w:rsid w:val="00CB6659"/>
    <w:rsid w:val="00CB6E74"/>
    <w:rsid w:val="00CD1152"/>
    <w:rsid w:val="00CD5B36"/>
    <w:rsid w:val="00CE16CE"/>
    <w:rsid w:val="00CF72A8"/>
    <w:rsid w:val="00D029BE"/>
    <w:rsid w:val="00D02A94"/>
    <w:rsid w:val="00D26FB1"/>
    <w:rsid w:val="00D5170F"/>
    <w:rsid w:val="00D521F9"/>
    <w:rsid w:val="00D60A0E"/>
    <w:rsid w:val="00D7260B"/>
    <w:rsid w:val="00D72F7F"/>
    <w:rsid w:val="00D853B0"/>
    <w:rsid w:val="00DA16B0"/>
    <w:rsid w:val="00DA30F1"/>
    <w:rsid w:val="00DA79F4"/>
    <w:rsid w:val="00DB0515"/>
    <w:rsid w:val="00DB05D7"/>
    <w:rsid w:val="00DB62E1"/>
    <w:rsid w:val="00DC1942"/>
    <w:rsid w:val="00DC22BE"/>
    <w:rsid w:val="00DF0DFB"/>
    <w:rsid w:val="00DF1623"/>
    <w:rsid w:val="00DF3133"/>
    <w:rsid w:val="00E07C10"/>
    <w:rsid w:val="00E10C4E"/>
    <w:rsid w:val="00E23B8F"/>
    <w:rsid w:val="00E364BD"/>
    <w:rsid w:val="00E4002F"/>
    <w:rsid w:val="00E5718E"/>
    <w:rsid w:val="00E572F7"/>
    <w:rsid w:val="00E602C5"/>
    <w:rsid w:val="00E77C9B"/>
    <w:rsid w:val="00EA2504"/>
    <w:rsid w:val="00EB5E00"/>
    <w:rsid w:val="00ED0E42"/>
    <w:rsid w:val="00EE5F09"/>
    <w:rsid w:val="00F136E2"/>
    <w:rsid w:val="00F1469C"/>
    <w:rsid w:val="00F15C72"/>
    <w:rsid w:val="00F20DD4"/>
    <w:rsid w:val="00F212C9"/>
    <w:rsid w:val="00F22FE7"/>
    <w:rsid w:val="00F2435B"/>
    <w:rsid w:val="00F2452D"/>
    <w:rsid w:val="00F327B4"/>
    <w:rsid w:val="00F3534B"/>
    <w:rsid w:val="00F46EA2"/>
    <w:rsid w:val="00F47DDC"/>
    <w:rsid w:val="00F47FF0"/>
    <w:rsid w:val="00F57647"/>
    <w:rsid w:val="00F63C34"/>
    <w:rsid w:val="00F64298"/>
    <w:rsid w:val="00F752DB"/>
    <w:rsid w:val="00F75D1B"/>
    <w:rsid w:val="00F75D81"/>
    <w:rsid w:val="00F858DB"/>
    <w:rsid w:val="00FB0A40"/>
    <w:rsid w:val="00FB28E2"/>
    <w:rsid w:val="00FB39B4"/>
    <w:rsid w:val="00FD77CA"/>
    <w:rsid w:val="00FE4A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8F"/>
    <w:pPr>
      <w:spacing w:line="276" w:lineRule="auto"/>
    </w:pPr>
  </w:style>
  <w:style w:type="paragraph" w:styleId="Heading1">
    <w:name w:val="heading 1"/>
    <w:basedOn w:val="Normal"/>
    <w:next w:val="Normal"/>
    <w:link w:val="Heading1Char"/>
    <w:uiPriority w:val="9"/>
    <w:qFormat/>
    <w:rsid w:val="00007733"/>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5229"/>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B0515"/>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B0515"/>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B0515"/>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B0515"/>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B0515"/>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B0515"/>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B0515"/>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23B8F"/>
    <w:pPr>
      <w:spacing w:after="0" w:line="240" w:lineRule="auto"/>
    </w:pPr>
    <w:rPr>
      <w:sz w:val="20"/>
      <w:szCs w:val="20"/>
    </w:rPr>
  </w:style>
  <w:style w:type="character" w:customStyle="1" w:styleId="FootnoteTextChar">
    <w:name w:val="Footnote Text Char"/>
    <w:basedOn w:val="DefaultParagraphFont"/>
    <w:link w:val="FootnoteText"/>
    <w:uiPriority w:val="99"/>
    <w:rsid w:val="00E23B8F"/>
    <w:rPr>
      <w:sz w:val="20"/>
      <w:szCs w:val="20"/>
    </w:rPr>
  </w:style>
  <w:style w:type="character" w:styleId="FootnoteReference">
    <w:name w:val="footnote reference"/>
    <w:basedOn w:val="DefaultParagraphFont"/>
    <w:uiPriority w:val="99"/>
    <w:semiHidden/>
    <w:unhideWhenUsed/>
    <w:rsid w:val="00E23B8F"/>
    <w:rPr>
      <w:vertAlign w:val="superscript"/>
    </w:rPr>
  </w:style>
  <w:style w:type="paragraph" w:styleId="Header">
    <w:name w:val="header"/>
    <w:basedOn w:val="Normal"/>
    <w:link w:val="HeaderChar"/>
    <w:uiPriority w:val="99"/>
    <w:unhideWhenUsed/>
    <w:rsid w:val="00E23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B8F"/>
  </w:style>
  <w:style w:type="paragraph" w:styleId="Footer">
    <w:name w:val="footer"/>
    <w:basedOn w:val="Normal"/>
    <w:link w:val="FooterChar"/>
    <w:uiPriority w:val="99"/>
    <w:unhideWhenUsed/>
    <w:rsid w:val="00E23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B8F"/>
  </w:style>
  <w:style w:type="paragraph" w:styleId="BalloonText">
    <w:name w:val="Balloon Text"/>
    <w:basedOn w:val="Normal"/>
    <w:link w:val="BalloonTextChar"/>
    <w:uiPriority w:val="99"/>
    <w:semiHidden/>
    <w:unhideWhenUsed/>
    <w:rsid w:val="00E23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B8F"/>
    <w:rPr>
      <w:rFonts w:ascii="Tahoma" w:hAnsi="Tahoma" w:cs="Tahoma"/>
      <w:sz w:val="16"/>
      <w:szCs w:val="16"/>
    </w:rPr>
  </w:style>
  <w:style w:type="character" w:styleId="Emphasis">
    <w:name w:val="Emphasis"/>
    <w:basedOn w:val="DefaultParagraphFont"/>
    <w:uiPriority w:val="20"/>
    <w:qFormat/>
    <w:rsid w:val="00F212C9"/>
    <w:rPr>
      <w:i/>
      <w:iCs/>
    </w:rPr>
  </w:style>
  <w:style w:type="character" w:styleId="Strong">
    <w:name w:val="Strong"/>
    <w:basedOn w:val="DefaultParagraphFont"/>
    <w:uiPriority w:val="22"/>
    <w:qFormat/>
    <w:rsid w:val="009C1165"/>
    <w:rPr>
      <w:b/>
      <w:bCs/>
    </w:rPr>
  </w:style>
  <w:style w:type="character" w:customStyle="1" w:styleId="Heading1Char">
    <w:name w:val="Heading 1 Char"/>
    <w:basedOn w:val="DefaultParagraphFont"/>
    <w:link w:val="Heading1"/>
    <w:uiPriority w:val="9"/>
    <w:rsid w:val="0000773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007733"/>
    <w:pPr>
      <w:outlineLvl w:val="9"/>
    </w:pPr>
  </w:style>
  <w:style w:type="paragraph" w:styleId="TOC2">
    <w:name w:val="toc 2"/>
    <w:basedOn w:val="Normal"/>
    <w:next w:val="Normal"/>
    <w:autoRedefine/>
    <w:uiPriority w:val="39"/>
    <w:unhideWhenUsed/>
    <w:qFormat/>
    <w:rsid w:val="00007733"/>
    <w:pPr>
      <w:spacing w:after="100"/>
      <w:ind w:left="220"/>
    </w:pPr>
    <w:rPr>
      <w:rFonts w:eastAsiaTheme="minorEastAsia"/>
    </w:rPr>
  </w:style>
  <w:style w:type="paragraph" w:styleId="TOC1">
    <w:name w:val="toc 1"/>
    <w:basedOn w:val="Normal"/>
    <w:next w:val="Normal"/>
    <w:autoRedefine/>
    <w:uiPriority w:val="39"/>
    <w:unhideWhenUsed/>
    <w:qFormat/>
    <w:rsid w:val="00007733"/>
    <w:pPr>
      <w:spacing w:after="100"/>
    </w:pPr>
    <w:rPr>
      <w:rFonts w:eastAsiaTheme="minorEastAsia"/>
    </w:rPr>
  </w:style>
  <w:style w:type="paragraph" w:styleId="TOC3">
    <w:name w:val="toc 3"/>
    <w:basedOn w:val="Normal"/>
    <w:next w:val="Normal"/>
    <w:autoRedefine/>
    <w:uiPriority w:val="39"/>
    <w:unhideWhenUsed/>
    <w:qFormat/>
    <w:rsid w:val="00007733"/>
    <w:pPr>
      <w:spacing w:after="100"/>
      <w:ind w:left="440"/>
    </w:pPr>
    <w:rPr>
      <w:rFonts w:eastAsiaTheme="minorEastAsia"/>
    </w:rPr>
  </w:style>
  <w:style w:type="character" w:customStyle="1" w:styleId="Heading2Char">
    <w:name w:val="Heading 2 Char"/>
    <w:basedOn w:val="DefaultParagraphFont"/>
    <w:link w:val="Heading2"/>
    <w:uiPriority w:val="9"/>
    <w:rsid w:val="0056522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565229"/>
    <w:rPr>
      <w:color w:val="0000FF" w:themeColor="hyperlink"/>
      <w:u w:val="single"/>
    </w:rPr>
  </w:style>
  <w:style w:type="paragraph" w:styleId="Caption">
    <w:name w:val="caption"/>
    <w:basedOn w:val="Normal"/>
    <w:next w:val="Normal"/>
    <w:uiPriority w:val="35"/>
    <w:unhideWhenUsed/>
    <w:qFormat/>
    <w:rsid w:val="008467D0"/>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CD5B36"/>
    <w:pPr>
      <w:spacing w:after="0"/>
    </w:pPr>
  </w:style>
  <w:style w:type="character" w:styleId="CommentReference">
    <w:name w:val="annotation reference"/>
    <w:basedOn w:val="DefaultParagraphFont"/>
    <w:uiPriority w:val="99"/>
    <w:semiHidden/>
    <w:unhideWhenUsed/>
    <w:rsid w:val="0036368A"/>
    <w:rPr>
      <w:sz w:val="16"/>
      <w:szCs w:val="16"/>
    </w:rPr>
  </w:style>
  <w:style w:type="paragraph" w:styleId="CommentText">
    <w:name w:val="annotation text"/>
    <w:basedOn w:val="Normal"/>
    <w:link w:val="CommentTextChar"/>
    <w:uiPriority w:val="99"/>
    <w:semiHidden/>
    <w:unhideWhenUsed/>
    <w:rsid w:val="0036368A"/>
    <w:pPr>
      <w:spacing w:line="240" w:lineRule="auto"/>
    </w:pPr>
    <w:rPr>
      <w:sz w:val="20"/>
      <w:szCs w:val="20"/>
    </w:rPr>
  </w:style>
  <w:style w:type="character" w:customStyle="1" w:styleId="CommentTextChar">
    <w:name w:val="Comment Text Char"/>
    <w:basedOn w:val="DefaultParagraphFont"/>
    <w:link w:val="CommentText"/>
    <w:uiPriority w:val="99"/>
    <w:semiHidden/>
    <w:rsid w:val="0036368A"/>
    <w:rPr>
      <w:sz w:val="20"/>
      <w:szCs w:val="20"/>
    </w:rPr>
  </w:style>
  <w:style w:type="paragraph" w:styleId="CommentSubject">
    <w:name w:val="annotation subject"/>
    <w:basedOn w:val="CommentText"/>
    <w:next w:val="CommentText"/>
    <w:link w:val="CommentSubjectChar"/>
    <w:uiPriority w:val="99"/>
    <w:semiHidden/>
    <w:unhideWhenUsed/>
    <w:rsid w:val="0036368A"/>
    <w:rPr>
      <w:b/>
      <w:bCs/>
    </w:rPr>
  </w:style>
  <w:style w:type="character" w:customStyle="1" w:styleId="CommentSubjectChar">
    <w:name w:val="Comment Subject Char"/>
    <w:basedOn w:val="CommentTextChar"/>
    <w:link w:val="CommentSubject"/>
    <w:uiPriority w:val="99"/>
    <w:semiHidden/>
    <w:rsid w:val="0036368A"/>
    <w:rPr>
      <w:b/>
      <w:bCs/>
    </w:rPr>
  </w:style>
  <w:style w:type="character" w:customStyle="1" w:styleId="Heading3Char">
    <w:name w:val="Heading 3 Char"/>
    <w:basedOn w:val="DefaultParagraphFont"/>
    <w:link w:val="Heading3"/>
    <w:uiPriority w:val="9"/>
    <w:semiHidden/>
    <w:rsid w:val="00DB051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DB051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B051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B051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B051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B051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B0515"/>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6711156">
      <w:bodyDiv w:val="1"/>
      <w:marLeft w:val="0"/>
      <w:marRight w:val="0"/>
      <w:marTop w:val="0"/>
      <w:marBottom w:val="0"/>
      <w:divBdr>
        <w:top w:val="none" w:sz="0" w:space="0" w:color="auto"/>
        <w:left w:val="none" w:sz="0" w:space="0" w:color="auto"/>
        <w:bottom w:val="none" w:sz="0" w:space="0" w:color="auto"/>
        <w:right w:val="none" w:sz="0" w:space="0" w:color="auto"/>
      </w:divBdr>
      <w:divsChild>
        <w:div w:id="1587417653">
          <w:marLeft w:val="0"/>
          <w:marRight w:val="0"/>
          <w:marTop w:val="0"/>
          <w:marBottom w:val="0"/>
          <w:divBdr>
            <w:top w:val="none" w:sz="0" w:space="0" w:color="auto"/>
            <w:left w:val="none" w:sz="0" w:space="0" w:color="auto"/>
            <w:bottom w:val="none" w:sz="0" w:space="0" w:color="auto"/>
            <w:right w:val="none" w:sz="0" w:space="0" w:color="auto"/>
          </w:divBdr>
          <w:divsChild>
            <w:div w:id="1760835516">
              <w:marLeft w:val="0"/>
              <w:marRight w:val="0"/>
              <w:marTop w:val="0"/>
              <w:marBottom w:val="0"/>
              <w:divBdr>
                <w:top w:val="none" w:sz="0" w:space="0" w:color="auto"/>
                <w:left w:val="none" w:sz="0" w:space="0" w:color="auto"/>
                <w:bottom w:val="none" w:sz="0" w:space="0" w:color="auto"/>
                <w:right w:val="none" w:sz="0" w:space="0" w:color="auto"/>
              </w:divBdr>
            </w:div>
            <w:div w:id="1077675946">
              <w:marLeft w:val="0"/>
              <w:marRight w:val="0"/>
              <w:marTop w:val="0"/>
              <w:marBottom w:val="0"/>
              <w:divBdr>
                <w:top w:val="none" w:sz="0" w:space="0" w:color="auto"/>
                <w:left w:val="none" w:sz="0" w:space="0" w:color="auto"/>
                <w:bottom w:val="none" w:sz="0" w:space="0" w:color="auto"/>
                <w:right w:val="none" w:sz="0" w:space="0" w:color="auto"/>
              </w:divBdr>
            </w:div>
            <w:div w:id="546530549">
              <w:marLeft w:val="0"/>
              <w:marRight w:val="0"/>
              <w:marTop w:val="0"/>
              <w:marBottom w:val="0"/>
              <w:divBdr>
                <w:top w:val="none" w:sz="0" w:space="0" w:color="auto"/>
                <w:left w:val="none" w:sz="0" w:space="0" w:color="auto"/>
                <w:bottom w:val="none" w:sz="0" w:space="0" w:color="auto"/>
                <w:right w:val="none" w:sz="0" w:space="0" w:color="auto"/>
              </w:divBdr>
            </w:div>
            <w:div w:id="809246324">
              <w:marLeft w:val="0"/>
              <w:marRight w:val="0"/>
              <w:marTop w:val="0"/>
              <w:marBottom w:val="0"/>
              <w:divBdr>
                <w:top w:val="none" w:sz="0" w:space="0" w:color="auto"/>
                <w:left w:val="none" w:sz="0" w:space="0" w:color="auto"/>
                <w:bottom w:val="none" w:sz="0" w:space="0" w:color="auto"/>
                <w:right w:val="none" w:sz="0" w:space="0" w:color="auto"/>
              </w:divBdr>
            </w:div>
            <w:div w:id="1630011584">
              <w:marLeft w:val="0"/>
              <w:marRight w:val="0"/>
              <w:marTop w:val="0"/>
              <w:marBottom w:val="0"/>
              <w:divBdr>
                <w:top w:val="none" w:sz="0" w:space="0" w:color="auto"/>
                <w:left w:val="none" w:sz="0" w:space="0" w:color="auto"/>
                <w:bottom w:val="none" w:sz="0" w:space="0" w:color="auto"/>
                <w:right w:val="none" w:sz="0" w:space="0" w:color="auto"/>
              </w:divBdr>
            </w:div>
            <w:div w:id="1597786483">
              <w:marLeft w:val="0"/>
              <w:marRight w:val="0"/>
              <w:marTop w:val="0"/>
              <w:marBottom w:val="0"/>
              <w:divBdr>
                <w:top w:val="none" w:sz="0" w:space="0" w:color="auto"/>
                <w:left w:val="none" w:sz="0" w:space="0" w:color="auto"/>
                <w:bottom w:val="none" w:sz="0" w:space="0" w:color="auto"/>
                <w:right w:val="none" w:sz="0" w:space="0" w:color="auto"/>
              </w:divBdr>
            </w:div>
            <w:div w:id="1820725903">
              <w:marLeft w:val="0"/>
              <w:marRight w:val="0"/>
              <w:marTop w:val="0"/>
              <w:marBottom w:val="0"/>
              <w:divBdr>
                <w:top w:val="none" w:sz="0" w:space="0" w:color="auto"/>
                <w:left w:val="none" w:sz="0" w:space="0" w:color="auto"/>
                <w:bottom w:val="none" w:sz="0" w:space="0" w:color="auto"/>
                <w:right w:val="none" w:sz="0" w:space="0" w:color="auto"/>
              </w:divBdr>
            </w:div>
            <w:div w:id="2039507934">
              <w:marLeft w:val="0"/>
              <w:marRight w:val="0"/>
              <w:marTop w:val="0"/>
              <w:marBottom w:val="0"/>
              <w:divBdr>
                <w:top w:val="none" w:sz="0" w:space="0" w:color="auto"/>
                <w:left w:val="none" w:sz="0" w:space="0" w:color="auto"/>
                <w:bottom w:val="none" w:sz="0" w:space="0" w:color="auto"/>
                <w:right w:val="none" w:sz="0" w:space="0" w:color="auto"/>
              </w:divBdr>
            </w:div>
            <w:div w:id="1101680382">
              <w:marLeft w:val="0"/>
              <w:marRight w:val="0"/>
              <w:marTop w:val="0"/>
              <w:marBottom w:val="0"/>
              <w:divBdr>
                <w:top w:val="none" w:sz="0" w:space="0" w:color="auto"/>
                <w:left w:val="none" w:sz="0" w:space="0" w:color="auto"/>
                <w:bottom w:val="none" w:sz="0" w:space="0" w:color="auto"/>
                <w:right w:val="none" w:sz="0" w:space="0" w:color="auto"/>
              </w:divBdr>
            </w:div>
            <w:div w:id="2021464226">
              <w:marLeft w:val="0"/>
              <w:marRight w:val="0"/>
              <w:marTop w:val="0"/>
              <w:marBottom w:val="0"/>
              <w:divBdr>
                <w:top w:val="none" w:sz="0" w:space="0" w:color="auto"/>
                <w:left w:val="none" w:sz="0" w:space="0" w:color="auto"/>
                <w:bottom w:val="none" w:sz="0" w:space="0" w:color="auto"/>
                <w:right w:val="none" w:sz="0" w:space="0" w:color="auto"/>
              </w:divBdr>
            </w:div>
            <w:div w:id="139807681">
              <w:marLeft w:val="0"/>
              <w:marRight w:val="0"/>
              <w:marTop w:val="0"/>
              <w:marBottom w:val="0"/>
              <w:divBdr>
                <w:top w:val="none" w:sz="0" w:space="0" w:color="auto"/>
                <w:left w:val="none" w:sz="0" w:space="0" w:color="auto"/>
                <w:bottom w:val="none" w:sz="0" w:space="0" w:color="auto"/>
                <w:right w:val="none" w:sz="0" w:space="0" w:color="auto"/>
              </w:divBdr>
            </w:div>
            <w:div w:id="1085613759">
              <w:marLeft w:val="0"/>
              <w:marRight w:val="0"/>
              <w:marTop w:val="0"/>
              <w:marBottom w:val="0"/>
              <w:divBdr>
                <w:top w:val="none" w:sz="0" w:space="0" w:color="auto"/>
                <w:left w:val="none" w:sz="0" w:space="0" w:color="auto"/>
                <w:bottom w:val="none" w:sz="0" w:space="0" w:color="auto"/>
                <w:right w:val="none" w:sz="0" w:space="0" w:color="auto"/>
              </w:divBdr>
            </w:div>
            <w:div w:id="45883137">
              <w:marLeft w:val="0"/>
              <w:marRight w:val="0"/>
              <w:marTop w:val="0"/>
              <w:marBottom w:val="0"/>
              <w:divBdr>
                <w:top w:val="none" w:sz="0" w:space="0" w:color="auto"/>
                <w:left w:val="none" w:sz="0" w:space="0" w:color="auto"/>
                <w:bottom w:val="none" w:sz="0" w:space="0" w:color="auto"/>
                <w:right w:val="none" w:sz="0" w:space="0" w:color="auto"/>
              </w:divBdr>
            </w:div>
            <w:div w:id="62335134">
              <w:marLeft w:val="0"/>
              <w:marRight w:val="0"/>
              <w:marTop w:val="0"/>
              <w:marBottom w:val="0"/>
              <w:divBdr>
                <w:top w:val="none" w:sz="0" w:space="0" w:color="auto"/>
                <w:left w:val="none" w:sz="0" w:space="0" w:color="auto"/>
                <w:bottom w:val="none" w:sz="0" w:space="0" w:color="auto"/>
                <w:right w:val="none" w:sz="0" w:space="0" w:color="auto"/>
              </w:divBdr>
            </w:div>
            <w:div w:id="115796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19435">
      <w:bodyDiv w:val="1"/>
      <w:marLeft w:val="0"/>
      <w:marRight w:val="0"/>
      <w:marTop w:val="0"/>
      <w:marBottom w:val="0"/>
      <w:divBdr>
        <w:top w:val="none" w:sz="0" w:space="0" w:color="auto"/>
        <w:left w:val="none" w:sz="0" w:space="0" w:color="auto"/>
        <w:bottom w:val="none" w:sz="0" w:space="0" w:color="auto"/>
        <w:right w:val="none" w:sz="0" w:space="0" w:color="auto"/>
      </w:divBdr>
      <w:divsChild>
        <w:div w:id="1701274573">
          <w:marLeft w:val="0"/>
          <w:marRight w:val="0"/>
          <w:marTop w:val="0"/>
          <w:marBottom w:val="0"/>
          <w:divBdr>
            <w:top w:val="none" w:sz="0" w:space="0" w:color="auto"/>
            <w:left w:val="none" w:sz="0" w:space="0" w:color="auto"/>
            <w:bottom w:val="none" w:sz="0" w:space="0" w:color="auto"/>
            <w:right w:val="none" w:sz="0" w:space="0" w:color="auto"/>
          </w:divBdr>
        </w:div>
        <w:div w:id="1491560493">
          <w:marLeft w:val="0"/>
          <w:marRight w:val="0"/>
          <w:marTop w:val="0"/>
          <w:marBottom w:val="0"/>
          <w:divBdr>
            <w:top w:val="none" w:sz="0" w:space="0" w:color="auto"/>
            <w:left w:val="none" w:sz="0" w:space="0" w:color="auto"/>
            <w:bottom w:val="none" w:sz="0" w:space="0" w:color="auto"/>
            <w:right w:val="none" w:sz="0" w:space="0" w:color="auto"/>
          </w:divBdr>
        </w:div>
        <w:div w:id="714933243">
          <w:marLeft w:val="0"/>
          <w:marRight w:val="0"/>
          <w:marTop w:val="0"/>
          <w:marBottom w:val="0"/>
          <w:divBdr>
            <w:top w:val="none" w:sz="0" w:space="0" w:color="auto"/>
            <w:left w:val="none" w:sz="0" w:space="0" w:color="auto"/>
            <w:bottom w:val="none" w:sz="0" w:space="0" w:color="auto"/>
            <w:right w:val="none" w:sz="0" w:space="0" w:color="auto"/>
          </w:divBdr>
        </w:div>
        <w:div w:id="1203786996">
          <w:marLeft w:val="0"/>
          <w:marRight w:val="0"/>
          <w:marTop w:val="0"/>
          <w:marBottom w:val="0"/>
          <w:divBdr>
            <w:top w:val="none" w:sz="0" w:space="0" w:color="auto"/>
            <w:left w:val="none" w:sz="0" w:space="0" w:color="auto"/>
            <w:bottom w:val="none" w:sz="0" w:space="0" w:color="auto"/>
            <w:right w:val="none" w:sz="0" w:space="0" w:color="auto"/>
          </w:divBdr>
        </w:div>
        <w:div w:id="651065566">
          <w:marLeft w:val="0"/>
          <w:marRight w:val="0"/>
          <w:marTop w:val="0"/>
          <w:marBottom w:val="0"/>
          <w:divBdr>
            <w:top w:val="none" w:sz="0" w:space="0" w:color="auto"/>
            <w:left w:val="none" w:sz="0" w:space="0" w:color="auto"/>
            <w:bottom w:val="none" w:sz="0" w:space="0" w:color="auto"/>
            <w:right w:val="none" w:sz="0" w:space="0" w:color="auto"/>
          </w:divBdr>
        </w:div>
      </w:divsChild>
    </w:div>
    <w:div w:id="509948819">
      <w:bodyDiv w:val="1"/>
      <w:marLeft w:val="0"/>
      <w:marRight w:val="0"/>
      <w:marTop w:val="0"/>
      <w:marBottom w:val="0"/>
      <w:divBdr>
        <w:top w:val="none" w:sz="0" w:space="0" w:color="auto"/>
        <w:left w:val="none" w:sz="0" w:space="0" w:color="auto"/>
        <w:bottom w:val="none" w:sz="0" w:space="0" w:color="auto"/>
        <w:right w:val="none" w:sz="0" w:space="0" w:color="auto"/>
      </w:divBdr>
      <w:divsChild>
        <w:div w:id="1635405146">
          <w:marLeft w:val="0"/>
          <w:marRight w:val="0"/>
          <w:marTop w:val="0"/>
          <w:marBottom w:val="0"/>
          <w:divBdr>
            <w:top w:val="none" w:sz="0" w:space="0" w:color="auto"/>
            <w:left w:val="none" w:sz="0" w:space="0" w:color="auto"/>
            <w:bottom w:val="none" w:sz="0" w:space="0" w:color="auto"/>
            <w:right w:val="none" w:sz="0" w:space="0" w:color="auto"/>
          </w:divBdr>
        </w:div>
      </w:divsChild>
    </w:div>
    <w:div w:id="583412651">
      <w:bodyDiv w:val="1"/>
      <w:marLeft w:val="0"/>
      <w:marRight w:val="0"/>
      <w:marTop w:val="0"/>
      <w:marBottom w:val="0"/>
      <w:divBdr>
        <w:top w:val="none" w:sz="0" w:space="0" w:color="auto"/>
        <w:left w:val="none" w:sz="0" w:space="0" w:color="auto"/>
        <w:bottom w:val="none" w:sz="0" w:space="0" w:color="auto"/>
        <w:right w:val="none" w:sz="0" w:space="0" w:color="auto"/>
      </w:divBdr>
    </w:div>
    <w:div w:id="607077897">
      <w:bodyDiv w:val="1"/>
      <w:marLeft w:val="0"/>
      <w:marRight w:val="0"/>
      <w:marTop w:val="0"/>
      <w:marBottom w:val="0"/>
      <w:divBdr>
        <w:top w:val="none" w:sz="0" w:space="0" w:color="auto"/>
        <w:left w:val="none" w:sz="0" w:space="0" w:color="auto"/>
        <w:bottom w:val="none" w:sz="0" w:space="0" w:color="auto"/>
        <w:right w:val="none" w:sz="0" w:space="0" w:color="auto"/>
      </w:divBdr>
      <w:divsChild>
        <w:div w:id="1621447820">
          <w:marLeft w:val="0"/>
          <w:marRight w:val="0"/>
          <w:marTop w:val="0"/>
          <w:marBottom w:val="0"/>
          <w:divBdr>
            <w:top w:val="none" w:sz="0" w:space="0" w:color="auto"/>
            <w:left w:val="none" w:sz="0" w:space="0" w:color="auto"/>
            <w:bottom w:val="none" w:sz="0" w:space="0" w:color="auto"/>
            <w:right w:val="none" w:sz="0" w:space="0" w:color="auto"/>
          </w:divBdr>
        </w:div>
      </w:divsChild>
    </w:div>
    <w:div w:id="740905616">
      <w:bodyDiv w:val="1"/>
      <w:marLeft w:val="0"/>
      <w:marRight w:val="0"/>
      <w:marTop w:val="0"/>
      <w:marBottom w:val="0"/>
      <w:divBdr>
        <w:top w:val="none" w:sz="0" w:space="0" w:color="auto"/>
        <w:left w:val="none" w:sz="0" w:space="0" w:color="auto"/>
        <w:bottom w:val="none" w:sz="0" w:space="0" w:color="auto"/>
        <w:right w:val="none" w:sz="0" w:space="0" w:color="auto"/>
      </w:divBdr>
      <w:divsChild>
        <w:div w:id="1795900522">
          <w:marLeft w:val="0"/>
          <w:marRight w:val="0"/>
          <w:marTop w:val="0"/>
          <w:marBottom w:val="0"/>
          <w:divBdr>
            <w:top w:val="none" w:sz="0" w:space="0" w:color="auto"/>
            <w:left w:val="none" w:sz="0" w:space="0" w:color="auto"/>
            <w:bottom w:val="none" w:sz="0" w:space="0" w:color="auto"/>
            <w:right w:val="none" w:sz="0" w:space="0" w:color="auto"/>
          </w:divBdr>
        </w:div>
      </w:divsChild>
    </w:div>
    <w:div w:id="783773971">
      <w:bodyDiv w:val="1"/>
      <w:marLeft w:val="0"/>
      <w:marRight w:val="0"/>
      <w:marTop w:val="0"/>
      <w:marBottom w:val="0"/>
      <w:divBdr>
        <w:top w:val="none" w:sz="0" w:space="0" w:color="auto"/>
        <w:left w:val="none" w:sz="0" w:space="0" w:color="auto"/>
        <w:bottom w:val="none" w:sz="0" w:space="0" w:color="auto"/>
        <w:right w:val="none" w:sz="0" w:space="0" w:color="auto"/>
      </w:divBdr>
      <w:divsChild>
        <w:div w:id="1461878140">
          <w:marLeft w:val="0"/>
          <w:marRight w:val="0"/>
          <w:marTop w:val="0"/>
          <w:marBottom w:val="0"/>
          <w:divBdr>
            <w:top w:val="none" w:sz="0" w:space="0" w:color="auto"/>
            <w:left w:val="none" w:sz="0" w:space="0" w:color="auto"/>
            <w:bottom w:val="none" w:sz="0" w:space="0" w:color="auto"/>
            <w:right w:val="none" w:sz="0" w:space="0" w:color="auto"/>
          </w:divBdr>
        </w:div>
      </w:divsChild>
    </w:div>
    <w:div w:id="824586013">
      <w:bodyDiv w:val="1"/>
      <w:marLeft w:val="0"/>
      <w:marRight w:val="0"/>
      <w:marTop w:val="0"/>
      <w:marBottom w:val="0"/>
      <w:divBdr>
        <w:top w:val="none" w:sz="0" w:space="0" w:color="auto"/>
        <w:left w:val="none" w:sz="0" w:space="0" w:color="auto"/>
        <w:bottom w:val="none" w:sz="0" w:space="0" w:color="auto"/>
        <w:right w:val="none" w:sz="0" w:space="0" w:color="auto"/>
      </w:divBdr>
      <w:divsChild>
        <w:div w:id="24138038">
          <w:marLeft w:val="0"/>
          <w:marRight w:val="0"/>
          <w:marTop w:val="0"/>
          <w:marBottom w:val="0"/>
          <w:divBdr>
            <w:top w:val="none" w:sz="0" w:space="0" w:color="auto"/>
            <w:left w:val="none" w:sz="0" w:space="0" w:color="auto"/>
            <w:bottom w:val="none" w:sz="0" w:space="0" w:color="auto"/>
            <w:right w:val="none" w:sz="0" w:space="0" w:color="auto"/>
          </w:divBdr>
        </w:div>
      </w:divsChild>
    </w:div>
    <w:div w:id="974870170">
      <w:bodyDiv w:val="1"/>
      <w:marLeft w:val="0"/>
      <w:marRight w:val="0"/>
      <w:marTop w:val="0"/>
      <w:marBottom w:val="0"/>
      <w:divBdr>
        <w:top w:val="none" w:sz="0" w:space="0" w:color="auto"/>
        <w:left w:val="none" w:sz="0" w:space="0" w:color="auto"/>
        <w:bottom w:val="none" w:sz="0" w:space="0" w:color="auto"/>
        <w:right w:val="none" w:sz="0" w:space="0" w:color="auto"/>
      </w:divBdr>
      <w:divsChild>
        <w:div w:id="361707115">
          <w:marLeft w:val="0"/>
          <w:marRight w:val="0"/>
          <w:marTop w:val="0"/>
          <w:marBottom w:val="0"/>
          <w:divBdr>
            <w:top w:val="none" w:sz="0" w:space="0" w:color="auto"/>
            <w:left w:val="none" w:sz="0" w:space="0" w:color="auto"/>
            <w:bottom w:val="none" w:sz="0" w:space="0" w:color="auto"/>
            <w:right w:val="none" w:sz="0" w:space="0" w:color="auto"/>
          </w:divBdr>
        </w:div>
      </w:divsChild>
    </w:div>
    <w:div w:id="977488976">
      <w:bodyDiv w:val="1"/>
      <w:marLeft w:val="0"/>
      <w:marRight w:val="0"/>
      <w:marTop w:val="0"/>
      <w:marBottom w:val="0"/>
      <w:divBdr>
        <w:top w:val="none" w:sz="0" w:space="0" w:color="auto"/>
        <w:left w:val="none" w:sz="0" w:space="0" w:color="auto"/>
        <w:bottom w:val="none" w:sz="0" w:space="0" w:color="auto"/>
        <w:right w:val="none" w:sz="0" w:space="0" w:color="auto"/>
      </w:divBdr>
      <w:divsChild>
        <w:div w:id="1041636996">
          <w:marLeft w:val="0"/>
          <w:marRight w:val="0"/>
          <w:marTop w:val="0"/>
          <w:marBottom w:val="0"/>
          <w:divBdr>
            <w:top w:val="none" w:sz="0" w:space="0" w:color="auto"/>
            <w:left w:val="none" w:sz="0" w:space="0" w:color="auto"/>
            <w:bottom w:val="none" w:sz="0" w:space="0" w:color="auto"/>
            <w:right w:val="none" w:sz="0" w:space="0" w:color="auto"/>
          </w:divBdr>
        </w:div>
      </w:divsChild>
    </w:div>
    <w:div w:id="1432625811">
      <w:bodyDiv w:val="1"/>
      <w:marLeft w:val="0"/>
      <w:marRight w:val="0"/>
      <w:marTop w:val="0"/>
      <w:marBottom w:val="0"/>
      <w:divBdr>
        <w:top w:val="none" w:sz="0" w:space="0" w:color="auto"/>
        <w:left w:val="none" w:sz="0" w:space="0" w:color="auto"/>
        <w:bottom w:val="none" w:sz="0" w:space="0" w:color="auto"/>
        <w:right w:val="none" w:sz="0" w:space="0" w:color="auto"/>
      </w:divBdr>
      <w:divsChild>
        <w:div w:id="1041636373">
          <w:marLeft w:val="0"/>
          <w:marRight w:val="0"/>
          <w:marTop w:val="0"/>
          <w:marBottom w:val="0"/>
          <w:divBdr>
            <w:top w:val="none" w:sz="0" w:space="0" w:color="auto"/>
            <w:left w:val="none" w:sz="0" w:space="0" w:color="auto"/>
            <w:bottom w:val="none" w:sz="0" w:space="0" w:color="auto"/>
            <w:right w:val="none" w:sz="0" w:space="0" w:color="auto"/>
          </w:divBdr>
        </w:div>
      </w:divsChild>
    </w:div>
    <w:div w:id="1599019372">
      <w:bodyDiv w:val="1"/>
      <w:marLeft w:val="0"/>
      <w:marRight w:val="0"/>
      <w:marTop w:val="0"/>
      <w:marBottom w:val="0"/>
      <w:divBdr>
        <w:top w:val="none" w:sz="0" w:space="0" w:color="auto"/>
        <w:left w:val="none" w:sz="0" w:space="0" w:color="auto"/>
        <w:bottom w:val="none" w:sz="0" w:space="0" w:color="auto"/>
        <w:right w:val="none" w:sz="0" w:space="0" w:color="auto"/>
      </w:divBdr>
      <w:divsChild>
        <w:div w:id="1973562410">
          <w:marLeft w:val="0"/>
          <w:marRight w:val="0"/>
          <w:marTop w:val="0"/>
          <w:marBottom w:val="0"/>
          <w:divBdr>
            <w:top w:val="none" w:sz="0" w:space="0" w:color="auto"/>
            <w:left w:val="none" w:sz="0" w:space="0" w:color="auto"/>
            <w:bottom w:val="none" w:sz="0" w:space="0" w:color="auto"/>
            <w:right w:val="none" w:sz="0" w:space="0" w:color="auto"/>
          </w:divBdr>
        </w:div>
      </w:divsChild>
    </w:div>
    <w:div w:id="1739747431">
      <w:bodyDiv w:val="1"/>
      <w:marLeft w:val="0"/>
      <w:marRight w:val="0"/>
      <w:marTop w:val="0"/>
      <w:marBottom w:val="0"/>
      <w:divBdr>
        <w:top w:val="none" w:sz="0" w:space="0" w:color="auto"/>
        <w:left w:val="none" w:sz="0" w:space="0" w:color="auto"/>
        <w:bottom w:val="none" w:sz="0" w:space="0" w:color="auto"/>
        <w:right w:val="none" w:sz="0" w:space="0" w:color="auto"/>
      </w:divBdr>
      <w:divsChild>
        <w:div w:id="1970554166">
          <w:marLeft w:val="0"/>
          <w:marRight w:val="0"/>
          <w:marTop w:val="0"/>
          <w:marBottom w:val="0"/>
          <w:divBdr>
            <w:top w:val="none" w:sz="0" w:space="0" w:color="auto"/>
            <w:left w:val="none" w:sz="0" w:space="0" w:color="auto"/>
            <w:bottom w:val="none" w:sz="0" w:space="0" w:color="auto"/>
            <w:right w:val="none" w:sz="0" w:space="0" w:color="auto"/>
          </w:divBdr>
        </w:div>
        <w:div w:id="947739479">
          <w:marLeft w:val="0"/>
          <w:marRight w:val="0"/>
          <w:marTop w:val="0"/>
          <w:marBottom w:val="0"/>
          <w:divBdr>
            <w:top w:val="none" w:sz="0" w:space="0" w:color="auto"/>
            <w:left w:val="none" w:sz="0" w:space="0" w:color="auto"/>
            <w:bottom w:val="none" w:sz="0" w:space="0" w:color="auto"/>
            <w:right w:val="none" w:sz="0" w:space="0" w:color="auto"/>
          </w:divBdr>
        </w:div>
        <w:div w:id="797337521">
          <w:marLeft w:val="0"/>
          <w:marRight w:val="0"/>
          <w:marTop w:val="0"/>
          <w:marBottom w:val="0"/>
          <w:divBdr>
            <w:top w:val="none" w:sz="0" w:space="0" w:color="auto"/>
            <w:left w:val="none" w:sz="0" w:space="0" w:color="auto"/>
            <w:bottom w:val="none" w:sz="0" w:space="0" w:color="auto"/>
            <w:right w:val="none" w:sz="0" w:space="0" w:color="auto"/>
          </w:divBdr>
        </w:div>
        <w:div w:id="402218348">
          <w:marLeft w:val="0"/>
          <w:marRight w:val="0"/>
          <w:marTop w:val="0"/>
          <w:marBottom w:val="0"/>
          <w:divBdr>
            <w:top w:val="none" w:sz="0" w:space="0" w:color="auto"/>
            <w:left w:val="none" w:sz="0" w:space="0" w:color="auto"/>
            <w:bottom w:val="none" w:sz="0" w:space="0" w:color="auto"/>
            <w:right w:val="none" w:sz="0" w:space="0" w:color="auto"/>
          </w:divBdr>
        </w:div>
        <w:div w:id="159976888">
          <w:marLeft w:val="0"/>
          <w:marRight w:val="0"/>
          <w:marTop w:val="0"/>
          <w:marBottom w:val="0"/>
          <w:divBdr>
            <w:top w:val="none" w:sz="0" w:space="0" w:color="auto"/>
            <w:left w:val="none" w:sz="0" w:space="0" w:color="auto"/>
            <w:bottom w:val="none" w:sz="0" w:space="0" w:color="auto"/>
            <w:right w:val="none" w:sz="0" w:space="0" w:color="auto"/>
          </w:divBdr>
        </w:div>
        <w:div w:id="1560282049">
          <w:marLeft w:val="0"/>
          <w:marRight w:val="0"/>
          <w:marTop w:val="0"/>
          <w:marBottom w:val="0"/>
          <w:divBdr>
            <w:top w:val="none" w:sz="0" w:space="0" w:color="auto"/>
            <w:left w:val="none" w:sz="0" w:space="0" w:color="auto"/>
            <w:bottom w:val="none" w:sz="0" w:space="0" w:color="auto"/>
            <w:right w:val="none" w:sz="0" w:space="0" w:color="auto"/>
          </w:divBdr>
        </w:div>
        <w:div w:id="269699939">
          <w:marLeft w:val="0"/>
          <w:marRight w:val="0"/>
          <w:marTop w:val="0"/>
          <w:marBottom w:val="0"/>
          <w:divBdr>
            <w:top w:val="none" w:sz="0" w:space="0" w:color="auto"/>
            <w:left w:val="none" w:sz="0" w:space="0" w:color="auto"/>
            <w:bottom w:val="none" w:sz="0" w:space="0" w:color="auto"/>
            <w:right w:val="none" w:sz="0" w:space="0" w:color="auto"/>
          </w:divBdr>
        </w:div>
        <w:div w:id="930116908">
          <w:marLeft w:val="0"/>
          <w:marRight w:val="0"/>
          <w:marTop w:val="0"/>
          <w:marBottom w:val="0"/>
          <w:divBdr>
            <w:top w:val="none" w:sz="0" w:space="0" w:color="auto"/>
            <w:left w:val="none" w:sz="0" w:space="0" w:color="auto"/>
            <w:bottom w:val="none" w:sz="0" w:space="0" w:color="auto"/>
            <w:right w:val="none" w:sz="0" w:space="0" w:color="auto"/>
          </w:divBdr>
        </w:div>
        <w:div w:id="1009714316">
          <w:marLeft w:val="0"/>
          <w:marRight w:val="0"/>
          <w:marTop w:val="0"/>
          <w:marBottom w:val="0"/>
          <w:divBdr>
            <w:top w:val="none" w:sz="0" w:space="0" w:color="auto"/>
            <w:left w:val="none" w:sz="0" w:space="0" w:color="auto"/>
            <w:bottom w:val="none" w:sz="0" w:space="0" w:color="auto"/>
            <w:right w:val="none" w:sz="0" w:space="0" w:color="auto"/>
          </w:divBdr>
        </w:div>
      </w:divsChild>
    </w:div>
    <w:div w:id="1848443472">
      <w:bodyDiv w:val="1"/>
      <w:marLeft w:val="0"/>
      <w:marRight w:val="0"/>
      <w:marTop w:val="0"/>
      <w:marBottom w:val="0"/>
      <w:divBdr>
        <w:top w:val="none" w:sz="0" w:space="0" w:color="auto"/>
        <w:left w:val="none" w:sz="0" w:space="0" w:color="auto"/>
        <w:bottom w:val="none" w:sz="0" w:space="0" w:color="auto"/>
        <w:right w:val="none" w:sz="0" w:space="0" w:color="auto"/>
      </w:divBdr>
      <w:divsChild>
        <w:div w:id="421488119">
          <w:marLeft w:val="0"/>
          <w:marRight w:val="0"/>
          <w:marTop w:val="0"/>
          <w:marBottom w:val="0"/>
          <w:divBdr>
            <w:top w:val="none" w:sz="0" w:space="0" w:color="auto"/>
            <w:left w:val="none" w:sz="0" w:space="0" w:color="auto"/>
            <w:bottom w:val="none" w:sz="0" w:space="0" w:color="auto"/>
            <w:right w:val="none" w:sz="0" w:space="0" w:color="auto"/>
          </w:divBdr>
        </w:div>
      </w:divsChild>
    </w:div>
    <w:div w:id="1916238203">
      <w:bodyDiv w:val="1"/>
      <w:marLeft w:val="0"/>
      <w:marRight w:val="0"/>
      <w:marTop w:val="0"/>
      <w:marBottom w:val="0"/>
      <w:divBdr>
        <w:top w:val="none" w:sz="0" w:space="0" w:color="auto"/>
        <w:left w:val="none" w:sz="0" w:space="0" w:color="auto"/>
        <w:bottom w:val="none" w:sz="0" w:space="0" w:color="auto"/>
        <w:right w:val="none" w:sz="0" w:space="0" w:color="auto"/>
      </w:divBdr>
      <w:divsChild>
        <w:div w:id="176164244">
          <w:marLeft w:val="0"/>
          <w:marRight w:val="0"/>
          <w:marTop w:val="0"/>
          <w:marBottom w:val="0"/>
          <w:divBdr>
            <w:top w:val="none" w:sz="0" w:space="0" w:color="auto"/>
            <w:left w:val="none" w:sz="0" w:space="0" w:color="auto"/>
            <w:bottom w:val="none" w:sz="0" w:space="0" w:color="auto"/>
            <w:right w:val="none" w:sz="0" w:space="0" w:color="auto"/>
          </w:divBdr>
        </w:div>
      </w:divsChild>
    </w:div>
    <w:div w:id="2108115130">
      <w:bodyDiv w:val="1"/>
      <w:marLeft w:val="0"/>
      <w:marRight w:val="0"/>
      <w:marTop w:val="0"/>
      <w:marBottom w:val="0"/>
      <w:divBdr>
        <w:top w:val="none" w:sz="0" w:space="0" w:color="auto"/>
        <w:left w:val="none" w:sz="0" w:space="0" w:color="auto"/>
        <w:bottom w:val="none" w:sz="0" w:space="0" w:color="auto"/>
        <w:right w:val="none" w:sz="0" w:space="0" w:color="auto"/>
      </w:divBdr>
      <w:divsChild>
        <w:div w:id="190842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3786</TotalTime>
  <Pages>120</Pages>
  <Words>26221</Words>
  <Characters>149464</Characters>
  <Application>Microsoft Office Word</Application>
  <DocSecurity>0</DocSecurity>
  <Lines>1245</Lines>
  <Paragraphs>350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175335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151</cp:revision>
  <cp:lastPrinted>2013-04-19T12:09:00Z</cp:lastPrinted>
  <dcterms:created xsi:type="dcterms:W3CDTF">2013-02-28T06:04:00Z</dcterms:created>
  <dcterms:modified xsi:type="dcterms:W3CDTF">2013-05-16T00:32:00Z</dcterms:modified>
</cp:coreProperties>
</file>