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4305" w:rsidRDefault="002D5B51" w:rsidP="003E024D">
      <w:pPr>
        <w:spacing w:line="240" w:lineRule="auto"/>
        <w:contextualSpacing/>
        <w:jc w:val="center"/>
        <w:rPr>
          <w:rFonts w:ascii="Times New Roman" w:hAnsi="Times New Roman" w:cs="Times New Roman"/>
          <w:b/>
          <w:sz w:val="28"/>
          <w:szCs w:val="28"/>
        </w:rPr>
      </w:pPr>
      <w:r w:rsidRPr="002D5B51">
        <w:rPr>
          <w:rFonts w:ascii="Times New Roman" w:hAnsi="Times New Roman" w:cs="Times New Roman"/>
          <w:b/>
          <w:sz w:val="28"/>
          <w:szCs w:val="28"/>
        </w:rPr>
        <w:t>Pain Management in Practice</w:t>
      </w:r>
    </w:p>
    <w:p w:rsidR="00CB4E4F" w:rsidRDefault="00CB4E4F" w:rsidP="003E024D">
      <w:pPr>
        <w:spacing w:line="240" w:lineRule="auto"/>
        <w:contextualSpacing/>
        <w:jc w:val="center"/>
        <w:rPr>
          <w:rFonts w:ascii="Times New Roman" w:hAnsi="Times New Roman" w:cs="Times New Roman"/>
          <w:b/>
          <w:sz w:val="28"/>
          <w:szCs w:val="28"/>
        </w:rPr>
      </w:pPr>
    </w:p>
    <w:p w:rsidR="002D5B51" w:rsidRPr="00CB4E4F" w:rsidRDefault="00CB4E4F" w:rsidP="00CB4E4F">
      <w:pPr>
        <w:spacing w:line="240" w:lineRule="auto"/>
        <w:contextualSpacing/>
        <w:jc w:val="center"/>
        <w:rPr>
          <w:rFonts w:ascii="Times New Roman" w:hAnsi="Times New Roman" w:cs="Times New Roman"/>
          <w:sz w:val="24"/>
          <w:szCs w:val="24"/>
        </w:rPr>
      </w:pPr>
      <w:r w:rsidRPr="00CB4E4F">
        <w:rPr>
          <w:rFonts w:ascii="Times New Roman" w:hAnsi="Times New Roman" w:cs="Times New Roman"/>
          <w:sz w:val="24"/>
          <w:szCs w:val="24"/>
        </w:rPr>
        <w:t>Veterinary Partners Appreciation Conference 2014</w:t>
      </w:r>
    </w:p>
    <w:p w:rsidR="002D5B51" w:rsidRPr="004D15D0" w:rsidRDefault="002D5B51" w:rsidP="003E024D">
      <w:pPr>
        <w:spacing w:line="240" w:lineRule="auto"/>
        <w:contextualSpacing/>
        <w:jc w:val="center"/>
        <w:rPr>
          <w:rFonts w:ascii="Times New Roman" w:hAnsi="Times New Roman" w:cs="Times New Roman"/>
        </w:rPr>
      </w:pPr>
      <w:r w:rsidRPr="004D15D0">
        <w:rPr>
          <w:rFonts w:ascii="Times New Roman" w:hAnsi="Times New Roman" w:cs="Times New Roman"/>
        </w:rPr>
        <w:t>Jennifer Herring, DVM, MS, DACVECC</w:t>
      </w:r>
    </w:p>
    <w:p w:rsidR="002D5B51" w:rsidRPr="004D15D0" w:rsidRDefault="002D5B51" w:rsidP="003E024D">
      <w:pPr>
        <w:spacing w:line="240" w:lineRule="auto"/>
        <w:contextualSpacing/>
        <w:jc w:val="center"/>
        <w:rPr>
          <w:rFonts w:ascii="Times New Roman" w:hAnsi="Times New Roman" w:cs="Times New Roman"/>
        </w:rPr>
      </w:pPr>
      <w:r w:rsidRPr="004D15D0">
        <w:rPr>
          <w:rFonts w:ascii="Times New Roman" w:hAnsi="Times New Roman" w:cs="Times New Roman"/>
        </w:rPr>
        <w:t>Small Animal Emergency and Critical Care</w:t>
      </w:r>
    </w:p>
    <w:p w:rsidR="002D5B51" w:rsidRPr="004D15D0" w:rsidRDefault="002D5B51" w:rsidP="003E024D">
      <w:pPr>
        <w:spacing w:line="240" w:lineRule="auto"/>
        <w:contextualSpacing/>
        <w:jc w:val="center"/>
        <w:rPr>
          <w:rFonts w:ascii="Times New Roman" w:hAnsi="Times New Roman" w:cs="Times New Roman"/>
        </w:rPr>
      </w:pPr>
      <w:r w:rsidRPr="004D15D0">
        <w:rPr>
          <w:rFonts w:ascii="Times New Roman" w:hAnsi="Times New Roman" w:cs="Times New Roman"/>
        </w:rPr>
        <w:t>University of Tennessee</w:t>
      </w:r>
    </w:p>
    <w:p w:rsidR="00CB4E4F" w:rsidRDefault="00CB4E4F" w:rsidP="003E024D">
      <w:pPr>
        <w:spacing w:line="240" w:lineRule="auto"/>
        <w:contextualSpacing/>
        <w:rPr>
          <w:rFonts w:ascii="Times New Roman" w:hAnsi="Times New Roman" w:cs="Times New Roman"/>
          <w:sz w:val="24"/>
          <w:szCs w:val="24"/>
        </w:rPr>
      </w:pPr>
    </w:p>
    <w:p w:rsidR="009B4EF3" w:rsidRPr="003E024D" w:rsidRDefault="002D5B51" w:rsidP="003E024D">
      <w:pPr>
        <w:spacing w:line="240" w:lineRule="auto"/>
        <w:ind w:firstLine="720"/>
        <w:contextualSpacing/>
        <w:rPr>
          <w:rFonts w:ascii="Times New Roman" w:hAnsi="Times New Roman" w:cs="Times New Roman"/>
        </w:rPr>
      </w:pPr>
      <w:r w:rsidRPr="003E024D">
        <w:rPr>
          <w:rFonts w:ascii="Times New Roman" w:hAnsi="Times New Roman" w:cs="Times New Roman"/>
        </w:rPr>
        <w:t xml:space="preserve">When it comes to pain assessment in small animal practice, it is often difficult to discern a painful response from anxiety, nervousness or dysphoria.  The truth is, </w:t>
      </w:r>
      <w:r w:rsidR="00C13C4D" w:rsidRPr="003E024D">
        <w:rPr>
          <w:rFonts w:ascii="Times New Roman" w:hAnsi="Times New Roman" w:cs="Times New Roman"/>
        </w:rPr>
        <w:t xml:space="preserve">pain can be multi-factorial and this </w:t>
      </w:r>
      <w:r w:rsidR="00204E71" w:rsidRPr="003E024D">
        <w:rPr>
          <w:rFonts w:ascii="Times New Roman" w:hAnsi="Times New Roman" w:cs="Times New Roman"/>
        </w:rPr>
        <w:t xml:space="preserve">overlap in clinical presentation makes </w:t>
      </w:r>
      <w:r w:rsidR="00C13C4D" w:rsidRPr="003E024D">
        <w:rPr>
          <w:rFonts w:ascii="Times New Roman" w:hAnsi="Times New Roman" w:cs="Times New Roman"/>
        </w:rPr>
        <w:t>selection of medications chal</w:t>
      </w:r>
      <w:r w:rsidR="00204E71" w:rsidRPr="003E024D">
        <w:rPr>
          <w:rFonts w:ascii="Times New Roman" w:hAnsi="Times New Roman" w:cs="Times New Roman"/>
        </w:rPr>
        <w:t xml:space="preserve">lenging for our patients.  </w:t>
      </w:r>
      <w:r w:rsidR="00EA7BA9" w:rsidRPr="003E024D">
        <w:rPr>
          <w:rFonts w:ascii="Times New Roman" w:hAnsi="Times New Roman" w:cs="Times New Roman"/>
        </w:rPr>
        <w:t xml:space="preserve">Pain can disrupt the stability and recovery of our patients through changes </w:t>
      </w:r>
      <w:r w:rsidR="001A52B8">
        <w:rPr>
          <w:rFonts w:ascii="Times New Roman" w:hAnsi="Times New Roman" w:cs="Times New Roman"/>
        </w:rPr>
        <w:t xml:space="preserve">in their physiologic status, </w:t>
      </w:r>
      <w:r w:rsidR="00EA7BA9" w:rsidRPr="003E024D">
        <w:rPr>
          <w:rFonts w:ascii="Times New Roman" w:hAnsi="Times New Roman" w:cs="Times New Roman"/>
        </w:rPr>
        <w:t xml:space="preserve">depressed appetite, delayed wound healing, immune compromise, increased incidence of infection, as well as adding to fear and anxiety.  Therefore, by controlling pain, we are benefiting not only the patient, but also our clients and our practice.  For our patients, we increase their comfort, reduce their stress, support organ and immune function, enhance healing, improve mobility, and improve post-operative recovery.  For our clients, we address their concerns, fulfill their expectations for their pets’ comfort, demonstrate </w:t>
      </w:r>
      <w:r w:rsidR="005D175A" w:rsidRPr="003E024D">
        <w:rPr>
          <w:rFonts w:ascii="Times New Roman" w:hAnsi="Times New Roman" w:cs="Times New Roman"/>
        </w:rPr>
        <w:t xml:space="preserve">the practice’s commitment </w:t>
      </w:r>
      <w:r w:rsidR="00AA7C9A" w:rsidRPr="003E024D">
        <w:rPr>
          <w:rFonts w:ascii="Times New Roman" w:hAnsi="Times New Roman" w:cs="Times New Roman"/>
        </w:rPr>
        <w:t>to pain control</w:t>
      </w:r>
      <w:r w:rsidR="005D175A" w:rsidRPr="003E024D">
        <w:rPr>
          <w:rFonts w:ascii="Times New Roman" w:hAnsi="Times New Roman" w:cs="Times New Roman"/>
        </w:rPr>
        <w:t xml:space="preserve">, increase the level of medical care we can provide, and strengthen the human-animal bond.  Benefits for our practice lie in increasing staff morale, enhancing public relations, strengthening client loyalty, improving client compliance, adding to income, providing a marketing opportunity, and offering best care practices.  </w:t>
      </w:r>
    </w:p>
    <w:p w:rsidR="009B4EF3" w:rsidRPr="003E024D" w:rsidRDefault="009B4EF3" w:rsidP="003E024D">
      <w:pPr>
        <w:spacing w:line="240" w:lineRule="auto"/>
        <w:ind w:firstLine="720"/>
        <w:contextualSpacing/>
        <w:rPr>
          <w:rFonts w:ascii="Times New Roman" w:hAnsi="Times New Roman" w:cs="Times New Roman"/>
        </w:rPr>
      </w:pPr>
      <w:r w:rsidRPr="003E024D">
        <w:rPr>
          <w:rFonts w:ascii="Times New Roman" w:hAnsi="Times New Roman" w:cs="Times New Roman"/>
        </w:rPr>
        <w:t>In order to effectively treat pain, we must recognize it.  Monitor your patient’s unprovoked behavior: vocalization, absence of normal behavioral patterns, attempts to escape, changes in sleep or appetite, temperament (increased anxiety/fear, quiet/withdrawn nature, lethargy), guarding the affected area, self-mutilation (biting, chewing, scratching at the site or remote areas), unusual posture, restlessness, slow mo</w:t>
      </w:r>
      <w:r w:rsidR="00B730FC" w:rsidRPr="003E024D">
        <w:rPr>
          <w:rFonts w:ascii="Times New Roman" w:hAnsi="Times New Roman" w:cs="Times New Roman"/>
        </w:rPr>
        <w:t xml:space="preserve">vements, lameness/limb disuse, among others.  Then assess behavioral responses to stimuli, including interactions with humans, increased body tension/flinching, </w:t>
      </w:r>
      <w:r w:rsidR="000B24B9">
        <w:rPr>
          <w:rFonts w:ascii="Times New Roman" w:hAnsi="Times New Roman" w:cs="Times New Roman"/>
        </w:rPr>
        <w:t xml:space="preserve">and </w:t>
      </w:r>
      <w:r w:rsidR="00B730FC" w:rsidRPr="003E024D">
        <w:rPr>
          <w:rFonts w:ascii="Times New Roman" w:hAnsi="Times New Roman" w:cs="Times New Roman"/>
        </w:rPr>
        <w:t xml:space="preserve">response to gentle handling.  Physiologic parameters may also be observed, often in association with acute pain.  These </w:t>
      </w:r>
      <w:r w:rsidR="00BD4676" w:rsidRPr="003E024D">
        <w:rPr>
          <w:rFonts w:ascii="Times New Roman" w:hAnsi="Times New Roman" w:cs="Times New Roman"/>
        </w:rPr>
        <w:t xml:space="preserve">can </w:t>
      </w:r>
      <w:r w:rsidR="00B730FC" w:rsidRPr="003E024D">
        <w:rPr>
          <w:rFonts w:ascii="Times New Roman" w:hAnsi="Times New Roman" w:cs="Times New Roman"/>
        </w:rPr>
        <w:t xml:space="preserve">include </w:t>
      </w:r>
      <w:r w:rsidR="00BD4676" w:rsidRPr="003E024D">
        <w:rPr>
          <w:rFonts w:ascii="Times New Roman" w:hAnsi="Times New Roman" w:cs="Times New Roman"/>
        </w:rPr>
        <w:t xml:space="preserve">increased heart rate, blood pressure, respiratory rate, and temperature, peripheral vasoconstriction (pale mucous membranes), cardiac dysrhythmias, hyperventilation, reduction in peristalsis, and dilated pupils.  Cats, in particular, will hide, decrease grooming behaviors, have a reduction in appetite and activity, become quiet, disinterested, excessively lick, groom, tail flick, hiss or spit.   </w:t>
      </w:r>
    </w:p>
    <w:p w:rsidR="00E05DDA" w:rsidRPr="003E024D" w:rsidRDefault="00E05DDA" w:rsidP="003E024D">
      <w:pPr>
        <w:spacing w:line="240" w:lineRule="auto"/>
        <w:ind w:firstLine="720"/>
        <w:contextualSpacing/>
        <w:rPr>
          <w:rFonts w:ascii="Times New Roman" w:hAnsi="Times New Roman" w:cs="Times New Roman"/>
        </w:rPr>
      </w:pPr>
      <w:r w:rsidRPr="003E024D">
        <w:rPr>
          <w:rFonts w:ascii="Times New Roman" w:hAnsi="Times New Roman" w:cs="Times New Roman"/>
        </w:rPr>
        <w:t>Pain scales exist to provide a more subjective evaluation of our patients.  They are an important adjunct to our physical assessment and should be used to ensure that we are monitoring pain in all our patients.  They allow for frequent reevaluation of a patient’s pain, with low scores reflecting more effective analgesia.  Remember that limitations exist and that a patient’s pain may supersede their designated pain score.  Therefore, a patient should never be denied analgesi</w:t>
      </w:r>
      <w:r w:rsidR="000B24B9">
        <w:rPr>
          <w:rFonts w:ascii="Times New Roman" w:hAnsi="Times New Roman" w:cs="Times New Roman"/>
        </w:rPr>
        <w:t xml:space="preserve">a based on their </w:t>
      </w:r>
      <w:r w:rsidRPr="003E024D">
        <w:rPr>
          <w:rFonts w:ascii="Times New Roman" w:hAnsi="Times New Roman" w:cs="Times New Roman"/>
        </w:rPr>
        <w:t xml:space="preserve">score.  These scales can be used to help taper pain medication and monitor a patient’s response.  Also, if we are uncertain, as in the case of sedated or severely ill and compromised patients, we can provide a test dose of analgesia and observe for any beneficial effects.  </w:t>
      </w:r>
      <w:r w:rsidR="00F03643" w:rsidRPr="003E024D">
        <w:rPr>
          <w:rFonts w:ascii="Times New Roman" w:hAnsi="Times New Roman" w:cs="Times New Roman"/>
        </w:rPr>
        <w:t xml:space="preserve">Three main types of pain scales exist, including the visual analog scale, ranging from no pain to the worst possible pain, the simple descriptive scale (0 = no pain, 1 = mild pain, 2 = moderate pain, 3 = severe pain, 4 = worst possible pain), and the numerical rating scales (of which the Glasgow Composite Measure Pain Score in dogs is one example </w:t>
      </w:r>
      <w:r w:rsidR="00F913CA" w:rsidRPr="003E024D">
        <w:rPr>
          <w:rFonts w:ascii="Times New Roman" w:hAnsi="Times New Roman" w:cs="Times New Roman"/>
        </w:rPr>
        <w:t>–</w:t>
      </w:r>
      <w:r w:rsidR="00F03643" w:rsidRPr="003E024D">
        <w:rPr>
          <w:rFonts w:ascii="Times New Roman" w:hAnsi="Times New Roman" w:cs="Times New Roman"/>
        </w:rPr>
        <w:t xml:space="preserve"> </w:t>
      </w:r>
      <w:r w:rsidR="00F913CA" w:rsidRPr="003E024D">
        <w:rPr>
          <w:rFonts w:ascii="Times New Roman" w:hAnsi="Times New Roman" w:cs="Times New Roman"/>
        </w:rPr>
        <w:t xml:space="preserve">Moran CE, et al. J Vet Emerg Crit Care 2013;23(1):29-36).  </w:t>
      </w:r>
    </w:p>
    <w:p w:rsidR="00584BB1" w:rsidRPr="003E024D" w:rsidRDefault="00F913CA" w:rsidP="003E024D">
      <w:pPr>
        <w:spacing w:line="240" w:lineRule="auto"/>
        <w:contextualSpacing/>
        <w:rPr>
          <w:rFonts w:ascii="Times New Roman" w:hAnsi="Times New Roman" w:cs="Times New Roman"/>
        </w:rPr>
      </w:pPr>
      <w:r w:rsidRPr="003E024D">
        <w:rPr>
          <w:rFonts w:ascii="Times New Roman" w:hAnsi="Times New Roman" w:cs="Times New Roman"/>
        </w:rPr>
        <w:tab/>
        <w:t xml:space="preserve">The best modality for pain control in our patients will vary between individuals and also with their duration and type of pain response.  The pain pathway helps us </w:t>
      </w:r>
      <w:r w:rsidR="00E82687" w:rsidRPr="003E024D">
        <w:rPr>
          <w:rFonts w:ascii="Times New Roman" w:hAnsi="Times New Roman" w:cs="Times New Roman"/>
        </w:rPr>
        <w:t>to understand the neural connections involved in the perception and response to pain such that we can provide a multifaceted approach to comforting our patients.  The pain pathway has 5 main components:  transduction, transmission, modulation, projection and perception.  Transduction involves the conversion of a noxious</w:t>
      </w:r>
      <w:r w:rsidR="00C45020" w:rsidRPr="003E024D">
        <w:rPr>
          <w:rFonts w:ascii="Times New Roman" w:hAnsi="Times New Roman" w:cs="Times New Roman"/>
        </w:rPr>
        <w:t xml:space="preserve"> stimulus into an electrical signal.  It involves the nocicept</w:t>
      </w:r>
      <w:r w:rsidR="001A52B8">
        <w:rPr>
          <w:rFonts w:ascii="Times New Roman" w:hAnsi="Times New Roman" w:cs="Times New Roman"/>
        </w:rPr>
        <w:t>ors, the pain receptors found</w:t>
      </w:r>
      <w:r w:rsidR="00C45020" w:rsidRPr="003E024D">
        <w:rPr>
          <w:rFonts w:ascii="Times New Roman" w:hAnsi="Times New Roman" w:cs="Times New Roman"/>
        </w:rPr>
        <w:t xml:space="preserve"> in superficial and deep tissues.  A noxious stimulus can be chemical, mechanical, or thermal in nature.  In the next phase, transmission, </w:t>
      </w:r>
      <w:r w:rsidR="00C45020" w:rsidRPr="003E024D">
        <w:rPr>
          <w:rFonts w:ascii="Times New Roman" w:hAnsi="Times New Roman" w:cs="Times New Roman"/>
        </w:rPr>
        <w:lastRenderedPageBreak/>
        <w:t>peripheral nerves transmit sensory and motor impulses.  Afferent nerve fibers transmit sensory impulses toward the dorsal horn of the spinal cord and efferent nerve fibers transmit motor impulses away from the ventral horn of the spinal cord.  During modulation, in the dorsal horn, signals are amplified or dampened based on excitatory or inhibitory mechanisms.  If nociceptive signals are amplified, they are then relayed to the brain in the projection phase.  Lastly, th</w:t>
      </w:r>
      <w:r w:rsidR="000B24B9">
        <w:rPr>
          <w:rFonts w:ascii="Times New Roman" w:hAnsi="Times New Roman" w:cs="Times New Roman"/>
        </w:rPr>
        <w:t xml:space="preserve">ere is perception, which is </w:t>
      </w:r>
      <w:r w:rsidR="00C45020" w:rsidRPr="003E024D">
        <w:rPr>
          <w:rFonts w:ascii="Times New Roman" w:hAnsi="Times New Roman" w:cs="Times New Roman"/>
        </w:rPr>
        <w:t>integration, processing and recognit</w:t>
      </w:r>
      <w:r w:rsidR="000B24B9">
        <w:rPr>
          <w:rFonts w:ascii="Times New Roman" w:hAnsi="Times New Roman" w:cs="Times New Roman"/>
        </w:rPr>
        <w:t xml:space="preserve">ion of sensory information </w:t>
      </w:r>
      <w:r w:rsidR="00062FC0">
        <w:rPr>
          <w:rFonts w:ascii="Times New Roman" w:hAnsi="Times New Roman" w:cs="Times New Roman"/>
        </w:rPr>
        <w:t xml:space="preserve">that </w:t>
      </w:r>
      <w:r w:rsidR="00C45020" w:rsidRPr="003E024D">
        <w:rPr>
          <w:rFonts w:ascii="Times New Roman" w:hAnsi="Times New Roman" w:cs="Times New Roman"/>
        </w:rPr>
        <w:t xml:space="preserve">takes place in the </w:t>
      </w:r>
      <w:r w:rsidR="0040557C" w:rsidRPr="003E024D">
        <w:rPr>
          <w:rFonts w:ascii="Times New Roman" w:hAnsi="Times New Roman" w:cs="Times New Roman"/>
        </w:rPr>
        <w:t>cerebral cortex and other higher brain centers.  It is where signals transform into motor responses and memories to give us the experience of pain.</w:t>
      </w:r>
      <w:r w:rsidR="00795CEF" w:rsidRPr="003E024D">
        <w:rPr>
          <w:rFonts w:ascii="Times New Roman" w:hAnsi="Times New Roman" w:cs="Times New Roman"/>
        </w:rPr>
        <w:t xml:space="preserve">  Administration of analgesic drugs in combination and at multiple sites can alter more than one part of the nociceptive process to provide more complete pain control for our patients.  This multi-modal analgesia relies on additive or synergistic effects of two or more drugs working through</w:t>
      </w:r>
      <w:r w:rsidR="0029447F" w:rsidRPr="003E024D">
        <w:rPr>
          <w:rFonts w:ascii="Times New Roman" w:hAnsi="Times New Roman" w:cs="Times New Roman"/>
        </w:rPr>
        <w:t xml:space="preserve"> different mechanisms of action.  </w:t>
      </w:r>
      <w:r w:rsidR="00E03861" w:rsidRPr="003E024D">
        <w:rPr>
          <w:rFonts w:ascii="Times New Roman" w:hAnsi="Times New Roman" w:cs="Times New Roman"/>
        </w:rPr>
        <w:t xml:space="preserve">For example, local </w:t>
      </w:r>
      <w:r w:rsidR="000A6A61" w:rsidRPr="003E024D">
        <w:rPr>
          <w:rFonts w:ascii="Times New Roman" w:hAnsi="Times New Roman" w:cs="Times New Roman"/>
        </w:rPr>
        <w:t>anesthetics</w:t>
      </w:r>
      <w:r w:rsidR="00E03861" w:rsidRPr="003E024D">
        <w:rPr>
          <w:rFonts w:ascii="Times New Roman" w:hAnsi="Times New Roman" w:cs="Times New Roman"/>
        </w:rPr>
        <w:t xml:space="preserve">, opioids, NSAIDS, and corticosteroids will block transduction, local </w:t>
      </w:r>
      <w:r w:rsidR="000A6A61" w:rsidRPr="003E024D">
        <w:rPr>
          <w:rFonts w:ascii="Times New Roman" w:hAnsi="Times New Roman" w:cs="Times New Roman"/>
        </w:rPr>
        <w:t>anesthetics</w:t>
      </w:r>
      <w:r w:rsidR="00E03861" w:rsidRPr="003E024D">
        <w:rPr>
          <w:rFonts w:ascii="Times New Roman" w:hAnsi="Times New Roman" w:cs="Times New Roman"/>
        </w:rPr>
        <w:t xml:space="preserve"> and α2 agonists will target transmission, local anesthetics, opioids, α2 agonists, NSAIDS, anticonvulsants, tricyclic antidepressants, and NMDA antagonists affect modulation and anesthetics, opioids, benzodiazepines, α2 agonists, and phenothiazines inhibit perception.  </w:t>
      </w:r>
    </w:p>
    <w:p w:rsidR="00584BB1" w:rsidRPr="003E024D" w:rsidRDefault="00584BB1" w:rsidP="003E024D">
      <w:pPr>
        <w:spacing w:line="240" w:lineRule="auto"/>
        <w:contextualSpacing/>
        <w:rPr>
          <w:rFonts w:ascii="Times New Roman" w:hAnsi="Times New Roman" w:cs="Times New Roman"/>
        </w:rPr>
      </w:pPr>
      <w:r w:rsidRPr="003E024D">
        <w:rPr>
          <w:rFonts w:ascii="Times New Roman" w:hAnsi="Times New Roman" w:cs="Times New Roman"/>
        </w:rPr>
        <w:tab/>
        <w:t xml:space="preserve">Several types of pain exist in our patients, ranging from acute vs. chronic pain, somatic vs. visceral pain, physiologic vs. pathologic pain, neuropathic, and referred pain to name a few.  Of special note is wind-up pain.  This is where prolonged noxious stimuli produce greater sensitivity to subsequent stimuli.  It can last hours to days or longer and is not prevented by general anesthesia.  Wind-up is the rationale for pre-emptive </w:t>
      </w:r>
      <w:r w:rsidR="000A6A61" w:rsidRPr="003E024D">
        <w:rPr>
          <w:rFonts w:ascii="Times New Roman" w:hAnsi="Times New Roman" w:cs="Times New Roman"/>
        </w:rPr>
        <w:t>analgesia, which</w:t>
      </w:r>
      <w:r w:rsidR="000A6A61">
        <w:rPr>
          <w:rFonts w:ascii="Times New Roman" w:hAnsi="Times New Roman" w:cs="Times New Roman"/>
        </w:rPr>
        <w:t xml:space="preserve"> is</w:t>
      </w:r>
      <w:bookmarkStart w:id="0" w:name="_GoBack"/>
      <w:bookmarkEnd w:id="0"/>
      <w:r w:rsidRPr="003E024D">
        <w:rPr>
          <w:rFonts w:ascii="Times New Roman" w:hAnsi="Times New Roman" w:cs="Times New Roman"/>
        </w:rPr>
        <w:t xml:space="preserve"> introducing an analgesic regimen before the onset of noxious stimuli to prevent sensitization of the nervous system to subsequent stimuli that could amplify pain.  The NMDA receptor antagonists (ketamine, amantadine, methadone) as well as gabapentin have action to reduce wind-up.  </w:t>
      </w:r>
    </w:p>
    <w:p w:rsidR="00D064F1" w:rsidRPr="003E024D" w:rsidRDefault="00584BB1" w:rsidP="00993E84">
      <w:pPr>
        <w:spacing w:line="240" w:lineRule="auto"/>
        <w:ind w:firstLine="720"/>
        <w:contextualSpacing/>
        <w:rPr>
          <w:rFonts w:ascii="Times New Roman" w:hAnsi="Times New Roman" w:cs="Times New Roman"/>
        </w:rPr>
      </w:pPr>
      <w:r w:rsidRPr="003E024D">
        <w:rPr>
          <w:rFonts w:ascii="Times New Roman" w:hAnsi="Times New Roman" w:cs="Times New Roman"/>
        </w:rPr>
        <w:t xml:space="preserve">Strategies for pain control include limitation of nociceptor stimulation, such as gentle tissue handling and minimization of tissue trauma, as well as pre-operative NSAIDS if not contraindicated (dehydration, hypovolemia, shock, trauma, renal insufficiency, for example).  </w:t>
      </w:r>
      <w:r w:rsidR="00D064F1" w:rsidRPr="003E024D">
        <w:rPr>
          <w:rFonts w:ascii="Times New Roman" w:hAnsi="Times New Roman" w:cs="Times New Roman"/>
        </w:rPr>
        <w:t>Another goal is interruption of peripheral neural transmission through local anesthetics, regional nerve blocks, or infiltration of the surgical site with analgesics.  Also, we can inhibit nociceptive transmission at the spinal cord by considering epidurals, opioids, α2 agonists, or local anesthetics.  We can modulate brain pathways through opioids, α2 agonists, and some NSAIDS.</w:t>
      </w:r>
    </w:p>
    <w:p w:rsidR="005D175A" w:rsidRPr="003E024D" w:rsidRDefault="00D064F1" w:rsidP="003E024D">
      <w:pPr>
        <w:spacing w:line="240" w:lineRule="auto"/>
        <w:ind w:firstLine="720"/>
        <w:contextualSpacing/>
        <w:rPr>
          <w:rFonts w:ascii="Times New Roman" w:hAnsi="Times New Roman" w:cs="Times New Roman"/>
        </w:rPr>
      </w:pPr>
      <w:r w:rsidRPr="003E024D">
        <w:rPr>
          <w:rFonts w:ascii="Times New Roman" w:hAnsi="Times New Roman" w:cs="Times New Roman"/>
        </w:rPr>
        <w:t xml:space="preserve">It is important to recognize that balanced pre-emptive analgesia helps maximize pain control, minimize drug dosages, reduces clinically significant side effects, suppresses the stress response and shortens recovery.  This not only includes medications, but also non-pharmacologic methods such as exceptional nursing care, warm/cool compresses, massage, acupuncture/acupressure, and complimentary methods such as chiropractic care, herbal remedies, and laser therapy.  </w:t>
      </w:r>
    </w:p>
    <w:p w:rsidR="00D064F1" w:rsidRPr="003E024D" w:rsidRDefault="00D064F1" w:rsidP="003E024D">
      <w:pPr>
        <w:spacing w:line="240" w:lineRule="auto"/>
        <w:ind w:firstLine="720"/>
        <w:contextualSpacing/>
        <w:rPr>
          <w:rFonts w:ascii="Times New Roman" w:hAnsi="Times New Roman" w:cs="Times New Roman"/>
        </w:rPr>
      </w:pPr>
      <w:r w:rsidRPr="003E024D">
        <w:rPr>
          <w:rFonts w:ascii="Times New Roman" w:hAnsi="Times New Roman" w:cs="Times New Roman"/>
        </w:rPr>
        <w:t xml:space="preserve">Other considerations for pain management include </w:t>
      </w:r>
      <w:r w:rsidR="0049656B" w:rsidRPr="003E024D">
        <w:rPr>
          <w:rFonts w:ascii="Times New Roman" w:hAnsi="Times New Roman" w:cs="Times New Roman"/>
        </w:rPr>
        <w:t>ensuring normothermia, minimizing environmental stressors, reducing anxiety and fear (through medications such as tranquilizers/anxiolytics/α2 agonists – trazodone, acepromazine, dexmedetomidine or non-pharmacologic means), maintaining compassion, and voiding the bladder.</w:t>
      </w:r>
      <w:r w:rsidR="00FE50FA" w:rsidRPr="003E024D">
        <w:rPr>
          <w:rFonts w:ascii="Times New Roman" w:hAnsi="Times New Roman" w:cs="Times New Roman"/>
        </w:rPr>
        <w:t xml:space="preserve">  Remember to rotate recumbency, provide comfortable bedding, allow time for the patient to sleep by scheduling treatments together, and continuing pain control even when a patient is resting.  Probably most important are to consider multi-modal therapy whenever possible and to constantly monitor your patients and monitor them frequently to gain better control over their immediate and long-term pain.  </w:t>
      </w:r>
    </w:p>
    <w:p w:rsidR="00EA7BA9" w:rsidRDefault="00EA7BA9" w:rsidP="003E024D">
      <w:pPr>
        <w:spacing w:line="240" w:lineRule="auto"/>
        <w:ind w:firstLine="720"/>
        <w:contextualSpacing/>
        <w:rPr>
          <w:rFonts w:ascii="Times New Roman" w:hAnsi="Times New Roman" w:cs="Times New Roman"/>
          <w:sz w:val="24"/>
          <w:szCs w:val="24"/>
        </w:rPr>
      </w:pPr>
    </w:p>
    <w:p w:rsidR="00EA7BA9" w:rsidRDefault="00EA7BA9" w:rsidP="003E024D">
      <w:pPr>
        <w:spacing w:line="240" w:lineRule="auto"/>
        <w:ind w:firstLine="720"/>
        <w:contextualSpacing/>
        <w:rPr>
          <w:rFonts w:ascii="Times New Roman" w:hAnsi="Times New Roman" w:cs="Times New Roman"/>
          <w:sz w:val="24"/>
          <w:szCs w:val="24"/>
        </w:rPr>
      </w:pPr>
    </w:p>
    <w:p w:rsidR="00EA7BA9" w:rsidRPr="00EA7BA9" w:rsidRDefault="00EA7BA9" w:rsidP="003E024D">
      <w:pPr>
        <w:spacing w:line="240" w:lineRule="auto"/>
        <w:ind w:firstLine="720"/>
        <w:contextualSpacing/>
        <w:rPr>
          <w:rFonts w:ascii="Times New Roman" w:hAnsi="Times New Roman" w:cs="Times New Roman"/>
          <w:color w:val="838D9B"/>
          <w:sz w:val="24"/>
          <w:szCs w:val="24"/>
        </w:rPr>
      </w:pPr>
    </w:p>
    <w:p w:rsidR="002D5B51" w:rsidRPr="002D5B51" w:rsidRDefault="002D5B51" w:rsidP="003E024D">
      <w:pPr>
        <w:spacing w:line="240" w:lineRule="auto"/>
        <w:contextualSpacing/>
        <w:jc w:val="center"/>
        <w:rPr>
          <w:rFonts w:ascii="Times New Roman" w:hAnsi="Times New Roman" w:cs="Times New Roman"/>
          <w:b/>
          <w:sz w:val="24"/>
          <w:szCs w:val="24"/>
        </w:rPr>
      </w:pPr>
    </w:p>
    <w:sectPr w:rsidR="002D5B51" w:rsidRPr="002D5B5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0937" w:rsidRDefault="001F0937" w:rsidP="000167F9">
      <w:pPr>
        <w:spacing w:after="0" w:line="240" w:lineRule="auto"/>
      </w:pPr>
      <w:r>
        <w:separator/>
      </w:r>
    </w:p>
  </w:endnote>
  <w:endnote w:type="continuationSeparator" w:id="0">
    <w:p w:rsidR="001F0937" w:rsidRDefault="001F0937" w:rsidP="000167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0937" w:rsidRDefault="001F0937" w:rsidP="000167F9">
      <w:pPr>
        <w:spacing w:after="0" w:line="240" w:lineRule="auto"/>
      </w:pPr>
      <w:r>
        <w:separator/>
      </w:r>
    </w:p>
  </w:footnote>
  <w:footnote w:type="continuationSeparator" w:id="0">
    <w:p w:rsidR="001F0937" w:rsidRDefault="001F0937" w:rsidP="000167F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912BEF"/>
    <w:multiLevelType w:val="hybridMultilevel"/>
    <w:tmpl w:val="401AA292"/>
    <w:lvl w:ilvl="0" w:tplc="65B43DE0">
      <w:start w:val="1"/>
      <w:numFmt w:val="bullet"/>
      <w:lvlText w:val=""/>
      <w:lvlJc w:val="left"/>
      <w:pPr>
        <w:tabs>
          <w:tab w:val="num" w:pos="720"/>
        </w:tabs>
        <w:ind w:left="720" w:hanging="360"/>
      </w:pPr>
      <w:rPr>
        <w:rFonts w:ascii="Wingdings 2" w:hAnsi="Wingdings 2" w:hint="default"/>
      </w:rPr>
    </w:lvl>
    <w:lvl w:ilvl="1" w:tplc="19AC53E0" w:tentative="1">
      <w:start w:val="1"/>
      <w:numFmt w:val="bullet"/>
      <w:lvlText w:val=""/>
      <w:lvlJc w:val="left"/>
      <w:pPr>
        <w:tabs>
          <w:tab w:val="num" w:pos="1440"/>
        </w:tabs>
        <w:ind w:left="1440" w:hanging="360"/>
      </w:pPr>
      <w:rPr>
        <w:rFonts w:ascii="Wingdings 2" w:hAnsi="Wingdings 2" w:hint="default"/>
      </w:rPr>
    </w:lvl>
    <w:lvl w:ilvl="2" w:tplc="1A766E38" w:tentative="1">
      <w:start w:val="1"/>
      <w:numFmt w:val="bullet"/>
      <w:lvlText w:val=""/>
      <w:lvlJc w:val="left"/>
      <w:pPr>
        <w:tabs>
          <w:tab w:val="num" w:pos="2160"/>
        </w:tabs>
        <w:ind w:left="2160" w:hanging="360"/>
      </w:pPr>
      <w:rPr>
        <w:rFonts w:ascii="Wingdings 2" w:hAnsi="Wingdings 2" w:hint="default"/>
      </w:rPr>
    </w:lvl>
    <w:lvl w:ilvl="3" w:tplc="E5AEF79C" w:tentative="1">
      <w:start w:val="1"/>
      <w:numFmt w:val="bullet"/>
      <w:lvlText w:val=""/>
      <w:lvlJc w:val="left"/>
      <w:pPr>
        <w:tabs>
          <w:tab w:val="num" w:pos="2880"/>
        </w:tabs>
        <w:ind w:left="2880" w:hanging="360"/>
      </w:pPr>
      <w:rPr>
        <w:rFonts w:ascii="Wingdings 2" w:hAnsi="Wingdings 2" w:hint="default"/>
      </w:rPr>
    </w:lvl>
    <w:lvl w:ilvl="4" w:tplc="B64ABE88" w:tentative="1">
      <w:start w:val="1"/>
      <w:numFmt w:val="bullet"/>
      <w:lvlText w:val=""/>
      <w:lvlJc w:val="left"/>
      <w:pPr>
        <w:tabs>
          <w:tab w:val="num" w:pos="3600"/>
        </w:tabs>
        <w:ind w:left="3600" w:hanging="360"/>
      </w:pPr>
      <w:rPr>
        <w:rFonts w:ascii="Wingdings 2" w:hAnsi="Wingdings 2" w:hint="default"/>
      </w:rPr>
    </w:lvl>
    <w:lvl w:ilvl="5" w:tplc="DD049662" w:tentative="1">
      <w:start w:val="1"/>
      <w:numFmt w:val="bullet"/>
      <w:lvlText w:val=""/>
      <w:lvlJc w:val="left"/>
      <w:pPr>
        <w:tabs>
          <w:tab w:val="num" w:pos="4320"/>
        </w:tabs>
        <w:ind w:left="4320" w:hanging="360"/>
      </w:pPr>
      <w:rPr>
        <w:rFonts w:ascii="Wingdings 2" w:hAnsi="Wingdings 2" w:hint="default"/>
      </w:rPr>
    </w:lvl>
    <w:lvl w:ilvl="6" w:tplc="B396FF5C" w:tentative="1">
      <w:start w:val="1"/>
      <w:numFmt w:val="bullet"/>
      <w:lvlText w:val=""/>
      <w:lvlJc w:val="left"/>
      <w:pPr>
        <w:tabs>
          <w:tab w:val="num" w:pos="5040"/>
        </w:tabs>
        <w:ind w:left="5040" w:hanging="360"/>
      </w:pPr>
      <w:rPr>
        <w:rFonts w:ascii="Wingdings 2" w:hAnsi="Wingdings 2" w:hint="default"/>
      </w:rPr>
    </w:lvl>
    <w:lvl w:ilvl="7" w:tplc="FE4A13E8" w:tentative="1">
      <w:start w:val="1"/>
      <w:numFmt w:val="bullet"/>
      <w:lvlText w:val=""/>
      <w:lvlJc w:val="left"/>
      <w:pPr>
        <w:tabs>
          <w:tab w:val="num" w:pos="5760"/>
        </w:tabs>
        <w:ind w:left="5760" w:hanging="360"/>
      </w:pPr>
      <w:rPr>
        <w:rFonts w:ascii="Wingdings 2" w:hAnsi="Wingdings 2" w:hint="default"/>
      </w:rPr>
    </w:lvl>
    <w:lvl w:ilvl="8" w:tplc="01C2B988" w:tentative="1">
      <w:start w:val="1"/>
      <w:numFmt w:val="bullet"/>
      <w:lvlText w:val=""/>
      <w:lvlJc w:val="left"/>
      <w:pPr>
        <w:tabs>
          <w:tab w:val="num" w:pos="6480"/>
        </w:tabs>
        <w:ind w:left="6480" w:hanging="360"/>
      </w:pPr>
      <w:rPr>
        <w:rFonts w:ascii="Wingdings 2" w:hAnsi="Wingdings 2" w:hint="default"/>
      </w:rPr>
    </w:lvl>
  </w:abstractNum>
  <w:abstractNum w:abstractNumId="1">
    <w:nsid w:val="374E5CF1"/>
    <w:multiLevelType w:val="hybridMultilevel"/>
    <w:tmpl w:val="85E2934C"/>
    <w:lvl w:ilvl="0" w:tplc="3236CE2A">
      <w:start w:val="1"/>
      <w:numFmt w:val="bullet"/>
      <w:lvlText w:val=""/>
      <w:lvlJc w:val="left"/>
      <w:pPr>
        <w:tabs>
          <w:tab w:val="num" w:pos="720"/>
        </w:tabs>
        <w:ind w:left="720" w:hanging="360"/>
      </w:pPr>
      <w:rPr>
        <w:rFonts w:ascii="Wingdings 2" w:hAnsi="Wingdings 2" w:hint="default"/>
      </w:rPr>
    </w:lvl>
    <w:lvl w:ilvl="1" w:tplc="C1C058A0" w:tentative="1">
      <w:start w:val="1"/>
      <w:numFmt w:val="bullet"/>
      <w:lvlText w:val=""/>
      <w:lvlJc w:val="left"/>
      <w:pPr>
        <w:tabs>
          <w:tab w:val="num" w:pos="1440"/>
        </w:tabs>
        <w:ind w:left="1440" w:hanging="360"/>
      </w:pPr>
      <w:rPr>
        <w:rFonts w:ascii="Wingdings 2" w:hAnsi="Wingdings 2" w:hint="default"/>
      </w:rPr>
    </w:lvl>
    <w:lvl w:ilvl="2" w:tplc="71068374" w:tentative="1">
      <w:start w:val="1"/>
      <w:numFmt w:val="bullet"/>
      <w:lvlText w:val=""/>
      <w:lvlJc w:val="left"/>
      <w:pPr>
        <w:tabs>
          <w:tab w:val="num" w:pos="2160"/>
        </w:tabs>
        <w:ind w:left="2160" w:hanging="360"/>
      </w:pPr>
      <w:rPr>
        <w:rFonts w:ascii="Wingdings 2" w:hAnsi="Wingdings 2" w:hint="default"/>
      </w:rPr>
    </w:lvl>
    <w:lvl w:ilvl="3" w:tplc="73225A50" w:tentative="1">
      <w:start w:val="1"/>
      <w:numFmt w:val="bullet"/>
      <w:lvlText w:val=""/>
      <w:lvlJc w:val="left"/>
      <w:pPr>
        <w:tabs>
          <w:tab w:val="num" w:pos="2880"/>
        </w:tabs>
        <w:ind w:left="2880" w:hanging="360"/>
      </w:pPr>
      <w:rPr>
        <w:rFonts w:ascii="Wingdings 2" w:hAnsi="Wingdings 2" w:hint="default"/>
      </w:rPr>
    </w:lvl>
    <w:lvl w:ilvl="4" w:tplc="34E82324" w:tentative="1">
      <w:start w:val="1"/>
      <w:numFmt w:val="bullet"/>
      <w:lvlText w:val=""/>
      <w:lvlJc w:val="left"/>
      <w:pPr>
        <w:tabs>
          <w:tab w:val="num" w:pos="3600"/>
        </w:tabs>
        <w:ind w:left="3600" w:hanging="360"/>
      </w:pPr>
      <w:rPr>
        <w:rFonts w:ascii="Wingdings 2" w:hAnsi="Wingdings 2" w:hint="default"/>
      </w:rPr>
    </w:lvl>
    <w:lvl w:ilvl="5" w:tplc="753ABBC2" w:tentative="1">
      <w:start w:val="1"/>
      <w:numFmt w:val="bullet"/>
      <w:lvlText w:val=""/>
      <w:lvlJc w:val="left"/>
      <w:pPr>
        <w:tabs>
          <w:tab w:val="num" w:pos="4320"/>
        </w:tabs>
        <w:ind w:left="4320" w:hanging="360"/>
      </w:pPr>
      <w:rPr>
        <w:rFonts w:ascii="Wingdings 2" w:hAnsi="Wingdings 2" w:hint="default"/>
      </w:rPr>
    </w:lvl>
    <w:lvl w:ilvl="6" w:tplc="9ABA7790" w:tentative="1">
      <w:start w:val="1"/>
      <w:numFmt w:val="bullet"/>
      <w:lvlText w:val=""/>
      <w:lvlJc w:val="left"/>
      <w:pPr>
        <w:tabs>
          <w:tab w:val="num" w:pos="5040"/>
        </w:tabs>
        <w:ind w:left="5040" w:hanging="360"/>
      </w:pPr>
      <w:rPr>
        <w:rFonts w:ascii="Wingdings 2" w:hAnsi="Wingdings 2" w:hint="default"/>
      </w:rPr>
    </w:lvl>
    <w:lvl w:ilvl="7" w:tplc="3488CFBC" w:tentative="1">
      <w:start w:val="1"/>
      <w:numFmt w:val="bullet"/>
      <w:lvlText w:val=""/>
      <w:lvlJc w:val="left"/>
      <w:pPr>
        <w:tabs>
          <w:tab w:val="num" w:pos="5760"/>
        </w:tabs>
        <w:ind w:left="5760" w:hanging="360"/>
      </w:pPr>
      <w:rPr>
        <w:rFonts w:ascii="Wingdings 2" w:hAnsi="Wingdings 2" w:hint="default"/>
      </w:rPr>
    </w:lvl>
    <w:lvl w:ilvl="8" w:tplc="EAF44DAA" w:tentative="1">
      <w:start w:val="1"/>
      <w:numFmt w:val="bullet"/>
      <w:lvlText w:val=""/>
      <w:lvlJc w:val="left"/>
      <w:pPr>
        <w:tabs>
          <w:tab w:val="num" w:pos="6480"/>
        </w:tabs>
        <w:ind w:left="6480" w:hanging="360"/>
      </w:pPr>
      <w:rPr>
        <w:rFonts w:ascii="Wingdings 2" w:hAnsi="Wingdings 2" w:hint="default"/>
      </w:rPr>
    </w:lvl>
  </w:abstractNum>
  <w:abstractNum w:abstractNumId="2">
    <w:nsid w:val="50982A00"/>
    <w:multiLevelType w:val="hybridMultilevel"/>
    <w:tmpl w:val="F25C3BC4"/>
    <w:lvl w:ilvl="0" w:tplc="50AC3A0A">
      <w:start w:val="1"/>
      <w:numFmt w:val="bullet"/>
      <w:lvlText w:val=""/>
      <w:lvlJc w:val="left"/>
      <w:pPr>
        <w:tabs>
          <w:tab w:val="num" w:pos="720"/>
        </w:tabs>
        <w:ind w:left="720" w:hanging="360"/>
      </w:pPr>
      <w:rPr>
        <w:rFonts w:ascii="Wingdings 2" w:hAnsi="Wingdings 2" w:hint="default"/>
      </w:rPr>
    </w:lvl>
    <w:lvl w:ilvl="1" w:tplc="00344440" w:tentative="1">
      <w:start w:val="1"/>
      <w:numFmt w:val="bullet"/>
      <w:lvlText w:val=""/>
      <w:lvlJc w:val="left"/>
      <w:pPr>
        <w:tabs>
          <w:tab w:val="num" w:pos="1440"/>
        </w:tabs>
        <w:ind w:left="1440" w:hanging="360"/>
      </w:pPr>
      <w:rPr>
        <w:rFonts w:ascii="Wingdings 2" w:hAnsi="Wingdings 2" w:hint="default"/>
      </w:rPr>
    </w:lvl>
    <w:lvl w:ilvl="2" w:tplc="D62AC48C" w:tentative="1">
      <w:start w:val="1"/>
      <w:numFmt w:val="bullet"/>
      <w:lvlText w:val=""/>
      <w:lvlJc w:val="left"/>
      <w:pPr>
        <w:tabs>
          <w:tab w:val="num" w:pos="2160"/>
        </w:tabs>
        <w:ind w:left="2160" w:hanging="360"/>
      </w:pPr>
      <w:rPr>
        <w:rFonts w:ascii="Wingdings 2" w:hAnsi="Wingdings 2" w:hint="default"/>
      </w:rPr>
    </w:lvl>
    <w:lvl w:ilvl="3" w:tplc="D9645BDA" w:tentative="1">
      <w:start w:val="1"/>
      <w:numFmt w:val="bullet"/>
      <w:lvlText w:val=""/>
      <w:lvlJc w:val="left"/>
      <w:pPr>
        <w:tabs>
          <w:tab w:val="num" w:pos="2880"/>
        </w:tabs>
        <w:ind w:left="2880" w:hanging="360"/>
      </w:pPr>
      <w:rPr>
        <w:rFonts w:ascii="Wingdings 2" w:hAnsi="Wingdings 2" w:hint="default"/>
      </w:rPr>
    </w:lvl>
    <w:lvl w:ilvl="4" w:tplc="4CC6CEC8" w:tentative="1">
      <w:start w:val="1"/>
      <w:numFmt w:val="bullet"/>
      <w:lvlText w:val=""/>
      <w:lvlJc w:val="left"/>
      <w:pPr>
        <w:tabs>
          <w:tab w:val="num" w:pos="3600"/>
        </w:tabs>
        <w:ind w:left="3600" w:hanging="360"/>
      </w:pPr>
      <w:rPr>
        <w:rFonts w:ascii="Wingdings 2" w:hAnsi="Wingdings 2" w:hint="default"/>
      </w:rPr>
    </w:lvl>
    <w:lvl w:ilvl="5" w:tplc="8662DB5E" w:tentative="1">
      <w:start w:val="1"/>
      <w:numFmt w:val="bullet"/>
      <w:lvlText w:val=""/>
      <w:lvlJc w:val="left"/>
      <w:pPr>
        <w:tabs>
          <w:tab w:val="num" w:pos="4320"/>
        </w:tabs>
        <w:ind w:left="4320" w:hanging="360"/>
      </w:pPr>
      <w:rPr>
        <w:rFonts w:ascii="Wingdings 2" w:hAnsi="Wingdings 2" w:hint="default"/>
      </w:rPr>
    </w:lvl>
    <w:lvl w:ilvl="6" w:tplc="511C3794" w:tentative="1">
      <w:start w:val="1"/>
      <w:numFmt w:val="bullet"/>
      <w:lvlText w:val=""/>
      <w:lvlJc w:val="left"/>
      <w:pPr>
        <w:tabs>
          <w:tab w:val="num" w:pos="5040"/>
        </w:tabs>
        <w:ind w:left="5040" w:hanging="360"/>
      </w:pPr>
      <w:rPr>
        <w:rFonts w:ascii="Wingdings 2" w:hAnsi="Wingdings 2" w:hint="default"/>
      </w:rPr>
    </w:lvl>
    <w:lvl w:ilvl="7" w:tplc="AE5ED894" w:tentative="1">
      <w:start w:val="1"/>
      <w:numFmt w:val="bullet"/>
      <w:lvlText w:val=""/>
      <w:lvlJc w:val="left"/>
      <w:pPr>
        <w:tabs>
          <w:tab w:val="num" w:pos="5760"/>
        </w:tabs>
        <w:ind w:left="5760" w:hanging="360"/>
      </w:pPr>
      <w:rPr>
        <w:rFonts w:ascii="Wingdings 2" w:hAnsi="Wingdings 2" w:hint="default"/>
      </w:rPr>
    </w:lvl>
    <w:lvl w:ilvl="8" w:tplc="2DC2DCD4" w:tentative="1">
      <w:start w:val="1"/>
      <w:numFmt w:val="bullet"/>
      <w:lvlText w:val=""/>
      <w:lvlJc w:val="left"/>
      <w:pPr>
        <w:tabs>
          <w:tab w:val="num" w:pos="6480"/>
        </w:tabs>
        <w:ind w:left="6480" w:hanging="360"/>
      </w:pPr>
      <w:rPr>
        <w:rFonts w:ascii="Wingdings 2" w:hAnsi="Wingdings 2" w:hint="default"/>
      </w:rPr>
    </w:lvl>
  </w:abstractNum>
  <w:abstractNum w:abstractNumId="3">
    <w:nsid w:val="5A414394"/>
    <w:multiLevelType w:val="hybridMultilevel"/>
    <w:tmpl w:val="AD7A9BB4"/>
    <w:lvl w:ilvl="0" w:tplc="B4C6B4B4">
      <w:start w:val="1"/>
      <w:numFmt w:val="bullet"/>
      <w:lvlText w:val=""/>
      <w:lvlJc w:val="left"/>
      <w:pPr>
        <w:tabs>
          <w:tab w:val="num" w:pos="720"/>
        </w:tabs>
        <w:ind w:left="720" w:hanging="360"/>
      </w:pPr>
      <w:rPr>
        <w:rFonts w:ascii="Wingdings 2" w:hAnsi="Wingdings 2" w:hint="default"/>
      </w:rPr>
    </w:lvl>
    <w:lvl w:ilvl="1" w:tplc="CF8A558E" w:tentative="1">
      <w:start w:val="1"/>
      <w:numFmt w:val="bullet"/>
      <w:lvlText w:val=""/>
      <w:lvlJc w:val="left"/>
      <w:pPr>
        <w:tabs>
          <w:tab w:val="num" w:pos="1440"/>
        </w:tabs>
        <w:ind w:left="1440" w:hanging="360"/>
      </w:pPr>
      <w:rPr>
        <w:rFonts w:ascii="Wingdings 2" w:hAnsi="Wingdings 2" w:hint="default"/>
      </w:rPr>
    </w:lvl>
    <w:lvl w:ilvl="2" w:tplc="9ED0F9F4" w:tentative="1">
      <w:start w:val="1"/>
      <w:numFmt w:val="bullet"/>
      <w:lvlText w:val=""/>
      <w:lvlJc w:val="left"/>
      <w:pPr>
        <w:tabs>
          <w:tab w:val="num" w:pos="2160"/>
        </w:tabs>
        <w:ind w:left="2160" w:hanging="360"/>
      </w:pPr>
      <w:rPr>
        <w:rFonts w:ascii="Wingdings 2" w:hAnsi="Wingdings 2" w:hint="default"/>
      </w:rPr>
    </w:lvl>
    <w:lvl w:ilvl="3" w:tplc="CC7EB084" w:tentative="1">
      <w:start w:val="1"/>
      <w:numFmt w:val="bullet"/>
      <w:lvlText w:val=""/>
      <w:lvlJc w:val="left"/>
      <w:pPr>
        <w:tabs>
          <w:tab w:val="num" w:pos="2880"/>
        </w:tabs>
        <w:ind w:left="2880" w:hanging="360"/>
      </w:pPr>
      <w:rPr>
        <w:rFonts w:ascii="Wingdings 2" w:hAnsi="Wingdings 2" w:hint="default"/>
      </w:rPr>
    </w:lvl>
    <w:lvl w:ilvl="4" w:tplc="233E7BAC" w:tentative="1">
      <w:start w:val="1"/>
      <w:numFmt w:val="bullet"/>
      <w:lvlText w:val=""/>
      <w:lvlJc w:val="left"/>
      <w:pPr>
        <w:tabs>
          <w:tab w:val="num" w:pos="3600"/>
        </w:tabs>
        <w:ind w:left="3600" w:hanging="360"/>
      </w:pPr>
      <w:rPr>
        <w:rFonts w:ascii="Wingdings 2" w:hAnsi="Wingdings 2" w:hint="default"/>
      </w:rPr>
    </w:lvl>
    <w:lvl w:ilvl="5" w:tplc="02586C2A" w:tentative="1">
      <w:start w:val="1"/>
      <w:numFmt w:val="bullet"/>
      <w:lvlText w:val=""/>
      <w:lvlJc w:val="left"/>
      <w:pPr>
        <w:tabs>
          <w:tab w:val="num" w:pos="4320"/>
        </w:tabs>
        <w:ind w:left="4320" w:hanging="360"/>
      </w:pPr>
      <w:rPr>
        <w:rFonts w:ascii="Wingdings 2" w:hAnsi="Wingdings 2" w:hint="default"/>
      </w:rPr>
    </w:lvl>
    <w:lvl w:ilvl="6" w:tplc="119878D6" w:tentative="1">
      <w:start w:val="1"/>
      <w:numFmt w:val="bullet"/>
      <w:lvlText w:val=""/>
      <w:lvlJc w:val="left"/>
      <w:pPr>
        <w:tabs>
          <w:tab w:val="num" w:pos="5040"/>
        </w:tabs>
        <w:ind w:left="5040" w:hanging="360"/>
      </w:pPr>
      <w:rPr>
        <w:rFonts w:ascii="Wingdings 2" w:hAnsi="Wingdings 2" w:hint="default"/>
      </w:rPr>
    </w:lvl>
    <w:lvl w:ilvl="7" w:tplc="463E4940" w:tentative="1">
      <w:start w:val="1"/>
      <w:numFmt w:val="bullet"/>
      <w:lvlText w:val=""/>
      <w:lvlJc w:val="left"/>
      <w:pPr>
        <w:tabs>
          <w:tab w:val="num" w:pos="5760"/>
        </w:tabs>
        <w:ind w:left="5760" w:hanging="360"/>
      </w:pPr>
      <w:rPr>
        <w:rFonts w:ascii="Wingdings 2" w:hAnsi="Wingdings 2" w:hint="default"/>
      </w:rPr>
    </w:lvl>
    <w:lvl w:ilvl="8" w:tplc="AEAEC1AE" w:tentative="1">
      <w:start w:val="1"/>
      <w:numFmt w:val="bullet"/>
      <w:lvlText w:val=""/>
      <w:lvlJc w:val="left"/>
      <w:pPr>
        <w:tabs>
          <w:tab w:val="num" w:pos="6480"/>
        </w:tabs>
        <w:ind w:left="6480" w:hanging="360"/>
      </w:pPr>
      <w:rPr>
        <w:rFonts w:ascii="Wingdings 2" w:hAnsi="Wingdings 2"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5B51"/>
    <w:rsid w:val="000167F9"/>
    <w:rsid w:val="00062FC0"/>
    <w:rsid w:val="000A6A61"/>
    <w:rsid w:val="000B24B9"/>
    <w:rsid w:val="001A52B8"/>
    <w:rsid w:val="001F0937"/>
    <w:rsid w:val="00204E71"/>
    <w:rsid w:val="0026499B"/>
    <w:rsid w:val="0029447F"/>
    <w:rsid w:val="002D5B51"/>
    <w:rsid w:val="003E024D"/>
    <w:rsid w:val="0040557C"/>
    <w:rsid w:val="00420DC4"/>
    <w:rsid w:val="0046203D"/>
    <w:rsid w:val="0049656B"/>
    <w:rsid w:val="004D15D0"/>
    <w:rsid w:val="005547A2"/>
    <w:rsid w:val="00584BB1"/>
    <w:rsid w:val="005D175A"/>
    <w:rsid w:val="00795CEF"/>
    <w:rsid w:val="00993E84"/>
    <w:rsid w:val="009B2633"/>
    <w:rsid w:val="009B4EF3"/>
    <w:rsid w:val="00AA7C9A"/>
    <w:rsid w:val="00B730FC"/>
    <w:rsid w:val="00BD4676"/>
    <w:rsid w:val="00C110EE"/>
    <w:rsid w:val="00C13C4D"/>
    <w:rsid w:val="00C45020"/>
    <w:rsid w:val="00CB4E4F"/>
    <w:rsid w:val="00D064F1"/>
    <w:rsid w:val="00D711AE"/>
    <w:rsid w:val="00E03861"/>
    <w:rsid w:val="00E05DDA"/>
    <w:rsid w:val="00E82687"/>
    <w:rsid w:val="00EA7BA9"/>
    <w:rsid w:val="00F03643"/>
    <w:rsid w:val="00F913CA"/>
    <w:rsid w:val="00FE5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7BA9"/>
    <w:pPr>
      <w:spacing w:after="0"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0167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67F9"/>
  </w:style>
  <w:style w:type="paragraph" w:styleId="Footer">
    <w:name w:val="footer"/>
    <w:basedOn w:val="Normal"/>
    <w:link w:val="FooterChar"/>
    <w:uiPriority w:val="99"/>
    <w:unhideWhenUsed/>
    <w:rsid w:val="000167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67F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7BA9"/>
    <w:pPr>
      <w:spacing w:after="0"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0167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67F9"/>
  </w:style>
  <w:style w:type="paragraph" w:styleId="Footer">
    <w:name w:val="footer"/>
    <w:basedOn w:val="Normal"/>
    <w:link w:val="FooterChar"/>
    <w:uiPriority w:val="99"/>
    <w:unhideWhenUsed/>
    <w:rsid w:val="000167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67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234732">
      <w:bodyDiv w:val="1"/>
      <w:marLeft w:val="0"/>
      <w:marRight w:val="0"/>
      <w:marTop w:val="0"/>
      <w:marBottom w:val="0"/>
      <w:divBdr>
        <w:top w:val="none" w:sz="0" w:space="0" w:color="auto"/>
        <w:left w:val="none" w:sz="0" w:space="0" w:color="auto"/>
        <w:bottom w:val="none" w:sz="0" w:space="0" w:color="auto"/>
        <w:right w:val="none" w:sz="0" w:space="0" w:color="auto"/>
      </w:divBdr>
      <w:divsChild>
        <w:div w:id="1199396896">
          <w:marLeft w:val="576"/>
          <w:marRight w:val="0"/>
          <w:marTop w:val="120"/>
          <w:marBottom w:val="0"/>
          <w:divBdr>
            <w:top w:val="none" w:sz="0" w:space="0" w:color="auto"/>
            <w:left w:val="none" w:sz="0" w:space="0" w:color="auto"/>
            <w:bottom w:val="none" w:sz="0" w:space="0" w:color="auto"/>
            <w:right w:val="none" w:sz="0" w:space="0" w:color="auto"/>
          </w:divBdr>
        </w:div>
        <w:div w:id="426459970">
          <w:marLeft w:val="576"/>
          <w:marRight w:val="0"/>
          <w:marTop w:val="120"/>
          <w:marBottom w:val="0"/>
          <w:divBdr>
            <w:top w:val="none" w:sz="0" w:space="0" w:color="auto"/>
            <w:left w:val="none" w:sz="0" w:space="0" w:color="auto"/>
            <w:bottom w:val="none" w:sz="0" w:space="0" w:color="auto"/>
            <w:right w:val="none" w:sz="0" w:space="0" w:color="auto"/>
          </w:divBdr>
        </w:div>
        <w:div w:id="2028367653">
          <w:marLeft w:val="576"/>
          <w:marRight w:val="0"/>
          <w:marTop w:val="120"/>
          <w:marBottom w:val="0"/>
          <w:divBdr>
            <w:top w:val="none" w:sz="0" w:space="0" w:color="auto"/>
            <w:left w:val="none" w:sz="0" w:space="0" w:color="auto"/>
            <w:bottom w:val="none" w:sz="0" w:space="0" w:color="auto"/>
            <w:right w:val="none" w:sz="0" w:space="0" w:color="auto"/>
          </w:divBdr>
        </w:div>
        <w:div w:id="833452258">
          <w:marLeft w:val="576"/>
          <w:marRight w:val="0"/>
          <w:marTop w:val="120"/>
          <w:marBottom w:val="0"/>
          <w:divBdr>
            <w:top w:val="none" w:sz="0" w:space="0" w:color="auto"/>
            <w:left w:val="none" w:sz="0" w:space="0" w:color="auto"/>
            <w:bottom w:val="none" w:sz="0" w:space="0" w:color="auto"/>
            <w:right w:val="none" w:sz="0" w:space="0" w:color="auto"/>
          </w:divBdr>
        </w:div>
        <w:div w:id="1681812377">
          <w:marLeft w:val="576"/>
          <w:marRight w:val="0"/>
          <w:marTop w:val="120"/>
          <w:marBottom w:val="0"/>
          <w:divBdr>
            <w:top w:val="none" w:sz="0" w:space="0" w:color="auto"/>
            <w:left w:val="none" w:sz="0" w:space="0" w:color="auto"/>
            <w:bottom w:val="none" w:sz="0" w:space="0" w:color="auto"/>
            <w:right w:val="none" w:sz="0" w:space="0" w:color="auto"/>
          </w:divBdr>
        </w:div>
      </w:divsChild>
    </w:div>
    <w:div w:id="479153112">
      <w:bodyDiv w:val="1"/>
      <w:marLeft w:val="0"/>
      <w:marRight w:val="0"/>
      <w:marTop w:val="0"/>
      <w:marBottom w:val="0"/>
      <w:divBdr>
        <w:top w:val="none" w:sz="0" w:space="0" w:color="auto"/>
        <w:left w:val="none" w:sz="0" w:space="0" w:color="auto"/>
        <w:bottom w:val="none" w:sz="0" w:space="0" w:color="auto"/>
        <w:right w:val="none" w:sz="0" w:space="0" w:color="auto"/>
      </w:divBdr>
      <w:divsChild>
        <w:div w:id="2127694523">
          <w:marLeft w:val="576"/>
          <w:marRight w:val="0"/>
          <w:marTop w:val="120"/>
          <w:marBottom w:val="0"/>
          <w:divBdr>
            <w:top w:val="none" w:sz="0" w:space="0" w:color="auto"/>
            <w:left w:val="none" w:sz="0" w:space="0" w:color="auto"/>
            <w:bottom w:val="none" w:sz="0" w:space="0" w:color="auto"/>
            <w:right w:val="none" w:sz="0" w:space="0" w:color="auto"/>
          </w:divBdr>
        </w:div>
        <w:div w:id="1310596994">
          <w:marLeft w:val="576"/>
          <w:marRight w:val="0"/>
          <w:marTop w:val="120"/>
          <w:marBottom w:val="0"/>
          <w:divBdr>
            <w:top w:val="none" w:sz="0" w:space="0" w:color="auto"/>
            <w:left w:val="none" w:sz="0" w:space="0" w:color="auto"/>
            <w:bottom w:val="none" w:sz="0" w:space="0" w:color="auto"/>
            <w:right w:val="none" w:sz="0" w:space="0" w:color="auto"/>
          </w:divBdr>
        </w:div>
        <w:div w:id="23332723">
          <w:marLeft w:val="576"/>
          <w:marRight w:val="0"/>
          <w:marTop w:val="120"/>
          <w:marBottom w:val="0"/>
          <w:divBdr>
            <w:top w:val="none" w:sz="0" w:space="0" w:color="auto"/>
            <w:left w:val="none" w:sz="0" w:space="0" w:color="auto"/>
            <w:bottom w:val="none" w:sz="0" w:space="0" w:color="auto"/>
            <w:right w:val="none" w:sz="0" w:space="0" w:color="auto"/>
          </w:divBdr>
        </w:div>
        <w:div w:id="1207067779">
          <w:marLeft w:val="576"/>
          <w:marRight w:val="0"/>
          <w:marTop w:val="120"/>
          <w:marBottom w:val="0"/>
          <w:divBdr>
            <w:top w:val="none" w:sz="0" w:space="0" w:color="auto"/>
            <w:left w:val="none" w:sz="0" w:space="0" w:color="auto"/>
            <w:bottom w:val="none" w:sz="0" w:space="0" w:color="auto"/>
            <w:right w:val="none" w:sz="0" w:space="0" w:color="auto"/>
          </w:divBdr>
        </w:div>
        <w:div w:id="1578512925">
          <w:marLeft w:val="576"/>
          <w:marRight w:val="0"/>
          <w:marTop w:val="120"/>
          <w:marBottom w:val="0"/>
          <w:divBdr>
            <w:top w:val="none" w:sz="0" w:space="0" w:color="auto"/>
            <w:left w:val="none" w:sz="0" w:space="0" w:color="auto"/>
            <w:bottom w:val="none" w:sz="0" w:space="0" w:color="auto"/>
            <w:right w:val="none" w:sz="0" w:space="0" w:color="auto"/>
          </w:divBdr>
        </w:div>
        <w:div w:id="506021172">
          <w:marLeft w:val="576"/>
          <w:marRight w:val="0"/>
          <w:marTop w:val="120"/>
          <w:marBottom w:val="0"/>
          <w:divBdr>
            <w:top w:val="none" w:sz="0" w:space="0" w:color="auto"/>
            <w:left w:val="none" w:sz="0" w:space="0" w:color="auto"/>
            <w:bottom w:val="none" w:sz="0" w:space="0" w:color="auto"/>
            <w:right w:val="none" w:sz="0" w:space="0" w:color="auto"/>
          </w:divBdr>
        </w:div>
        <w:div w:id="264265625">
          <w:marLeft w:val="576"/>
          <w:marRight w:val="0"/>
          <w:marTop w:val="120"/>
          <w:marBottom w:val="0"/>
          <w:divBdr>
            <w:top w:val="none" w:sz="0" w:space="0" w:color="auto"/>
            <w:left w:val="none" w:sz="0" w:space="0" w:color="auto"/>
            <w:bottom w:val="none" w:sz="0" w:space="0" w:color="auto"/>
            <w:right w:val="none" w:sz="0" w:space="0" w:color="auto"/>
          </w:divBdr>
        </w:div>
      </w:divsChild>
    </w:div>
    <w:div w:id="1105419062">
      <w:bodyDiv w:val="1"/>
      <w:marLeft w:val="0"/>
      <w:marRight w:val="0"/>
      <w:marTop w:val="0"/>
      <w:marBottom w:val="0"/>
      <w:divBdr>
        <w:top w:val="none" w:sz="0" w:space="0" w:color="auto"/>
        <w:left w:val="none" w:sz="0" w:space="0" w:color="auto"/>
        <w:bottom w:val="none" w:sz="0" w:space="0" w:color="auto"/>
        <w:right w:val="none" w:sz="0" w:space="0" w:color="auto"/>
      </w:divBdr>
      <w:divsChild>
        <w:div w:id="2077169266">
          <w:marLeft w:val="576"/>
          <w:marRight w:val="0"/>
          <w:marTop w:val="120"/>
          <w:marBottom w:val="0"/>
          <w:divBdr>
            <w:top w:val="none" w:sz="0" w:space="0" w:color="auto"/>
            <w:left w:val="none" w:sz="0" w:space="0" w:color="auto"/>
            <w:bottom w:val="none" w:sz="0" w:space="0" w:color="auto"/>
            <w:right w:val="none" w:sz="0" w:space="0" w:color="auto"/>
          </w:divBdr>
        </w:div>
        <w:div w:id="629476172">
          <w:marLeft w:val="576"/>
          <w:marRight w:val="0"/>
          <w:marTop w:val="120"/>
          <w:marBottom w:val="0"/>
          <w:divBdr>
            <w:top w:val="none" w:sz="0" w:space="0" w:color="auto"/>
            <w:left w:val="none" w:sz="0" w:space="0" w:color="auto"/>
            <w:bottom w:val="none" w:sz="0" w:space="0" w:color="auto"/>
            <w:right w:val="none" w:sz="0" w:space="0" w:color="auto"/>
          </w:divBdr>
        </w:div>
        <w:div w:id="676738216">
          <w:marLeft w:val="576"/>
          <w:marRight w:val="0"/>
          <w:marTop w:val="120"/>
          <w:marBottom w:val="0"/>
          <w:divBdr>
            <w:top w:val="none" w:sz="0" w:space="0" w:color="auto"/>
            <w:left w:val="none" w:sz="0" w:space="0" w:color="auto"/>
            <w:bottom w:val="none" w:sz="0" w:space="0" w:color="auto"/>
            <w:right w:val="none" w:sz="0" w:space="0" w:color="auto"/>
          </w:divBdr>
        </w:div>
        <w:div w:id="1130704468">
          <w:marLeft w:val="576"/>
          <w:marRight w:val="0"/>
          <w:marTop w:val="120"/>
          <w:marBottom w:val="0"/>
          <w:divBdr>
            <w:top w:val="none" w:sz="0" w:space="0" w:color="auto"/>
            <w:left w:val="none" w:sz="0" w:space="0" w:color="auto"/>
            <w:bottom w:val="none" w:sz="0" w:space="0" w:color="auto"/>
            <w:right w:val="none" w:sz="0" w:space="0" w:color="auto"/>
          </w:divBdr>
        </w:div>
        <w:div w:id="567420508">
          <w:marLeft w:val="576"/>
          <w:marRight w:val="0"/>
          <w:marTop w:val="120"/>
          <w:marBottom w:val="0"/>
          <w:divBdr>
            <w:top w:val="none" w:sz="0" w:space="0" w:color="auto"/>
            <w:left w:val="none" w:sz="0" w:space="0" w:color="auto"/>
            <w:bottom w:val="none" w:sz="0" w:space="0" w:color="auto"/>
            <w:right w:val="none" w:sz="0" w:space="0" w:color="auto"/>
          </w:divBdr>
        </w:div>
        <w:div w:id="824323707">
          <w:marLeft w:val="576"/>
          <w:marRight w:val="0"/>
          <w:marTop w:val="120"/>
          <w:marBottom w:val="0"/>
          <w:divBdr>
            <w:top w:val="none" w:sz="0" w:space="0" w:color="auto"/>
            <w:left w:val="none" w:sz="0" w:space="0" w:color="auto"/>
            <w:bottom w:val="none" w:sz="0" w:space="0" w:color="auto"/>
            <w:right w:val="none" w:sz="0" w:space="0" w:color="auto"/>
          </w:divBdr>
        </w:div>
      </w:divsChild>
    </w:div>
    <w:div w:id="1200169414">
      <w:bodyDiv w:val="1"/>
      <w:marLeft w:val="0"/>
      <w:marRight w:val="0"/>
      <w:marTop w:val="0"/>
      <w:marBottom w:val="0"/>
      <w:divBdr>
        <w:top w:val="none" w:sz="0" w:space="0" w:color="auto"/>
        <w:left w:val="none" w:sz="0" w:space="0" w:color="auto"/>
        <w:bottom w:val="none" w:sz="0" w:space="0" w:color="auto"/>
        <w:right w:val="none" w:sz="0" w:space="0" w:color="auto"/>
      </w:divBdr>
      <w:divsChild>
        <w:div w:id="945845013">
          <w:marLeft w:val="576"/>
          <w:marRight w:val="0"/>
          <w:marTop w:val="120"/>
          <w:marBottom w:val="0"/>
          <w:divBdr>
            <w:top w:val="none" w:sz="0" w:space="0" w:color="auto"/>
            <w:left w:val="none" w:sz="0" w:space="0" w:color="auto"/>
            <w:bottom w:val="none" w:sz="0" w:space="0" w:color="auto"/>
            <w:right w:val="none" w:sz="0" w:space="0" w:color="auto"/>
          </w:divBdr>
        </w:div>
        <w:div w:id="869145356">
          <w:marLeft w:val="576"/>
          <w:marRight w:val="0"/>
          <w:marTop w:val="120"/>
          <w:marBottom w:val="0"/>
          <w:divBdr>
            <w:top w:val="none" w:sz="0" w:space="0" w:color="auto"/>
            <w:left w:val="none" w:sz="0" w:space="0" w:color="auto"/>
            <w:bottom w:val="none" w:sz="0" w:space="0" w:color="auto"/>
            <w:right w:val="none" w:sz="0" w:space="0" w:color="auto"/>
          </w:divBdr>
        </w:div>
        <w:div w:id="150954161">
          <w:marLeft w:val="576"/>
          <w:marRight w:val="0"/>
          <w:marTop w:val="120"/>
          <w:marBottom w:val="0"/>
          <w:divBdr>
            <w:top w:val="none" w:sz="0" w:space="0" w:color="auto"/>
            <w:left w:val="none" w:sz="0" w:space="0" w:color="auto"/>
            <w:bottom w:val="none" w:sz="0" w:space="0" w:color="auto"/>
            <w:right w:val="none" w:sz="0" w:space="0" w:color="auto"/>
          </w:divBdr>
        </w:div>
        <w:div w:id="528103570">
          <w:marLeft w:val="576"/>
          <w:marRight w:val="0"/>
          <w:marTop w:val="120"/>
          <w:marBottom w:val="0"/>
          <w:divBdr>
            <w:top w:val="none" w:sz="0" w:space="0" w:color="auto"/>
            <w:left w:val="none" w:sz="0" w:space="0" w:color="auto"/>
            <w:bottom w:val="none" w:sz="0" w:space="0" w:color="auto"/>
            <w:right w:val="none" w:sz="0" w:space="0" w:color="auto"/>
          </w:divBdr>
        </w:div>
        <w:div w:id="326785193">
          <w:marLeft w:val="576"/>
          <w:marRight w:val="0"/>
          <w:marTop w:val="120"/>
          <w:marBottom w:val="0"/>
          <w:divBdr>
            <w:top w:val="none" w:sz="0" w:space="0" w:color="auto"/>
            <w:left w:val="none" w:sz="0" w:space="0" w:color="auto"/>
            <w:bottom w:val="none" w:sz="0" w:space="0" w:color="auto"/>
            <w:right w:val="none" w:sz="0" w:space="0" w:color="auto"/>
          </w:divBdr>
        </w:div>
        <w:div w:id="1652712213">
          <w:marLeft w:val="576"/>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1273</Words>
  <Characters>7257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8513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Herring, Jennifer Marie</dc:creator>
  <cp:lastModifiedBy>Jen</cp:lastModifiedBy>
  <cp:revision>7</cp:revision>
  <dcterms:created xsi:type="dcterms:W3CDTF">2014-07-06T15:01:00Z</dcterms:created>
  <dcterms:modified xsi:type="dcterms:W3CDTF">2014-07-06T15:20:00Z</dcterms:modified>
</cp:coreProperties>
</file>