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1B504" w14:textId="045C70B0" w:rsidR="00CA3F29" w:rsidRPr="00D23BF1" w:rsidRDefault="00CA3F29" w:rsidP="00F20BE1">
      <w:pPr>
        <w:jc w:val="center"/>
        <w:rPr>
          <w:rFonts w:ascii="Times" w:hAnsi="Times"/>
        </w:rPr>
      </w:pPr>
      <w:r w:rsidRPr="00D23BF1">
        <w:rPr>
          <w:rFonts w:ascii="Times" w:hAnsi="Times"/>
        </w:rPr>
        <w:t>The Effects of Urbanization on the Avian Gut Microbiome</w:t>
      </w:r>
    </w:p>
    <w:p w14:paraId="2F42CEE8" w14:textId="310874DF" w:rsidR="00CA3F29" w:rsidRPr="00D23BF1" w:rsidRDefault="00CA3F29" w:rsidP="00F20BE1">
      <w:pPr>
        <w:jc w:val="center"/>
        <w:rPr>
          <w:rFonts w:ascii="Times" w:hAnsi="Times"/>
        </w:rPr>
      </w:pPr>
    </w:p>
    <w:p w14:paraId="2C7859A4" w14:textId="2013BF1F" w:rsidR="00CA3F29" w:rsidRPr="00D23BF1" w:rsidRDefault="00CA3F29" w:rsidP="00F20BE1">
      <w:pPr>
        <w:jc w:val="center"/>
        <w:rPr>
          <w:rFonts w:ascii="Times" w:hAnsi="Times"/>
        </w:rPr>
      </w:pPr>
    </w:p>
    <w:p w14:paraId="3097DA3C" w14:textId="4C9BFEB2" w:rsidR="00CA3F29" w:rsidRPr="00D23BF1" w:rsidRDefault="00CA3F29" w:rsidP="00F20BE1">
      <w:pPr>
        <w:jc w:val="center"/>
        <w:rPr>
          <w:rFonts w:ascii="Times" w:hAnsi="Times"/>
        </w:rPr>
      </w:pPr>
    </w:p>
    <w:p w14:paraId="1786D6C5" w14:textId="2AEA10D2" w:rsidR="00CA3F29" w:rsidRPr="00D23BF1" w:rsidRDefault="00CA3F29" w:rsidP="00F20BE1">
      <w:pPr>
        <w:jc w:val="center"/>
        <w:rPr>
          <w:rFonts w:ascii="Times" w:hAnsi="Times"/>
        </w:rPr>
      </w:pPr>
    </w:p>
    <w:p w14:paraId="7094062D" w14:textId="31DDBE83" w:rsidR="00CA3F29" w:rsidRPr="00D23BF1" w:rsidRDefault="00CA3F29" w:rsidP="00F20BE1">
      <w:pPr>
        <w:jc w:val="center"/>
        <w:rPr>
          <w:rFonts w:ascii="Times" w:hAnsi="Times"/>
        </w:rPr>
      </w:pPr>
    </w:p>
    <w:p w14:paraId="22E27FA2" w14:textId="66472DBC" w:rsidR="00390131" w:rsidRPr="00D23BF1" w:rsidRDefault="00390131" w:rsidP="00F20BE1">
      <w:pPr>
        <w:jc w:val="center"/>
        <w:rPr>
          <w:rFonts w:ascii="Times" w:hAnsi="Times"/>
        </w:rPr>
      </w:pPr>
    </w:p>
    <w:p w14:paraId="53B274DD" w14:textId="003A2DE3" w:rsidR="00390131" w:rsidRPr="00D23BF1" w:rsidRDefault="00390131" w:rsidP="00F20BE1">
      <w:pPr>
        <w:jc w:val="center"/>
        <w:rPr>
          <w:rFonts w:ascii="Times" w:hAnsi="Times"/>
        </w:rPr>
      </w:pPr>
    </w:p>
    <w:p w14:paraId="52FF0AA5" w14:textId="1D484A17" w:rsidR="00390131" w:rsidRPr="00D23BF1" w:rsidRDefault="00390131" w:rsidP="00F20BE1">
      <w:pPr>
        <w:jc w:val="center"/>
        <w:rPr>
          <w:rFonts w:ascii="Times" w:hAnsi="Times"/>
        </w:rPr>
      </w:pPr>
    </w:p>
    <w:p w14:paraId="794F16AA" w14:textId="6A256E71" w:rsidR="00390131" w:rsidRPr="00D23BF1" w:rsidRDefault="00390131" w:rsidP="00F20BE1">
      <w:pPr>
        <w:jc w:val="center"/>
        <w:rPr>
          <w:rFonts w:ascii="Times" w:hAnsi="Times"/>
        </w:rPr>
      </w:pPr>
    </w:p>
    <w:p w14:paraId="7386F9A7" w14:textId="77777777" w:rsidR="00390131" w:rsidRPr="00D23BF1" w:rsidRDefault="00390131" w:rsidP="00F20BE1">
      <w:pPr>
        <w:jc w:val="center"/>
        <w:rPr>
          <w:rFonts w:ascii="Times" w:hAnsi="Times"/>
        </w:rPr>
      </w:pPr>
    </w:p>
    <w:p w14:paraId="3B17DB97" w14:textId="3F2FED62" w:rsidR="00390131" w:rsidRPr="00D23BF1" w:rsidRDefault="00390131" w:rsidP="00F20BE1">
      <w:pPr>
        <w:jc w:val="center"/>
        <w:rPr>
          <w:rFonts w:ascii="Times" w:hAnsi="Times"/>
        </w:rPr>
      </w:pPr>
    </w:p>
    <w:p w14:paraId="2CB2A1B1" w14:textId="77777777" w:rsidR="00390131" w:rsidRPr="00D23BF1" w:rsidRDefault="00390131" w:rsidP="00F20BE1">
      <w:pPr>
        <w:jc w:val="center"/>
        <w:rPr>
          <w:rFonts w:ascii="Times" w:hAnsi="Times"/>
        </w:rPr>
      </w:pPr>
    </w:p>
    <w:p w14:paraId="3AA05A93" w14:textId="77777777" w:rsidR="00390131" w:rsidRPr="00D23BF1" w:rsidRDefault="00390131" w:rsidP="00F20BE1">
      <w:pPr>
        <w:jc w:val="center"/>
        <w:rPr>
          <w:rFonts w:ascii="Times" w:hAnsi="Times"/>
        </w:rPr>
      </w:pPr>
    </w:p>
    <w:p w14:paraId="208E3A7D" w14:textId="0B668935" w:rsidR="00390131" w:rsidRPr="00D23BF1" w:rsidRDefault="00390131" w:rsidP="00F20BE1">
      <w:pPr>
        <w:jc w:val="center"/>
        <w:rPr>
          <w:rFonts w:ascii="Times" w:hAnsi="Times"/>
        </w:rPr>
      </w:pPr>
    </w:p>
    <w:p w14:paraId="77AA67C7" w14:textId="77777777" w:rsidR="00390131" w:rsidRPr="00D23BF1" w:rsidRDefault="00390131" w:rsidP="00F20BE1">
      <w:pPr>
        <w:jc w:val="center"/>
        <w:rPr>
          <w:rFonts w:ascii="Times" w:hAnsi="Times"/>
        </w:rPr>
      </w:pPr>
    </w:p>
    <w:p w14:paraId="065C6CA5" w14:textId="22C0B28F" w:rsidR="00CA3F29" w:rsidRPr="00D23BF1" w:rsidRDefault="00CA3F29" w:rsidP="00F20BE1">
      <w:pPr>
        <w:jc w:val="center"/>
        <w:rPr>
          <w:rFonts w:ascii="Times" w:hAnsi="Times"/>
        </w:rPr>
      </w:pPr>
    </w:p>
    <w:p w14:paraId="558EEFC4" w14:textId="6791078B" w:rsidR="00CA3F29" w:rsidRPr="00D23BF1" w:rsidRDefault="00CA3F29" w:rsidP="00F20BE1">
      <w:pPr>
        <w:jc w:val="center"/>
        <w:rPr>
          <w:rFonts w:ascii="Times" w:hAnsi="Times"/>
        </w:rPr>
      </w:pPr>
    </w:p>
    <w:p w14:paraId="41DB5B6D" w14:textId="174F4F13" w:rsidR="00CA3F29" w:rsidRPr="00D23BF1" w:rsidRDefault="00CA3F29" w:rsidP="00F20BE1">
      <w:pPr>
        <w:jc w:val="center"/>
        <w:rPr>
          <w:rFonts w:ascii="Times" w:hAnsi="Times"/>
        </w:rPr>
      </w:pPr>
    </w:p>
    <w:p w14:paraId="589943A6" w14:textId="77777777" w:rsidR="00CA3F29" w:rsidRPr="00D23BF1" w:rsidRDefault="00CA3F29" w:rsidP="00F20BE1">
      <w:pPr>
        <w:jc w:val="center"/>
        <w:rPr>
          <w:rFonts w:ascii="Times" w:hAnsi="Times"/>
        </w:rPr>
      </w:pPr>
    </w:p>
    <w:p w14:paraId="0B2911BB" w14:textId="0EF6C2FE" w:rsidR="00CA3F29" w:rsidRPr="00D23BF1" w:rsidRDefault="00CA3F29" w:rsidP="00F20BE1">
      <w:pPr>
        <w:jc w:val="center"/>
        <w:rPr>
          <w:rFonts w:ascii="Times" w:hAnsi="Times"/>
        </w:rPr>
      </w:pPr>
      <w:r w:rsidRPr="00D23BF1">
        <w:rPr>
          <w:rFonts w:ascii="Times" w:hAnsi="Times"/>
        </w:rPr>
        <w:t>A Dissertation Presented for the</w:t>
      </w:r>
    </w:p>
    <w:p w14:paraId="011EBDF7" w14:textId="4B0F50BF" w:rsidR="00CA3F29" w:rsidRPr="00D23BF1" w:rsidRDefault="00CA3F29" w:rsidP="00F20BE1">
      <w:pPr>
        <w:jc w:val="center"/>
        <w:rPr>
          <w:rFonts w:ascii="Times" w:hAnsi="Times"/>
        </w:rPr>
      </w:pPr>
      <w:r w:rsidRPr="00D23BF1">
        <w:rPr>
          <w:rFonts w:ascii="Times" w:hAnsi="Times"/>
        </w:rPr>
        <w:t>Doctor of Philosophy</w:t>
      </w:r>
    </w:p>
    <w:p w14:paraId="25998B53" w14:textId="10B8A71E" w:rsidR="00271E5B" w:rsidRPr="00D23BF1" w:rsidRDefault="00845600" w:rsidP="00F20BE1">
      <w:pPr>
        <w:jc w:val="center"/>
        <w:rPr>
          <w:rFonts w:ascii="Times" w:hAnsi="Times"/>
        </w:rPr>
      </w:pPr>
      <w:r w:rsidRPr="00D23BF1">
        <w:rPr>
          <w:rFonts w:ascii="Times" w:hAnsi="Times"/>
        </w:rPr>
        <w:t>Degree</w:t>
      </w:r>
    </w:p>
    <w:p w14:paraId="16EFE5FE" w14:textId="4C5B0465" w:rsidR="00845600" w:rsidRPr="00D23BF1" w:rsidRDefault="00845600" w:rsidP="00F20BE1">
      <w:pPr>
        <w:jc w:val="center"/>
        <w:rPr>
          <w:rFonts w:ascii="Times" w:hAnsi="Times"/>
        </w:rPr>
      </w:pPr>
      <w:r w:rsidRPr="00D23BF1">
        <w:rPr>
          <w:rFonts w:ascii="Times" w:hAnsi="Times"/>
        </w:rPr>
        <w:t>The University of Tennessee, Knoxville.</w:t>
      </w:r>
    </w:p>
    <w:p w14:paraId="74426305" w14:textId="77777777" w:rsidR="00390131" w:rsidRPr="00D23BF1" w:rsidRDefault="00390131" w:rsidP="00F20BE1">
      <w:pPr>
        <w:rPr>
          <w:rFonts w:ascii="Times" w:hAnsi="Times"/>
        </w:rPr>
      </w:pPr>
    </w:p>
    <w:p w14:paraId="3EDD5B0B" w14:textId="4CFA797B" w:rsidR="00271E5B" w:rsidRPr="00D23BF1" w:rsidRDefault="00271E5B" w:rsidP="00F20BE1">
      <w:pPr>
        <w:jc w:val="center"/>
        <w:rPr>
          <w:rFonts w:ascii="Times" w:hAnsi="Times"/>
        </w:rPr>
      </w:pPr>
    </w:p>
    <w:p w14:paraId="40133E46" w14:textId="3D48CE0F" w:rsidR="00271E5B" w:rsidRPr="00D23BF1" w:rsidRDefault="00271E5B" w:rsidP="00F20BE1">
      <w:pPr>
        <w:jc w:val="center"/>
        <w:rPr>
          <w:rFonts w:ascii="Times" w:hAnsi="Times"/>
        </w:rPr>
      </w:pPr>
    </w:p>
    <w:p w14:paraId="2D15EBFE" w14:textId="3D0B413F" w:rsidR="00271E5B" w:rsidRPr="00D23BF1" w:rsidRDefault="00271E5B" w:rsidP="00F20BE1">
      <w:pPr>
        <w:jc w:val="center"/>
        <w:rPr>
          <w:rFonts w:ascii="Times" w:hAnsi="Times"/>
        </w:rPr>
      </w:pPr>
    </w:p>
    <w:p w14:paraId="07FEAAB9" w14:textId="5FA1A569" w:rsidR="00271E5B" w:rsidRPr="00D23BF1" w:rsidRDefault="00271E5B" w:rsidP="00F20BE1">
      <w:pPr>
        <w:rPr>
          <w:rFonts w:ascii="Times" w:hAnsi="Times"/>
        </w:rPr>
      </w:pPr>
    </w:p>
    <w:p w14:paraId="1770D6FA" w14:textId="5EF3E9A5" w:rsidR="00271E5B" w:rsidRPr="00D23BF1" w:rsidRDefault="00271E5B" w:rsidP="00F20BE1">
      <w:pPr>
        <w:jc w:val="center"/>
        <w:rPr>
          <w:rFonts w:ascii="Times" w:hAnsi="Times"/>
        </w:rPr>
      </w:pPr>
    </w:p>
    <w:p w14:paraId="4E573AF4" w14:textId="037D7E95" w:rsidR="00271E5B" w:rsidRPr="00D23BF1" w:rsidRDefault="00271E5B" w:rsidP="00F20BE1">
      <w:pPr>
        <w:jc w:val="center"/>
        <w:rPr>
          <w:rFonts w:ascii="Times" w:hAnsi="Times"/>
        </w:rPr>
      </w:pPr>
    </w:p>
    <w:p w14:paraId="006DC8BD" w14:textId="0EBAAD64" w:rsidR="00271E5B" w:rsidRPr="00D23BF1" w:rsidRDefault="00271E5B" w:rsidP="00F20BE1">
      <w:pPr>
        <w:jc w:val="center"/>
        <w:rPr>
          <w:rFonts w:ascii="Times" w:hAnsi="Times"/>
        </w:rPr>
      </w:pPr>
    </w:p>
    <w:p w14:paraId="2A9A87AF" w14:textId="055405F4" w:rsidR="00271E5B" w:rsidRPr="00D23BF1" w:rsidRDefault="00271E5B" w:rsidP="00F20BE1">
      <w:pPr>
        <w:jc w:val="center"/>
        <w:rPr>
          <w:rFonts w:ascii="Times" w:hAnsi="Times"/>
        </w:rPr>
      </w:pPr>
    </w:p>
    <w:p w14:paraId="31152E9C" w14:textId="14A9D46A" w:rsidR="00271E5B" w:rsidRPr="00D23BF1" w:rsidRDefault="00271E5B" w:rsidP="00F20BE1">
      <w:pPr>
        <w:jc w:val="center"/>
        <w:rPr>
          <w:rFonts w:ascii="Times" w:hAnsi="Times"/>
        </w:rPr>
      </w:pPr>
    </w:p>
    <w:p w14:paraId="5246B3C2" w14:textId="7D6AFDBA" w:rsidR="00271E5B" w:rsidRPr="00D23BF1" w:rsidRDefault="00271E5B" w:rsidP="00F20BE1">
      <w:pPr>
        <w:jc w:val="center"/>
        <w:rPr>
          <w:rFonts w:ascii="Times" w:hAnsi="Times"/>
        </w:rPr>
      </w:pPr>
    </w:p>
    <w:p w14:paraId="0C94CA20" w14:textId="34BF956A" w:rsidR="00271E5B" w:rsidRPr="00D23BF1" w:rsidRDefault="00271E5B" w:rsidP="00F20BE1">
      <w:pPr>
        <w:jc w:val="center"/>
        <w:rPr>
          <w:rFonts w:ascii="Times" w:hAnsi="Times"/>
        </w:rPr>
      </w:pPr>
    </w:p>
    <w:p w14:paraId="34D3DF72" w14:textId="77777777" w:rsidR="00390131" w:rsidRPr="00D23BF1" w:rsidRDefault="00390131" w:rsidP="00F20BE1">
      <w:pPr>
        <w:jc w:val="center"/>
        <w:rPr>
          <w:rFonts w:ascii="Times" w:hAnsi="Times"/>
        </w:rPr>
      </w:pPr>
    </w:p>
    <w:p w14:paraId="7990B03C" w14:textId="3EC5E502" w:rsidR="00271E5B" w:rsidRPr="00D23BF1" w:rsidRDefault="00271E5B" w:rsidP="00F20BE1">
      <w:pPr>
        <w:jc w:val="center"/>
        <w:rPr>
          <w:rFonts w:ascii="Times" w:hAnsi="Times"/>
        </w:rPr>
      </w:pPr>
    </w:p>
    <w:p w14:paraId="48EF5744" w14:textId="20F3A7DE" w:rsidR="00271E5B" w:rsidRPr="00D23BF1" w:rsidRDefault="00271E5B" w:rsidP="00F20BE1">
      <w:pPr>
        <w:jc w:val="center"/>
        <w:rPr>
          <w:rFonts w:ascii="Times" w:hAnsi="Times"/>
        </w:rPr>
      </w:pPr>
    </w:p>
    <w:p w14:paraId="3E7BB329" w14:textId="2A94F89F" w:rsidR="00271E5B" w:rsidRPr="00D23BF1" w:rsidRDefault="00271E5B" w:rsidP="00F20BE1">
      <w:pPr>
        <w:jc w:val="center"/>
        <w:rPr>
          <w:rFonts w:ascii="Times" w:hAnsi="Times"/>
        </w:rPr>
      </w:pPr>
    </w:p>
    <w:p w14:paraId="3012C59A" w14:textId="5B33769E" w:rsidR="00271E5B" w:rsidRPr="00D23BF1" w:rsidRDefault="00271E5B" w:rsidP="00F20BE1">
      <w:pPr>
        <w:jc w:val="center"/>
        <w:rPr>
          <w:rFonts w:ascii="Times" w:hAnsi="Times"/>
        </w:rPr>
      </w:pPr>
    </w:p>
    <w:p w14:paraId="605A64C9" w14:textId="06D9679D" w:rsidR="00271E5B" w:rsidRPr="00D23BF1" w:rsidRDefault="00271E5B" w:rsidP="00F20BE1">
      <w:pPr>
        <w:jc w:val="center"/>
        <w:rPr>
          <w:rFonts w:ascii="Times" w:hAnsi="Times"/>
        </w:rPr>
      </w:pPr>
    </w:p>
    <w:p w14:paraId="5D68976C" w14:textId="1085FC94" w:rsidR="00271E5B" w:rsidRPr="00D23BF1" w:rsidRDefault="00271E5B" w:rsidP="00F20BE1">
      <w:pPr>
        <w:jc w:val="center"/>
        <w:rPr>
          <w:rFonts w:ascii="Times" w:hAnsi="Times"/>
        </w:rPr>
      </w:pPr>
    </w:p>
    <w:p w14:paraId="7F377448" w14:textId="56E316E4" w:rsidR="00271E5B" w:rsidRPr="00D23BF1" w:rsidRDefault="00271E5B" w:rsidP="00F20BE1">
      <w:pPr>
        <w:jc w:val="center"/>
        <w:rPr>
          <w:rFonts w:ascii="Times" w:hAnsi="Times"/>
        </w:rPr>
      </w:pPr>
      <w:r w:rsidRPr="00D23BF1">
        <w:rPr>
          <w:rFonts w:ascii="Times" w:hAnsi="Times"/>
        </w:rPr>
        <w:t>Mae Berlow</w:t>
      </w:r>
    </w:p>
    <w:p w14:paraId="60F2158C" w14:textId="4B2861DA" w:rsidR="00271E5B" w:rsidRPr="00D23BF1" w:rsidRDefault="00271E5B" w:rsidP="00F20BE1">
      <w:pPr>
        <w:jc w:val="center"/>
        <w:rPr>
          <w:rFonts w:ascii="Times" w:hAnsi="Times"/>
        </w:rPr>
      </w:pPr>
      <w:r w:rsidRPr="00D23BF1">
        <w:rPr>
          <w:rFonts w:ascii="Times" w:hAnsi="Times"/>
        </w:rPr>
        <w:t>Ma</w:t>
      </w:r>
      <w:r w:rsidR="00845600" w:rsidRPr="00D23BF1">
        <w:rPr>
          <w:rFonts w:ascii="Times" w:hAnsi="Times"/>
        </w:rPr>
        <w:t>y</w:t>
      </w:r>
      <w:r w:rsidRPr="00D23BF1">
        <w:rPr>
          <w:rFonts w:ascii="Times" w:hAnsi="Times"/>
        </w:rPr>
        <w:t xml:space="preserve"> 2021</w:t>
      </w:r>
    </w:p>
    <w:p w14:paraId="793A07D9" w14:textId="33354146" w:rsidR="008D5EB5" w:rsidRPr="00D23BF1" w:rsidRDefault="003150CF" w:rsidP="00F20BE1">
      <w:pPr>
        <w:jc w:val="center"/>
        <w:rPr>
          <w:rFonts w:ascii="Times" w:hAnsi="Times"/>
          <w:b/>
          <w:bCs/>
        </w:rPr>
      </w:pPr>
      <w:r w:rsidRPr="00D23BF1">
        <w:rPr>
          <w:rFonts w:ascii="Times" w:hAnsi="Times"/>
        </w:rPr>
        <w:br w:type="page"/>
      </w:r>
      <w:r w:rsidR="00271E5B" w:rsidRPr="00D23BF1">
        <w:rPr>
          <w:rFonts w:ascii="Times" w:hAnsi="Times"/>
          <w:b/>
          <w:bCs/>
        </w:rPr>
        <w:lastRenderedPageBreak/>
        <w:t>A</w:t>
      </w:r>
      <w:r w:rsidR="008D5EB5" w:rsidRPr="00D23BF1">
        <w:rPr>
          <w:rFonts w:ascii="Times" w:hAnsi="Times"/>
          <w:b/>
          <w:bCs/>
        </w:rPr>
        <w:t>bstract</w:t>
      </w:r>
    </w:p>
    <w:p w14:paraId="2D17F2C7" w14:textId="77777777" w:rsidR="004B4064" w:rsidRPr="00D23BF1" w:rsidRDefault="004B4064" w:rsidP="00F20BE1">
      <w:pPr>
        <w:jc w:val="both"/>
        <w:rPr>
          <w:rFonts w:ascii="Times" w:eastAsia="Helvetica Neue" w:hAnsi="Times" w:cs="Helvetica Neue"/>
          <w:b/>
        </w:rPr>
      </w:pPr>
    </w:p>
    <w:p w14:paraId="0AC99071" w14:textId="0143777D" w:rsidR="004B4064" w:rsidRPr="00D23BF1" w:rsidRDefault="004B4064" w:rsidP="00F20BE1">
      <w:pPr>
        <w:jc w:val="both"/>
        <w:rPr>
          <w:rFonts w:ascii="Times" w:eastAsia="Helvetica Neue" w:hAnsi="Times" w:cs="Helvetica Neue"/>
        </w:rPr>
      </w:pPr>
      <w:r w:rsidRPr="00D23BF1">
        <w:rPr>
          <w:rFonts w:ascii="Times" w:eastAsia="Helvetica Neue" w:hAnsi="Times" w:cs="Helvetica Neue"/>
        </w:rPr>
        <w:t xml:space="preserve">The gut microbiome influences and is influenced by the host, and can affect the host organism by contributing to health, development and immunity. Similarly, the host can influence this community; it’s makeup can vary with host species, locality, diet, social stressors, and environmental stressors. Some of these environmental stressors have arisen due to human-induced rapid environmental change, like urbanization. The physiology and behaviors of organisms that are able to persist in urban environments are often different from their non-urban congeners. Nutrition, development, and immunity—all of which are affected by the gut microbiome—are important factors that can determine survival in urban environments.  Ecologists are therefore asking new questions about how an urban environment shapes gut microbial communities, and how the numerous services gut fauna provide affect host success in an urban context.  </w:t>
      </w:r>
    </w:p>
    <w:p w14:paraId="71B6F1D9" w14:textId="77777777" w:rsidR="004B4064" w:rsidRPr="00D23BF1" w:rsidRDefault="004B4064" w:rsidP="00F20B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w:eastAsia="Helvetica Neue" w:hAnsi="Times" w:cs="Helvetica Neue"/>
          <w:color w:val="000000"/>
        </w:rPr>
      </w:pPr>
      <w:r w:rsidRPr="00D23BF1">
        <w:rPr>
          <w:rFonts w:ascii="Times" w:eastAsia="Helvetica Neue" w:hAnsi="Times" w:cs="Helvetica Neue"/>
          <w:color w:val="000000"/>
        </w:rPr>
        <w:tab/>
        <w:t xml:space="preserve">My dissertation research demonstrated that urbanization changes the bacterial communities of birds as well as provided correlational and experimental evidence for the biotic and abiotic traits driving these changes. Urban birds differed from rural ones by multiple measures.  I also found evidence that noise pollution </w:t>
      </w:r>
      <w:proofErr w:type="gramStart"/>
      <w:r w:rsidRPr="00D23BF1">
        <w:rPr>
          <w:rFonts w:ascii="Times" w:eastAsia="Helvetica Neue" w:hAnsi="Times" w:cs="Helvetica Neue"/>
          <w:color w:val="000000"/>
        </w:rPr>
        <w:t>explain</w:t>
      </w:r>
      <w:proofErr w:type="gramEnd"/>
      <w:sdt>
        <w:sdtPr>
          <w:rPr>
            <w:rFonts w:ascii="Times" w:hAnsi="Times"/>
          </w:rPr>
          <w:tag w:val="goog_rdk_4"/>
          <w:id w:val="-616751279"/>
        </w:sdtPr>
        <w:sdtEndPr/>
        <w:sdtContent>
          <w:r w:rsidRPr="00D23BF1">
            <w:rPr>
              <w:rFonts w:ascii="Times" w:eastAsia="Helvetica Neue" w:hAnsi="Times" w:cs="Helvetica Neue"/>
              <w:color w:val="000000"/>
            </w:rPr>
            <w:t>s some</w:t>
          </w:r>
        </w:sdtContent>
      </w:sdt>
      <w:r w:rsidRPr="00D23BF1">
        <w:rPr>
          <w:rFonts w:ascii="Times" w:hAnsi="Times"/>
        </w:rPr>
        <w:t xml:space="preserve"> </w:t>
      </w:r>
      <w:r w:rsidRPr="00D23BF1">
        <w:rPr>
          <w:rFonts w:ascii="Times" w:eastAsia="Helvetica Neue" w:hAnsi="Times" w:cs="Helvetica Neue"/>
          <w:color w:val="000000"/>
        </w:rPr>
        <w:t xml:space="preserve">variation in alpha diversity among urban and rural birds. Building upon this finding, I experimentally showed that the gut microbiome changes with exposure to noise, as does food intake and plasma corticosterone. However, </w:t>
      </w:r>
      <w:sdt>
        <w:sdtPr>
          <w:rPr>
            <w:rFonts w:ascii="Times" w:hAnsi="Times"/>
          </w:rPr>
          <w:tag w:val="goog_rdk_6"/>
          <w:id w:val="-1183669960"/>
        </w:sdtPr>
        <w:sdtEndPr/>
        <w:sdtContent>
          <w:r w:rsidRPr="00D23BF1">
            <w:rPr>
              <w:rFonts w:ascii="Times" w:eastAsia="Helvetica Neue" w:hAnsi="Times" w:cs="Helvetica Neue"/>
              <w:color w:val="000000"/>
            </w:rPr>
            <w:t>contrary</w:t>
          </w:r>
        </w:sdtContent>
      </w:sdt>
      <w:r w:rsidRPr="00D23BF1">
        <w:rPr>
          <w:rFonts w:ascii="Times" w:eastAsia="Helvetica Neue" w:hAnsi="Times" w:cs="Helvetica Neue"/>
          <w:color w:val="000000"/>
        </w:rPr>
        <w:t xml:space="preserve"> to my hypothesis, food intake and corticosterone were not the mediating factors between noise and the gut microbiome. All of this work was accomplished using</w:t>
      </w:r>
      <w:sdt>
        <w:sdtPr>
          <w:rPr>
            <w:rFonts w:ascii="Times" w:hAnsi="Times"/>
          </w:rPr>
          <w:tag w:val="goog_rdk_8"/>
          <w:id w:val="1172753457"/>
        </w:sdtPr>
        <w:sdtEndPr/>
        <w:sdtContent>
          <w:r w:rsidRPr="00D23BF1">
            <w:rPr>
              <w:rFonts w:ascii="Times" w:eastAsia="Helvetica Neue" w:hAnsi="Times" w:cs="Helvetica Neue"/>
              <w:color w:val="000000"/>
            </w:rPr>
            <w:t xml:space="preserve"> noninvasive</w:t>
          </w:r>
        </w:sdtContent>
      </w:sdt>
      <w:r w:rsidRPr="00D23BF1">
        <w:rPr>
          <w:rFonts w:ascii="Times" w:eastAsia="Helvetica Neue" w:hAnsi="Times" w:cs="Helvetica Neue"/>
          <w:color w:val="000000"/>
        </w:rPr>
        <w:t xml:space="preserve"> cloacal swabs to measure the gut microbiome, which my dissertation research found </w:t>
      </w:r>
      <w:sdt>
        <w:sdtPr>
          <w:rPr>
            <w:rFonts w:ascii="Times" w:hAnsi="Times"/>
          </w:rPr>
          <w:tag w:val="goog_rdk_12"/>
          <w:id w:val="-427429209"/>
        </w:sdtPr>
        <w:sdtEndPr/>
        <w:sdtContent>
          <w:r w:rsidRPr="00D23BF1">
            <w:rPr>
              <w:rFonts w:ascii="Times" w:eastAsia="Helvetica Neue" w:hAnsi="Times" w:cs="Helvetica Neue"/>
              <w:color w:val="000000"/>
            </w:rPr>
            <w:t>are</w:t>
          </w:r>
        </w:sdtContent>
      </w:sdt>
      <w:r w:rsidRPr="00D23BF1">
        <w:rPr>
          <w:rFonts w:ascii="Times" w:eastAsia="Helvetica Neue" w:hAnsi="Times" w:cs="Helvetica Neue"/>
          <w:color w:val="000000"/>
        </w:rPr>
        <w:t xml:space="preserve"> reflective of the large intestine and capture individual variation in the microbiome. The work that comprised my dissertation will impact methods decisions in future microbiome studies in both free-living and captive birds. It will also contribute to the way we look at the relationships between host environment, host, and the gut microbiome, as well as influence how we think about urban ecology as a whole. Altogether, my dissertation research accomplished my goal to work in an emerging field at the interface of urban and microbial ecology. </w:t>
      </w:r>
    </w:p>
    <w:p w14:paraId="1D15EFDA" w14:textId="77777777" w:rsidR="004B4064" w:rsidRPr="00D23BF1" w:rsidRDefault="004B4064" w:rsidP="00F20BE1">
      <w:pPr>
        <w:rPr>
          <w:rFonts w:ascii="Times" w:hAnsi="Times"/>
        </w:rPr>
      </w:pPr>
    </w:p>
    <w:p w14:paraId="79A5CB4F" w14:textId="6CCDCC9F" w:rsidR="008D5EB5" w:rsidRPr="00D23BF1" w:rsidRDefault="008D5EB5" w:rsidP="00F20BE1">
      <w:pPr>
        <w:rPr>
          <w:rFonts w:ascii="Times" w:hAnsi="Times"/>
        </w:rPr>
      </w:pPr>
      <w:r w:rsidRPr="00D23BF1">
        <w:rPr>
          <w:rFonts w:ascii="Times" w:hAnsi="Times"/>
        </w:rPr>
        <w:br w:type="page"/>
      </w:r>
    </w:p>
    <w:sdt>
      <w:sdtPr>
        <w:rPr>
          <w:rFonts w:ascii="Times" w:hAnsi="Times"/>
        </w:rPr>
        <w:id w:val="56449902"/>
        <w:docPartObj>
          <w:docPartGallery w:val="Table of Contents"/>
          <w:docPartUnique/>
        </w:docPartObj>
      </w:sdtPr>
      <w:sdtEndPr>
        <w:rPr>
          <w:noProof/>
        </w:rPr>
      </w:sdtEndPr>
      <w:sdtContent>
        <w:p w14:paraId="10548254" w14:textId="1475AE5D" w:rsidR="00B2535D" w:rsidRPr="002F33C5" w:rsidRDefault="00B2535D" w:rsidP="00F20BE1">
          <w:pPr>
            <w:jc w:val="center"/>
            <w:rPr>
              <w:rFonts w:ascii="Times" w:hAnsi="Times"/>
              <w:b/>
            </w:rPr>
          </w:pPr>
          <w:r w:rsidRPr="002F33C5">
            <w:rPr>
              <w:rFonts w:ascii="Times" w:hAnsi="Times"/>
              <w:b/>
            </w:rPr>
            <w:t>Table of Contents</w:t>
          </w:r>
        </w:p>
        <w:p w14:paraId="79D976A1" w14:textId="4AA278C1" w:rsidR="00B21E95" w:rsidRPr="00B21E95" w:rsidRDefault="00B2535D">
          <w:pPr>
            <w:pStyle w:val="TOC1"/>
            <w:tabs>
              <w:tab w:val="right" w:leader="dot" w:pos="9350"/>
            </w:tabs>
            <w:rPr>
              <w:rFonts w:ascii="Times" w:eastAsiaTheme="minorEastAsia" w:hAnsi="Times" w:cstheme="minorBidi"/>
              <w:b w:val="0"/>
              <w:bCs w:val="0"/>
              <w:noProof/>
              <w:sz w:val="24"/>
              <w:szCs w:val="24"/>
            </w:rPr>
          </w:pPr>
          <w:r w:rsidRPr="00B21E95">
            <w:rPr>
              <w:rFonts w:ascii="Times" w:hAnsi="Times"/>
              <w:b w:val="0"/>
              <w:bCs w:val="0"/>
            </w:rPr>
            <w:fldChar w:fldCharType="begin"/>
          </w:r>
          <w:r w:rsidRPr="00B21E95">
            <w:rPr>
              <w:rFonts w:ascii="Times" w:hAnsi="Times"/>
              <w:b w:val="0"/>
              <w:bCs w:val="0"/>
            </w:rPr>
            <w:instrText xml:space="preserve"> TOC \o "1-3" \h \z \u </w:instrText>
          </w:r>
          <w:r w:rsidRPr="00B21E95">
            <w:rPr>
              <w:rFonts w:ascii="Times" w:hAnsi="Times"/>
              <w:b w:val="0"/>
              <w:bCs w:val="0"/>
            </w:rPr>
            <w:fldChar w:fldCharType="separate"/>
          </w:r>
          <w:hyperlink w:anchor="_Toc69972861" w:history="1">
            <w:r w:rsidR="00B21E95" w:rsidRPr="00B21E95">
              <w:rPr>
                <w:rStyle w:val="Hyperlink"/>
                <w:rFonts w:ascii="Times" w:hAnsi="Times"/>
                <w:b w:val="0"/>
                <w:bCs w:val="0"/>
                <w:noProof/>
              </w:rPr>
              <w:t>Introduction</w:t>
            </w:r>
            <w:r w:rsidR="00B21E95" w:rsidRPr="00B21E95">
              <w:rPr>
                <w:rFonts w:ascii="Times" w:hAnsi="Times"/>
                <w:b w:val="0"/>
                <w:bCs w:val="0"/>
                <w:noProof/>
                <w:webHidden/>
              </w:rPr>
              <w:tab/>
            </w:r>
            <w:r w:rsidR="00B21E95" w:rsidRPr="00B21E95">
              <w:rPr>
                <w:rFonts w:ascii="Times" w:hAnsi="Times"/>
                <w:b w:val="0"/>
                <w:bCs w:val="0"/>
                <w:noProof/>
                <w:webHidden/>
              </w:rPr>
              <w:fldChar w:fldCharType="begin"/>
            </w:r>
            <w:r w:rsidR="00B21E95" w:rsidRPr="00B21E95">
              <w:rPr>
                <w:rFonts w:ascii="Times" w:hAnsi="Times"/>
                <w:b w:val="0"/>
                <w:bCs w:val="0"/>
                <w:noProof/>
                <w:webHidden/>
              </w:rPr>
              <w:instrText xml:space="preserve"> PAGEREF _Toc69972861 \h </w:instrText>
            </w:r>
            <w:r w:rsidR="00B21E95" w:rsidRPr="00B21E95">
              <w:rPr>
                <w:rFonts w:ascii="Times" w:hAnsi="Times"/>
                <w:b w:val="0"/>
                <w:bCs w:val="0"/>
                <w:noProof/>
                <w:webHidden/>
              </w:rPr>
            </w:r>
            <w:r w:rsidR="00B21E95" w:rsidRPr="00B21E95">
              <w:rPr>
                <w:rFonts w:ascii="Times" w:hAnsi="Times"/>
                <w:b w:val="0"/>
                <w:bCs w:val="0"/>
                <w:noProof/>
                <w:webHidden/>
              </w:rPr>
              <w:fldChar w:fldCharType="separate"/>
            </w:r>
            <w:r w:rsidR="00B21E95" w:rsidRPr="00B21E95">
              <w:rPr>
                <w:rFonts w:ascii="Times" w:hAnsi="Times"/>
                <w:b w:val="0"/>
                <w:bCs w:val="0"/>
                <w:noProof/>
                <w:webHidden/>
              </w:rPr>
              <w:t>1</w:t>
            </w:r>
            <w:r w:rsidR="00B21E95" w:rsidRPr="00B21E95">
              <w:rPr>
                <w:rFonts w:ascii="Times" w:hAnsi="Times"/>
                <w:b w:val="0"/>
                <w:bCs w:val="0"/>
                <w:noProof/>
                <w:webHidden/>
              </w:rPr>
              <w:fldChar w:fldCharType="end"/>
            </w:r>
          </w:hyperlink>
          <w:bookmarkStart w:id="0" w:name="_GoBack"/>
          <w:bookmarkEnd w:id="0"/>
        </w:p>
        <w:p w14:paraId="26A8E78A" w14:textId="69F32E8E"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62" w:history="1">
            <w:r w:rsidR="00B21E95" w:rsidRPr="00B21E95">
              <w:rPr>
                <w:rStyle w:val="Hyperlink"/>
                <w:rFonts w:ascii="Times" w:hAnsi="Times"/>
                <w:i w:val="0"/>
                <w:iCs w:val="0"/>
                <w:noProof/>
              </w:rPr>
              <w:t>Abstract</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_Toc69972862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2</w:t>
            </w:r>
            <w:r w:rsidR="00B21E95" w:rsidRPr="00B21E95">
              <w:rPr>
                <w:rFonts w:ascii="Times" w:hAnsi="Times"/>
                <w:i w:val="0"/>
                <w:iCs w:val="0"/>
                <w:noProof/>
                <w:webHidden/>
              </w:rPr>
              <w:fldChar w:fldCharType="end"/>
            </w:r>
          </w:hyperlink>
        </w:p>
        <w:p w14:paraId="38C76616" w14:textId="0AB1F6BB"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63" w:history="1">
            <w:r w:rsidR="00B21E95" w:rsidRPr="00B21E95">
              <w:rPr>
                <w:rStyle w:val="Hyperlink"/>
                <w:rFonts w:ascii="Times" w:hAnsi="Times"/>
                <w:i w:val="0"/>
                <w:iCs w:val="0"/>
                <w:noProof/>
              </w:rPr>
              <w:t>Background</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_Toc69972863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2</w:t>
            </w:r>
            <w:r w:rsidR="00B21E95" w:rsidRPr="00B21E95">
              <w:rPr>
                <w:rFonts w:ascii="Times" w:hAnsi="Times"/>
                <w:i w:val="0"/>
                <w:iCs w:val="0"/>
                <w:noProof/>
                <w:webHidden/>
              </w:rPr>
              <w:fldChar w:fldCharType="end"/>
            </w:r>
          </w:hyperlink>
        </w:p>
        <w:p w14:paraId="54A4225F" w14:textId="2C6665DE"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64" w:history="1">
            <w:r w:rsidR="00B21E95" w:rsidRPr="00B21E95">
              <w:rPr>
                <w:rStyle w:val="Hyperlink"/>
                <w:rFonts w:ascii="Times" w:hAnsi="Times"/>
                <w:i w:val="0"/>
                <w:iCs w:val="0"/>
                <w:noProof/>
              </w:rPr>
              <w:t>Dissertation Aims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_Toc69972864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7</w:t>
            </w:r>
            <w:r w:rsidR="00B21E95" w:rsidRPr="00B21E95">
              <w:rPr>
                <w:rFonts w:ascii="Times" w:hAnsi="Times"/>
                <w:i w:val="0"/>
                <w:iCs w:val="0"/>
                <w:noProof/>
                <w:webHidden/>
              </w:rPr>
              <w:fldChar w:fldCharType="end"/>
            </w:r>
          </w:hyperlink>
        </w:p>
        <w:p w14:paraId="37C7822F" w14:textId="192D8C8B"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65" w:history="1">
            <w:r w:rsidR="00B21E95" w:rsidRPr="00B21E95">
              <w:rPr>
                <w:rStyle w:val="Hyperlink"/>
                <w:rFonts w:ascii="Times" w:hAnsi="Times"/>
                <w:i w:val="0"/>
                <w:iCs w:val="0"/>
                <w:noProof/>
              </w:rPr>
              <w:t>Intellectual Merit</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_Toc69972865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9</w:t>
            </w:r>
            <w:r w:rsidR="00B21E95" w:rsidRPr="00B21E95">
              <w:rPr>
                <w:rFonts w:ascii="Times" w:hAnsi="Times"/>
                <w:i w:val="0"/>
                <w:iCs w:val="0"/>
                <w:noProof/>
                <w:webHidden/>
              </w:rPr>
              <w:fldChar w:fldCharType="end"/>
            </w:r>
          </w:hyperlink>
        </w:p>
        <w:p w14:paraId="7BDA1F96" w14:textId="0EF8F458"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66" w:history="1">
            <w:r w:rsidR="00B21E95" w:rsidRPr="00B21E95">
              <w:rPr>
                <w:rStyle w:val="Hyperlink"/>
                <w:rFonts w:ascii="Times" w:hAnsi="Times"/>
                <w:i w:val="0"/>
                <w:iCs w:val="0"/>
                <w:noProof/>
              </w:rPr>
              <w:t>References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_Toc69972866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10</w:t>
            </w:r>
            <w:r w:rsidR="00B21E95" w:rsidRPr="00B21E95">
              <w:rPr>
                <w:rFonts w:ascii="Times" w:hAnsi="Times"/>
                <w:i w:val="0"/>
                <w:iCs w:val="0"/>
                <w:noProof/>
                <w:webHidden/>
              </w:rPr>
              <w:fldChar w:fldCharType="end"/>
            </w:r>
          </w:hyperlink>
        </w:p>
        <w:p w14:paraId="79FAA783" w14:textId="1604E552" w:rsidR="00B21E95" w:rsidRPr="00B21E95" w:rsidRDefault="00C37DB3">
          <w:pPr>
            <w:pStyle w:val="TOC1"/>
            <w:tabs>
              <w:tab w:val="right" w:leader="dot" w:pos="9350"/>
            </w:tabs>
            <w:rPr>
              <w:rFonts w:ascii="Times" w:eastAsiaTheme="minorEastAsia" w:hAnsi="Times" w:cstheme="minorBidi"/>
              <w:b w:val="0"/>
              <w:bCs w:val="0"/>
              <w:noProof/>
              <w:sz w:val="24"/>
              <w:szCs w:val="24"/>
            </w:rPr>
          </w:pPr>
          <w:hyperlink w:anchor="_Toc69972867" w:history="1">
            <w:r w:rsidR="00B21E95" w:rsidRPr="00B21E95">
              <w:rPr>
                <w:rStyle w:val="Hyperlink"/>
                <w:rFonts w:ascii="Times" w:hAnsi="Times"/>
                <w:b w:val="0"/>
                <w:bCs w:val="0"/>
                <w:noProof/>
              </w:rPr>
              <w:t>Chapter 1 - Evaluation of non-lethal gut microbiome sampling methods in a passerine bird</w:t>
            </w:r>
            <w:r w:rsidR="00B21E95" w:rsidRPr="00B21E95">
              <w:rPr>
                <w:rFonts w:ascii="Times" w:hAnsi="Times"/>
                <w:b w:val="0"/>
                <w:bCs w:val="0"/>
                <w:noProof/>
                <w:webHidden/>
              </w:rPr>
              <w:tab/>
            </w:r>
            <w:r w:rsidR="00B21E95" w:rsidRPr="00B21E95">
              <w:rPr>
                <w:rFonts w:ascii="Times" w:hAnsi="Times"/>
                <w:b w:val="0"/>
                <w:bCs w:val="0"/>
                <w:noProof/>
                <w:webHidden/>
              </w:rPr>
              <w:fldChar w:fldCharType="begin"/>
            </w:r>
            <w:r w:rsidR="00B21E95" w:rsidRPr="00B21E95">
              <w:rPr>
                <w:rFonts w:ascii="Times" w:hAnsi="Times"/>
                <w:b w:val="0"/>
                <w:bCs w:val="0"/>
                <w:noProof/>
                <w:webHidden/>
              </w:rPr>
              <w:instrText xml:space="preserve"> PAGEREF _Toc69972867 \h </w:instrText>
            </w:r>
            <w:r w:rsidR="00B21E95" w:rsidRPr="00B21E95">
              <w:rPr>
                <w:rFonts w:ascii="Times" w:hAnsi="Times"/>
                <w:b w:val="0"/>
                <w:bCs w:val="0"/>
                <w:noProof/>
                <w:webHidden/>
              </w:rPr>
            </w:r>
            <w:r w:rsidR="00B21E95" w:rsidRPr="00B21E95">
              <w:rPr>
                <w:rFonts w:ascii="Times" w:hAnsi="Times"/>
                <w:b w:val="0"/>
                <w:bCs w:val="0"/>
                <w:noProof/>
                <w:webHidden/>
              </w:rPr>
              <w:fldChar w:fldCharType="separate"/>
            </w:r>
            <w:r w:rsidR="00B21E95" w:rsidRPr="00B21E95">
              <w:rPr>
                <w:rFonts w:ascii="Times" w:hAnsi="Times"/>
                <w:b w:val="0"/>
                <w:bCs w:val="0"/>
                <w:noProof/>
                <w:webHidden/>
              </w:rPr>
              <w:t>16</w:t>
            </w:r>
            <w:r w:rsidR="00B21E95" w:rsidRPr="00B21E95">
              <w:rPr>
                <w:rFonts w:ascii="Times" w:hAnsi="Times"/>
                <w:b w:val="0"/>
                <w:bCs w:val="0"/>
                <w:noProof/>
                <w:webHidden/>
              </w:rPr>
              <w:fldChar w:fldCharType="end"/>
            </w:r>
          </w:hyperlink>
        </w:p>
        <w:p w14:paraId="1FF94DB2" w14:textId="022B0414"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68" w:history="1">
            <w:r w:rsidR="00B21E95" w:rsidRPr="00B21E95">
              <w:rPr>
                <w:rStyle w:val="Hyperlink"/>
                <w:rFonts w:ascii="Times" w:hAnsi="Times"/>
                <w:i w:val="0"/>
                <w:iCs w:val="0"/>
                <w:noProof/>
              </w:rPr>
              <w:t>Abstract</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_Toc69972868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17</w:t>
            </w:r>
            <w:r w:rsidR="00B21E95" w:rsidRPr="00B21E95">
              <w:rPr>
                <w:rFonts w:ascii="Times" w:hAnsi="Times"/>
                <w:i w:val="0"/>
                <w:iCs w:val="0"/>
                <w:noProof/>
                <w:webHidden/>
              </w:rPr>
              <w:fldChar w:fldCharType="end"/>
            </w:r>
          </w:hyperlink>
        </w:p>
        <w:p w14:paraId="3A2657F1" w14:textId="590BB7FB"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69" w:history="1">
            <w:r w:rsidR="00B21E95" w:rsidRPr="00B21E95">
              <w:rPr>
                <w:rStyle w:val="Hyperlink"/>
                <w:rFonts w:ascii="Times" w:hAnsi="Times"/>
                <w:i w:val="0"/>
                <w:iCs w:val="0"/>
                <w:noProof/>
              </w:rPr>
              <w:t>Introduction</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_Toc69972869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17</w:t>
            </w:r>
            <w:r w:rsidR="00B21E95" w:rsidRPr="00B21E95">
              <w:rPr>
                <w:rFonts w:ascii="Times" w:hAnsi="Times"/>
                <w:i w:val="0"/>
                <w:iCs w:val="0"/>
                <w:noProof/>
                <w:webHidden/>
              </w:rPr>
              <w:fldChar w:fldCharType="end"/>
            </w:r>
          </w:hyperlink>
        </w:p>
        <w:p w14:paraId="6C088DD1" w14:textId="69A71FBA"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70" w:history="1">
            <w:r w:rsidR="00B21E95" w:rsidRPr="00B21E95">
              <w:rPr>
                <w:rStyle w:val="Hyperlink"/>
                <w:rFonts w:ascii="Times" w:hAnsi="Times"/>
                <w:i w:val="0"/>
                <w:iCs w:val="0"/>
                <w:noProof/>
              </w:rPr>
              <w:t>Methods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_Toc69972870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19</w:t>
            </w:r>
            <w:r w:rsidR="00B21E95" w:rsidRPr="00B21E95">
              <w:rPr>
                <w:rFonts w:ascii="Times" w:hAnsi="Times"/>
                <w:i w:val="0"/>
                <w:iCs w:val="0"/>
                <w:noProof/>
                <w:webHidden/>
              </w:rPr>
              <w:fldChar w:fldCharType="end"/>
            </w:r>
          </w:hyperlink>
        </w:p>
        <w:p w14:paraId="1F357FE4" w14:textId="60752E13"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71" w:history="1">
            <w:r w:rsidR="00B21E95" w:rsidRPr="00B21E95">
              <w:rPr>
                <w:rStyle w:val="Hyperlink"/>
                <w:rFonts w:ascii="Times" w:hAnsi="Times"/>
                <w:i w:val="0"/>
                <w:iCs w:val="0"/>
                <w:noProof/>
              </w:rPr>
              <w:t>Results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_Toc69972871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22</w:t>
            </w:r>
            <w:r w:rsidR="00B21E95" w:rsidRPr="00B21E95">
              <w:rPr>
                <w:rFonts w:ascii="Times" w:hAnsi="Times"/>
                <w:i w:val="0"/>
                <w:iCs w:val="0"/>
                <w:noProof/>
                <w:webHidden/>
              </w:rPr>
              <w:fldChar w:fldCharType="end"/>
            </w:r>
          </w:hyperlink>
        </w:p>
        <w:p w14:paraId="62781622" w14:textId="747BB57B"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72" w:history="1">
            <w:r w:rsidR="00B21E95" w:rsidRPr="00B21E95">
              <w:rPr>
                <w:rStyle w:val="Hyperlink"/>
                <w:rFonts w:ascii="Times" w:hAnsi="Times"/>
                <w:i w:val="0"/>
                <w:iCs w:val="0"/>
                <w:noProof/>
              </w:rPr>
              <w:t>Discussion</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_Toc69972872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24</w:t>
            </w:r>
            <w:r w:rsidR="00B21E95" w:rsidRPr="00B21E95">
              <w:rPr>
                <w:rFonts w:ascii="Times" w:hAnsi="Times"/>
                <w:i w:val="0"/>
                <w:iCs w:val="0"/>
                <w:noProof/>
                <w:webHidden/>
              </w:rPr>
              <w:fldChar w:fldCharType="end"/>
            </w:r>
          </w:hyperlink>
        </w:p>
        <w:p w14:paraId="33F5FB0E" w14:textId="76E14C48"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73" w:history="1">
            <w:r w:rsidR="00B21E95" w:rsidRPr="00B21E95">
              <w:rPr>
                <w:rStyle w:val="Hyperlink"/>
                <w:rFonts w:ascii="Times" w:hAnsi="Times"/>
                <w:i w:val="0"/>
                <w:iCs w:val="0"/>
                <w:noProof/>
              </w:rPr>
              <w:t>Data statement</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_Toc69972873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26</w:t>
            </w:r>
            <w:r w:rsidR="00B21E95" w:rsidRPr="00B21E95">
              <w:rPr>
                <w:rFonts w:ascii="Times" w:hAnsi="Times"/>
                <w:i w:val="0"/>
                <w:iCs w:val="0"/>
                <w:noProof/>
                <w:webHidden/>
              </w:rPr>
              <w:fldChar w:fldCharType="end"/>
            </w:r>
          </w:hyperlink>
        </w:p>
        <w:p w14:paraId="7EAD26B8" w14:textId="4860502E"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74" w:history="1">
            <w:r w:rsidR="00B21E95" w:rsidRPr="00B21E95">
              <w:rPr>
                <w:rStyle w:val="Hyperlink"/>
                <w:rFonts w:ascii="Times" w:hAnsi="Times"/>
                <w:i w:val="0"/>
                <w:iCs w:val="0"/>
                <w:noProof/>
              </w:rPr>
              <w:t>References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_Toc69972874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27</w:t>
            </w:r>
            <w:r w:rsidR="00B21E95" w:rsidRPr="00B21E95">
              <w:rPr>
                <w:rFonts w:ascii="Times" w:hAnsi="Times"/>
                <w:i w:val="0"/>
                <w:iCs w:val="0"/>
                <w:noProof/>
                <w:webHidden/>
              </w:rPr>
              <w:fldChar w:fldCharType="end"/>
            </w:r>
          </w:hyperlink>
        </w:p>
        <w:p w14:paraId="53B34A7E" w14:textId="03A8CBFE" w:rsidR="00B21E95" w:rsidRPr="00B21E95" w:rsidRDefault="00C37DB3">
          <w:pPr>
            <w:pStyle w:val="TOC1"/>
            <w:tabs>
              <w:tab w:val="right" w:leader="dot" w:pos="9350"/>
            </w:tabs>
            <w:rPr>
              <w:rFonts w:ascii="Times" w:eastAsiaTheme="minorEastAsia" w:hAnsi="Times" w:cstheme="minorBidi"/>
              <w:b w:val="0"/>
              <w:bCs w:val="0"/>
              <w:noProof/>
              <w:sz w:val="24"/>
              <w:szCs w:val="24"/>
            </w:rPr>
          </w:pPr>
          <w:hyperlink w:anchor="_Toc69972875" w:history="1">
            <w:r w:rsidR="00B21E95" w:rsidRPr="00B21E95">
              <w:rPr>
                <w:rStyle w:val="Hyperlink"/>
                <w:rFonts w:ascii="Times" w:hAnsi="Times"/>
                <w:b w:val="0"/>
                <w:bCs w:val="0"/>
                <w:noProof/>
              </w:rPr>
              <w:t>Chapter 2 -  Effects of Urbanization and Landscape on Gut Microbiomes in White-Crowned Sparrows</w:t>
            </w:r>
            <w:r w:rsidR="00B21E95" w:rsidRPr="00B21E95">
              <w:rPr>
                <w:rFonts w:ascii="Times" w:hAnsi="Times"/>
                <w:b w:val="0"/>
                <w:bCs w:val="0"/>
                <w:noProof/>
                <w:webHidden/>
              </w:rPr>
              <w:tab/>
            </w:r>
            <w:r w:rsidR="00B21E95" w:rsidRPr="00B21E95">
              <w:rPr>
                <w:rFonts w:ascii="Times" w:hAnsi="Times"/>
                <w:b w:val="0"/>
                <w:bCs w:val="0"/>
                <w:noProof/>
                <w:webHidden/>
              </w:rPr>
              <w:fldChar w:fldCharType="begin"/>
            </w:r>
            <w:r w:rsidR="00B21E95" w:rsidRPr="00B21E95">
              <w:rPr>
                <w:rFonts w:ascii="Times" w:hAnsi="Times"/>
                <w:b w:val="0"/>
                <w:bCs w:val="0"/>
                <w:noProof/>
                <w:webHidden/>
              </w:rPr>
              <w:instrText xml:space="preserve"> PAGEREF _Toc69972875 \h </w:instrText>
            </w:r>
            <w:r w:rsidR="00B21E95" w:rsidRPr="00B21E95">
              <w:rPr>
                <w:rFonts w:ascii="Times" w:hAnsi="Times"/>
                <w:b w:val="0"/>
                <w:bCs w:val="0"/>
                <w:noProof/>
                <w:webHidden/>
              </w:rPr>
            </w:r>
            <w:r w:rsidR="00B21E95" w:rsidRPr="00B21E95">
              <w:rPr>
                <w:rFonts w:ascii="Times" w:hAnsi="Times"/>
                <w:b w:val="0"/>
                <w:bCs w:val="0"/>
                <w:noProof/>
                <w:webHidden/>
              </w:rPr>
              <w:fldChar w:fldCharType="separate"/>
            </w:r>
            <w:r w:rsidR="00B21E95" w:rsidRPr="00B21E95">
              <w:rPr>
                <w:rFonts w:ascii="Times" w:hAnsi="Times"/>
                <w:b w:val="0"/>
                <w:bCs w:val="0"/>
                <w:noProof/>
                <w:webHidden/>
              </w:rPr>
              <w:t>29</w:t>
            </w:r>
            <w:r w:rsidR="00B21E95" w:rsidRPr="00B21E95">
              <w:rPr>
                <w:rFonts w:ascii="Times" w:hAnsi="Times"/>
                <w:b w:val="0"/>
                <w:bCs w:val="0"/>
                <w:noProof/>
                <w:webHidden/>
              </w:rPr>
              <w:fldChar w:fldCharType="end"/>
            </w:r>
          </w:hyperlink>
        </w:p>
        <w:p w14:paraId="203DA21C" w14:textId="12C6A2BB"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76" w:history="1">
            <w:r w:rsidR="00B21E95" w:rsidRPr="00B21E95">
              <w:rPr>
                <w:rStyle w:val="Hyperlink"/>
                <w:rFonts w:ascii="Times" w:hAnsi="Times"/>
                <w:i w:val="0"/>
                <w:iCs w:val="0"/>
                <w:noProof/>
              </w:rPr>
              <w:t>Abstract</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_Toc69972876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30</w:t>
            </w:r>
            <w:r w:rsidR="00B21E95" w:rsidRPr="00B21E95">
              <w:rPr>
                <w:rFonts w:ascii="Times" w:hAnsi="Times"/>
                <w:i w:val="0"/>
                <w:iCs w:val="0"/>
                <w:noProof/>
                <w:webHidden/>
              </w:rPr>
              <w:fldChar w:fldCharType="end"/>
            </w:r>
          </w:hyperlink>
        </w:p>
        <w:p w14:paraId="7780D9F2" w14:textId="66F1106F"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77" w:history="1">
            <w:r w:rsidR="00B21E95" w:rsidRPr="00B21E95">
              <w:rPr>
                <w:rStyle w:val="Hyperlink"/>
                <w:rFonts w:ascii="Times" w:hAnsi="Times"/>
                <w:i w:val="0"/>
                <w:iCs w:val="0"/>
                <w:noProof/>
              </w:rPr>
              <w:t>Introduction</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_Toc69972877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30</w:t>
            </w:r>
            <w:r w:rsidR="00B21E95" w:rsidRPr="00B21E95">
              <w:rPr>
                <w:rFonts w:ascii="Times" w:hAnsi="Times"/>
                <w:i w:val="0"/>
                <w:iCs w:val="0"/>
                <w:noProof/>
                <w:webHidden/>
              </w:rPr>
              <w:fldChar w:fldCharType="end"/>
            </w:r>
          </w:hyperlink>
        </w:p>
        <w:p w14:paraId="25360796" w14:textId="089ED169"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78" w:history="1">
            <w:r w:rsidR="00B21E95" w:rsidRPr="00B21E95">
              <w:rPr>
                <w:rStyle w:val="Hyperlink"/>
                <w:rFonts w:ascii="Times" w:hAnsi="Times"/>
                <w:i w:val="0"/>
                <w:iCs w:val="0"/>
                <w:noProof/>
              </w:rPr>
              <w:t>Methods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_Toc69972878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31</w:t>
            </w:r>
            <w:r w:rsidR="00B21E95" w:rsidRPr="00B21E95">
              <w:rPr>
                <w:rFonts w:ascii="Times" w:hAnsi="Times"/>
                <w:i w:val="0"/>
                <w:iCs w:val="0"/>
                <w:noProof/>
                <w:webHidden/>
              </w:rPr>
              <w:fldChar w:fldCharType="end"/>
            </w:r>
          </w:hyperlink>
        </w:p>
        <w:p w14:paraId="24CDC3E9" w14:textId="7E263AD4"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79" w:history="1">
            <w:r w:rsidR="00B21E95" w:rsidRPr="00B21E95">
              <w:rPr>
                <w:rStyle w:val="Hyperlink"/>
                <w:rFonts w:ascii="Times" w:hAnsi="Times"/>
                <w:i w:val="0"/>
                <w:iCs w:val="0"/>
                <w:noProof/>
              </w:rPr>
              <w:t>Results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_Toc69972879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35</w:t>
            </w:r>
            <w:r w:rsidR="00B21E95" w:rsidRPr="00B21E95">
              <w:rPr>
                <w:rFonts w:ascii="Times" w:hAnsi="Times"/>
                <w:i w:val="0"/>
                <w:iCs w:val="0"/>
                <w:noProof/>
                <w:webHidden/>
              </w:rPr>
              <w:fldChar w:fldCharType="end"/>
            </w:r>
          </w:hyperlink>
        </w:p>
        <w:p w14:paraId="04E180E3" w14:textId="76DA13A3"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80" w:history="1">
            <w:r w:rsidR="00B21E95" w:rsidRPr="00B21E95">
              <w:rPr>
                <w:rStyle w:val="Hyperlink"/>
                <w:rFonts w:ascii="Times" w:hAnsi="Times"/>
                <w:i w:val="0"/>
                <w:iCs w:val="0"/>
                <w:noProof/>
              </w:rPr>
              <w:t>Discussion</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_Toc69972880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38</w:t>
            </w:r>
            <w:r w:rsidR="00B21E95" w:rsidRPr="00B21E95">
              <w:rPr>
                <w:rFonts w:ascii="Times" w:hAnsi="Times"/>
                <w:i w:val="0"/>
                <w:iCs w:val="0"/>
                <w:noProof/>
                <w:webHidden/>
              </w:rPr>
              <w:fldChar w:fldCharType="end"/>
            </w:r>
          </w:hyperlink>
        </w:p>
        <w:p w14:paraId="5A1A43A1" w14:textId="33078311"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81" w:history="1">
            <w:r w:rsidR="00B21E95" w:rsidRPr="00B21E95">
              <w:rPr>
                <w:rStyle w:val="Hyperlink"/>
                <w:rFonts w:ascii="Times" w:hAnsi="Times"/>
                <w:i w:val="0"/>
                <w:iCs w:val="0"/>
                <w:noProof/>
              </w:rPr>
              <w:t>References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_Toc69972881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43</w:t>
            </w:r>
            <w:r w:rsidR="00B21E95" w:rsidRPr="00B21E95">
              <w:rPr>
                <w:rFonts w:ascii="Times" w:hAnsi="Times"/>
                <w:i w:val="0"/>
                <w:iCs w:val="0"/>
                <w:noProof/>
                <w:webHidden/>
              </w:rPr>
              <w:fldChar w:fldCharType="end"/>
            </w:r>
          </w:hyperlink>
        </w:p>
        <w:p w14:paraId="3CA1560C" w14:textId="5A8689EE" w:rsidR="00B21E95" w:rsidRPr="00B21E95" w:rsidRDefault="00C37DB3">
          <w:pPr>
            <w:pStyle w:val="TOC1"/>
            <w:tabs>
              <w:tab w:val="right" w:leader="dot" w:pos="9350"/>
            </w:tabs>
            <w:rPr>
              <w:rFonts w:ascii="Times" w:eastAsiaTheme="minorEastAsia" w:hAnsi="Times" w:cstheme="minorBidi"/>
              <w:b w:val="0"/>
              <w:bCs w:val="0"/>
              <w:noProof/>
              <w:sz w:val="24"/>
              <w:szCs w:val="24"/>
            </w:rPr>
          </w:pPr>
          <w:hyperlink w:anchor="_Toc69972882" w:history="1">
            <w:r w:rsidR="00B21E95" w:rsidRPr="00B21E95">
              <w:rPr>
                <w:rStyle w:val="Hyperlink"/>
                <w:rFonts w:ascii="Times" w:hAnsi="Times"/>
                <w:b w:val="0"/>
                <w:bCs w:val="0"/>
                <w:noProof/>
              </w:rPr>
              <w:t>Chapter 3 - Experimental exposure to noise alters gut microbiota in a songbird</w:t>
            </w:r>
            <w:r w:rsidR="00B21E95" w:rsidRPr="00B21E95">
              <w:rPr>
                <w:rFonts w:ascii="Times" w:hAnsi="Times"/>
                <w:b w:val="0"/>
                <w:bCs w:val="0"/>
                <w:noProof/>
                <w:webHidden/>
              </w:rPr>
              <w:tab/>
            </w:r>
            <w:r w:rsidR="00B21E95" w:rsidRPr="00B21E95">
              <w:rPr>
                <w:rFonts w:ascii="Times" w:hAnsi="Times"/>
                <w:b w:val="0"/>
                <w:bCs w:val="0"/>
                <w:noProof/>
                <w:webHidden/>
              </w:rPr>
              <w:fldChar w:fldCharType="begin"/>
            </w:r>
            <w:r w:rsidR="00B21E95" w:rsidRPr="00B21E95">
              <w:rPr>
                <w:rFonts w:ascii="Times" w:hAnsi="Times"/>
                <w:b w:val="0"/>
                <w:bCs w:val="0"/>
                <w:noProof/>
                <w:webHidden/>
              </w:rPr>
              <w:instrText xml:space="preserve"> PAGEREF _Toc69972882 \h </w:instrText>
            </w:r>
            <w:r w:rsidR="00B21E95" w:rsidRPr="00B21E95">
              <w:rPr>
                <w:rFonts w:ascii="Times" w:hAnsi="Times"/>
                <w:b w:val="0"/>
                <w:bCs w:val="0"/>
                <w:noProof/>
                <w:webHidden/>
              </w:rPr>
            </w:r>
            <w:r w:rsidR="00B21E95" w:rsidRPr="00B21E95">
              <w:rPr>
                <w:rFonts w:ascii="Times" w:hAnsi="Times"/>
                <w:b w:val="0"/>
                <w:bCs w:val="0"/>
                <w:noProof/>
                <w:webHidden/>
              </w:rPr>
              <w:fldChar w:fldCharType="separate"/>
            </w:r>
            <w:r w:rsidR="00B21E95" w:rsidRPr="00B21E95">
              <w:rPr>
                <w:rFonts w:ascii="Times" w:hAnsi="Times"/>
                <w:b w:val="0"/>
                <w:bCs w:val="0"/>
                <w:noProof/>
                <w:webHidden/>
              </w:rPr>
              <w:t>47</w:t>
            </w:r>
            <w:r w:rsidR="00B21E95" w:rsidRPr="00B21E95">
              <w:rPr>
                <w:rFonts w:ascii="Times" w:hAnsi="Times"/>
                <w:b w:val="0"/>
                <w:bCs w:val="0"/>
                <w:noProof/>
                <w:webHidden/>
              </w:rPr>
              <w:fldChar w:fldCharType="end"/>
            </w:r>
          </w:hyperlink>
        </w:p>
        <w:p w14:paraId="146EED0B" w14:textId="1B5EEED9"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83" w:history="1">
            <w:r w:rsidR="00B21E95" w:rsidRPr="00B21E95">
              <w:rPr>
                <w:rStyle w:val="Hyperlink"/>
                <w:rFonts w:ascii="Times" w:hAnsi="Times"/>
                <w:i w:val="0"/>
                <w:iCs w:val="0"/>
                <w:noProof/>
              </w:rPr>
              <w:t>Abstract</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_Toc69972883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48</w:t>
            </w:r>
            <w:r w:rsidR="00B21E95" w:rsidRPr="00B21E95">
              <w:rPr>
                <w:rFonts w:ascii="Times" w:hAnsi="Times"/>
                <w:i w:val="0"/>
                <w:iCs w:val="0"/>
                <w:noProof/>
                <w:webHidden/>
              </w:rPr>
              <w:fldChar w:fldCharType="end"/>
            </w:r>
          </w:hyperlink>
        </w:p>
        <w:p w14:paraId="7E887AEF" w14:textId="60914E42"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84" w:history="1">
            <w:r w:rsidR="00B21E95" w:rsidRPr="00B21E95">
              <w:rPr>
                <w:rStyle w:val="Hyperlink"/>
                <w:rFonts w:ascii="Times" w:hAnsi="Times"/>
                <w:i w:val="0"/>
                <w:iCs w:val="0"/>
                <w:noProof/>
              </w:rPr>
              <w:t>Introduction</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_Toc69972884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48</w:t>
            </w:r>
            <w:r w:rsidR="00B21E95" w:rsidRPr="00B21E95">
              <w:rPr>
                <w:rFonts w:ascii="Times" w:hAnsi="Times"/>
                <w:i w:val="0"/>
                <w:iCs w:val="0"/>
                <w:noProof/>
                <w:webHidden/>
              </w:rPr>
              <w:fldChar w:fldCharType="end"/>
            </w:r>
          </w:hyperlink>
        </w:p>
        <w:p w14:paraId="54E12F04" w14:textId="28016773"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85" w:history="1">
            <w:r w:rsidR="00B21E95" w:rsidRPr="00B21E95">
              <w:rPr>
                <w:rStyle w:val="Hyperlink"/>
                <w:rFonts w:ascii="Times" w:hAnsi="Times"/>
                <w:i w:val="0"/>
                <w:iCs w:val="0"/>
                <w:noProof/>
              </w:rPr>
              <w:t>Materials &amp; Methods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_Toc69972885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50</w:t>
            </w:r>
            <w:r w:rsidR="00B21E95" w:rsidRPr="00B21E95">
              <w:rPr>
                <w:rFonts w:ascii="Times" w:hAnsi="Times"/>
                <w:i w:val="0"/>
                <w:iCs w:val="0"/>
                <w:noProof/>
                <w:webHidden/>
              </w:rPr>
              <w:fldChar w:fldCharType="end"/>
            </w:r>
          </w:hyperlink>
        </w:p>
        <w:p w14:paraId="5DD58099" w14:textId="15BD0917"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86" w:history="1">
            <w:r w:rsidR="00B21E95" w:rsidRPr="00B21E95">
              <w:rPr>
                <w:rStyle w:val="Hyperlink"/>
                <w:rFonts w:ascii="Times" w:hAnsi="Times"/>
                <w:i w:val="0"/>
                <w:iCs w:val="0"/>
                <w:noProof/>
              </w:rPr>
              <w:t>Results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_Toc69972886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54</w:t>
            </w:r>
            <w:r w:rsidR="00B21E95" w:rsidRPr="00B21E95">
              <w:rPr>
                <w:rFonts w:ascii="Times" w:hAnsi="Times"/>
                <w:i w:val="0"/>
                <w:iCs w:val="0"/>
                <w:noProof/>
                <w:webHidden/>
              </w:rPr>
              <w:fldChar w:fldCharType="end"/>
            </w:r>
          </w:hyperlink>
        </w:p>
        <w:p w14:paraId="62B346BF" w14:textId="3CF68BAC"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87" w:history="1">
            <w:r w:rsidR="00B21E95" w:rsidRPr="00B21E95">
              <w:rPr>
                <w:rStyle w:val="Hyperlink"/>
                <w:rFonts w:ascii="Times" w:hAnsi="Times"/>
                <w:i w:val="0"/>
                <w:iCs w:val="0"/>
                <w:noProof/>
              </w:rPr>
              <w:t>Discussion</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_Toc69972887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55</w:t>
            </w:r>
            <w:r w:rsidR="00B21E95" w:rsidRPr="00B21E95">
              <w:rPr>
                <w:rFonts w:ascii="Times" w:hAnsi="Times"/>
                <w:i w:val="0"/>
                <w:iCs w:val="0"/>
                <w:noProof/>
                <w:webHidden/>
              </w:rPr>
              <w:fldChar w:fldCharType="end"/>
            </w:r>
          </w:hyperlink>
        </w:p>
        <w:p w14:paraId="12ADED13" w14:textId="1B076DDC"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88" w:history="1">
            <w:r w:rsidR="00B21E95" w:rsidRPr="00B21E95">
              <w:rPr>
                <w:rStyle w:val="Hyperlink"/>
                <w:rFonts w:ascii="Times" w:hAnsi="Times"/>
                <w:i w:val="0"/>
                <w:iCs w:val="0"/>
                <w:noProof/>
              </w:rPr>
              <w:t>Acknowledgements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_Toc69972888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57</w:t>
            </w:r>
            <w:r w:rsidR="00B21E95" w:rsidRPr="00B21E95">
              <w:rPr>
                <w:rFonts w:ascii="Times" w:hAnsi="Times"/>
                <w:i w:val="0"/>
                <w:iCs w:val="0"/>
                <w:noProof/>
                <w:webHidden/>
              </w:rPr>
              <w:fldChar w:fldCharType="end"/>
            </w:r>
          </w:hyperlink>
        </w:p>
        <w:p w14:paraId="356CA3A8" w14:textId="47BC820C"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89" w:history="1">
            <w:r w:rsidR="00B21E95" w:rsidRPr="00B21E95">
              <w:rPr>
                <w:rStyle w:val="Hyperlink"/>
                <w:rFonts w:ascii="Times" w:hAnsi="Times"/>
                <w:i w:val="0"/>
                <w:iCs w:val="0"/>
                <w:noProof/>
              </w:rPr>
              <w:t>Data Accessibility</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_Toc69972889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58</w:t>
            </w:r>
            <w:r w:rsidR="00B21E95" w:rsidRPr="00B21E95">
              <w:rPr>
                <w:rFonts w:ascii="Times" w:hAnsi="Times"/>
                <w:i w:val="0"/>
                <w:iCs w:val="0"/>
                <w:noProof/>
                <w:webHidden/>
              </w:rPr>
              <w:fldChar w:fldCharType="end"/>
            </w:r>
          </w:hyperlink>
        </w:p>
        <w:p w14:paraId="23CF2EE3" w14:textId="0588EA4B"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90" w:history="1">
            <w:r w:rsidR="00B21E95" w:rsidRPr="00B21E95">
              <w:rPr>
                <w:rStyle w:val="Hyperlink"/>
                <w:rFonts w:ascii="Times" w:hAnsi="Times"/>
                <w:i w:val="0"/>
                <w:iCs w:val="0"/>
                <w:noProof/>
              </w:rPr>
              <w:t>References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_Toc69972890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59</w:t>
            </w:r>
            <w:r w:rsidR="00B21E95" w:rsidRPr="00B21E95">
              <w:rPr>
                <w:rFonts w:ascii="Times" w:hAnsi="Times"/>
                <w:i w:val="0"/>
                <w:iCs w:val="0"/>
                <w:noProof/>
                <w:webHidden/>
              </w:rPr>
              <w:fldChar w:fldCharType="end"/>
            </w:r>
          </w:hyperlink>
        </w:p>
        <w:p w14:paraId="5E467F8C" w14:textId="1888ED4A" w:rsidR="00B21E95" w:rsidRPr="00B21E95" w:rsidRDefault="00C37DB3">
          <w:pPr>
            <w:pStyle w:val="TOC1"/>
            <w:tabs>
              <w:tab w:val="right" w:leader="dot" w:pos="9350"/>
            </w:tabs>
            <w:rPr>
              <w:rFonts w:ascii="Times" w:eastAsiaTheme="minorEastAsia" w:hAnsi="Times" w:cstheme="minorBidi"/>
              <w:b w:val="0"/>
              <w:bCs w:val="0"/>
              <w:noProof/>
              <w:sz w:val="24"/>
              <w:szCs w:val="24"/>
            </w:rPr>
          </w:pPr>
          <w:hyperlink w:anchor="_Toc69972891" w:history="1">
            <w:r w:rsidR="00B21E95" w:rsidRPr="00B21E95">
              <w:rPr>
                <w:rStyle w:val="Hyperlink"/>
                <w:rFonts w:ascii="Times" w:hAnsi="Times"/>
                <w:b w:val="0"/>
                <w:bCs w:val="0"/>
                <w:noProof/>
              </w:rPr>
              <w:t>Conclusion</w:t>
            </w:r>
            <w:r w:rsidR="00B21E95" w:rsidRPr="00B21E95">
              <w:rPr>
                <w:rFonts w:ascii="Times" w:hAnsi="Times"/>
                <w:b w:val="0"/>
                <w:bCs w:val="0"/>
                <w:noProof/>
                <w:webHidden/>
              </w:rPr>
              <w:tab/>
            </w:r>
            <w:r w:rsidR="00B21E95" w:rsidRPr="00B21E95">
              <w:rPr>
                <w:rFonts w:ascii="Times" w:hAnsi="Times"/>
                <w:b w:val="0"/>
                <w:bCs w:val="0"/>
                <w:noProof/>
                <w:webHidden/>
              </w:rPr>
              <w:fldChar w:fldCharType="begin"/>
            </w:r>
            <w:r w:rsidR="00B21E95" w:rsidRPr="00B21E95">
              <w:rPr>
                <w:rFonts w:ascii="Times" w:hAnsi="Times"/>
                <w:b w:val="0"/>
                <w:bCs w:val="0"/>
                <w:noProof/>
                <w:webHidden/>
              </w:rPr>
              <w:instrText xml:space="preserve"> PAGEREF _Toc69972891 \h </w:instrText>
            </w:r>
            <w:r w:rsidR="00B21E95" w:rsidRPr="00B21E95">
              <w:rPr>
                <w:rFonts w:ascii="Times" w:hAnsi="Times"/>
                <w:b w:val="0"/>
                <w:bCs w:val="0"/>
                <w:noProof/>
                <w:webHidden/>
              </w:rPr>
            </w:r>
            <w:r w:rsidR="00B21E95" w:rsidRPr="00B21E95">
              <w:rPr>
                <w:rFonts w:ascii="Times" w:hAnsi="Times"/>
                <w:b w:val="0"/>
                <w:bCs w:val="0"/>
                <w:noProof/>
                <w:webHidden/>
              </w:rPr>
              <w:fldChar w:fldCharType="separate"/>
            </w:r>
            <w:r w:rsidR="00B21E95" w:rsidRPr="00B21E95">
              <w:rPr>
                <w:rFonts w:ascii="Times" w:hAnsi="Times"/>
                <w:b w:val="0"/>
                <w:bCs w:val="0"/>
                <w:noProof/>
                <w:webHidden/>
              </w:rPr>
              <w:t>62</w:t>
            </w:r>
            <w:r w:rsidR="00B21E95" w:rsidRPr="00B21E95">
              <w:rPr>
                <w:rFonts w:ascii="Times" w:hAnsi="Times"/>
                <w:b w:val="0"/>
                <w:bCs w:val="0"/>
                <w:noProof/>
                <w:webHidden/>
              </w:rPr>
              <w:fldChar w:fldCharType="end"/>
            </w:r>
          </w:hyperlink>
        </w:p>
        <w:p w14:paraId="519809D5" w14:textId="3069FD84"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92" w:history="1">
            <w:r w:rsidR="00B21E95" w:rsidRPr="00B21E95">
              <w:rPr>
                <w:rStyle w:val="Hyperlink"/>
                <w:rFonts w:ascii="Times" w:hAnsi="Times"/>
                <w:i w:val="0"/>
                <w:iCs w:val="0"/>
                <w:noProof/>
              </w:rPr>
              <w:t>Future steps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_Toc69972892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65</w:t>
            </w:r>
            <w:r w:rsidR="00B21E95" w:rsidRPr="00B21E95">
              <w:rPr>
                <w:rFonts w:ascii="Times" w:hAnsi="Times"/>
                <w:i w:val="0"/>
                <w:iCs w:val="0"/>
                <w:noProof/>
                <w:webHidden/>
              </w:rPr>
              <w:fldChar w:fldCharType="end"/>
            </w:r>
          </w:hyperlink>
        </w:p>
        <w:p w14:paraId="50BE0067" w14:textId="00D3D626"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93" w:history="1">
            <w:r w:rsidR="00B21E95" w:rsidRPr="00B21E95">
              <w:rPr>
                <w:rStyle w:val="Hyperlink"/>
                <w:rFonts w:ascii="Times" w:hAnsi="Times"/>
                <w:i w:val="0"/>
                <w:iCs w:val="0"/>
                <w:noProof/>
              </w:rPr>
              <w:t>Career trajectory</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_Toc69972893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66</w:t>
            </w:r>
            <w:r w:rsidR="00B21E95" w:rsidRPr="00B21E95">
              <w:rPr>
                <w:rFonts w:ascii="Times" w:hAnsi="Times"/>
                <w:i w:val="0"/>
                <w:iCs w:val="0"/>
                <w:noProof/>
                <w:webHidden/>
              </w:rPr>
              <w:fldChar w:fldCharType="end"/>
            </w:r>
          </w:hyperlink>
        </w:p>
        <w:p w14:paraId="242248F6" w14:textId="5EB5BBF7"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94" w:history="1">
            <w:r w:rsidR="00B21E95" w:rsidRPr="00B21E95">
              <w:rPr>
                <w:rStyle w:val="Hyperlink"/>
                <w:rFonts w:ascii="Times" w:hAnsi="Times"/>
                <w:i w:val="0"/>
                <w:iCs w:val="0"/>
                <w:noProof/>
              </w:rPr>
              <w:t>References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_Toc69972894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67</w:t>
            </w:r>
            <w:r w:rsidR="00B21E95" w:rsidRPr="00B21E95">
              <w:rPr>
                <w:rFonts w:ascii="Times" w:hAnsi="Times"/>
                <w:i w:val="0"/>
                <w:iCs w:val="0"/>
                <w:noProof/>
                <w:webHidden/>
              </w:rPr>
              <w:fldChar w:fldCharType="end"/>
            </w:r>
          </w:hyperlink>
        </w:p>
        <w:p w14:paraId="5255BB2A" w14:textId="78B619A7" w:rsidR="00B21E95" w:rsidRPr="00B21E95" w:rsidRDefault="00C37DB3">
          <w:pPr>
            <w:pStyle w:val="TOC1"/>
            <w:tabs>
              <w:tab w:val="right" w:leader="dot" w:pos="9350"/>
            </w:tabs>
            <w:rPr>
              <w:rFonts w:ascii="Times" w:eastAsiaTheme="minorEastAsia" w:hAnsi="Times" w:cstheme="minorBidi"/>
              <w:b w:val="0"/>
              <w:bCs w:val="0"/>
              <w:noProof/>
              <w:sz w:val="24"/>
              <w:szCs w:val="24"/>
            </w:rPr>
          </w:pPr>
          <w:hyperlink w:anchor="_Toc69972895" w:history="1">
            <w:r w:rsidR="00B21E95" w:rsidRPr="00B21E95">
              <w:rPr>
                <w:rStyle w:val="Hyperlink"/>
                <w:rFonts w:ascii="Times" w:hAnsi="Times"/>
                <w:b w:val="0"/>
                <w:bCs w:val="0"/>
                <w:noProof/>
              </w:rPr>
              <w:t>Appendix</w:t>
            </w:r>
            <w:r w:rsidR="00B21E95" w:rsidRPr="00B21E95">
              <w:rPr>
                <w:rFonts w:ascii="Times" w:hAnsi="Times"/>
                <w:b w:val="0"/>
                <w:bCs w:val="0"/>
                <w:noProof/>
                <w:webHidden/>
              </w:rPr>
              <w:tab/>
            </w:r>
            <w:r w:rsidR="00B21E95" w:rsidRPr="00B21E95">
              <w:rPr>
                <w:rFonts w:ascii="Times" w:hAnsi="Times"/>
                <w:b w:val="0"/>
                <w:bCs w:val="0"/>
                <w:noProof/>
                <w:webHidden/>
              </w:rPr>
              <w:fldChar w:fldCharType="begin"/>
            </w:r>
            <w:r w:rsidR="00B21E95" w:rsidRPr="00B21E95">
              <w:rPr>
                <w:rFonts w:ascii="Times" w:hAnsi="Times"/>
                <w:b w:val="0"/>
                <w:bCs w:val="0"/>
                <w:noProof/>
                <w:webHidden/>
              </w:rPr>
              <w:instrText xml:space="preserve"> PAGEREF _Toc69972895 \h </w:instrText>
            </w:r>
            <w:r w:rsidR="00B21E95" w:rsidRPr="00B21E95">
              <w:rPr>
                <w:rFonts w:ascii="Times" w:hAnsi="Times"/>
                <w:b w:val="0"/>
                <w:bCs w:val="0"/>
                <w:noProof/>
                <w:webHidden/>
              </w:rPr>
            </w:r>
            <w:r w:rsidR="00B21E95" w:rsidRPr="00B21E95">
              <w:rPr>
                <w:rFonts w:ascii="Times" w:hAnsi="Times"/>
                <w:b w:val="0"/>
                <w:bCs w:val="0"/>
                <w:noProof/>
                <w:webHidden/>
              </w:rPr>
              <w:fldChar w:fldCharType="separate"/>
            </w:r>
            <w:r w:rsidR="00B21E95" w:rsidRPr="00B21E95">
              <w:rPr>
                <w:rFonts w:ascii="Times" w:hAnsi="Times"/>
                <w:b w:val="0"/>
                <w:bCs w:val="0"/>
                <w:noProof/>
                <w:webHidden/>
              </w:rPr>
              <w:t>69</w:t>
            </w:r>
            <w:r w:rsidR="00B21E95" w:rsidRPr="00B21E95">
              <w:rPr>
                <w:rFonts w:ascii="Times" w:hAnsi="Times"/>
                <w:b w:val="0"/>
                <w:bCs w:val="0"/>
                <w:noProof/>
                <w:webHidden/>
              </w:rPr>
              <w:fldChar w:fldCharType="end"/>
            </w:r>
          </w:hyperlink>
        </w:p>
        <w:p w14:paraId="3DFA2422" w14:textId="6C2F00B0"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96" w:history="1">
            <w:r w:rsidR="00B21E95" w:rsidRPr="00B21E95">
              <w:rPr>
                <w:rStyle w:val="Hyperlink"/>
                <w:rFonts w:ascii="Times" w:hAnsi="Times"/>
                <w:i w:val="0"/>
                <w:iCs w:val="0"/>
                <w:noProof/>
              </w:rPr>
              <w:t>Tables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_Toc69972896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69</w:t>
            </w:r>
            <w:r w:rsidR="00B21E95" w:rsidRPr="00B21E95">
              <w:rPr>
                <w:rFonts w:ascii="Times" w:hAnsi="Times"/>
                <w:i w:val="0"/>
                <w:iCs w:val="0"/>
                <w:noProof/>
                <w:webHidden/>
              </w:rPr>
              <w:fldChar w:fldCharType="end"/>
            </w:r>
          </w:hyperlink>
        </w:p>
        <w:p w14:paraId="4048F914" w14:textId="53F6196C" w:rsidR="00B21E95" w:rsidRPr="00B21E95" w:rsidRDefault="00C37DB3">
          <w:pPr>
            <w:pStyle w:val="TOC2"/>
            <w:tabs>
              <w:tab w:val="right" w:leader="dot" w:pos="9350"/>
            </w:tabs>
            <w:rPr>
              <w:rFonts w:ascii="Times" w:eastAsiaTheme="minorEastAsia" w:hAnsi="Times" w:cstheme="minorBidi"/>
              <w:i w:val="0"/>
              <w:iCs w:val="0"/>
              <w:noProof/>
              <w:sz w:val="24"/>
              <w:szCs w:val="24"/>
            </w:rPr>
          </w:pPr>
          <w:hyperlink w:anchor="_Toc69972897" w:history="1">
            <w:r w:rsidR="00B21E95" w:rsidRPr="00B21E95">
              <w:rPr>
                <w:rStyle w:val="Hyperlink"/>
                <w:rFonts w:ascii="Times" w:hAnsi="Times"/>
                <w:i w:val="0"/>
                <w:iCs w:val="0"/>
                <w:noProof/>
              </w:rPr>
              <w:t>Figures</w:t>
            </w:r>
            <w:r w:rsidR="00B21E95" w:rsidRPr="00B21E95">
              <w:rPr>
                <w:rFonts w:ascii="Times" w:hAnsi="Times"/>
                <w:i w:val="0"/>
                <w:iCs w:val="0"/>
                <w:noProof/>
                <w:webHidden/>
              </w:rPr>
              <w:tab/>
            </w:r>
            <w:r w:rsidR="00B21E95" w:rsidRPr="00B21E95">
              <w:rPr>
                <w:rFonts w:ascii="Times" w:hAnsi="Times"/>
                <w:i w:val="0"/>
                <w:iCs w:val="0"/>
                <w:noProof/>
                <w:webHidden/>
              </w:rPr>
              <w:fldChar w:fldCharType="begin"/>
            </w:r>
            <w:r w:rsidR="00B21E95" w:rsidRPr="00B21E95">
              <w:rPr>
                <w:rFonts w:ascii="Times" w:hAnsi="Times"/>
                <w:i w:val="0"/>
                <w:iCs w:val="0"/>
                <w:noProof/>
                <w:webHidden/>
              </w:rPr>
              <w:instrText xml:space="preserve"> PAGEREF _Toc69972897 \h </w:instrText>
            </w:r>
            <w:r w:rsidR="00B21E95" w:rsidRPr="00B21E95">
              <w:rPr>
                <w:rFonts w:ascii="Times" w:hAnsi="Times"/>
                <w:i w:val="0"/>
                <w:iCs w:val="0"/>
                <w:noProof/>
                <w:webHidden/>
              </w:rPr>
            </w:r>
            <w:r w:rsidR="00B21E95" w:rsidRPr="00B21E95">
              <w:rPr>
                <w:rFonts w:ascii="Times" w:hAnsi="Times"/>
                <w:i w:val="0"/>
                <w:iCs w:val="0"/>
                <w:noProof/>
                <w:webHidden/>
              </w:rPr>
              <w:fldChar w:fldCharType="separate"/>
            </w:r>
            <w:r w:rsidR="00B21E95" w:rsidRPr="00B21E95">
              <w:rPr>
                <w:rFonts w:ascii="Times" w:hAnsi="Times"/>
                <w:i w:val="0"/>
                <w:iCs w:val="0"/>
                <w:noProof/>
                <w:webHidden/>
              </w:rPr>
              <w:t>74</w:t>
            </w:r>
            <w:r w:rsidR="00B21E95" w:rsidRPr="00B21E95">
              <w:rPr>
                <w:rFonts w:ascii="Times" w:hAnsi="Times"/>
                <w:i w:val="0"/>
                <w:iCs w:val="0"/>
                <w:noProof/>
                <w:webHidden/>
              </w:rPr>
              <w:fldChar w:fldCharType="end"/>
            </w:r>
          </w:hyperlink>
        </w:p>
        <w:p w14:paraId="4A884E1B" w14:textId="6F23D6B4" w:rsidR="00B21E95" w:rsidRPr="00B21E95" w:rsidRDefault="00C37DB3">
          <w:pPr>
            <w:pStyle w:val="TOC1"/>
            <w:tabs>
              <w:tab w:val="right" w:leader="dot" w:pos="9350"/>
            </w:tabs>
            <w:rPr>
              <w:rFonts w:ascii="Times" w:eastAsiaTheme="minorEastAsia" w:hAnsi="Times" w:cstheme="minorBidi"/>
              <w:b w:val="0"/>
              <w:bCs w:val="0"/>
              <w:noProof/>
              <w:sz w:val="24"/>
              <w:szCs w:val="24"/>
            </w:rPr>
          </w:pPr>
          <w:hyperlink w:anchor="_Toc69972898" w:history="1">
            <w:r w:rsidR="00B21E95" w:rsidRPr="00B21E95">
              <w:rPr>
                <w:rStyle w:val="Hyperlink"/>
                <w:rFonts w:ascii="Times" w:hAnsi="Times"/>
                <w:b w:val="0"/>
                <w:bCs w:val="0"/>
                <w:noProof/>
              </w:rPr>
              <w:t>Vita</w:t>
            </w:r>
            <w:r w:rsidR="00B21E95" w:rsidRPr="00B21E95">
              <w:rPr>
                <w:rFonts w:ascii="Times" w:hAnsi="Times"/>
                <w:b w:val="0"/>
                <w:bCs w:val="0"/>
                <w:noProof/>
                <w:webHidden/>
              </w:rPr>
              <w:tab/>
            </w:r>
            <w:r w:rsidR="00B21E95" w:rsidRPr="00B21E95">
              <w:rPr>
                <w:rFonts w:ascii="Times" w:hAnsi="Times"/>
                <w:b w:val="0"/>
                <w:bCs w:val="0"/>
                <w:noProof/>
                <w:webHidden/>
              </w:rPr>
              <w:fldChar w:fldCharType="begin"/>
            </w:r>
            <w:r w:rsidR="00B21E95" w:rsidRPr="00B21E95">
              <w:rPr>
                <w:rFonts w:ascii="Times" w:hAnsi="Times"/>
                <w:b w:val="0"/>
                <w:bCs w:val="0"/>
                <w:noProof/>
                <w:webHidden/>
              </w:rPr>
              <w:instrText xml:space="preserve"> PAGEREF _Toc69972898 \h </w:instrText>
            </w:r>
            <w:r w:rsidR="00B21E95" w:rsidRPr="00B21E95">
              <w:rPr>
                <w:rFonts w:ascii="Times" w:hAnsi="Times"/>
                <w:b w:val="0"/>
                <w:bCs w:val="0"/>
                <w:noProof/>
                <w:webHidden/>
              </w:rPr>
            </w:r>
            <w:r w:rsidR="00B21E95" w:rsidRPr="00B21E95">
              <w:rPr>
                <w:rFonts w:ascii="Times" w:hAnsi="Times"/>
                <w:b w:val="0"/>
                <w:bCs w:val="0"/>
                <w:noProof/>
                <w:webHidden/>
              </w:rPr>
              <w:fldChar w:fldCharType="separate"/>
            </w:r>
            <w:r w:rsidR="00B21E95" w:rsidRPr="00B21E95">
              <w:rPr>
                <w:rFonts w:ascii="Times" w:hAnsi="Times"/>
                <w:b w:val="0"/>
                <w:bCs w:val="0"/>
                <w:noProof/>
                <w:webHidden/>
              </w:rPr>
              <w:t>93</w:t>
            </w:r>
            <w:r w:rsidR="00B21E95" w:rsidRPr="00B21E95">
              <w:rPr>
                <w:rFonts w:ascii="Times" w:hAnsi="Times"/>
                <w:b w:val="0"/>
                <w:bCs w:val="0"/>
                <w:noProof/>
                <w:webHidden/>
              </w:rPr>
              <w:fldChar w:fldCharType="end"/>
            </w:r>
          </w:hyperlink>
        </w:p>
        <w:p w14:paraId="15188618" w14:textId="6A29337A" w:rsidR="00B2535D" w:rsidRPr="00AF79B2" w:rsidRDefault="00B2535D" w:rsidP="00F20BE1">
          <w:pPr>
            <w:rPr>
              <w:rFonts w:ascii="Times" w:hAnsi="Times"/>
            </w:rPr>
          </w:pPr>
          <w:r w:rsidRPr="00B21E95">
            <w:rPr>
              <w:rFonts w:ascii="Times" w:hAnsi="Times"/>
              <w:noProof/>
            </w:rPr>
            <w:fldChar w:fldCharType="end"/>
          </w:r>
        </w:p>
      </w:sdtContent>
    </w:sdt>
    <w:p w14:paraId="7B5B5716" w14:textId="60862D75" w:rsidR="00B2535D" w:rsidRPr="00AF79B2" w:rsidRDefault="00B2535D" w:rsidP="00F20BE1">
      <w:pPr>
        <w:rPr>
          <w:rFonts w:ascii="Times" w:hAnsi="Times"/>
        </w:rPr>
        <w:sectPr w:rsidR="00B2535D" w:rsidRPr="00AF79B2" w:rsidSect="001D74DB">
          <w:footerReference w:type="even" r:id="rId8"/>
          <w:footerReference w:type="default" r:id="rId9"/>
          <w:pgSz w:w="12240" w:h="15840"/>
          <w:pgMar w:top="1440" w:right="1440" w:bottom="1440" w:left="1440" w:header="720" w:footer="720" w:gutter="0"/>
          <w:pgNumType w:fmt="lowerRoman" w:start="1"/>
          <w:cols w:space="720"/>
          <w:titlePg/>
          <w:docGrid w:linePitch="326"/>
        </w:sectPr>
      </w:pPr>
    </w:p>
    <w:p w14:paraId="6E84018B" w14:textId="77777777" w:rsidR="009E4AFE" w:rsidRPr="00AF79B2" w:rsidRDefault="009E4AFE" w:rsidP="00F20BE1">
      <w:pPr>
        <w:pStyle w:val="Heading1"/>
        <w:rPr>
          <w:b w:val="0"/>
        </w:rPr>
      </w:pPr>
      <w:bookmarkStart w:id="1" w:name="_Toc69393541"/>
      <w:bookmarkStart w:id="2" w:name="_Toc69396315"/>
      <w:bookmarkStart w:id="3" w:name="_Toc69396350"/>
      <w:bookmarkStart w:id="4" w:name="_Toc69396545"/>
      <w:bookmarkStart w:id="5" w:name="_Toc69397232"/>
    </w:p>
    <w:p w14:paraId="75E98ABC" w14:textId="77777777" w:rsidR="009E4AFE" w:rsidRPr="00D23BF1" w:rsidRDefault="009E4AFE" w:rsidP="00F20BE1">
      <w:pPr>
        <w:pStyle w:val="Heading1"/>
      </w:pPr>
    </w:p>
    <w:p w14:paraId="07A91B2F" w14:textId="77777777" w:rsidR="009E4AFE" w:rsidRPr="00D23BF1" w:rsidRDefault="009E4AFE" w:rsidP="00F20BE1">
      <w:pPr>
        <w:pStyle w:val="Heading1"/>
      </w:pPr>
    </w:p>
    <w:p w14:paraId="61064E17" w14:textId="77777777" w:rsidR="009E4AFE" w:rsidRPr="00D23BF1" w:rsidRDefault="009E4AFE" w:rsidP="00F20BE1">
      <w:pPr>
        <w:pStyle w:val="Heading1"/>
      </w:pPr>
    </w:p>
    <w:p w14:paraId="6782B3C7" w14:textId="77777777" w:rsidR="009E4AFE" w:rsidRPr="00D23BF1" w:rsidRDefault="009E4AFE" w:rsidP="00F20BE1">
      <w:pPr>
        <w:pStyle w:val="Heading1"/>
      </w:pPr>
    </w:p>
    <w:p w14:paraId="205E6B56" w14:textId="25575FA5" w:rsidR="002D0663" w:rsidRPr="00D23BF1" w:rsidRDefault="001D74DB" w:rsidP="00F20BE1">
      <w:pPr>
        <w:rPr>
          <w:rFonts w:ascii="Times" w:hAnsi="Times"/>
        </w:rPr>
      </w:pPr>
      <w:r w:rsidRPr="00D23BF1">
        <w:rPr>
          <w:rFonts w:ascii="Times" w:hAnsi="Times"/>
        </w:rPr>
        <w:br w:type="page"/>
      </w:r>
    </w:p>
    <w:p w14:paraId="34E8DF97" w14:textId="77777777" w:rsidR="001D74DB" w:rsidRPr="00D23BF1" w:rsidRDefault="001D74DB" w:rsidP="00F20BE1">
      <w:pPr>
        <w:rPr>
          <w:rFonts w:ascii="Times" w:eastAsia="Cambria" w:hAnsi="Times" w:cs="Cambria"/>
          <w:b/>
          <w:szCs w:val="48"/>
        </w:rPr>
      </w:pPr>
    </w:p>
    <w:p w14:paraId="4E990993" w14:textId="77777777" w:rsidR="00041ADB" w:rsidRPr="00D23BF1" w:rsidRDefault="00041ADB" w:rsidP="00F20BE1">
      <w:pPr>
        <w:rPr>
          <w:rFonts w:ascii="Times" w:hAnsi="Times"/>
        </w:rPr>
      </w:pPr>
    </w:p>
    <w:p w14:paraId="6FCC358C" w14:textId="77777777" w:rsidR="002D0663" w:rsidRPr="00D23BF1" w:rsidRDefault="002D0663" w:rsidP="00F20BE1">
      <w:pPr>
        <w:rPr>
          <w:rFonts w:ascii="Times" w:hAnsi="Times"/>
        </w:rPr>
      </w:pPr>
    </w:p>
    <w:p w14:paraId="163FCDA6" w14:textId="77777777" w:rsidR="002D0663" w:rsidRPr="00D23BF1" w:rsidRDefault="002D0663" w:rsidP="00F20BE1">
      <w:pPr>
        <w:rPr>
          <w:rFonts w:ascii="Times" w:hAnsi="Times"/>
        </w:rPr>
      </w:pPr>
    </w:p>
    <w:p w14:paraId="143BE1FE" w14:textId="77777777" w:rsidR="002D0663" w:rsidRPr="00D23BF1" w:rsidRDefault="002D0663" w:rsidP="00F20BE1">
      <w:pPr>
        <w:rPr>
          <w:rFonts w:ascii="Times" w:hAnsi="Times"/>
        </w:rPr>
      </w:pPr>
    </w:p>
    <w:p w14:paraId="7B8AC47B" w14:textId="77777777" w:rsidR="002D0663" w:rsidRPr="00D23BF1" w:rsidRDefault="002D0663" w:rsidP="00F20BE1">
      <w:pPr>
        <w:rPr>
          <w:rFonts w:ascii="Times" w:hAnsi="Times"/>
        </w:rPr>
      </w:pPr>
    </w:p>
    <w:p w14:paraId="4DA71ADF" w14:textId="77777777" w:rsidR="002D0663" w:rsidRPr="00D23BF1" w:rsidRDefault="002D0663" w:rsidP="00F20BE1">
      <w:pPr>
        <w:rPr>
          <w:rFonts w:ascii="Times" w:hAnsi="Times"/>
        </w:rPr>
      </w:pPr>
    </w:p>
    <w:p w14:paraId="14ECC135" w14:textId="77777777" w:rsidR="002D0663" w:rsidRPr="00D23BF1" w:rsidRDefault="002D0663" w:rsidP="00F20BE1">
      <w:pPr>
        <w:rPr>
          <w:rFonts w:ascii="Times" w:hAnsi="Times"/>
        </w:rPr>
      </w:pPr>
    </w:p>
    <w:p w14:paraId="3AD3C3EC" w14:textId="77777777" w:rsidR="002D0663" w:rsidRPr="00D23BF1" w:rsidRDefault="002D0663" w:rsidP="00F20BE1">
      <w:pPr>
        <w:rPr>
          <w:rFonts w:ascii="Times" w:hAnsi="Times"/>
        </w:rPr>
      </w:pPr>
    </w:p>
    <w:p w14:paraId="28CC8669" w14:textId="77777777" w:rsidR="002D0663" w:rsidRPr="00D23BF1" w:rsidRDefault="002D0663" w:rsidP="00F20BE1">
      <w:pPr>
        <w:rPr>
          <w:rFonts w:ascii="Times" w:hAnsi="Times"/>
        </w:rPr>
      </w:pPr>
    </w:p>
    <w:p w14:paraId="33025A0F" w14:textId="77777777" w:rsidR="002D0663" w:rsidRPr="00D23BF1" w:rsidRDefault="002D0663" w:rsidP="00F20BE1">
      <w:pPr>
        <w:rPr>
          <w:rFonts w:ascii="Times" w:hAnsi="Times"/>
        </w:rPr>
      </w:pPr>
    </w:p>
    <w:p w14:paraId="65658944" w14:textId="494D3BF7" w:rsidR="002D0663" w:rsidRPr="00D23BF1" w:rsidRDefault="002D0663" w:rsidP="00F20BE1">
      <w:pPr>
        <w:rPr>
          <w:rFonts w:ascii="Times" w:hAnsi="Times"/>
        </w:rPr>
        <w:sectPr w:rsidR="002D0663" w:rsidRPr="00D23BF1" w:rsidSect="002D0663">
          <w:footerReference w:type="even" r:id="rId10"/>
          <w:footerReference w:type="default" r:id="rId11"/>
          <w:type w:val="continuous"/>
          <w:pgSz w:w="12240" w:h="15840"/>
          <w:pgMar w:top="1440" w:right="1440" w:bottom="1440" w:left="1440" w:header="720" w:footer="720" w:gutter="0"/>
          <w:pgNumType w:start="0"/>
          <w:cols w:space="720"/>
          <w:docGrid w:linePitch="326"/>
        </w:sectPr>
      </w:pPr>
    </w:p>
    <w:p w14:paraId="71B76CF7" w14:textId="77777777" w:rsidR="00041ADB" w:rsidRPr="00D23BF1" w:rsidRDefault="00041ADB" w:rsidP="00F20BE1">
      <w:pPr>
        <w:pStyle w:val="Heading1"/>
        <w:jc w:val="left"/>
      </w:pPr>
    </w:p>
    <w:p w14:paraId="24DC2795" w14:textId="77777777" w:rsidR="00041ADB" w:rsidRPr="00D23BF1" w:rsidRDefault="00041ADB" w:rsidP="00F20BE1">
      <w:pPr>
        <w:pStyle w:val="Heading1"/>
      </w:pPr>
    </w:p>
    <w:p w14:paraId="2CE74FAE" w14:textId="77777777" w:rsidR="00041ADB" w:rsidRPr="00D23BF1" w:rsidRDefault="00041ADB" w:rsidP="00F20BE1">
      <w:pPr>
        <w:pStyle w:val="Heading1"/>
      </w:pPr>
    </w:p>
    <w:p w14:paraId="40E883CD" w14:textId="77777777" w:rsidR="00041ADB" w:rsidRPr="00D23BF1" w:rsidRDefault="00041ADB" w:rsidP="00F20BE1">
      <w:pPr>
        <w:pStyle w:val="Heading1"/>
      </w:pPr>
    </w:p>
    <w:p w14:paraId="33153527" w14:textId="77777777" w:rsidR="00041ADB" w:rsidRPr="00D23BF1" w:rsidRDefault="00041ADB" w:rsidP="00F20BE1">
      <w:pPr>
        <w:pStyle w:val="Heading1"/>
      </w:pPr>
    </w:p>
    <w:p w14:paraId="4FA4DF4D" w14:textId="77777777" w:rsidR="00041ADB" w:rsidRPr="00D23BF1" w:rsidRDefault="00041ADB" w:rsidP="00F20BE1">
      <w:pPr>
        <w:pStyle w:val="Heading1"/>
      </w:pPr>
    </w:p>
    <w:p w14:paraId="0317676A" w14:textId="77777777" w:rsidR="00041ADB" w:rsidRPr="00D23BF1" w:rsidRDefault="00041ADB" w:rsidP="00F20BE1">
      <w:pPr>
        <w:pStyle w:val="Heading1"/>
      </w:pPr>
    </w:p>
    <w:p w14:paraId="33E70A33" w14:textId="77777777" w:rsidR="00041ADB" w:rsidRPr="00D23BF1" w:rsidRDefault="00041ADB" w:rsidP="00F20BE1">
      <w:pPr>
        <w:pStyle w:val="Heading1"/>
      </w:pPr>
    </w:p>
    <w:p w14:paraId="3D72C516" w14:textId="76FFB7F4" w:rsidR="001D74DB" w:rsidRPr="00D23BF1" w:rsidRDefault="001D74DB" w:rsidP="00F20BE1">
      <w:pPr>
        <w:rPr>
          <w:rFonts w:ascii="Times" w:eastAsia="Cambria" w:hAnsi="Times" w:cs="Cambria"/>
          <w:b/>
          <w:szCs w:val="48"/>
        </w:rPr>
      </w:pPr>
    </w:p>
    <w:p w14:paraId="417F2550" w14:textId="1F4F3A0D" w:rsidR="00041ADB" w:rsidRPr="00D23BF1" w:rsidRDefault="00041ADB" w:rsidP="00F20BE1">
      <w:pPr>
        <w:pStyle w:val="Heading1"/>
      </w:pPr>
      <w:bookmarkStart w:id="6" w:name="_Toc69972861"/>
      <w:r w:rsidRPr="00D23BF1">
        <w:t>Introduction</w:t>
      </w:r>
      <w:bookmarkEnd w:id="6"/>
    </w:p>
    <w:p w14:paraId="3C1D2399" w14:textId="77777777" w:rsidR="001D74DB" w:rsidRPr="00D23BF1" w:rsidRDefault="001D74DB" w:rsidP="00F20BE1">
      <w:pPr>
        <w:rPr>
          <w:rFonts w:ascii="Times" w:hAnsi="Times"/>
        </w:rPr>
      </w:pPr>
      <w:r w:rsidRPr="00D23BF1">
        <w:rPr>
          <w:rFonts w:ascii="Times" w:hAnsi="Times"/>
        </w:rPr>
        <w:br w:type="page"/>
      </w:r>
    </w:p>
    <w:p w14:paraId="17F67713" w14:textId="33D7212A" w:rsidR="001D74DB" w:rsidRPr="00D23BF1" w:rsidRDefault="001D74DB" w:rsidP="00F20BE1">
      <w:pPr>
        <w:pStyle w:val="Heading2"/>
        <w:rPr>
          <w:rFonts w:ascii="Times" w:hAnsi="Times"/>
        </w:rPr>
      </w:pPr>
      <w:bookmarkStart w:id="7" w:name="_Toc69972862"/>
      <w:r w:rsidRPr="00D23BF1">
        <w:rPr>
          <w:rFonts w:ascii="Times" w:hAnsi="Times"/>
        </w:rPr>
        <w:lastRenderedPageBreak/>
        <w:t>Abstract</w:t>
      </w:r>
      <w:bookmarkEnd w:id="7"/>
    </w:p>
    <w:p w14:paraId="73DF420A" w14:textId="44EB750E" w:rsidR="00041ADB" w:rsidRPr="00D23BF1" w:rsidRDefault="00041ADB" w:rsidP="00F20BE1">
      <w:pPr>
        <w:rPr>
          <w:rFonts w:ascii="Times" w:eastAsia="Cambria" w:hAnsi="Times" w:cs="Cambria"/>
          <w:b/>
          <w:szCs w:val="48"/>
        </w:rPr>
      </w:pPr>
      <w:r w:rsidRPr="00D23BF1">
        <w:rPr>
          <w:rFonts w:ascii="Times" w:eastAsia="Helvetica Neue" w:hAnsi="Times" w:cs="Helvetica Neue"/>
        </w:rPr>
        <w:t xml:space="preserve">The gut microbiome functions as a community of bacteria, fungi, viruses, and protists that influences and is influenced by the host organism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{"citationItems":[{"id":"ITEM-1","itemData":{"DOI":"10.1111/jav.01788","ISBN":"0000000329","ISSN":"1600048X","abstract":"Gastrointestinal microbiota play a vital role in maintaining organismal health, through facilitating nutrient uptake, detoxification and interactions with the immune system. The gastrointestinal microbiota of birds has been poorly studied, especially in wild species under natural conditions. Studies of avian gut microbiota are outnumbered ten to one by studies of mammals, and are dominated by research on domestic poultry. Unlike domestic poultry, wild birds vary widely in environmental preferences, physiology, and life-history traits, such as migratory behavior and mating systems. Species characteristics result in a vast diversity in gut microbiota and its composition and function. Avian life-history characteristics pose selection pressures on the gut microbiota, and ultimately affect host health. Here, we review current knowledge of the gut microbiota of wild birds, including: partitioning of digestive function and microbiota among different gastrointestinal compartments, microbial diversity and function in the context of host diet, energetics and behavior, and the intrinsic and extrinsic factors impacting gut microbiota in free-living birds. The shared core microbiota of wild bird species is dominated by members of four major phyla: Firmicutes, Proteobacteria, Bacteroidetes and Actinobacteria. However, microbial communities varies inter- and intra-specifically, and among gastrointestinal tract sections. To conclude, we identify three key research areas that warrant further investigation: 1) expanding the range of avian host taxa investigated, 2) identifying the function of avian gut microbiota in physiology and immunology, and 3) transitioning from observational studies to experimental manipulations to identify key determinants of wild bird gut microbiota composition.","author":[{"dropping-particle":"","family":"Grond","given":"Kirsten","non-dropping-particle":"","parse-names":false,"suffix":""},{"dropping-particle":"","family":"Sandercock","given":"Brett K.","non-dropping-particle":"","parse-names":false,"suffix":""},{"dropping-particle":"","family":"Jumpponen","given":"Ari","non-dropping-particle":"","parse-names":false,"suffix":""},{"dropping-particle":"","family":"Zeglin","given":"Lydia H.","non-dropping-particle":"","parse-names":false,"suffix":""}],"container-title":"Journal of Avian Biology","id":"ITEM-1","issue":"11","issued":{"date-parts":[["2018"]]},"page":"1-19","title":"The avian gut microbiota: community, physiology and function in wild birds","type":"article-journal","volume":"49"},"uris":["http://www.mendeley.com/documents/?uuid=32d70b63-3a60-47e5-ba9d-2b1624fd5815"]},{"id":"ITEM-2","itemData":{"DOI":"10.1016/j.mehy.2009.10.025","ISSN":"03069877","author":[{"dropping-particle":"","family":"Lyte","given":"Mark","non-dropping-particle":"","parse-names":false,"suffix":""}],"container-title":"Medical Hypotheses","id":"ITEM-2","issue":"4","issued":{"date-parts":[["2010"]]},"page":"634-638","publisher":"Elsevier Ltd","title":"The microbial organ in the gut as a driver of homeostasis and disease","type":"article-journal","volume":"74"},"uris":["http://www.mendeley.com/documents/?uuid=37e91211-531e-436c-8a4b-2f7abbfae317"]},{"id":"ITEM-3","itemData":{"DOI":"10.1098/rspb.2018.2448","ISSN":"14712954","abstract":"The central aim of conservation biology is to understand and mitigate the effects of human activities on biodiversity. To successfully achieve this objective, researchers must take an interdisciplinary approach that fully considers the effects, both direct and indirect, of anthropogenic disturbances on wildlife physiology and health. A recent surge in research has revealed that host-associated microbiota—the archaeal, bacterial, fungal and viral communities residing on and inside organisms—profoundly influence animal health, and that these microbial communities can be drastically altered by anthropogenic activities. Therefore, conservation practitioners should consider the disruption of host-associated microbial diversity as a serious threat to wildlife populations. Despite the tremendous potential for microbiome research to improve conservation outcomes, few efforts have been made to truly integrate these fields. In this review, we call for the microbial renaissance of conservation biology, where biodive...","author":[{"dropping-particle":"","family":"Trevelline","given":"Brian K.","non-dropping-particle":"","parse-names":false,"suffix":""},{"dropping-particle":"","family":"Fontaine","given":"Samantha S.","non-dropping-particle":"","parse-names":false,"suffix":""},{"dropping-particle":"","family":"Hartup","given":"Barry K.","non-dropping-particle":"","parse-names":false,"suffix":""},{"dropping-particle":"","family":"Kohl","given":"Kevin D.","non-dropping-particle":"","parse-names":false,"suffix":""}],"container-title":"Proceedings of the Royal Society B: Biological Sciences","id":"ITEM-3","issue":"1895","issued":{"date-parts":[["2019"]]},"title":"Conservation biology needs a microbial renaissance: A call for the consideration of host-associated microbiota in wildlife management practices","type":"article-journal","volume":"286"},"uris":["http://www.mendeley.com/documents/?uuid=ae23b33e-a3cb-4d70-baa3-6df573c517cd"]}],"mendeley":{"formattedCitation":"&lt;sup&gt;1–3&lt;/sup&gt;","plainTextFormattedCitation":"1–3","previouslyFormattedCitation":"(Lyte 2010, Grond &lt;i&gt;et al.&lt;/i&gt; 2018, Trevelline &lt;i&gt;et al.&lt;/i&gt; 2019)"},"properties":{"noteIndex":0},"schema":"https://github.com/citation-style-language/schema/raw/master/csl-citation.json"}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1–3</w:t>
      </w:r>
      <w:r w:rsidRPr="00D23BF1">
        <w:rPr>
          <w:rFonts w:ascii="Times" w:eastAsia="Helvetica Neue" w:hAnsi="Times" w:cs="Helvetica Neue"/>
        </w:rPr>
        <w:fldChar w:fldCharType="end"/>
      </w:r>
      <w:r w:rsidRPr="00D23BF1">
        <w:rPr>
          <w:rFonts w:ascii="Times" w:eastAsia="Helvetica Neue" w:hAnsi="Times" w:cs="Helvetica Neue"/>
        </w:rPr>
        <w:t xml:space="preserve">. This community can affect the host organism by contributing to host health, development and immunity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{"citationItems":[{"id":"ITEM-1","itemData":{"DOI":"10.1016/j.it.2017.06.003","ISSN":"14714981","abstract":"The mammalian gut is colonized by trillions of microorganisms collectively called the microbiome. It is increasingly clear that this microbiome has a critical role of in many aspects of health including metabolism and immunity. While environmental factors such as diet and medications have been shown to influence the microbiome composition, the role of host genetics has only recently emerged in human studies and animal models. In this review, we summarize the current state of microbiome research with an emphasis on the effect of host genetics on the gut microbiome composition. We focus particularly on genetic determinants of the host immune system that help shape the gut microbiome and discuss avenues for future research. A proportion of gut bacteria are heritable. The impact of host genetics on the gut microbiome in humans is being revealed through genome-wide association studies. The effect size of host genetics on the microbiome appears to be modest. Several associations are found between the microbiome and genes associated with diet, innate immunity, vitamin D receptors, and metabolism. A consistent genetic signal comes from pattern recognition receptor molecules, particularly C-type lectins.","author":[{"dropping-particle":"","family":"Kurilshikov","given":"Alexander","non-dropping-particle":"","parse-names":false,"suffix":""},{"dropping-particle":"","family":"Wijmenga","given":"Cisca","non-dropping-particle":"","parse-names":false,"suffix":""},{"dropping-particle":"","family":"Fu","given":"Jingyuan","non-dropping-particle":"","parse-names":false,"suffix":""},{"dropping-particle":"","family":"Zhernakova","given":"Alexandra","non-dropping-particle":"","parse-names":false,"suffix":""}],"container-title":"Trends in Immunology","id":"ITEM-1","issue":"9","issued":{"date-parts":[["2017"]]},"page":"633-647","publisher":"Elsevier Ltd","title":"Host Genetics and Gut Microbiome: Challenges and Perspectives","type":"article-journal","volume":"38"},"uris":["http://www.mendeley.com/documents/?uuid=95f49bf4-987e-4014-9501-3fed3b268224"]},{"id":"ITEM-2","itemData":{"DOI":"10.1016/j.coviro.2019.05.001","ISSN":"18796265","abstract":"The co-evolution of the microbiota and immune system has forged a mutually beneficial relationship. This relationship allows the host to maintain the balance between active immunity to pathogens and vaccines and tolerance to self-antigens and food antigens. In children living in low-income and middle-income countries, undernourishment and repetitive gastrointestinal infections are associated with the failure of oral vaccines. Intestinal dysbiosis associated with these environmental influences, as well as some host-related factors, compromises immune responses and negatively impacts vaccine efficacy. To understand how immune responses to viral vaccines can be optimally modulated, mechanistic studies of the relationship between the microbiome, host genetics, viral infections and the development and function of the immune system are needed. We discuss the potential role of the microbiome in modulating vaccine responses in the context of a growing understanding of the relationship between the gastrointestinal microbiota, host related factors (including histo-blood group antigens)and resident immune cell populations.","author":[{"dropping-particle":"","family":"Vlasova","given":"Anastasia N","non-dropping-particle":"","parse-names":false,"suffix":""},{"dropping-particle":"","family":"Takanashi","given":"Sayaka","non-dropping-particle":"","parse-names":false,"suffix":""},{"dropping-particle":"","family":"Miyazaki","given":"Ayako","non-dropping-particle":"","parse-names":false,"suffix":""},{"dropping-particle":"","family":"Rajashekara","given":"Gireesh","non-dropping-particle":"","parse-names":false,"suffix":""},{"dropping-particle":"","family":"Saif","given":"Linda J","non-dropping-particle":"","parse-names":false,"suffix":""}],"container-title":"Current Opinion in Virology","id":"ITEM-2","issued":{"date-parts":[["2019"]]},"page":"16-25","publisher":"Elsevier B.V.","title":"How the gut microbiome regulates host immune responses to viral vaccines","type":"article","volume":"37"},"uris":["http://www.mendeley.com/documents/?uuid=a5ee3754-fb53-4b9d-b10c-dca60b228991"]}],"mendeley":{"formattedCitation":"&lt;sup&gt;4,5&lt;/sup&gt;","plainTextFormattedCitation":"4,5","previouslyFormattedCitation":"(Kurilshikov &lt;i&gt;et al.&lt;/i&gt; 2017, Vlasova &lt;i&gt;et al.&lt;/i&gt; 2019)"},"properties":{"noteIndex":0},"schema":"https://github.com/citation-style-language/schema/raw/master/csl-citation.json"}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4,5</w:t>
      </w:r>
      <w:r w:rsidRPr="00D23BF1">
        <w:rPr>
          <w:rFonts w:ascii="Times" w:eastAsia="Helvetica Neue" w:hAnsi="Times" w:cs="Helvetica Neue"/>
        </w:rPr>
        <w:fldChar w:fldCharType="end"/>
      </w:r>
      <w:r w:rsidRPr="00D23BF1">
        <w:rPr>
          <w:rFonts w:ascii="Times" w:eastAsia="Helvetica Neue" w:hAnsi="Times" w:cs="Helvetica Neue"/>
        </w:rPr>
        <w:t xml:space="preserve">. Similarly, the host can influence this community; gut bacterial species composition, richness, and relative abundance can vary with host species, locality, diet, social stressors, and environmental stressors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{"citationItems":[{"id":"ITEM-1","itemData":{"DOI":"10.1016/j.bbi.2009.12.010","ISBN":"1090-2139 (Electronic)\\r0889-1591 (Linking)","ISSN":"08891591","PMID":"20045457","abstract":"Seasonal changes in day length (i.e., photoperiod) provide animals with a reliable environmental cue to determine time of year, and many physiological changes occur in laboratory animals simply by extending or shortening day length. Male Siberian hamsters (Phodopus sungorus) housed in long summer-like day lengths have significantly elevated body and fat masses compared to short-day hamsters. Because others have demonstrated that the intestinal microbiota of humans and rodents promotes host adiposity, we hypothesized that photoperiod-induced changes in body and fat masses could be associated with changes in the microbial composition in the intestines. We used bacterial tag-encoded FLX amplicon pyrosequencing (bTEFAP) to assess microbial diversity in the cecal contents of hamsters; long days significantly increased the relative abundance of bacteria in the phylum Proteobacteria. This effect was primarily due to a significant increase in the abundance of the genus Citrobacter, with both the abundance of Proteobacteria and Citrobacter spp. significantly correlated with body mass and with inguinal fat mass. In general, the abundance of the Firmicutes phylum was inversely associated with body mass. These data indicate that the intestinal microbiota are responsive to changes in photoperiod and suggest that these changes may in part influence photoperiodic changes in body and fat masses. © 2009 Elsevier Inc.","author":[{"dropping-particle":"","family":"Bailey","given":"Michael T.","non-dropping-particle":"","parse-names":false,"suffix":""},{"dropping-particle":"","family":"Walton","given":"James C.","non-dropping-particle":"","parse-names":false,"suffix":""},{"dropping-particle":"","family":"Dowd","given":"Scot E.","non-dropping-particle":"","parse-names":false,"suffix":""},{"dropping-particle":"","family":"Weil","given":"Zachary M.","non-dropping-particle":"","parse-names":false,"suffix":""},{"dropping-particle":"","family":"Nelson","given":"Randy J.","non-dropping-particle":"","parse-names":false,"suffix":""}],"container-title":"Brain, Behavior, and Immunity","id":"ITEM-1","issue":"4","issued":{"date-parts":[["2010"]]},"note":"Day length affects hampster GMB (evenness) and adiposity (phatnez) but not food intake","page":"577-584","publisher":"Elsevier Inc.","title":"Photoperiod modulates gut bacteria composition in male Siberian hamsters (Phodopus sungorus)","type":"article-journal","volume":"24"},"uris":["http://www.mendeley.com/documents/?uuid=247aeda7-7593-460c-ac44-aa3c842fa23f"]},{"id":"ITEM-2","itemData":{"DOI":"10.1016/j.bbi.2009.05.058","ISBN":"0889-1591","ISSN":"08891591","PMID":"19481599","abstract":"Evidence is accumulating to suggest that gut microbes (microbiota) may be involved in neural development and function, both peripherally in the enteric nervous system and centrally in the brain. There is an increasing and intense current interest in the role that gut bacteria play in maintaining the health of the host. Altogether the mass of intestinal bacteria represents a virtual inner organ with 100 times the total genetic material contained in all the cells in the human body. Surprisingly, the characterization of this extraordinarily diverse population is only just beginning, since some 60% of these microbes have never been cultured. Commensal organisms live in a state of harmonious symbiosis with each other and their host, however, a disordered balance amongst gut microbes is now thought to be an associated or even causal factor for chronic medical conditions as varied as obesity and inflammatory bowel diseases. While evidence is still limited in psychiatric illnesses, there are rapidly coalescing clusters of evidence which point to the possibility that variations in the composition of gut microbes may be associated with changes in the normal functioning of the nervous system. This review focuses on these data and suggests that the concept should be explored further to increase our understanding of mood disorders, and possibly even uncover missing links to a number of co-morbid medical diseases. ?? 2009 Elsevier Inc. All rights reserved.","author":[{"dropping-particle":"","family":"Forsythe","given":"Paul","non-dropping-particle":"","parse-names":false,"suffix":""},{"dropping-particle":"","family":"Sudo","given":"Nobuyuki","non-dropping-particle":"","parse-names":false,"suffix":""},{"dropping-particle":"","family":"Dinan","given":"Timothy","non-dropping-particle":"","parse-names":false,"suffix":""},{"dropping-particle":"","family":"Taylor","given":"Valerie H.","non-dropping-particle":"","parse-names":false,"suffix":""},{"dropping-particle":"","family":"Bienenstock","given":"John","non-dropping-particle":"","parse-names":false,"suffix":""}],"container-title":"Brain, Behavior, and Immunity","id":"ITEM-2","issue":"1","issued":{"date-parts":[["2010"]]},"page":"9-16","publisher":"Elsevier Inc.","title":"Mood and gut feelings","type":"article-journal","volume":"24"},"uris":["http://www.mendeley.com/documents/?uuid=c3882faa-bdc2-423d-ac24-388c5d79dc06"]},{"id":"ITEM-3","itemData":{"DOI":"10.1111/j.1365-2982.2010.01620.x","ISSN":"13501925","author":[{"dropping-particle":"","family":"Neufeld","given":"K. M.","non-dropping-particle":"","parse-names":false,"suffix":""},{"dropping-particle":"","family":"Kang","given":"N.","non-dropping-particle":"","parse-names":false,"suffix":""},{"dropping-particle":"","family":"Bienenstock","given":"J.","non-dropping-particle":"","parse-names":false,"suffix":""},{"dropping-particle":"","family":"Foster","given":"J. a.","non-dropping-particle":"","parse-names":false,"suffix":""}],"container-title":"Neurogastroenterology &amp; Motility","id":"ITEM-3","issue":"3","issued":{"date-parts":[["2011"]]},"page":"255-e119","title":"Reduced anxiety-like behavior and central neurochemical change in germ-free mice","type":"article-journal","volume":"23"},"uris":["http://www.mendeley.com/documents/?uuid=b4c66978-2421-4d10-a1d7-06f90a84a9f8"]}],"mendeley":{"formattedCitation":"&lt;sup&gt;6–8&lt;/sup&gt;","plainTextFormattedCitation":"6–8","previouslyFormattedCitation":"(Bailey &lt;i&gt;et al.&lt;/i&gt; 2010b, Forsythe &lt;i&gt;et al.&lt;/i&gt; 2010, Neufeld &lt;i&gt;et al.&lt;/i&gt; 2011)"},"properties":{"noteIndex":0},"schema":"https://github.com/citation-style-language/schema/raw/master/csl-citation.json"}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6–8</w:t>
      </w:r>
      <w:r w:rsidRPr="00D23BF1">
        <w:rPr>
          <w:rFonts w:ascii="Times" w:eastAsia="Helvetica Neue" w:hAnsi="Times" w:cs="Helvetica Neue"/>
        </w:rPr>
        <w:fldChar w:fldCharType="end"/>
      </w:r>
      <w:r w:rsidRPr="00D23BF1">
        <w:rPr>
          <w:rFonts w:ascii="Times" w:eastAsia="Helvetica Neue" w:hAnsi="Times" w:cs="Helvetica Neue"/>
        </w:rPr>
        <w:t xml:space="preserve">. Some of these environmental stressors have arisen due to human-induced rapid environmental change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{"citationItems":[{"id":"ITEM-1","itemData":{"DOI":"10.1016/j.anbehav.2013.02.017","ISSN":"00033472","author":[{"dropping-particle":"","family":"Sih","given":"Andrew","non-dropping-particle":"","parse-names":false,"suffix":""}],"container-title":"Animal Behaviour","id":"ITEM-1","issue":"5","issued":{"date-parts":[["2013"]]},"page":"1077-1088","publisher":"Elsevier Ltd","title":"Understanding variation in behavioural responses to human-induced rapid environmental change: a conceptual overview","type":"article-journal","volume":"85"},"uris":["http://www.mendeley.com/documents/?uuid=de90d9d7-482d-4f18-b95b-3d3eddf9c13a"]}],"mendeley":{"formattedCitation":"&lt;sup&gt;9&lt;/sup&gt;","plainTextFormattedCitation":"9","previouslyFormattedCitation":"(Sih 2013)"},"properties":{"noteIndex":0},"schema":"https://github.com/citation-style-language/schema/raw/master/csl-citation.json"}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9</w:t>
      </w:r>
      <w:r w:rsidRPr="00D23BF1">
        <w:rPr>
          <w:rFonts w:ascii="Times" w:eastAsia="Helvetica Neue" w:hAnsi="Times" w:cs="Helvetica Neue"/>
        </w:rPr>
        <w:fldChar w:fldCharType="end"/>
      </w:r>
      <w:r w:rsidRPr="00D23BF1">
        <w:rPr>
          <w:rFonts w:ascii="Times" w:eastAsia="Helvetica Neue" w:hAnsi="Times" w:cs="Helvetica Neue"/>
        </w:rPr>
        <w:t xml:space="preserve">. Ecologists are therefore asking new questions about how an urban environment shapes gut microbial communities, and how the numerous services gut fauna provide affect host success in an urban context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{"citationItems":[{"id":"ITEM-1","itemData":{"DOI":"10.1016/j.celrep.2018.05.018","ISSN":"22111247","PMID":"29874590","abstract":"We assessed the subsistence-related variation of the human gut microbiome at a fine resolution for two of the main dimensions of microbiome variation, age and geography. For this, we investigated the fecal microbiome and metabolome in rural Bassa and urbanized individuals from Nigeria, including infants, and compared data with worldwide populations practicing varying subsistence. Our data highlight specific microbiome traits that are progressively lost with urbanization, such as the dominance of pristine fiber degraders and the low inter-individual variation. For the Bassa, this last feature is the result of their subsistence-related practices favoring microbial dispersal, such as their extensive environmental contact and the usage of untreated waters from the Usuma River. The high degree of microbial dispersal observed in the Bassa meta-community nullifies the differences between infant and adult intestinal ecosystems, suggesting that the infant-type microbiome in Western populations could be the result of microbiome-associated neotenic traits favored by urbanization. Ayeni et al. characterize the fecal microbiome and metabolome of rural Bassa and urban individuals from Nigeria, including infants. Their findings stress the loss of ancient signatures along with urbanization and support distinct trajectories of development of the intestinal ecosystem in early life, depending on human subsistence.","author":[{"dropping-particle":"","family":"Ayeni","given":"Funmilola A.","non-dropping-particle":"","parse-names":false,"suffix":""},{"dropping-particle":"","family":"Biagi","given":"Elena","non-dropping-particle":"","parse-names":false,"suffix":""},{"dropping-particle":"","family":"Rampelli","given":"Simone","non-dropping-particle":"","parse-names":false,"suffix":""},{"dropping-particle":"","family":"Fiori","given":"Jessica","non-dropping-particle":"","parse-names":false,"suffix":""},{"dropping-particle":"","family":"Soverini","given":"Matteo","non-dropping-particle":"","parse-names":false,"suffix":""},{"dropping-particle":"","family":"Audu","given":"Haruna J.","non-dropping-particle":"","parse-names":false,"suffix":""},{"dropping-particle":"","family":"Cristino","given":"Sandra","non-dropping-particle":"","parse-names":false,"suffix":""},{"dropping-particle":"","family":"Caporali","given":"Leonardo","non-dropping-particle":"","parse-names":false,"suffix":""},{"dropping-particle":"","family":"Schnorr","given":"Stephanie L.","non-dropping-particle":"","parse-names":false,"suffix":""},{"dropping-particle":"","family":"Carelli","given":"Valerio","non-dropping-particle":"","parse-names":false,"suffix":""},{"dropping-particle":"","family":"Brigidi","given":"Patrizia","non-dropping-particle":"","parse-names":false,"suffix":""},{"dropping-particle":"","family":"Candela","given":"Marco","non-dropping-particle":"","parse-names":false,"suffix":""},{"dropping-particle":"","family":"Turroni","given":"Silvia","non-dropping-particle":"","parse-names":false,"suffix":""}],"container-title":"Cell Reports","id":"ITEM-1","issue":"10","issued":{"date-parts":[["2018"]]},"page":"3056-3067","publisher":"ElsevierCompany.","title":"Infant and Adult Gut Microbiome and Metabolome in Rural Bassa and Urban Settlers from Nigeria","type":"article-journal","volume":"23"},"uris":["http://www.mendeley.com/documents/?uuid=e4a668ad-2768-46e1-ab78-d21e4b40f19c"]},{"id":"ITEM-2","itemData":{"DOI":"10.1007/s00248-020-01569-8","ISSN":"1432184X","abstract":"Habitats are changing rapidly around the globe and urbanization is one of the primary drivers. Urbanization changes food availability, environmental stressors, and the prevalence of disease for many species. These changes can lead to divergence in phenotypic traits, including behavioral, physiological, and morphological features between urban and rural populations. Recent research highlights that urbanization is also changing the gut microbial communities found in a diverse group of host species. These changes have not been uniform, leaving uncertainty as to how urban habitats are shaping gut microbial communities. To better understand these effects, we investigated the gut bacterial communities of White-Crowned Sparrow (Zonotrichia leucophrys) populations along an urbanization gradient in the San Francisco Bay area. We examined how gut bacterial communities vary with the local environment and host morphological characteristics. We found direct effects of environmental factors, including urban noise levels and territory land cover, as well as indirect effects through body size and condition, on alpha and beta diversity of gut microbial communities. We also found that urban and rural birds’ microbiomes differed in which variables predicted their diversity, with urban communities driven by host morphology, and rural communities driven by environmental factors. Elucidating these effects provides a better understanding of how urbanization affects wild avian physiology.","author":[{"dropping-particle":"","family":"Berlow","given":"Mae","non-dropping-particle":"","parse-names":false,"suffix":""},{"dropping-particle":"","family":"Phillips","given":"Jennifer N.","non-dropping-particle":"","parse-names":false,"suffix":""},{"dropping-particle":"","family":"Derryberry","given":"Elizabeth P.","non-dropping-particle":"","parse-names":false,"suffix":""}],"container-title":"Microbial Ecology","id":"ITEM-2","issued":{"date-parts":[["2020"]]},"publisher":"Microbial Ecology","title":"Effects of Urbanization and Landscape on Gut Microbiomes in White-Crowned Sparrows","type":"article-journal"},"uris":["http://www.mendeley.com/documents/?uuid=c656f4b4-5239-4473-9592-ae645591f882"]},{"id":"ITEM-3","itemData":{"DOI":"10.1038/s41598-018-21892-y","author":[{"dropping-particle":"V","family":"Drovetski","given":"Sergei","non-dropping-particle":"","parse-names":false,"suffix":""},{"dropping-particle":"","family":"Mahoney","given":"Michael O","non-dropping-particle":"","parse-names":false,"suffix":""},{"dropping-particle":"","family":"Ransome","given":"Emma J","non-dropping-particle":"","parse-names":false,"suffix":""},{"dropping-particle":"","family":"Matterson","given":"Kenan O","non-dropping-particle":"","parse-names":false,"suffix":""},{"dropping-particle":"","family":"Lim","given":"Haw Chuan","non-dropping-particle":"","parse-names":false,"suffix":""},{"dropping-particle":"","family":"Chesser","given":"R Terry","non-dropping-particle":"","parse-names":false,"suffix":""},{"dropping-particle":"","family":"Graves","given":"Gary R","non-dropping-particle":"","parse-names":false,"suffix":""}],"id":"ITEM-3","issue":"September 2017","issued":{"date-parts":[["2018"]]},"page":"1-10","title":"Spatial Organization of the Gastrointestinal Microbiota in Urban Canada Geese","type":"article-journal"},"uris":["http://www.mendeley.com/documents/?uuid=7487531c-7c20-4db4-b1ad-eb8da7d7b786"]},{"id":"ITEM-4","itemData":{"DOI":"10.1016/j.cbpb.2019.110332","ISSN":"10964959","author":[{"dropping-particle":"","family":"Gadau","given":"Alice","non-dropping-particle":"","parse-names":false,"suffix":""},{"dropping-particle":"","family":"Crawford","given":"Meli'sa S.","non-dropping-particle":"","parse-names":false,"suffix":""},{"dropping-particle":"","family":"Mayek","given":"Roman","non-dropping-particle":"","parse-names":false,"suffix":""},{"dropping-particle":"","family":"Giraudeau","given":"Mathieu","non-dropping-particle":"","parse-names":false,"suffix":""},{"dropping-particle":"","family":"McGraw","given":"Kevin J.","non-dropping-particle":"","parse-names":false,"suffix":""},{"dropping-particle":"","family":"Whisner","given":"Corrie M.","non-dropping-particle":"","parse-names":false,"suffix":""},{"dropping-particle":"","family":"Kondrat-Smith","given":"Christina","non-dropping-particle":"","parse-names":false,"suffix":""},{"dropping-particle":"","family":"Sweazea","given":"Karen L.","non-dropping-particle":"","parse-names":false,"suffix":""}],"container-title":"Comparative Biochemistry and Physiology Part B: Biochemistry and Molecular Biology","id":"ITEM-4","issue":"August","issued":{"date-parts":[["2019"]]},"page":"110332","publisher":"Elsevier","title":"A comparison of the nutritional physiology and gut microbiome of urban and rural house sparrows (Passer domesticus)","type":"article-journal","volume":"237"},"uris":["http://www.mendeley.com/documents/?uuid=df89865e-0391-41e3-89dd-1cc0b6034625"]},{"id":"ITEM-5","itemData":{"DOI":"10.1111/mec.15240","ISSN":"1365294X","abstract":"Urbanisation is one of the most significant threats to biodiversity, due to the rapid and large-scale environmental alterations it imposes on the natural landscape. It is, therefore, imperative that we understand the consequences of and mechanisms by which, species can respond to it. In recent years, research has shown that plasticity of the gut microbiome may be an important mechanism by which animals can adapt to environmental change, yet empirical evidence of this in wild non-model species remains sparse. Using an empirical replicated study system, we show that city life alters the gut microbiome and stable isotope profiling of a wild native non-model species – the eastern water dragon (Intellagama lesueurii) in Queensland, Australia. City dragons exhibit a more diverse gut microbiome than their native habitat counterparts and show gut microbial signatures of a high fat and plant rich diet. Additionally, we also show that city dragons have elevated levels of the Nitrogen-15 isotope in their blood suggesting that a city diet, which incorporates novel anthropogenic food sources, may also be richer in protein. These results highlight the role that gut microbial plasticity plays in an animals' response to human-altered landscapes.","author":[{"dropping-particle":"","family":"Littleford-Colquhoun","given":"Bethan L.","non-dropping-particle":"","parse-names":false,"suffix":""},{"dropping-particle":"","family":"Weyrich","given":"Laura S.","non-dropping-particle":"","parse-names":false,"suffix":""},{"dropping-particle":"","family":"Kent","given":"Nicola","non-dropping-particle":"","parse-names":false,"suffix":""},{"dropping-particle":"","family":"Frere","given":"Celine H.","non-dropping-particle":"","parse-names":false,"suffix":""}],"container-title":"Molecular Ecology","id":"ITEM-5","issue":"20","issued":{"date-parts":[["2019"]]},"page":"4592-4607","title":"City life alters the gut microbiome and stable isotope profiling of the eastern water dragon (Intellagama lesueurii)","type":"article-journal","volume":"28"},"uris":["http://www.mendeley.com/documents/?uuid=a3f34b8b-b9b9-3c82-a021-64c6a6b70fa4"]},{"id":"ITEM-6","itemData":{"DOI":"10.3389/fevo.2018.00148","ISSN":"2296-701X","abstract":"Urban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males using spatial analyses of land cover (impervious, scrub, grass, and trees) at the regional level and territory level in urban San Francisco, CA and nearby rural Point Reyes, California. We hypothesized that urbanization of habitats affects gut microbial composition and diversity, potentially through direct effects on diet and/or indirect environmental effects. We measured gut microbial community diversity from 16s rRNA sequences amplified from cloacal swabs. We find that the urban and rural male gut microbiomes are significantly different, such that the urban gut microbiome is more diverse than the rural gut microbiome. This relationship may be due to more variable land cover types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Evolution","id":"ITEM-6","issued":{"date-parts":[["2018","9","24"]]},"title":"The Effects of Landscape Urbanization on the Gut Microbiome: An Exploration Into the Gut of Urban and Rural White-Crowned Sparrows","type":"article-journal","volume":"6"},"uris":["http://www.mendeley.com/documents/?uuid=5f91c1ce-dae3-30cf-ae5f-0fdb182fb176"]},{"id":"ITEM-7","itemData":{"DOI":"10.1016/j.scitotenv.2017.09.035","ISSN":"00489697","abstract":"Urbanisation represents one of the most radical forms of terrestrial land use change and has been shown to lead to alterations in ecosystem functioning and community dynamics and changes in individual phenotypic traits. While the recent surge in microbiome studies has brought about a paradigm shift by which individuals cannot truly be considered independently of the bacterial communities they host, the role of gut microbiota in organismal response to human-induced environmental change is still scarcely studied. Here, we applied a metabarcoding approach to examine the impact of urbanisation on the gut microbiota of Passer domesticus. We found urbanisation to be associated to lower microbiota species diversity, modifications in taxonomic composition and community structure, and changes in functional composition. The strength of these relationships, however, depended on the spatial scale and season at which they were considered. Such spatio-temporal effect suggests that urbanisation may dampen the natural seasonal variation of the gut microbiota observed in more pristine habitats, potentially influencing the fitness of urban organisms. Our results hence shed light on a hitherto little considered perspective, i.e. that the negative effects of urbanisation on city-dwelling organisms may extend to their microbiomes, causing potential dysbioses.","author":[{"dropping-particle":"","family":"Teyssier","given":"Aimeric","non-dropping-particle":"","parse-names":false,"suffix":""},{"dropping-particle":"","family":"Rouffaer","given":"Lieze Oscar","non-dropping-particle":"","parse-names":false,"suffix":""},{"dropping-particle":"","family":"Saleh Hudin","given":"Noraine","non-dropping-particle":"","parse-names":false,"suffix":""},{"dropping-particle":"","family":"Strubbe","given":"Diederik","non-dropping-particle":"","parse-names":false,"suffix":""},{"dropping-particle":"","family":"Matthysen","given":"Erik","non-dropping-particle":"","parse-names":false,"suffix":""},{"dropping-particle":"","family":"Lens","given":"Luc","non-dropping-particle":"","parse-names":false,"suffix":""},{"dropping-particle":"","family":"White","given":"Joël","non-dropping-particle":"","parse-names":false,"suffix":""}],"container-title":"Science of The Total Environment","id":"ITEM-7","issued":{"date-parts":[["2018"]]},"page":"1276-1286","publisher":"Elsevier B.V.","title":"Inside the guts of the city: Urban-induced alterations of the gut microbiota in a wild passerine","type":"article-journal","volume":"612"},"uris":["http://www.mendeley.com/documents/?uuid=0a16ed80-e088-46cb-8182-f6ebba9f38d7"]}],"mendeley":{"formattedCitation":"&lt;sup&gt;10–16&lt;/sup&gt;","plainTextFormattedCitation":"10–16","previouslyFormattedCitation":"(Ayeni &lt;i&gt;et al.&lt;/i&gt; 2018, Drovetski &lt;i&gt;et al.&lt;/i&gt; 2018, Phillips &lt;i&gt;et al.&lt;/i&gt; 2018, Teyssier &lt;i&gt;et al.&lt;/i&gt; 2018, Gadau &lt;i&gt;et al.&lt;/i&gt; 2019, Littleford-Colquhoun &lt;i&gt;et al.&lt;/i&gt; 2019, Berlow &lt;i&gt;et al.&lt;/i&gt; 2020)"},"properties":{"noteIndex":0},"schema":"https://github.com/citation-style-language/schema/raw/master/csl-citation.json"}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10–16</w:t>
      </w:r>
      <w:r w:rsidRPr="00D23BF1">
        <w:rPr>
          <w:rFonts w:ascii="Times" w:eastAsia="Helvetica Neue" w:hAnsi="Times" w:cs="Helvetica Neue"/>
        </w:rPr>
        <w:fldChar w:fldCharType="end"/>
      </w:r>
      <w:r w:rsidRPr="00D23BF1">
        <w:rPr>
          <w:rFonts w:ascii="Times" w:eastAsia="Helvetica Neue" w:hAnsi="Times" w:cs="Helvetica Neue"/>
        </w:rPr>
        <w:t xml:space="preserve">.  </w:t>
      </w:r>
    </w:p>
    <w:p w14:paraId="56F57A22" w14:textId="77777777" w:rsidR="00041ADB" w:rsidRPr="00D23BF1" w:rsidRDefault="00041ADB" w:rsidP="00F20BE1">
      <w:pPr>
        <w:jc w:val="both"/>
        <w:rPr>
          <w:rFonts w:ascii="Times" w:eastAsia="Helvetica Neue" w:hAnsi="Times" w:cs="Helvetica Neue"/>
        </w:rPr>
      </w:pPr>
    </w:p>
    <w:p w14:paraId="225B57F9"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 xml:space="preserve">Urbanization is one form of human-induced rapid environmental change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{"citationItems":[{"id":"ITEM-1","itemData":{"DOI":"10.1016/j.anbehav.2013.02.017","ISSN":"00033472","author":[{"dropping-particle":"","family":"Sih","given":"Andrew","non-dropping-particle":"","parse-names":false,"suffix":""}],"container-title":"Animal Behaviour","id":"ITEM-1","issue":"5","issued":{"date-parts":[["2013"]]},"page":"1077-1088","publisher":"Elsevier Ltd","title":"Understanding variation in behavioural responses to human-induced rapid environmental change: a conceptual overview","type":"article-journal","volume":"85"},"uris":["http://www.mendeley.com/documents/?uuid=de90d9d7-482d-4f18-b95b-3d3eddf9c13a"]}],"mendeley":{"formattedCitation":"&lt;sup&gt;9&lt;/sup&gt;","plainTextFormattedCitation":"9","previouslyFormattedCitation":"(Sih 2013)"},"properties":{"noteIndex":0},"schema":"https://github.com/citation-style-language/schema/raw/master/csl-citation.json"}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9</w:t>
      </w:r>
      <w:r w:rsidRPr="00D23BF1">
        <w:rPr>
          <w:rFonts w:ascii="Times" w:eastAsia="Helvetica Neue" w:hAnsi="Times" w:cs="Helvetica Neue"/>
        </w:rPr>
        <w:fldChar w:fldCharType="end"/>
      </w:r>
      <w:r w:rsidRPr="00D23BF1">
        <w:rPr>
          <w:rFonts w:ascii="Times" w:eastAsia="Helvetica Neue" w:hAnsi="Times" w:cs="Helvetica Neue"/>
        </w:rPr>
        <w:t xml:space="preserve">, and the physiology and behaviors of organisms that are able to persist in urban environments are often different from their non-urban congeners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{"citationItems":[{"id":"ITEM-1","itemData":{"DOI":"10.1111/j.1752-4571.2010.00166.x","ISSN":"17524563","abstract":"Almost all organisms live in environments that have been altered, to some degree, by human activities. Because behaviour mediates interactions between an individual and its environment, the ability of organisms to behave appropriately under these new conditions is crucial for determining their immediate success or failure in these modified environments. While hundreds of species are suffering dramatically from these environmental changes, others, such as urbanized and pest species, are doing better than ever. Our goal is to provide insights into explaining such variation. We first summarize the responses of some species to novel situations, including novel risks and resources, habitat loss/fragmentation, pollutants and climate change. Using a sensory ecology approach, we present a mechanistic framework for predicting variation in behavioural responses to environmental change, drawing from models of decision-making processes and an understanding of the selective background against which they evolved. Where immediate behavioural responses are inadequate, learning or evolutionary adaptation may prove useful, although these mechanisms are also constrained by evolutionary history. Although predicting the responses of species to environmental change is difficult, we highlight the need for a better understanding of the role of evolutionary history in shaping individuals' responses to their environment and provide suggestion for future work. © 2011 Blackwell Publishing Ltd.","author":[{"dropping-particle":"","family":"Sih","given":"Andrew","non-dropping-particle":"","parse-names":false,"suffix":""},{"dropping-particle":"","family":"Ferrari","given":"Maud C.O.","non-dropping-particle":"","parse-names":false,"suffix":""},{"dropping-particle":"","family":"Harris","given":"David J.","non-dropping-particle":"","parse-names":false,"suffix":""}],"container-title":"Evolutionary Applications","id":"ITEM-1","issue":"2","issued":{"date-parts":[["2011"]]},"page":"367-387","title":"Evolution and behavioural responses to human-induced rapid environmental change","type":"article-journal","volume":"4"},"uris":["http://www.mendeley.com/documents/?uuid=6ea0f2fd-e4f1-4841-8098-cca8e6004205"]},{"id":"ITEM-2","itemData":{"DOI":"10.1016/j.tree.2015.06.009","ISSN":"01695347","author":[{"dropping-particle":"","family":"Swaddle","given":"John P.","non-dropping-particle":"","parse-names":false,"suffix":""},{"dropping-particle":"","family":"Francis","given":"Clinton D.","non-dropping-particle":"","parse-names":false,"suffix":""},{"dropping-particle":"","family":"Barber","given":"Jesse R.","non-dropping-particle":"","parse-names":false,"suffix":""},{"dropping-particle":"","family":"Cooper","given":"Caren B.","non-dropping-particle":"","parse-names":false,"suffix":""},{"dropping-particle":"","family":"Kyba","given":"Christopher C.M.","non-dropping-particle":"","parse-names":false,"suffix":""},{"dropping-particle":"","family":"Dominoni","given":"Davide M.","non-dropping-particle":"","parse-names":false,"suffix":""},{"dropping-particle":"","family":"Shannon","given":"Graeme","non-dropping-particle":"","parse-names":false,"suffix":""},{"dropping-particle":"","family":"Aschehoug","given":"Erik","non-dropping-particle":"","parse-names":false,"suffix":""},{"dropping-particle":"","family":"Goodwin","given":"Sarah E.","non-dropping-particle":"","parse-names":false,"suffix":""},{"dropping-particle":"","family":"Kawahara","given":"Akito Y.","non-dropping-particle":"","parse-names":false,"suffix":""},{"dropping-particle":"","family":"Luther","given":"David","non-dropping-particle":"","parse-names":false,"suffix":""},{"dropping-particle":"","family":"Spoelstra","given":"Kamiel","non-dropping-particle":"","parse-names":false,"suffix":""},{"dropping-particle":"","family":"Voss","given":"Margaret","non-dropping-particle":"","parse-names":false,"suffix":""},{"dropping-particle":"","family":"Longcore","given":"Travis","non-dropping-particle":"","parse-names":false,"suffix":""}],"container-title":"Trends in Ecology &amp; Evolution","id":"ITEM-2","issue":"9","issued":{"date-parts":[["2015"]]},"page":"550-560","publisher":"Elsevier Ltd","title":"A framework to assess evolutionary responses to anthropogenic light and sound","type":"article-journal","volume":"30"},"uris":["http://www.mendeley.com/documents/?uuid=70c72674-b7f2-464e-bf76-bb51d85e72d3"]}],"mendeley":{"formattedCitation":"&lt;sup&gt;17,18&lt;/sup&gt;","plainTextFormattedCitation":"17,18","previouslyFormattedCitation":"(Sih &lt;i&gt;et al.&lt;/i&gt; 2011, Swaddle &lt;i&gt;et al.&lt;/i&gt; 2015)"},"properties":{"noteIndex":0},"schema":"https://github.com/citation-style-language/schema/raw/master/csl-citation.json"}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17,18</w:t>
      </w:r>
      <w:r w:rsidRPr="00D23BF1">
        <w:rPr>
          <w:rFonts w:ascii="Times" w:eastAsia="Helvetica Neue" w:hAnsi="Times" w:cs="Helvetica Neue"/>
        </w:rPr>
        <w:fldChar w:fldCharType="end"/>
      </w:r>
      <w:r w:rsidRPr="00D23BF1">
        <w:rPr>
          <w:rFonts w:ascii="Times" w:eastAsia="Helvetica Neue" w:hAnsi="Times" w:cs="Helvetica Neue"/>
        </w:rPr>
        <w:t xml:space="preserve">. Examining how species persist in these novel evolutionary environments can provide insight into the complex ways in which urbanization affects wildlife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{"citationItems":[{"id":"ITEM-1","itemData":{"DOI":"10.1016/j.tree.2015.06.009","ISSN":"01695347","author":[{"dropping-particle":"","family":"Swaddle","given":"John P.","non-dropping-particle":"","parse-names":false,"suffix":""},{"dropping-particle":"","family":"Francis","given":"Clinton D.","non-dropping-particle":"","parse-names":false,"suffix":""},{"dropping-particle":"","family":"Barber","given":"Jesse R.","non-dropping-particle":"","parse-names":false,"suffix":""},{"dropping-particle":"","family":"Cooper","given":"Caren B.","non-dropping-particle":"","parse-names":false,"suffix":""},{"dropping-particle":"","family":"Kyba","given":"Christopher C.M.","non-dropping-particle":"","parse-names":false,"suffix":""},{"dropping-particle":"","family":"Dominoni","given":"Davide M.","non-dropping-particle":"","parse-names":false,"suffix":""},{"dropping-particle":"","family":"Shannon","given":"Graeme","non-dropping-particle":"","parse-names":false,"suffix":""},{"dropping-particle":"","family":"Aschehoug","given":"Erik","non-dropping-particle":"","parse-names":false,"suffix":""},{"dropping-particle":"","family":"Goodwin","given":"Sarah E.","non-dropping-particle":"","parse-names":false,"suffix":""},{"dropping-particle":"","family":"Kawahara","given":"Akito Y.","non-dropping-particle":"","parse-names":false,"suffix":""},{"dropping-particle":"","family":"Luther","given":"David","non-dropping-particle":"","parse-names":false,"suffix":""},{"dropping-particle":"","family":"Spoelstra","given":"Kamiel","non-dropping-particle":"","parse-names":false,"suffix":""},{"dropping-particle":"","family":"Voss","given":"Margaret","non-dropping-particle":"","parse-names":false,"suffix":""},{"dropping-particle":"","family":"Longcore","given":"Travis","non-dropping-particle":"","parse-names":false,"suffix":""}],"container-title":"Trends in Ecology &amp; Evolution","id":"ITEM-1","issue":"9","issued":{"date-parts":[["2015"]]},"page":"550-560","publisher":"Elsevier Ltd","title":"A framework to assess evolutionary responses to anthropogenic light and sound","type":"article-journal","volume":"30"},"uris":["http://www.mendeley.com/documents/?uuid=70c72674-b7f2-464e-bf76-bb51d85e72d3"]}],"mendeley":{"formattedCitation":"&lt;sup&gt;18&lt;/sup&gt;","plainTextFormattedCitation":"18","previouslyFormattedCitation":"(Swaddle &lt;i&gt;et al.&lt;/i&gt; 2015)"},"properties":{"noteIndex":0},"schema":"https://github.com/citation-style-language/schema/raw/master/csl-citation.json"}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18</w:t>
      </w:r>
      <w:r w:rsidRPr="00D23BF1">
        <w:rPr>
          <w:rFonts w:ascii="Times" w:eastAsia="Helvetica Neue" w:hAnsi="Times" w:cs="Helvetica Neue"/>
        </w:rPr>
        <w:fldChar w:fldCharType="end"/>
      </w:r>
      <w:r w:rsidRPr="00D23BF1">
        <w:rPr>
          <w:rFonts w:ascii="Times" w:eastAsia="Helvetica Neue" w:hAnsi="Times" w:cs="Helvetica Neue"/>
        </w:rPr>
        <w:t xml:space="preserve">. Nutrition, development, and immunity—all of which are affected by the gut microbiome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{"citationItems":[{"id":"ITEM-1","itemData":{"DOI":"10.1016/j.it.2017.06.003","ISSN":"14714981","abstract":"The mammalian gut is colonized by trillions of microorganisms collectively called the microbiome. It is increasingly clear that this microbiome has a critical role of in many aspects of health including metabolism and immunity. While environmental factors such as diet and medications have been shown to influence the microbiome composition, the role of host genetics has only recently emerged in human studies and animal models. In this review, we summarize the current state of microbiome research with an emphasis on the effect of host genetics on the gut microbiome composition. We focus particularly on genetic determinants of the host immune system that help shape the gut microbiome and discuss avenues for future research. A proportion of gut bacteria are heritable. The impact of host genetics on the gut microbiome in humans is being revealed through genome-wide association studies. The effect size of host genetics on the microbiome appears to be modest. Several associations are found between the microbiome and genes associated with diet, innate immunity, vitamin D receptors, and metabolism. A consistent genetic signal comes from pattern recognition receptor molecules, particularly C-type lectins.","author":[{"dropping-particle":"","family":"Kurilshikov","given":"Alexander","non-dropping-particle":"","parse-names":false,"suffix":""},{"dropping-particle":"","family":"Wijmenga","given":"Cisca","non-dropping-particle":"","parse-names":false,"suffix":""},{"dropping-particle":"","family":"Fu","given":"Jingyuan","non-dropping-particle":"","parse-names":false,"suffix":""},{"dropping-particle":"","family":"Zhernakova","given":"Alexandra","non-dropping-particle":"","parse-names":false,"suffix":""}],"container-title":"Trends in Immunology","id":"ITEM-1","issue":"9","issued":{"date-parts":[["2017"]]},"page":"633-647","publisher":"Elsevier Ltd","title":"Host Genetics and Gut Microbiome: Challenges and Perspectives","type":"article-journal","volume":"38"},"uris":["http://www.mendeley.com/documents/?uuid=95f49bf4-987e-4014-9501-3fed3b268224"]},{"id":"ITEM-2","itemData":{"DOI":"10.1371/journal.ppat.1003726","ISBN":"1553-7374","ISSN":"15537366","PMID":"24244158","abstract":"Gut microbiota exerts a significant role in the pathogenesis of the metabolic syndrome, as confirmed by studies conducted both on humans and animal models. Gut microbial composition and functions are strongly influenced by diet. This complex intestinal \"superorganism\" seems to affect host metabolic balance modulating energy absorption, gut motility, appetite, glucose and lipid metabolism, as well as hepatic fatty storage. An impairment of the fine balance between gut microbes and host's immune system could culminate in the intestinal translocation of bacterial fragments and the development of \"metabolic endotoxemia\", leading to systemic inflammation and insulin resistance. Diet induced weight-loss and bariatric surgery promote significant changes of gut microbial composition, that seem to affect the success, or the inefficacy, of treatment strategies. Manipulation of gut microbiota through the administration of prebiotics or probiotics could reduce intestinal low grade inflammation and improve gut barrier integrity, thus, ameliorating metabolic balance and promoting weight loss. However, further evidence is needed to better understand their clinical impact and therapeutic use.","author":[{"dropping-particle":"","family":"Lyte","given":"Mark","non-dropping-particle":"","parse-names":false,"suffix":""}],"container-title":"PLoS Pathogens","id":"ITEM-2","issue":"11","issued":{"date-parts":[["2013"]]},"page":"9-11","title":"Microbial Endocrinology in the Microbiome-Gut-Brain Axis: How Bacterial Production and Utilization of Neurochemicals Influence Behavior","type":"article-journal","volume":"9"},"uris":["http://www.mendeley.com/documents/?uuid=c9711125-fddc-4111-b9e9-36fd9d476a15"]},{"id":"ITEM-3","itemData":{"DOI":"10.1016/j.coviro.2019.05.001","ISSN":"18796265","abstract":"The co-evolution of the microbiota and immune system has forged a mutually beneficial relationship. This relationship allows the host to maintain the balance between active immunity to pathogens and vaccines and tolerance to self-antigens and food antigens. In children living in low-income and middle-income countries, undernourishment and repetitive gastrointestinal infections are associated with the failure of oral vaccines. Intestinal dysbiosis associated with these environmental influences, as well as some host-related factors, compromises immune responses and negatively impacts vaccine efficacy. To understand how immune responses to viral vaccines can be optimally modulated, mechanistic studies of the relationship between the microbiome, host genetics, viral infections and the development and function of the immune system are needed. We discuss the potential role of the microbiome in modulating vaccine responses in the context of a growing understanding of the relationship between the gastrointestinal microbiota, host related factors (including histo-blood group antigens)and resident immune cell populations.","author":[{"dropping-particle":"","family":"Vlasova","given":"Anastasia N","non-dropping-particle":"","parse-names":false,"suffix":""},{"dropping-particle":"","family":"Takanashi","given":"Sayaka","non-dropping-particle":"","parse-names":false,"suffix":""},{"dropping-particle":"","family":"Miyazaki","given":"Ayako","non-dropping-particle":"","parse-names":false,"suffix":""},{"dropping-particle":"","family":"Rajashekara","given":"Gireesh","non-dropping-particle":"","parse-names":false,"suffix":""},{"dropping-particle":"","family":"Saif","given":"Linda J","non-dropping-particle":"","parse-names":false,"suffix":""}],"container-title":"Current Opinion in Virology","id":"ITEM-3","issued":{"date-parts":[["2019"]]},"page":"16-25","publisher":"Elsevier B.V.","title":"How the gut microbiome regulates host immune responses to viral vaccines","type":"article","volume":"37"},"uris":["http://www.mendeley.com/documents/?uuid=a5ee3754-fb53-4b9d-b10c-dca60b228991"]}],"mendeley":{"formattedCitation":"&lt;sup&gt;4,5,19&lt;/sup&gt;","plainTextFormattedCitation":"4,5,19","previouslyFormattedCitation":"(Lyte 2013, Kurilshikov &lt;i&gt;et al.&lt;/i&gt; 2017, Vlasova &lt;i&gt;et al.&lt;/i&gt; 2019)"},"properties":{"noteIndex":0},"schema":"https://github.com/citation-style-language/schema/raw/master/csl-citation.json"}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4,5,19</w:t>
      </w:r>
      <w:r w:rsidRPr="00D23BF1">
        <w:rPr>
          <w:rFonts w:ascii="Times" w:eastAsia="Helvetica Neue" w:hAnsi="Times" w:cs="Helvetica Neue"/>
        </w:rPr>
        <w:fldChar w:fldCharType="end"/>
      </w:r>
      <w:r w:rsidRPr="00D23BF1">
        <w:rPr>
          <w:rFonts w:ascii="Times" w:eastAsia="Helvetica Neue" w:hAnsi="Times" w:cs="Helvetica Neue"/>
        </w:rPr>
        <w:t xml:space="preserve">—are important factors that can determine survival in urban environments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{"citationItems":[{"id":"ITEM-1","itemData":{"DOI":"10.1007/s00442-016-3730-2","ISSN":"00298549","PMID":"27646717","abstract":"Urban habitats are described as having an overall negative influence on many fitness-related traits in several bird species, but a vital function such as immunity remains poorly studied. The immune response is strongly linked to individual condition, which partly depends on resource availability and the parasitic context that often differ between urban and natural habitats. A difference between the immunity of populations dwelling in urban areas and populations from more natural habitats can, therefore, be hypothesized. We conducted a 2-year experimental study on great tits (Parus major) in urban and forest areas. We stimulated the constitutive immunity of nestlings and assessed both the inflammatory response by measuring the plasma levels of haptoglobin, an inflammatory marker, and its activation cost through the loss of body mass. In addition, we checked the nestlings for ectoparasites and assessed haemosporidian prevalence in adults. Nestlings from urban sites produced relatively less haptoglobin and lost more body mass than those from forest sites, which suggests that the activation of constitutive immunity is more costly for birds living in urban sites than for those living in the forest. We detected no ectoparasite in birds in both habitats. However, urban adults showed lower haemosporidian prevalence than forest ones, suggesting a reduced exposure to these parasites and their vectors in towns. Overall, our study provides evidence for an immune difference between urban and forest populations. Because immunity is crucial for organism fitness, it is of prime interest to identify causes and processes at the origin of this difference.","author":[{"dropping-particle":"","family":"Bailly","given":"Juliette","non-dropping-particle":"","parse-names":false,"suffix":""},{"dropping-particle":"","family":"Scheifler","given":"Renaud","non-dropping-particle":"","parse-names":false,"suffix":""},{"dropping-particle":"","family":"Belvalette","given":"Marie","non-dropping-particle":"","parse-names":false,"suffix":""},{"dropping-particle":"","family":"Garnier","given":"Stéphane","non-dropping-particle":"","parse-names":false,"suffix":""},{"dropping-particle":"","family":"Boissier","given":"Elena","non-dropping-particle":"","parse-names":false,"suffix":""},{"dropping-particle":"","family":"Clément-Demange","given":"Valérie Anne","non-dropping-particle":"","parse-names":false,"suffix":""},{"dropping-particle":"","family":"Gète","given":"Maud","non-dropping-particle":"","parse-names":false,"suffix":""},{"dropping-particle":"","family":"Leblond","given":"Matthieu","non-dropping-particle":"","parse-names":false,"suffix":""},{"dropping-particle":"","family":"Pasteur","given":"Baptiste","non-dropping-particle":"","parse-names":false,"suffix":""},{"dropping-particle":"","family":"Piget","given":"Quentin","non-dropping-particle":"","parse-names":false,"suffix":""},{"dropping-particle":"","family":"Sage","given":"Mickaël","non-dropping-particle":"","parse-names":false,"suffix":""},{"dropping-particle":"","family":"Faivre","given":"Bruno","non-dropping-particle":"","parse-names":false,"suffix":""}],"container-title":"Oecologia","id":"ITEM-1","issue":"4","issued":{"date-parts":[["2016"]]},"page":"1053-1062","publisher":"Springer Berlin Heidelberg","title":"Negative impact of urban habitat on immunity in the great tit Parus major","type":"article-journal","volume":"182"},"uris":["http://www.mendeley.com/documents/?uuid=38ef5474-fd64-4caa-8235-4a560c06430e"]},{"id":"ITEM-2","itemData":{"DOI":"10.1641/0006-3568(2002)052[0883:UBAC]2.0.CO;2","ISBN":"0022-3042 (Print) 0022-3042 (Linking)","ISSN":"0006-3568","PMID":"2578183","abstract":"We have recently found that there is a proximo-distal delay in the recovery of neurotoxic esterase (NTE) following inhibition along the sciatic nerve of the hen. To determine whether this delay could be due to a requirement for the transport of newly synthesized NTE from the cell body, we investigated the transport of NTE by measuring the rate of accumulation of activity at either one or two ligations. Although rapid turnaround of accumulated protein confounds calculation of the transport rate, it appeared that NTE is transported down the hen sciatic nerve at a rate close to 300 mm/day. Acetylcholinesterase (AChE) was found to be transported at a rate of about 500 mm/day, which is close to the expected rate of fast axoplasmic transport in the chicken. The relatively rapid turnaround of NTE compared with the retrograde transport rate precluded the estimation of a retrograde transport rate. A model is presented that accounts for turnaround as a result of exchange between mobile and stationary transport pools. Exchange of NTE between pools may account for the rapid turnaround of NTE described in this paper and for the proximo-distal delay in recovery as a dilution of newly synthesized NTE in the anterograde fast transport pool by inhibited protein as it travels down the nerve.","author":[{"dropping-particle":"","family":"McKinney","given":"Michael L.","non-dropping-particle":"","parse-names":false,"suffix":""}],"container-title":"BioScience","id":"ITEM-2","issue":"10","issued":{"date-parts":[["2002"]]},"title":"Urbanization, Biodiversity, and Conservation","type":"article-journal","volume":"52"},"uris":["http://www.mendeley.com/documents/?uuid=1827b5e1-ad8e-4a41-af27-67b985537843"]}],"mendeley":{"formattedCitation":"&lt;sup&gt;20,21&lt;/sup&gt;","plainTextFormattedCitation":"20,21","previouslyFormattedCitation":"(McKinney 2002, Bailly &lt;i&gt;et al.&lt;/i&gt; 2016)"},"properties":{"noteIndex":0},"schema":"https://github.com/citation-style-language/schema/raw/master/csl-citation.json"}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20,21</w:t>
      </w:r>
      <w:r w:rsidRPr="00D23BF1">
        <w:rPr>
          <w:rFonts w:ascii="Times" w:eastAsia="Helvetica Neue" w:hAnsi="Times" w:cs="Helvetica Neue"/>
        </w:rPr>
        <w:fldChar w:fldCharType="end"/>
      </w:r>
      <w:r w:rsidRPr="00D23BF1">
        <w:rPr>
          <w:rFonts w:ascii="Times" w:eastAsia="Helvetica Neue" w:hAnsi="Times" w:cs="Helvetica Neue"/>
        </w:rPr>
        <w:t xml:space="preserve">. Thus, the potential for the gut microbiome to be a mediating factor in an animal’s ability to adapt to urbanization is an exciting potential avenue for urban ecological studies. In fact, a recent spate of papers on variation in gut fauna in urbanized habitats points to a </w:t>
      </w:r>
      <w:sdt>
        <w:sdtPr>
          <w:rPr>
            <w:rFonts w:ascii="Times" w:hAnsi="Times"/>
          </w:rPr>
          <w:tag w:val="goog_rdk_6"/>
          <w:id w:val="288552748"/>
        </w:sdtPr>
        <w:sdtEndPr/>
        <w:sdtContent>
          <w:r w:rsidRPr="00D23BF1">
            <w:rPr>
              <w:rFonts w:ascii="Times" w:eastAsia="Helvetica Neue" w:hAnsi="Times" w:cs="Helvetica Neue"/>
            </w:rPr>
            <w:t xml:space="preserve">growing </w:t>
          </w:r>
        </w:sdtContent>
      </w:sdt>
      <w:r w:rsidRPr="00D23BF1">
        <w:rPr>
          <w:rFonts w:ascii="Times" w:eastAsia="Helvetica Neue" w:hAnsi="Times" w:cs="Helvetica Neue"/>
        </w:rPr>
        <w:t>recognition of the need to investigate this</w:t>
      </w:r>
      <w:sdt>
        <w:sdtPr>
          <w:rPr>
            <w:rFonts w:ascii="Times" w:hAnsi="Times"/>
          </w:rPr>
          <w:tag w:val="goog_rdk_8"/>
          <w:id w:val="1134448144"/>
        </w:sdtPr>
        <w:sdtEndPr/>
        <w:sdtContent/>
      </w:sdt>
      <w:r w:rsidRPr="00D23BF1">
        <w:rPr>
          <w:rFonts w:ascii="Times" w:eastAsia="Helvetica Neue" w:hAnsi="Times" w:cs="Helvetica Neue"/>
        </w:rPr>
        <w:t xml:space="preserve"> aspect of urban ecology. A first step is to examine what is known about the bidirectional relationship between the gut microbiome and its host and how this bidirectional relationship may be influenced by urbanization.</w:t>
      </w:r>
    </w:p>
    <w:p w14:paraId="254ABB55" w14:textId="77777777" w:rsidR="00041ADB" w:rsidRPr="00D23BF1" w:rsidRDefault="00041ADB" w:rsidP="00F20BE1">
      <w:pPr>
        <w:jc w:val="both"/>
        <w:rPr>
          <w:rFonts w:ascii="Times" w:eastAsia="Helvetica Neue" w:hAnsi="Times" w:cs="Helvetica Neue"/>
        </w:rPr>
      </w:pPr>
    </w:p>
    <w:p w14:paraId="3F01777B" w14:textId="77777777" w:rsidR="00041ADB" w:rsidRPr="00D23BF1" w:rsidRDefault="00041ADB" w:rsidP="00F20BE1">
      <w:pPr>
        <w:pStyle w:val="Heading2"/>
        <w:rPr>
          <w:rFonts w:ascii="Times" w:hAnsi="Times"/>
        </w:rPr>
      </w:pPr>
      <w:bookmarkStart w:id="8" w:name="_Toc69393542"/>
      <w:bookmarkStart w:id="9" w:name="_Toc69396316"/>
      <w:bookmarkStart w:id="10" w:name="_Toc69396351"/>
      <w:bookmarkStart w:id="11" w:name="_Toc69396546"/>
      <w:bookmarkStart w:id="12" w:name="_Toc69972863"/>
      <w:r w:rsidRPr="00D23BF1">
        <w:rPr>
          <w:rFonts w:ascii="Times" w:hAnsi="Times"/>
        </w:rPr>
        <w:t>Background</w:t>
      </w:r>
      <w:bookmarkEnd w:id="8"/>
      <w:bookmarkEnd w:id="9"/>
      <w:bookmarkEnd w:id="10"/>
      <w:bookmarkEnd w:id="11"/>
      <w:bookmarkEnd w:id="12"/>
    </w:p>
    <w:p w14:paraId="36518E17" w14:textId="77777777" w:rsidR="00041ADB" w:rsidRPr="00D23BF1" w:rsidRDefault="00041ADB" w:rsidP="00F20BE1">
      <w:pPr>
        <w:rPr>
          <w:rFonts w:ascii="Times" w:hAnsi="Times"/>
        </w:rPr>
      </w:pPr>
    </w:p>
    <w:p w14:paraId="71C4CB1D" w14:textId="77777777" w:rsidR="00041ADB" w:rsidRPr="00D23BF1" w:rsidRDefault="00041ADB" w:rsidP="00F20BE1">
      <w:pPr>
        <w:rPr>
          <w:rFonts w:ascii="Times" w:hAnsi="Times"/>
          <w:b/>
          <w:bCs/>
        </w:rPr>
      </w:pPr>
      <w:bookmarkStart w:id="13" w:name="_Toc69393543"/>
      <w:bookmarkStart w:id="14" w:name="_Toc69396317"/>
      <w:bookmarkStart w:id="15" w:name="_Toc69396352"/>
      <w:r w:rsidRPr="00D23BF1">
        <w:rPr>
          <w:rFonts w:ascii="Times" w:hAnsi="Times"/>
          <w:b/>
          <w:bCs/>
        </w:rPr>
        <w:t>Gut microbiomes</w:t>
      </w:r>
      <w:bookmarkEnd w:id="13"/>
      <w:bookmarkEnd w:id="14"/>
      <w:bookmarkEnd w:id="15"/>
    </w:p>
    <w:p w14:paraId="25B111AC" w14:textId="77777777" w:rsidR="00041ADB" w:rsidRPr="00D23BF1" w:rsidRDefault="00041ADB" w:rsidP="00F20BE1">
      <w:pPr>
        <w:rPr>
          <w:rFonts w:ascii="Times" w:hAnsi="Times"/>
        </w:rPr>
      </w:pPr>
    </w:p>
    <w:p w14:paraId="14FFA9F6" w14:textId="77777777" w:rsidR="00041ADB" w:rsidRPr="00D23BF1" w:rsidRDefault="00041ADB" w:rsidP="00F20BE1">
      <w:pPr>
        <w:rPr>
          <w:rFonts w:ascii="Times" w:hAnsi="Times"/>
          <w:i/>
          <w:iCs/>
        </w:rPr>
      </w:pPr>
      <w:r w:rsidRPr="00D23BF1">
        <w:rPr>
          <w:rFonts w:ascii="Times" w:hAnsi="Times"/>
          <w:i/>
          <w:iCs/>
        </w:rPr>
        <w:t>Bidirectional relationship between host and gut microbiome</w:t>
      </w:r>
    </w:p>
    <w:p w14:paraId="2F27F7DE" w14:textId="77777777" w:rsidR="00041ADB" w:rsidRPr="00D23BF1" w:rsidRDefault="00041ADB" w:rsidP="00F20BE1">
      <w:pPr>
        <w:rPr>
          <w:rFonts w:ascii="Times" w:hAnsi="Times"/>
          <w:b/>
          <w:bCs/>
        </w:rPr>
      </w:pPr>
    </w:p>
    <w:p w14:paraId="2B5CCDA6"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 xml:space="preserve">In my dissertation I focus on bacteria, but </w:t>
      </w:r>
      <w:r w:rsidRPr="00D23BF1">
        <w:rPr>
          <w:rFonts w:ascii="Times" w:eastAsia="Helvetica Neue" w:hAnsi="Times" w:cs="Helvetica Neue"/>
          <w:iCs/>
        </w:rPr>
        <w:t>viruses, fungi and protists also play a critical role in gut microbial communities</w:t>
      </w:r>
      <w:r w:rsidRPr="00D23BF1">
        <w:rPr>
          <w:rFonts w:ascii="Times" w:eastAsia="Helvetica Neue" w:hAnsi="Times" w:cs="Helvetica Neue"/>
          <w:i/>
        </w:rPr>
        <w:t xml:space="preserve">. </w:t>
      </w:r>
      <w:r w:rsidRPr="00D23BF1">
        <w:rPr>
          <w:rFonts w:ascii="Times" w:eastAsia="Helvetica Neue" w:hAnsi="Times" w:cs="Helvetica Neue"/>
        </w:rPr>
        <w:t>Viruses in the gastro</w:t>
      </w:r>
      <w:r w:rsidRPr="00D23BF1">
        <w:rPr>
          <w:rFonts w:ascii="Times" w:eastAsia="Helvetica Neue" w:hAnsi="Times" w:cs="Helvetica Neue"/>
          <w:color w:val="000000"/>
        </w:rPr>
        <w:t>-</w:t>
      </w:r>
      <w:r w:rsidRPr="00D23BF1">
        <w:rPr>
          <w:rFonts w:ascii="Times" w:eastAsia="Helvetica Neue" w:hAnsi="Times" w:cs="Helvetica Neue"/>
        </w:rPr>
        <w:t xml:space="preserve">intestinal tract not only result in disease for the host and consequential changes in digestion and gut physiology, but they can also provide selective pressure on the bacterial community as bacteriophages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{"citationItems":[{"id":"ITEM-1","itemData":{"DOI":"10.1038/nrmicro.2017.30","ISSN":"17401534","PMID":"28461690","abstract":"The human gut is host to one of the densest microbial communities known, the gut microbiota, which contains bacteria, archaea, viruses, fungi and other microbial eukaryotes. Bacteriophages in the gut are largely unexplored, despite their potential to regulate bacterial communities and thus human health. In addition to helping us understand gut homeostasis, applying an ecological perspective to the study of bacterial and phage communities in the gut will help us to understand how this microbial system functions. For example, temporal studies of bacteria, phages and host immune cells in the gut during health and disease could provide key information about disease development and inform therapeutic treatments, whereas understanding the regulation of the replication cycles of phages could help harness the gut microbiota to improve disease outcomes. As the most abundant biological entities in our gut, we must consider bacteriophages in our pursuit of personalized medicine.","author":[{"dropping-particle":"","family":"Mirzaei","given":"Mohammadali Khan","non-dropping-particle":"","parse-names":false,"suffix":""},{"dropping-particle":"","family":"Maurice","given":"Corinne F.","non-dropping-particle":"","parse-names":false,"suffix":""}],"container-title":"Nature Reviews Microbiology","id":"ITEM-1","issue":"7","issued":{"date-parts":[["2017"]]},"page":"397-408","publisher":"Nature Publishing Group","title":"Ménage à trois in the human gut: Interactions between host, bacteria and phages","type":"article-journal","volume":"15"},"uris":["http://www.mendeley.com/documents/?uuid=32df645d-9d5c-48fe-8221-d3a5f2f7b6c2"]}],"mendeley":{"formattedCitation":"&lt;sup&gt;22&lt;/sup&gt;","plainTextFormattedCitation":"22","previouslyFormattedCitation":"(Mirzaei &amp; Maurice 2017)"},"properties":{"noteIndex":0},"schema":"https://github.com/citation-style-language/schema/raw/master/csl-citation.json"}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22</w:t>
      </w:r>
      <w:r w:rsidRPr="00D23BF1">
        <w:rPr>
          <w:rFonts w:ascii="Times" w:eastAsia="Helvetica Neue" w:hAnsi="Times" w:cs="Helvetica Neue"/>
        </w:rPr>
        <w:fldChar w:fldCharType="end"/>
      </w:r>
      <w:r w:rsidRPr="00D23BF1">
        <w:rPr>
          <w:rFonts w:ascii="Times" w:eastAsia="Helvetica Neue" w:hAnsi="Times" w:cs="Helvetica Neue"/>
        </w:rPr>
        <w:t>. Fungi are present at low levels in the gastrointestinal tract</w:t>
      </w:r>
      <w:sdt>
        <w:sdtPr>
          <w:rPr>
            <w:rFonts w:ascii="Times" w:hAnsi="Times"/>
          </w:rPr>
          <w:tag w:val="goog_rdk_20"/>
          <w:id w:val="-865982454"/>
          <w:showingPlcHdr/>
        </w:sdtPr>
        <w:sdtEndPr/>
        <w:sdtContent>
          <w:r w:rsidRPr="00D23BF1">
            <w:rPr>
              <w:rFonts w:ascii="Times" w:hAnsi="Times"/>
            </w:rPr>
            <w:t xml:space="preserve">     </w:t>
          </w:r>
        </w:sdtContent>
      </w:sdt>
      <w:r w:rsidRPr="00D23BF1">
        <w:rPr>
          <w:rFonts w:ascii="Times" w:eastAsia="Helvetica Neue" w:hAnsi="Times" w:cs="Helvetica Neue"/>
        </w:rPr>
        <w:t xml:space="preserve"> and may interact in significant ways with host physiology, such as inflammatory bowel diseases, and can act opportunistically in immunocompromised hosts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{"citationItems":[{"id":"ITEM-1","itemData":{"DOI":"10.1093/femsre/fuw047","ISSN":"15746976","PMID":"28430946","abstract":"The human body is home to a complex and diverse microbial ecosystem that plays a central role in host health. This includes a diversity of fungal species that is collectively referred to as our 'mycobiome'. Although research into the mycobiome is still in its infancy, its potential role in human disease is increasingly recognised. Here we review the existing literature available on the human mycobiota with an emphasis on the gut mycobiome, including how fungi interact with the human host and other microbes. In doing so, we provide a comprehensive critique of the methodologies available to research the human mycobiota as well as highlighting the latest research findings from mycological surveys of different groups of interest including infants, obese and inflammatory bowel disease cohorts. This in turn provides new insights and directions for future studies in this burgeoning research area.","author":[{"dropping-particle":"","family":"Huseyin","given":"Chloe E.","non-dropping-particle":"","parse-names":false,"suffix":""},{"dropping-particle":"","family":"O'Toole","given":"Paul W.","non-dropping-particle":"","parse-names":false,"suffix":""},{"dropping-particle":"","family":"Cotter","given":"Paul D.","non-dropping-particle":"","parse-names":false,"suffix":""},{"dropping-particle":"","family":"Scanlan","given":"Pauline D.","non-dropping-particle":"","parse-names":false,"suffix":""}],"container-title":"FEMS microbiology reviews","id":"ITEM-1","issue":"4","issued":{"date-parts":[["2017"]]},"page":"479-511","title":"Forgotten fungi-the gut mycobiome in human health and disease","type":"article-journal","volume":"41"},"uris":["http://www.mendeley.com/documents/?uuid=764908d7-6ed2-4cab-be3e-873f0d825b73"]}],"mendeley":{"formattedCitation":"&lt;sup&gt;23&lt;/sup&gt;","plainTextFormattedCitation":"23","previouslyFormattedCitation":"(Huseyin &lt;i&gt;et al.&lt;/i&gt; 2017)"},"properties":{"noteIndex":0},"schema":"https://github.com/citation-style-language/schema/raw/master/csl-citation.json"}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23</w:t>
      </w:r>
      <w:r w:rsidRPr="00D23BF1">
        <w:rPr>
          <w:rFonts w:ascii="Times" w:eastAsia="Helvetica Neue" w:hAnsi="Times" w:cs="Helvetica Neue"/>
        </w:rPr>
        <w:fldChar w:fldCharType="end"/>
      </w:r>
      <w:sdt>
        <w:sdtPr>
          <w:rPr>
            <w:rFonts w:ascii="Times" w:hAnsi="Times"/>
          </w:rPr>
          <w:tag w:val="goog_rdk_21"/>
          <w:id w:val="1653489072"/>
        </w:sdtPr>
        <w:sdtEndPr/>
        <w:sdtContent/>
      </w:sdt>
      <w:r w:rsidRPr="00D23BF1">
        <w:rPr>
          <w:rFonts w:ascii="Times" w:eastAsia="Helvetica Neue" w:hAnsi="Times" w:cs="Helvetica Neue"/>
        </w:rPr>
        <w:t>. Though these non-bacterial components of the gut microbiome play an important role in host health, and likely impact the bacterial community, my research focuses on bacteria because they are the most prevalent members of the gut microbiome and provide important biological services to their host animal. Because of this central role, as well as an overwhelming dominance of bacterial research compared to other members of the gut microbiome, the term “microbiome” is frequently used to describe only the bacterial community of the gut. In this document I have used the terms “bacterial community” and “microbiome” interchangeably, but do not wish to erase important non-bacterial components of the digestive system.</w:t>
      </w:r>
    </w:p>
    <w:p w14:paraId="224A3685" w14:textId="77777777" w:rsidR="00041ADB" w:rsidRPr="00D23BF1" w:rsidRDefault="00041ADB" w:rsidP="00F20BE1">
      <w:pPr>
        <w:jc w:val="both"/>
        <w:rPr>
          <w:rFonts w:ascii="Times" w:eastAsia="Helvetica Neue" w:hAnsi="Times" w:cs="Helvetica Neue"/>
        </w:rPr>
      </w:pPr>
    </w:p>
    <w:p w14:paraId="141A3E4C"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lastRenderedPageBreak/>
        <w:t xml:space="preserve">The composition of the gut microbiome has direct and indirect effects on host health and physiology. Bacteria in the digestive tract—especially the large intestine—help the host glean important nutrients from their diet that they are not able to get on their own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{"citationItems":[{"id":"ITEM-1","itemData":{"author":[{"dropping-particle":"","family":"Barnes","given":"Ella M","non-dropping-particle":"","parse-names":false,"suffix":""},{"dropping-particle":"","family":"Mead","given":"G C","non-dropping-particle":"","parse-names":false,"suffix":""}],"container-title":"The American Journal of Clinical Nutrition","id":"ITEM-1","issued":{"date-parts":[["1972"]]},"page":"1475-1479","title":"The avian intestinal flora with particular reference to the possible ecological significance of the cecal anaerobic bacteria","type":"article-journal","volume":"25"},"uris":["http://www.mendeley.com/documents/?uuid=9e564b03-c882-444c-a8ce-f63d4b34ab00"]},{"id":"ITEM-2","itemData":{"DOI":"10.1146/annurev.es.02.110171.001121","ISSN":"00664162","abstract":"Discusses the significance of intestinal microflora in herbivory. Formation of an organ by the expansion of the alimentary tract parts of herbivores; Utilization of the vitamins and proteins synthesized in the formed organ by the animals; Absorption of microbial fermentation products from the formed organ.","author":[{"dropping-particle":"","family":"McBee","given":"Richard H.","non-dropping-particle":"","parse-names":false,"suffix":""}],"container-title":"Annual Review of Ecology &amp; Systematics","id":"ITEM-2","issue":"Grasse 28","issued":{"date-parts":[["1971"]]},"page":"165-176","title":"Significance of intestinal microflora in herbivory","type":"article-journal"},"uris":["http://www.mendeley.com/documents/?uuid=96922df6-adb2-4749-98c7-7337b623c001"]}],"mendeley":{"formattedCitation":"&lt;sup&gt;24,25&lt;/sup&gt;","plainTextFormattedCitation":"24,25","previouslyFormattedCitation":"(McBee 1971, Barnes &amp; Mead 1972)"},"properties":{"noteIndex":0},"schema":"https://github.com/citation-style-language/schema/raw/master/csl-citation.json"}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24,25</w:t>
      </w:r>
      <w:r w:rsidRPr="00D23BF1">
        <w:rPr>
          <w:rFonts w:ascii="Times" w:eastAsia="Helvetica Neue" w:hAnsi="Times" w:cs="Helvetica Neue"/>
        </w:rPr>
        <w:fldChar w:fldCharType="end"/>
      </w:r>
      <w:r w:rsidRPr="00D23BF1">
        <w:rPr>
          <w:rFonts w:ascii="Times" w:eastAsia="Helvetica Neue" w:hAnsi="Times" w:cs="Helvetica Neue"/>
        </w:rPr>
        <w:t xml:space="preserve">, breaking down large unusable molecules into useful products like short-chain fatty acids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{"citationItems":[{"id":"ITEM-1","itemData":{"DOI":"10.1152/physrev.1990.70.2.567","ISSN":"00319333","PMID":"2181501","abstract":"The VFA, also known as short-chain fatty acids, are produced in the gastrointestinal tract by microbial fermentation of carbohydrates and endogenous substrates, such as mucus. This can be of great advantage to the animal, since no digestive enzymes exist for reaking down cellulose or other complex cerbohydrates. The VFA are produced in the largest amounts in herbivorous animal species and especially in the forestomach of ruminants. The VFA, however, also are produced in the lower digestive tract of humans and all animal species, and intestinal fermentation resembles that occuring in the rumen. The principal VFA in either the rumen or large intestine are acetate, propionate, and butyrate and are produced in a ratio varying from ~75:15:10 to 40:40:20. Absorption of VFA at their site of production os rapid, and large quantutues are metabolized by the ruminal or large intestinal epithelium before reaching the portal blood. Most of the butyrate is converted to ketone bodies or CO2 by the epithelial cells, and nearly all of the remainder is rmoved by the liver. Propionate is similarly removed by the liver but is largely converted to glucose. Although species differences excist, acetate is used principally by peripheral tissues, especially fat and muscle. Considerable energy is obtained from VFA inherbivorous species, and far more research has been conducted on ruminants than on other species. Significant VFA, however, are now known to be produced in omnivorous species, such as pigs and humans. Current estimates are that VFA contribute ~70% to the caloric requirements of ruminants, such as sheep and cattle, ~10% for humans, and ~20-30% for several other omnivorous or herbivorous animals. The amount of fiber in the diet undoubtedly affects the amount of VFA produced, and thus the contribution of VFA to theenergy needs of the body could become considerably greater as the dietary fiber increases. Pigs and some species of monkey most closely resemble humans, anmd current research should be directed toward examining the fermentation processes and VFA metabolism in those species. In addition to the energetic or nutritional contributions of VFA to the body, the VFA may indirectlu influence cholesterol synthesis and even help regulate insulin or glucagon secretion. In addition, VFA production and absorption have a very significant effect on epithelial cell growth, blood flow, and the normal secretory and absorptive functions of the large intestine, cecum, and rumen. T…","author":[{"dropping-particle":"","family":"Bergman","given":"E. N.","non-dropping-particle":"","parse-names":false,"suffix":""}],"container-title":"Physiological Reviews","id":"ITEM-1","issue":"2","issued":{"date-parts":[["1990"]]},"page":"567-590","title":"Energy contributions of volatile fatty acids from the gastrointestinal tract in various species","type":"article-journal","volume":"70"},"uris":["http://www.mendeley.com/documents/?uuid=46d4d0b4-8a24-40db-b301-fde11f3c5371"]}],"mendeley":{"formattedCitation":"&lt;sup&gt;26&lt;/sup&gt;","plainTextFormattedCitation":"26","previouslyFormattedCitation":"(Bergman 1990)"},"properties":{"noteIndex":0},"schema":"https://github.com/citation-style-language/schema/raw/master/csl-citation.json"}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26</w:t>
      </w:r>
      <w:r w:rsidRPr="00D23BF1">
        <w:rPr>
          <w:rFonts w:ascii="Times" w:eastAsia="Helvetica Neue" w:hAnsi="Times" w:cs="Helvetica Neue"/>
        </w:rPr>
        <w:fldChar w:fldCharType="end"/>
      </w:r>
      <w:r w:rsidRPr="00D23BF1">
        <w:rPr>
          <w:rFonts w:ascii="Times" w:eastAsia="Helvetica Neue" w:hAnsi="Times" w:cs="Helvetica Neue"/>
        </w:rPr>
        <w:t xml:space="preserve">. Bacteria can also help animals exploit otherwise inedible food sources by degrading and neutralizing toxic plant secondary compounds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{"citationItems":[{"id":"ITEM-1","itemData":{"DOI":"10.1111/ele.12329","ISBN":"1461-023X","ISSN":"14610248","PMID":"25040855","abstract":"The foraging ecology of mammalian herbivores is strongly shaped by plant secondary compounds (PSCs) that defend plants against herbivory. Conventional wisdom holds that gut microbes facili-tate the ingestion of toxic plants; however, this notion lacks empirical evidence. We investigated the gut microbiota of desert woodrats (Neotoma lepida), some populations of which specialise on highly toxic creosote bush (Larrea tridentata). Here, we demonstrate that gut microbes are crucial in allowing herbivores to consume toxic plants. Creosote toxins altered the population structure of the gut microbiome to facilitate an increase in abundance of genes that metabolise toxic com-pounds. In addition, woodrats were unable to consume creosote toxins after the microbiota was disrupted with antibiotics. Last, ingestion of toxins by na€ ıve hosts was increased through micro-bial transplants from experienced donors. These results demonstrate that microbes can enhance the ability of hosts to consume PSCs and therefore expand the dietary niche breadth of mamma-lian herbivores.","author":[{"dropping-particle":"","family":"Kohl","given":"Kevin D.","non-dropping-particle":"","parse-names":false,"suffix":""},{"dropping-particle":"","family":"Weiss","given":"Robert B.","non-dropping-particle":"","parse-names":false,"suffix":""},{"dropping-particle":"","family":"Cox","given":"James","non-dropping-particle":"","parse-names":false,"suffix":""},{"dropping-particle":"","family":"Dale","given":"Colin","non-dropping-particle":"","parse-names":false,"suffix":""},{"dropping-particle":"","family":"Dearing","given":"M. Denise","non-dropping-particle":"","parse-names":false,"suffix":""}],"container-title":"Ecology Letters","id":"ITEM-1","issue":"10","issued":{"date-parts":[["2014"]]},"page":"1238-1246","title":"Gut microbes of mammalian herbivores facilitate intake of plant toxins","type":"article-journal","volume":"17"},"uris":["http://www.mendeley.com/documents/?uuid=8ed2fd3e-e088-49bf-a8c3-d1c80a50617d"]},{"id":"ITEM-2","itemData":{"DOI":"10.1007/s00114-009-0639-1","ISSN":"00281042","PMID":"20033122","abstract":"Reindeer (Rangifer tarandus) eat and utilize lichens as an important source of energy and nutrients in winter. Lichens synthesize and accumulate a wide variety of phenolic secondary compounds, such as usnic acid, as a defense against herbivores and to protect against damage by UV-light in solar radiation. We have examined where and to what extent these phenolic compounds are degraded in the digestive tract of the reindeer, with particular focus on usnic acid. Three male reindeer were given ad libitum access to a control diet containing no usnic acid for three weeks and then fed lichens ad libitum (primarily Cladonia stellaris) containing 9.1 mg/g DM usnic acid for 4 weeks. Usnic acid intake in reindeer on the lichen diet was 91-117 mg/kg BM/day. In spite of this, no trace of usnic acid or conjugates of usnic acid was found either in fresh rumen fluid, urine, or feces. This suggests that usnic acid is rapidly degraded by rumen microbes, and that it consequently is not absorbed by the animal. This apparent ability to detoxify lichen phenolic compounds may gain increased importance with future enhanced UV-B radiation expected to cause increased protective usnic acid/phenol production in lichens. © 2009 Springer-Verlag.","author":[{"dropping-particle":"","family":"Sundset","given":"Monica A.","non-dropping-particle":"","parse-names":false,"suffix":""},{"dropping-particle":"","family":"Barboza","given":"Perry S.","non-dropping-particle":"","parse-names":false,"suffix":""},{"dropping-particle":"","family":"Green","given":"Thomas K.","non-dropping-particle":"","parse-names":false,"suffix":""},{"dropping-particle":"","family":"Folkow","given":"Lars P.","non-dropping-particle":"","parse-names":false,"suffix":""},{"dropping-particle":"","family":"Blix","given":"Arnoldus Schytte","non-dropping-particle":"","parse-names":false,"suffix":""},{"dropping-particle":"","family":"Mathiesen","given":"Svein D.","non-dropping-particle":"","parse-names":false,"suffix":""}],"container-title":"Naturwissenschaften","id":"ITEM-2","issue":"3","issued":{"date-parts":[["2010"]]},"page":"273-278","title":"Microbial degradation of usnic acid in the reindeer rumen","type":"article-journal","volume":"97"},"uris":["http://www.mendeley.com/documents/?uuid=8a1e3d4e-91ee-4995-9ee0-cfd924d5d444"]}],"mendeley":{"formattedCitation":"&lt;sup&gt;27,28&lt;/sup&gt;","plainTextFormattedCitation":"27,28","previouslyFormattedCitation":"(Sundset &lt;i&gt;et al.&lt;/i&gt; 2010, Kohl &lt;i&gt;et al.&lt;/i&gt; 2014b)"},"properties":{"noteIndex":0},"schema":"https://github.com/citation-style-language/schema/raw/master/csl-citation.json"}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27,28</w:t>
      </w:r>
      <w:r w:rsidRPr="00D23BF1">
        <w:rPr>
          <w:rFonts w:ascii="Times" w:eastAsia="Helvetica Neue" w:hAnsi="Times" w:cs="Helvetica Neue"/>
        </w:rPr>
        <w:fldChar w:fldCharType="end"/>
      </w:r>
      <w:r w:rsidRPr="00D23BF1">
        <w:rPr>
          <w:rFonts w:ascii="Times" w:eastAsia="Helvetica Neue" w:hAnsi="Times" w:cs="Helvetica Neue"/>
        </w:rPr>
        <w:t xml:space="preserve"> and breaking down some energy sources like amino acids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{"citationItems":[{"id":"ITEM-1","itemData":{"DOI":"10.3390/nu7042930","ISSN":"20726643","PMID":"25894657","abstract":"Disruptions in gut microbiota composition and function are increasingly implicated in the pathogenesis of obesity, insulin resistance, and type 2 diabetes mellitus. The functional output of the gut microbiota, including short-chain fatty acids and amino acids, are thought to be important modulators underlying the development of these disorders. Gut bacteria can alter the bioavailability of amino acids by utilization of several amino acids originating from both alimentary and endogenous proteins. In turn, gut bacteria also provide amino acids to the host. This could have significant implications in the context of insulin resistance and type 2 diabetes mellitus, conditions associated with elevated systemic concentrations of certain amino acids, in particular the aromatic and branched-chain amino acids. Moreover, several amino acids released by gut bacteria can serve as precursors for the synthesis of short-chain fatty acids, which also play a role in the development of obesity. In this review, we aim to compile the available evidence on the contribution of microbial amino acids to host amino acid homeostasis, and to assess the role of the gut microbiota as a determinant of amino acid and short-chain fatty acid perturbations in human obesity and type 2 diabetes mellitus.","author":[{"dropping-particle":"","family":"Neis","given":"Evelien P.J.G.","non-dropping-particle":"","parse-names":false,"suffix":""},{"dropping-particle":"","family":"Dejong","given":"Cornelis H.C.","non-dropping-particle":"","parse-names":false,"suffix":""},{"dropping-particle":"","family":"Rensen","given":"Sander S.","non-dropping-particle":"","parse-names":false,"suffix":""}],"container-title":"Nutrients","id":"ITEM-1","issue":"4","issued":{"date-parts":[["2015"]]},"page":"2930-2946","title":"The role of microbial amino acid metabolism in host metabolism","type":"article-journal","volume":"7"},"uris":["http://www.mendeley.com/documents/?uuid=8255df55-79ed-4669-b71d-2d6c20c7c0e2"]}],"mendeley":{"formattedCitation":"&lt;sup&gt;29&lt;/sup&gt;","plainTextFormattedCitation":"29","previouslyFormattedCitation":"(Neis &lt;i&gt;et al.&lt;/i&gt; 2015)"},"properties":{"noteIndex":0},"schema":"https://github.com/citation-style-language/schema/raw/master/csl-citation.json"}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29</w:t>
      </w:r>
      <w:r w:rsidRPr="00D23BF1">
        <w:rPr>
          <w:rFonts w:ascii="Times" w:eastAsia="Helvetica Neue" w:hAnsi="Times" w:cs="Helvetica Neue"/>
        </w:rPr>
        <w:fldChar w:fldCharType="end"/>
      </w:r>
      <w:r w:rsidRPr="00D23BF1">
        <w:rPr>
          <w:rFonts w:ascii="Times" w:eastAsia="Helvetica Neue" w:hAnsi="Times" w:cs="Helvetica Neue"/>
        </w:rPr>
        <w:t xml:space="preserve"> as well as detoxify compounds in hosts’ diet that would otherwise harm them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{"citationItems":[{"id":"ITEM-1","itemData":{"DOI":"10.1111/ele.12329","ISBN":"1461-023X","ISSN":"14610248","PMID":"25040855","abstract":"The foraging ecology of mammalian herbivores is strongly shaped by plant secondary compounds (PSCs) that defend plants against herbivory. Conventional wisdom holds that gut microbes facili-tate the ingestion of toxic plants; however, this notion lacks empirical evidence. We investigated the gut microbiota of desert woodrats (Neotoma lepida), some populations of which specialise on highly toxic creosote bush (Larrea tridentata). Here, we demonstrate that gut microbes are crucial in allowing herbivores to consume toxic plants. Creosote toxins altered the population structure of the gut microbiome to facilitate an increase in abundance of genes that metabolise toxic com-pounds. In addition, woodrats were unable to consume creosote toxins after the microbiota was disrupted with antibiotics. Last, ingestion of toxins by na€ ıve hosts was increased through micro-bial transplants from experienced donors. These results demonstrate that microbes can enhance the ability of hosts to consume PSCs and therefore expand the dietary niche breadth of mamma-lian herbivores.","author":[{"dropping-particle":"","family":"Kohl","given":"Kevin D.","non-dropping-particle":"","parse-names":false,"suffix":""},{"dropping-particle":"","family":"Weiss","given":"Robert B.","non-dropping-particle":"","parse-names":false,"suffix":""},{"dropping-particle":"","family":"Cox","given":"James","non-dropping-particle":"","parse-names":false,"suffix":""},{"dropping-particle":"","family":"Dale","given":"Colin","non-dropping-particle":"","parse-names":false,"suffix":""},{"dropping-particle":"","family":"Dearing","given":"M. Denise","non-dropping-particle":"","parse-names":false,"suffix":""}],"container-title":"Ecology Letters","id":"ITEM-1","issue":"10","issued":{"date-parts":[["2014"]]},"page":"1238-1246","title":"Gut microbes of mammalian herbivores facilitate intake of plant toxins","type":"article-journal","volume":"17"},"uris":["http://www.mendeley.com/documents/?uuid=8ed2fd3e-e088-49bf-a8c3-d1c80a50617d"]}],"mendeley":{"formattedCitation":"&lt;sup&gt;27&lt;/sup&gt;","plainTextFormattedCitation":"27","previouslyFormattedCitation":"(Kohl &lt;i&gt;et al.&lt;/i&gt; 2014b)"},"properties":{"noteIndex":0},"schema":"https://github.com/citation-style-language/schema/raw/master/csl-citation.json"}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27</w:t>
      </w:r>
      <w:r w:rsidRPr="00D23BF1">
        <w:rPr>
          <w:rFonts w:ascii="Times" w:eastAsia="Helvetica Neue" w:hAnsi="Times" w:cs="Helvetica Neue"/>
        </w:rPr>
        <w:fldChar w:fldCharType="end"/>
      </w:r>
      <w:r w:rsidRPr="00D23BF1">
        <w:rPr>
          <w:rFonts w:ascii="Times" w:eastAsia="Helvetica Neue" w:hAnsi="Times" w:cs="Helvetica Neue"/>
        </w:rPr>
        <w:t xml:space="preserve">. Besides aiding in digestion, gut bacteria play an important role in host immune function, including protecting the host from harmful infections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{"citationItems":[{"id":"ITEM-1","itemData":{"DOI":"10.1128/IAI.00862-09","ISBN":"1098-5522 (Electronic)\\r0019-9567 (Linking)","ISSN":"00199567","PMID":"20145094","abstract":"The gastrointestinal tract is colonized by an enormous array of microbes that are known to have many beneficial effects on the host. Previous studies have indicated that stressor exposure can disrupt the stability of the intestinal microbiota, but the extent of these changes, as well as the effects on enteric infection, has not been well characterized. In order to examine the ability of stressors to induce changes in the gut microbiota, we exposed mice to a prolonged restraint stressor and then characterized microbial populations in the intestines using both traditional culture techniques and bacterial tag-encoded FLX amplicon pyrosequencing (bTEFAP). Exposure to the stressor led to an overgrowth of facultatively anaerobic microbiota while at the same time significantly reducing microbial richness and diversity in the ceca of stressed mice. Some of these effects could be explained by a stressor-induced reduction in the relative abundance of bacteria in the family Porphyromonadaceae. To determine whether these alterations would lead to increased pathogen colonization, stressed mice, as well as nonstressed controls, were challenged orally with the enteric murine pathogen Citrobacter rodentium. Exposure to the restraint stressor led to a significant increase in C. rodentium colonization over that in nonstressed control mice. The increased colonization was associated with increased tumor necrosis factor alpha (TNF-alpha) gene expression in colonic tissue. Together, these data demonstrate that a prolonged stressor can significantly change the composition of the intestinal microbiota and suggest that this disruption of the microbiota increases susceptibility to an enteric pathogen.","author":[{"dropping-particle":"","family":"Bailey","given":"Michael T.","non-dropping-particle":"","parse-names":false,"suffix":""},{"dropping-particle":"","family":"Dowd","given":"Scot E.","non-dropping-particle":"","parse-names":false,"suffix":""},{"dropping-particle":"","family":"Parry","given":"Nicola M A","non-dropping-particle":"","parse-names":false,"suffix":""},{"dropping-particle":"","family":"Galley","given":"Jeffrey D.","non-dropping-particle":"","parse-names":false,"suffix":""},{"dropping-particle":"","family":"Schauer","given":"David B.","non-dropping-particle":"","parse-names":false,"suffix":""},{"dropping-particle":"","family":"Lyte","given":"Mark","non-dropping-particle":"","parse-names":false,"suffix":""}],"container-title":"Infection and Immunity","id":"ITEM-1","issue":"4","issued":{"date-parts":[["2010"]]},"page":"1509-1519","title":"Stressor exposure disrupts commensal microbial populations in the intestines and leads to increased colonization by Citrobacter rodentium","type":"article-journal","volume":"78"},"uris":["http://www.mendeley.com/documents/?uuid=83ac4f7c-a066-463c-86d3-3de7ea17c44f"]},{"id":"ITEM-2","itemData":{"DOI":"10.1371/journal.ppat.1003726","ISBN":"1553-7374","ISSN":"15537366","PMID":"24244158","abstract":"Gut microbiota exerts a significant role in the pathogenesis of the metabolic syndrome, as confirmed by studies conducted both on humans and animal models. Gut microbial composition and functions are strongly influenced by diet. This complex intestinal \"superorganism\" seems to affect host metabolic balance modulating energy absorption, gut motility, appetite, glucose and lipid metabolism, as well as hepatic fatty storage. An impairment of the fine balance between gut microbes and host's immune system could culminate in the intestinal translocation of bacterial fragments and the development of \"metabolic endotoxemia\", leading to systemic inflammation and insulin resistance. Diet induced weight-loss and bariatric surgery promote significant changes of gut microbial composition, that seem to affect the success, or the inefficacy, of treatment strategies. Manipulation of gut microbiota through the administration of prebiotics or probiotics could reduce intestinal low grade inflammation and improve gut barrier integrity, thus, ameliorating metabolic balance and promoting weight loss. However, further evidence is needed to better understand their clinical impact and therapeutic use.","author":[{"dropping-particle":"","family":"Lyte","given":"Mark","non-dropping-particle":"","parse-names":false,"suffix":""}],"container-title":"PLoS Pathogens","id":"ITEM-2","issue":"11","issued":{"date-parts":[["2013"]]},"page":"9-11","title":"Microbial Endocrinology in the Microbiome-Gut-Brain Axis: How Bacterial Production and Utilization of Neurochemicals Influence Behavior","type":"article-journal","volume":"9"},"uris":["http://www.mendeley.com/documents/?uuid=c9711125-fddc-4111-b9e9-36fd9d476a15"]}],"mendeley":{"formattedCitation":"&lt;sup&gt;19,30&lt;/sup&gt;","plainTextFormattedCitation":"19,30","previouslyFormattedCitation":"(Bailey &lt;i&gt;et al.&lt;/i&gt; 2010a, Lyte 2013)"},"properties":{"noteIndex":0},"schema":"https://github.com/citation-style-language/schema/raw/master/csl-citation.json"}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19,30</w:t>
      </w:r>
      <w:r w:rsidRPr="00D23BF1">
        <w:rPr>
          <w:rFonts w:ascii="Times" w:eastAsia="Helvetica Neue" w:hAnsi="Times" w:cs="Helvetica Neue"/>
        </w:rPr>
        <w:fldChar w:fldCharType="end"/>
      </w:r>
      <w:r w:rsidRPr="00D23BF1">
        <w:rPr>
          <w:rFonts w:ascii="Times" w:eastAsia="Helvetica Neue" w:hAnsi="Times" w:cs="Helvetica Neue"/>
        </w:rPr>
        <w:t xml:space="preserve">. This happens indirectly through competition with potential pathogens, but also plays a crucial role in the development and maintenance of the host’s overall immune system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{"citationItems":[{"id":"ITEM-1","itemData":{"DOI":"10.1016/j.mehy.2009.10.025","ISSN":"03069877","author":[{"dropping-particle":"","family":"Lyte","given":"Mark","non-dropping-particle":"","parse-names":false,"suffix":""}],"container-title":"Medical Hypotheses","id":"ITEM-1","issue":"4","issued":{"date-parts":[["2010"]]},"page":"634-638","publisher":"Elsevier Ltd","title":"The microbial organ in the gut as a driver of homeostasis and disease","type":"article-journal","volume":"74"},"uris":["http://www.mendeley.com/documents/?uuid=37e91211-531e-436c-8a4b-2f7abbfae317"]},{"id":"ITEM-2","itemData":{"DOI":"10.1016/S1286-4579(00)01288-0","ISSN":"12864579","PMID":"11018451","abstract":"The intestinal flora comprising indigenous, autochthonous bacteria is constantly present in the alimentary tract of host animals, including humans. The indigenous bacteria greatly affect the structure and functions of the intestinal mucosa. Studies involving gnotobiotic mice or rats have shown that the presence of limited kinds of intestinal bacteria is responsible for the development of the gut immune system, such as secretory IgA, major histocompatibility complex molecules and intraepithelial lymphocytes. Understanding of the structure of the intestinal flora or the organization of the microbial population in the intestine, based on evaluation of the immunological responses, may clarify its functions in the host animal. (C) 2000 Editions scientifiques et medicales Elsevier SAS.","author":[{"dropping-particle":"","family":"Umesaki","given":"Yoshinori","non-dropping-particle":"","parse-names":false,"suffix":""},{"dropping-particle":"","family":"Setoyama","given":"Hiromi","non-dropping-particle":"","parse-names":false,"suffix":""}],"container-title":"Microbes and Infection","id":"ITEM-2","issue":"11","issued":{"date-parts":[["2000"]]},"page":"1343-1351","title":"Structure of the intestinal flora responsible for development of the gut immune system in a rodent model","type":"article-journal","volume":"2"},"uris":["http://www.mendeley.com/documents/?uuid=094590e1-ac44-488f-ab84-32c6d3f3af0b"]}],"mendeley":{"formattedCitation":"&lt;sup&gt;2,31&lt;/sup&gt;","plainTextFormattedCitation":"2,31","previouslyFormattedCitation":"(Umesaki &amp; Setoyama 2000, Lyte 2010)"},"properties":{"noteIndex":0},"schema":"https://github.com/citation-style-language/schema/raw/master/csl-citation.json"}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2,31</w:t>
      </w:r>
      <w:r w:rsidRPr="00D23BF1">
        <w:rPr>
          <w:rFonts w:ascii="Times" w:eastAsia="Helvetica Neue" w:hAnsi="Times" w:cs="Helvetica Neue"/>
        </w:rPr>
        <w:fldChar w:fldCharType="end"/>
      </w:r>
      <w:r w:rsidRPr="00D23BF1">
        <w:rPr>
          <w:rFonts w:ascii="Times" w:eastAsia="Helvetica Neue" w:hAnsi="Times" w:cs="Helvetica Neue"/>
        </w:rPr>
        <w:t xml:space="preserve">. Bacterial communities in the gut can also interact in consequential ways with the host enteric nervous system, affecting host behavior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{"citationItems":[{"id":"ITEM-1","itemData":{"DOI":"10.1371/journal.ppat.1003726","ISBN":"1553-7374","ISSN":"15537366","PMID":"24244158","abstract":"Gut microbiota exerts a significant role in the pathogenesis of the metabolic syndrome, as confirmed by studies conducted both on humans and animal models. Gut microbial composition and functions are strongly influenced by diet. This complex intestinal \"superorganism\" seems to affect host metabolic balance modulating energy absorption, gut motility, appetite, glucose and lipid metabolism, as well as hepatic fatty storage. An impairment of the fine balance between gut microbes and host's immune system could culminate in the intestinal translocation of bacterial fragments and the development of \"metabolic endotoxemia\", leading to systemic inflammation and insulin resistance. Diet induced weight-loss and bariatric surgery promote significant changes of gut microbial composition, that seem to affect the success, or the inefficacy, of treatment strategies. Manipulation of gut microbiota through the administration of prebiotics or probiotics could reduce intestinal low grade inflammation and improve gut barrier integrity, thus, ameliorating metabolic balance and promoting weight loss. However, further evidence is needed to better understand their clinical impact and therapeutic use.","author":[{"dropping-particle":"","family":"Lyte","given":"Mark","non-dropping-particle":"","parse-names":false,"suffix":""}],"container-title":"PLoS Pathogens","id":"ITEM-1","issue":"11","issued":{"date-parts":[["2013"]]},"page":"9-11","title":"Microbial Endocrinology in the Microbiome-Gut-Brain Axis: How Bacterial Production and Utilization of Neurochemicals Influence Behavior","type":"article-journal","volume":"9"},"uris":["http://www.mendeley.com/documents/?uuid=c9711125-fddc-4111-b9e9-36fd9d476a15"]}],"mendeley":{"formattedCitation":"&lt;sup&gt;19&lt;/sup&gt;","plainTextFormattedCitation":"19","previouslyFormattedCitation":"(Lyte 2013)"},"properties":{"noteIndex":0},"schema":"https://github.com/citation-style-language/schema/raw/master/csl-citation.json"}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19</w:t>
      </w:r>
      <w:r w:rsidRPr="00D23BF1">
        <w:rPr>
          <w:rFonts w:ascii="Times" w:eastAsia="Helvetica Neue" w:hAnsi="Times" w:cs="Helvetica Neue"/>
        </w:rPr>
        <w:fldChar w:fldCharType="end"/>
      </w:r>
      <w:r w:rsidRPr="00D23BF1">
        <w:rPr>
          <w:rFonts w:ascii="Times" w:eastAsia="Helvetica Neue" w:hAnsi="Times" w:cs="Helvetica Neue"/>
        </w:rPr>
        <w:t>. Studies in germ-free mice have been very useful in demonstrating direct impacts of the gut microbiome on hypothalamic-pituitar</w:t>
      </w:r>
      <w:sdt>
        <w:sdtPr>
          <w:rPr>
            <w:rFonts w:ascii="Times" w:hAnsi="Times"/>
          </w:rPr>
          <w:tag w:val="goog_rdk_52"/>
          <w:id w:val="2043323629"/>
        </w:sdtPr>
        <w:sdtEndPr/>
        <w:sdtContent>
          <w:r w:rsidRPr="00D23BF1">
            <w:rPr>
              <w:rFonts w:ascii="Times" w:eastAsia="Helvetica Neue" w:hAnsi="Times" w:cs="Helvetica Neue"/>
            </w:rPr>
            <w:t>y</w:t>
          </w:r>
        </w:sdtContent>
      </w:sdt>
      <w:r w:rsidRPr="00D23BF1">
        <w:rPr>
          <w:rFonts w:ascii="Times" w:eastAsia="Helvetica Neue" w:hAnsi="Times" w:cs="Helvetica Neue"/>
        </w:rPr>
        <w:t xml:space="preserve">-adrenal reactivity, as well as interactions between the gut microbiome and the central nervous system through the enteric nervous system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10.1053/j.gastro.2011.04.052","ISSN":"00165085","author":[{"dropping-particle":"","family":"Bercik","given":"Premysl","non-dropping-particle":"","parse-names":false,"suffix":""},{"dropping-particle":"","family":"Denou","given":"Emmanuel","non-dropping-particle":"","parse-names":false,"suffix":""},{"dropping-particle":"","family":"Collins","given":"Josh","non-dropping-particle":"","parse-names":false,"suffix":""},{"dropping-particle":"","family":"Jackson","given":"Wendy","non-dropping-particle":"","parse-names":false,"suffix":""},{"dropping-particle":"","family":"Lu","given":"Jun","non-dropping-particle":"","parse-names":false,"suffix":""},{"dropping-particle":"","family":"Jury","given":"Jennifer","non-dropping-particle":"","parse-names":false,"suffix":""},{"dropping-particle":"","family":"Deng","given":"Yikang","non-dropping-particle":"","parse-names":false,"suffix":""},{"dropping-particle":"","family":"Blennerhassett","given":"Patricia","non-dropping-particle":"","parse-names":false,"suffix":""},{"dropping-particle":"","family":"Macri","given":"Joseph","non-dropping-particle":"","parse-names":false,"suffix":""},{"dropping-particle":"","family":"McCoy","given":"Kathy D.","non-dropping-particle":"","parse-names":false,"suffix":""},{"dropping-particle":"","family":"Verdu","given":"Elena F.","non-dropping-particle":"","parse-names":false,"suffix":""},{"dropping-particle":"","family":"Collins","given":"Stephen M.","non-dropping-particle":"","parse-names":false,"suffix":""}],"container-title":"Gastroenterology","id":"ITEM-1","issue":"2","issued":{"date-parts":[["2011"]]},"page":"599-609.e3","title":"The Intestinal Microbiota Affect Central Levels of Brain-Derived Neurotropic Factor and Behavior in Mice","type":"article-journal","volume":"141"},"uris":["http://www.mendeley.com/documents/?uuid=e5efbaac-0817-4e86-868f-e44b8e0a3fb0"]},{"id":"ITEM-2","itemData":{"DOI":"10.1016/j.coph.2012.09.010","ISSN":"14714892","author":[{"dropping-particle":"","family":"Bravo","given":"Javier A","non-dropping-particle":"","parse-names":false,"suffix":""},{"dropping-particle":"","family":"Julio-Pieper","given":"Marcela","non-dropping-particle":"","parse-names":false,"suffix":""},{"dropping-particle":"","family":"Forsythe","given":"Paul","non-dropping-particle":"","parse-names":false,"suffix":""},{"dropping-particle":"","family":"Kunze","given":"Wolfgang","non-dropping-particle":"","parse-names":false,"suffix":""},{"dropping-particle":"","family":"Dinan","given":"Timothy G","non-dropping-particle":"","parse-names":false,"suffix":""},{"dropping-particle":"","family":"Bienenstock","given":"John","non-dropping-particle":"","parse-names":false,"suffix":""},{"dropping-particle":"","family":"Cryan","given":"John F","non-dropping-particle":"","parse-names":false,"suffix":""}],"container-title":"Current Opinion in Pharmacology","id":"ITEM-2","issue":"6","issued":{"date-parts":[["2012"]]},"page":"667-672","publisher":"Elsevier Ltd","title":"Communication between gastrointestinal bacteria and the nervous system","type":"article-journal","volume":"12"},"uris":["http://www.mendeley.com/documents/?uuid=5587300f-320f-4dbd-af18-777d4be1762b"]},{"id":"ITEM-3","itemData":{"DOI":"10.1016/j.tins.2013.01.005","ISBN":"1878-108X; 0166-2236","ISSN":"01662236","PMID":"23384445","abstract":"Within the first few days of life, humans are colonized by commensal intestinal microbiota. Here, we review recent findings showing that microbiota are important in normal healthy brain function. We also discuss the relation between stress and microbiota, and how alterations in microbiota influence stress-related behaviors. New studies show that bacteria, including commensal, probiotic, and pathogenic bacteria, in the gastrointestinal (GI) tract can activate neural pathways and central nervous system (CNS) signaling systems. Ongoing and future animal and clinical studies aimed at understanding the microbiota-gut-brain axis may provide novel approaches for prevention and treatment of mental illness, including anxiety and depression. ?? 2013 Elsevier Ltd.","author":[{"dropping-particle":"","family":"Foster","given":"Jane a.","non-dropping-particle":"","parse-names":false,"suffix":""},{"dropping-particle":"","family":"McVey Neufeld","given":"Karen Anne","non-dropping-particle":"","parse-names":false,"suffix":""}],"container-title":"Trends in Neurosciences","id":"ITEM-3","issue":"5","issued":{"date-parts":[["2013"]]},"page":"305-312","publisher":"Elsevier Ltd","title":"Gut-brain axis: How the microbiome influences anxiety and depression","type":"article-journal","volume":"36"},"uris":["http://www.mendeley.com/documents/?uuid=bdb4de28-761b-4288-a341-19c3cc579355"]},{"id":"ITEM-4","itemData":{"DOI":"10.1113/jphysiol.2004.063388","ISSN":"00223751","author":[{"dropping-particle":"","family":"Sudo","given":"Nobuyuki","non-dropping-particle":"","parse-names":false,"suffix":""},{"dropping-particle":"","family":"Chida","given":"Yoichi","non-dropping-particle":"","parse-names":false,"suffix":""},{"dropping-particle":"","family":"Aiba","given":"Yuji","non-dropping-particle":"","parse-names":false,"suffix":""},{"dropping-particle":"","family":"Sonoda","given":"Junko","non-dropping-particle":"","parse-names":false,"suffix":""},{"dropping-particle":"","family":"Oyama","given":"Naomi","non-dropping-particle":"","parse-names":false,"suffix":""},{"dropping-particle":"","family":"Yu","given":"Xiao-Nian","non-dropping-particle":"","parse-names":false,"suffix":""},{"dropping-particle":"","family":"Kubo","given":"Chiharu","non-dropping-particle":"","parse-names":false,"suffix":""},{"dropping-particle":"","family":"Koga","given":"Yasuhiro","non-dropping-particle":"","parse-names":false,"suffix":""}],"container-title":"The Journal of Physiology","id":"ITEM-4","issue":"1","issued":{"date-parts":[["2004"]]},"page":"263-275","title":"Postnatal microbial colonization programs the hypothalamic-pituitary-adrenal system for stress response in mice","type":"article-journal","volume":"558"},"uris":["http://www.mendeley.com/documents/?uuid=f776d518-f3e5-47d9-ad0d-24d172cf5ad1"]}],"mendeley":{"formattedCitation":"&lt;sup&gt;32–35&lt;/sup&gt;","plainTextFormattedCitation":"32–35","previouslyFormattedCitation":"(Sudo &lt;i&gt;et al.&lt;/i&gt; 2004, Bercik &lt;i&gt;et al.&lt;/i&gt; 2011, Bravo &lt;i&gt;et al.&lt;/i&gt; 2012, Foster &amp; McVey Neufeld 2013)"},"properties":{"noteIndex":0},"schema":"https://github.com/citation-style-language/schema/raw/master/csl-citation.json"}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32–35</w:t>
      </w:r>
      <w:r w:rsidRPr="00D23BF1">
        <w:rPr>
          <w:rFonts w:ascii="Times" w:eastAsia="Helvetica Neue" w:hAnsi="Times" w:cs="Helvetica Neue"/>
        </w:rPr>
        <w:fldChar w:fldCharType="end"/>
      </w:r>
      <w:r w:rsidRPr="00D23BF1">
        <w:rPr>
          <w:rFonts w:ascii="Times" w:eastAsia="Helvetica Neue" w:hAnsi="Times" w:cs="Helvetica Neue"/>
        </w:rPr>
        <w:t xml:space="preserve">. Altogether, some of these interactions between the host and the gut microbiome are direct, as with detoxification, and some are more indirect, such as the effect of secondary bacterial compounds on the host GI physiology, which is detected by the brain and can drive behavior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{"citationItems":[{"id":"ITEM-1","itemData":{"DOI":"10.1126/science.1227412","ISBN":"0036-8075","ISSN":"10959203","PMID":"23066064","abstract":"Feedbacks between microbiomes and their hosts affect a range of animal behaviors.","author":[{"dropping-particle":"","family":"Ezenwa","given":"Vanessa O.","non-dropping-particle":"","parse-names":false,"suffix":""},{"dropping-particle":"","family":"Gerardo","given":"Nicole M.","non-dropping-particle":"","parse-names":false,"suffix":""},{"dropping-particle":"","family":"Inouye","given":"David W.","non-dropping-particle":"","parse-names":false,"suffix":""},{"dropping-particle":"","family":"Medina","given":"Mónica","non-dropping-particle":"","parse-names":false,"suffix":""},{"dropping-particle":"","family":"Xavier","given":"Joao B.","non-dropping-particle":"","parse-names":false,"suffix":""}],"container-title":"Science","id":"ITEM-1","issue":"6104","issued":{"date-parts":[["2012"]]},"page":"198-199","title":"Animal behavior and the microbiome","type":"article-journal","volume":"338"},"uris":["http://www.mendeley.com/documents/?uuid=62ea3524-7fe7-4ffd-aed2-a2baa34b3b93"]},{"id":"ITEM-2","itemData":{"DOI":"10.1016/j.physbeh.2008.12.004","ISBN":"0031-9384","ISSN":"00319384","PMID":"19135464","abstract":"The ability of dietary manipulation to influence learning and behavior is well recognized and almost exclusively interpreted as direct effects of dietary constituents on the central nervous system. The role of dietary modification on gut bacterial populations and the possibility of such microbial population shifts related to learning and behavior is poorly understood. The purpose of this study was to examine whether shifts in bacterial diversity due to dietary manipulation could be correlated with changes in memory and learning. Five week old male CF1 mice were randomly assigned to receive standard rodent chow (PP diet) or chow containing 50% lean ground beef (BD diet) for 3 months. As a measure of memory and learning, both groups were trained and tested on a hole-board open field apparatus. Following behavioral testing, all mice were sacrificed and colonic stool samples collected and analyzed by automated rRNA intergenic spacer analysis (ARISA) and bacterial tag-encoded FLX amplicon pyrosequencing (bTEFAP) approach for microbial diversity. Results demonstrated significantly higher bacterial diversity in the beef supplemented diet group according to ARISA and bTEFAP. Compared to the PP diet, the BD diet fed mice displayed improved working (P = 0.0008) and reference memory (P &lt; 0.0001). The BD diet fed animals also displayed slower speed (P &lt; 0.0001) in seeking food as well as reduced anxiety level in the first day of testing (P = 0.0004). In conclusion, we observed a correlation between dietary induced shifts in bacteria diversity and animal behavior that may indicate a role for gut bacterial diversity in memory and learning. © 2008 Elsevier Inc.","author":[{"dropping-particle":"","family":"Li","given":"Wang","non-dropping-particle":"","parse-names":false,"suffix":""},{"dropping-particle":"","family":"Dowd","given":"Scot E.","non-dropping-particle":"","parse-names":false,"suffix":""},{"dropping-particle":"","family":"Scurlock","given":"Bobbie","non-dropping-particle":"","parse-names":false,"suffix":""},{"dropping-particle":"","family":"Acosta-Martinez","given":"Veronica","non-dropping-particle":"","parse-names":false,"suffix":""},{"dropping-particle":"","family":"Lyte","given":"Mark","non-dropping-particle":"","parse-names":false,"suffix":""}],"container-title":"Physiology and Behavior","id":"ITEM-2","issue":"4-5","issued":{"date-parts":[["2009"]]},"note":"mice \n\nARISA (Automated Ribosomal Intergenic Spacer Analysis, one kind of fingerprinting) and bTEFAP (bacterial Tag-Encoded FLX Amplicon Pyrosequencing, sequencing for diversity?)","page":"557-567","publisher":"Elsevier Inc.","title":"Memory and learning behavior in mice is temporally associated with diet-induced alterations in gut bacteria","type":"article-journal","volume":"96"},"uris":["http://www.mendeley.com/documents/?uuid=c0fd325a-344b-4be2-88c3-5c1cca07baa0"]}],"mendeley":{"formattedCitation":"&lt;sup&gt;36,37&lt;/sup&gt;","plainTextFormattedCitation":"36,37","previouslyFormattedCitation":"(Li &lt;i&gt;et al.&lt;/i&gt; 2009, Ezenwa &lt;i&gt;et al.&lt;/i&gt; 2012)"},"properties":{"noteIndex":0},"schema":"https://github.com/citation-style-language/schema/raw/master/csl-citation.json"}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36,37</w:t>
      </w:r>
      <w:r w:rsidRPr="00D23BF1">
        <w:rPr>
          <w:rFonts w:ascii="Times" w:eastAsia="Helvetica Neue" w:hAnsi="Times" w:cs="Helvetica Neue"/>
        </w:rPr>
        <w:fldChar w:fldCharType="end"/>
      </w:r>
      <w:r w:rsidRPr="00D23BF1">
        <w:rPr>
          <w:rFonts w:ascii="Times" w:eastAsia="Helvetica Neue" w:hAnsi="Times" w:cs="Helvetica Neue"/>
        </w:rPr>
        <w:t xml:space="preserve">. These direct and indirect effects of the gut microbiome on host nutrition, immunity and behavior may play an important role in how the host can respond to rapid environmental changes, such as those found in urban environments.     </w:t>
      </w:r>
    </w:p>
    <w:p w14:paraId="4DD4A301" w14:textId="77777777" w:rsidR="00041ADB" w:rsidRPr="00D23BF1" w:rsidRDefault="00041ADB" w:rsidP="00F20BE1">
      <w:pPr>
        <w:jc w:val="both"/>
        <w:rPr>
          <w:rFonts w:ascii="Times" w:eastAsia="Helvetica Neue" w:hAnsi="Times" w:cs="Helvetica Neue"/>
        </w:rPr>
      </w:pPr>
    </w:p>
    <w:p w14:paraId="717E3C72"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 xml:space="preserve">Elements of host organism physiology, behavior, and environments can shape the composition of the gut microbiome. One obvious factor that shapes the bacterial community of the gut is diet. Gut bacteria depend on their host to provide them with the materials necessary to persist. The composition of an animal’s diet serves as a selective force in the gut bacterial community, just as resource availability in any ecosystem would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{"citationItems":[{"id":"ITEM-1","itemData":{"DOI":"10.1111/ele.12301","ISBN":"1461-023X","ISSN":"14610248","PMID":"24847735","abstract":"Vertebrates' diets profoundly influence the composition of symbiotic gut microbial communities. Studies documenting diet-microbiota associations typically focus on univariate or categorical diet variables. However, in nature individuals often consume diverse combinations of foods. If diet components act independently, each providing distinct microbial colonists or nutrients, we expect a positive relationship between diet diversity and microbial diversity. We tested this prediction within each of two fish species (stickleback and perch), in which individuals vary in their propensity to eat littoral or pelagic invertebrates or mixtures of both prey. Unexpectedly, in most cases individuals with more generalised diets had less diverse microbiota than dietary specialists, in both natural and laboratory populations. This negative association between diet diversity and microbial diversity was small but significant, and most apparent after accounting for complex interactions between sex, size and diet. Our results suggest that multiple diet components can interact non-additively to influence gut microbial diversity.","author":[{"dropping-particle":"","family":"Bolnick","given":"Daniel I.","non-dropping-particle":"","parse-names":false,"suffix":""},{"dropping-particle":"","family":"Snowberg","given":"Lisa K.","non-dropping-particle":"","parse-names":false,"suffix":""},{"dropping-particle":"","family":"Hirsch","given":"Philipp E.","non-dropping-particle":"","parse-names":false,"suffix":""},{"dropping-particle":"","family":"Lauber","given":"Christian L.","non-dropping-particle":"","parse-names":false,"suffix":""},{"dropping-particle":"","family":"Knight","given":"Rob","non-dropping-particle":"","parse-names":false,"suffix":""},{"dropping-particle":"","family":"Caporaso","given":"J. Gregory","non-dropping-particle":"","parse-names":false,"suffix":""},{"dropping-particle":"","family":"Svanb??ck","given":"Richard","non-dropping-particle":"","parse-names":false,"suffix":""}],"container-title":"Ecology Letters","id":"ITEM-1","issue":"8","issued":{"date-parts":[["2014"]]},"page":"979-987","title":"Individuals' diet diversity influences gut microbial diversity in two freshwater fish (threespine stickleback and Eurasian perch)","type":"article-journal","volume":"17"},"uris":["http://www.mendeley.com/documents/?uuid=a0989b26-646a-4d52-af4b-8da5d2aa6a2f"]},{"id":"ITEM-2","itemData":{"DOI":"10.1126/scitranslmed.3000322","ISBN":"1946-6242 (Electronic)\\n1946-6234 (Linking)","ISSN":"1946-6242","PMID":"20368178","abstract":"Diet and nutritional status are among the most important modifiable determinants of human health. The nutritional value of food is influenced in part by a person's gut microbial community (microbiota) and its component genes (microbiome). Unraveling the interrelations among diet, the structure and operations of the gut microbiota, and nutrient and energy harvest is confounded by variations in human environmental exposures, microbial ecology, and genotype. To help overcome these problems, we created a well-defined, representative animal model of the human gut ecosystem by transplanting fresh or frozen adult human fecal microbial communities into germ-free C57BL/6J mice. Culture-independent metagenomic analysis of the temporal, spatial, and intergenerational patterns of bacterial colonization showed that these humanized mice were stably and heritably colonized and reproduced much of the bacterial diversity of the donor's microbiota. Switching from a low-fat, plant polysaccharide-rich diet to a high-fat, high-sugar \"Western\" diet shifted the structure of the microbiota within a single day, changed the representation of metabolic pathways in the microbiome, and altered microbiome gene expression. Reciprocal transplants involving various combinations of donor and recipient diets revealed that colonization history influences the initial structure of the microbial community but that these effects can be rapidly altered by diet. Humanized mice fed the Western diet have increased adiposity; this trait is transmissible via microbiota transplantation. Humanized gnotobiotic mice will be useful for conducting proof-of-principle \"clinical trials\" that test the effects of environmental and genetic factors on the gut microbiota and host physiology. Nearly full-length 16S rRNA gene sequences are deposited in GenBank under the accession numbers GQ491120 to GQ493997.","author":[{"dropping-particle":"","family":"Turnbaugh","given":"Peter J","non-dropping-particle":"","parse-names":false,"suffix":""},{"dropping-particle":"","family":"Ridaura","given":"Vanessa K","non-dropping-particle":"","parse-names":false,"suffix":""},{"dropping-particle":"","family":"Faith","given":"Jeremiah J","non-dropping-particle":"","parse-names":false,"suffix":""},{"dropping-particle":"","family":"Rey","given":"Federico E","non-dropping-particle":"","parse-names":false,"suffix":""},{"dropping-particle":"","family":"Knight","given":"Rob","non-dropping-particle":"","parse-names":false,"suffix":""},{"dropping-particle":"","family":"Gordon","given":"Jeffrey I","non-dropping-particle":"","parse-names":false,"suffix":""}],"container-title":"Science translational medicine","id":"ITEM-2","issue":"6","issued":{"date-parts":[["2009"]]},"page":"6ra14","title":"The effect of diet on the human gut microbiome: a metagenomic analysis in humanized gnotobiotic mice.","type":"article-journal","volume":"1"},"uris":["http://www.mendeley.com/documents/?uuid=401e77e0-ceb3-4bd2-9a1b-9e01926314c8"]}],"mendeley":{"formattedCitation":"&lt;sup&gt;38,39&lt;/sup&gt;","plainTextFormattedCitation":"38,39","previouslyFormattedCitation":"(Turnbaugh &lt;i&gt;et al.&lt;/i&gt; 2009, Bolnick &lt;i&gt;et al.&lt;/i&gt; 2014a)"},"properties":{"noteIndex":0},"schema":"https://github.com/citation-style-language/schema/raw/master/csl-citation.json"}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38,39</w:t>
      </w:r>
      <w:r w:rsidRPr="00D23BF1">
        <w:rPr>
          <w:rFonts w:ascii="Times" w:eastAsia="Helvetica Neue" w:hAnsi="Times" w:cs="Helvetica Neue"/>
        </w:rPr>
        <w:fldChar w:fldCharType="end"/>
      </w:r>
      <w:r w:rsidRPr="00D23BF1">
        <w:rPr>
          <w:rFonts w:ascii="Times" w:eastAsia="Helvetica Neue" w:hAnsi="Times" w:cs="Helvetica Neue"/>
        </w:rPr>
        <w:t xml:space="preserve">. Host physiology provides the environmental conditions that shape the gut microbiome. Both large-scale differences between hosts, such as gastro-intestinal volume, and smaller differences, such as pH or intestinal wall permeability, provide different conditions that favor some bacterial taxa or traits over others. For example, digestive tract size is positively correlated with bacterial alpha diversity across taxa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{"citationItems":[{"id":"ITEM-1","itemData":{"DOI":"10.1186/s12898-016-0071-2","ISSN":"14726785","PMID":"27008566","abstract":"One of the central issues in microbial ecology is to understand the parameters that drive diversity. Among these parameters, size has often been considered to be the main driver in many different ecosystems. Surprisingly, the influence of size on gut microbial diversity has not yet been investigated, and so far in studies reported in the literature only the influences of age, diet, phylogeny and digestive tract structures have been considered. This study explicitly challenges the underexplored relationship connecting gut volume and bacterial diversity.","author":[{"dropping-particle":"","family":"Godon","given":"Jean Jacques","non-dropping-particle":"","parse-names":false,"suffix":""},{"dropping-particle":"","family":"Arulazhagan","given":"Pugazhendi","non-dropping-particle":"","parse-names":false,"suffix":""},{"dropping-particle":"","family":"Steyer","given":"Jean Philippe","non-dropping-particle":"","parse-names":false,"suffix":""},{"dropping-particle":"","family":"Hamelin","given":"Jérôme","non-dropping-particle":"","parse-names":false,"suffix":""}],"container-title":"BMC Ecology","id":"ITEM-1","issue":"1","issued":{"date-parts":[["2016"]]},"note":"great table of many species with digestive tract type, diet, and mass","page":"1-9","publisher":"BioMed Central","title":"Vertebrate bacterial gut diversity: Size also matters","type":"article-journal","volume":"16"},"uris":["http://www.mendeley.com/documents/?uuid=d5fb5fed-e77c-4730-ad0c-266f260eb191"]}],"mendeley":{"formattedCitation":"&lt;sup&gt;40&lt;/sup&gt;","plainTextFormattedCitation":"40","previouslyFormattedCitation":"(Godon &lt;i&gt;et al.&lt;/i&gt; 2016)"},"properties":{"noteIndex":0},"schema":"https://github.com/citation-style-language/schema/raw/master/csl-citation.json"}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40</w:t>
      </w:r>
      <w:r w:rsidRPr="00D23BF1">
        <w:rPr>
          <w:rFonts w:ascii="Times" w:eastAsia="Helvetica Neue" w:hAnsi="Times" w:cs="Helvetica Neue"/>
        </w:rPr>
        <w:fldChar w:fldCharType="end"/>
      </w:r>
      <w:r w:rsidRPr="00D23BF1">
        <w:rPr>
          <w:rFonts w:ascii="Times" w:eastAsia="Helvetica Neue" w:hAnsi="Times" w:cs="Helvetica Neue"/>
        </w:rPr>
        <w:t xml:space="preserve">. On a smaller scale, within the same animal, changes in intestinal function such as compounds in intestinal mucous may shift bacterial communities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{"citationItems":[{"id":"ITEM-1","itemData":{"DOI":"10.1093/glycob/cwt040","ISBN":"1460-2423 (Electronic)\\n0959-6658 (Linking)","ISSN":"09596658","PMID":"23720460","abstract":"The human intestine houses a dense microbial ecosystem in which the struggle for nutrients creates a continual and dynamic selective force. Host-produced mucus glycans provide a ubiquitous source of carbon and energy for microbial species. Not surprisingly, many gut resident bacteria have become highly adapted to efficiently consume numerous distinct structures present in host glycans. We propose that sophistication in mucus consumption is a trait most likely to be found in gut residents that have co-evolved with hosts, microbes that have adapted to the complexity associated with the host glycan landscape.","author":[{"dropping-particle":"","family":"Marcobal","given":"Angela","non-dropping-particle":"","parse-names":false,"suffix":""},{"dropping-particle":"","family":"Southwick","given":"Audrey M.","non-dropping-particle":"","parse-names":false,"suffix":""},{"dropping-particle":"","family":"Earle","given":"Kristen A.","non-dropping-particle":"","parse-names":false,"suffix":""},{"dropping-particle":"","family":"Sonnenburg","given":"Justin L.","non-dropping-particle":"","parse-names":false,"suffix":""}],"container-title":"Glycobiology","id":"ITEM-1","issue":"9","issued":{"date-parts":[["2013"]]},"page":"1038-1046","title":"A refined palate: Bacterial consumption of host glycans in the gut","type":"article-journal","volume":"23"},"uris":["http://www.mendeley.com/documents/?uuid=9e103c4f-1070-4a61-b9fc-c8a659d1a0d3"]}],"mendeley":{"formattedCitation":"&lt;sup&gt;41&lt;/sup&gt;","plainTextFormattedCitation":"41","previouslyFormattedCitation":"(Marcobal &lt;i&gt;et al.&lt;/i&gt; 2013)"},"properties":{"noteIndex":0},"schema":"https://github.com/citation-style-language/schema/raw/master/csl-citation.json"}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41</w:t>
      </w:r>
      <w:r w:rsidRPr="00D23BF1">
        <w:rPr>
          <w:rFonts w:ascii="Times" w:eastAsia="Helvetica Neue" w:hAnsi="Times" w:cs="Helvetica Neue"/>
        </w:rPr>
        <w:fldChar w:fldCharType="end"/>
      </w:r>
      <w:r w:rsidRPr="00D23BF1">
        <w:rPr>
          <w:rFonts w:ascii="Times" w:eastAsia="Helvetica Neue" w:hAnsi="Times" w:cs="Helvetica Neue"/>
        </w:rPr>
        <w:t>. Further, changes in an animal’s environment can</w:t>
      </w:r>
      <w:sdt>
        <w:sdtPr>
          <w:rPr>
            <w:rFonts w:ascii="Times" w:hAnsi="Times"/>
          </w:rPr>
          <w:tag w:val="goog_rdk_57"/>
          <w:id w:val="-1968118403"/>
        </w:sdtPr>
        <w:sdtEndPr/>
        <w:sdtContent>
          <w:r w:rsidRPr="00D23BF1">
            <w:rPr>
              <w:rFonts w:ascii="Times" w:eastAsia="Helvetica Neue" w:hAnsi="Times" w:cs="Helvetica Neue"/>
            </w:rPr>
            <w:t xml:space="preserve"> </w:t>
          </w:r>
        </w:sdtContent>
      </w:sdt>
      <w:r w:rsidRPr="00D23BF1">
        <w:rPr>
          <w:rFonts w:ascii="Times" w:eastAsia="Helvetica Neue" w:hAnsi="Times" w:cs="Helvetica Neue"/>
        </w:rPr>
        <w:t xml:space="preserve">dramatically change their physiology, thus indirectly impacting the gut microbiome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{"citationItems":[{"id":"ITEM-1","itemData":{"abstract":"Despite their potential ecological and evolutionary importance, factors shaping the composition of bacterial communities in wild vertebrate populations remain poorly understood. The goal of this study was to examine the relative contributions of environmental factors and genetic factors (e.g. species and common origin) to the variation of cloacal bacterial assemblages in wild bird nestlings. We conducted a partial cross-fostering experiment with two passerine species, the great tit Parus major and the blue tit P. caeruleus, sharing similar habitats and breeding biology. Nestlings of the two species were exchanged four days after hatching and cloacal bacteria were sampled nine days later. The structure of cloacal bacterial communities was determined by Ribosomal Intergenic Spacer Analysis. Our results showed that each nestling displayed a unique bacterial community Furthermore, nestlings raised in the same nest shared significantly similar bacterial communities. The similarity of bacterial community was higher among heterospecific siblings raised within the same nest than between biological siblings raised in separate nests. Effects of common origin between species could not be detected and, if present, were dominated by nest-based short-term environmental effects. Our results show that growth conditions within nests and individually based endogenous factors have significant effects on cloacal bacteria assemblages and could affect post-fledging condition.","author":[{"dropping-particle":"","family":"Lucas","given":"F.S.","non-dropping-particle":"","parse-names":false,"suffix":""},{"dropping-particle":"","family":"Heeb","given":"P.","non-dropping-particle":"","parse-names":false,"suffix":""}],"container-title":"J. Avian Biol.","id":"ITEM-1","issue":"6","issued":{"date-parts":[["2005"]]},"page":"510-516","title":"Environmental factors shape cloacal bacterial assemblages in great tit Parus major and blue tit P-caeruleus nestlings","type":"article-journal","volume":"36"},"uris":["http://www.mendeley.com/documents/?uuid=a565895c-3100-4867-b2e7-ef96b073d0b0"]}],"mendeley":{"formattedCitation":"&lt;sup&gt;42&lt;/sup&gt;","plainTextFormattedCitation":"42","previouslyFormattedCitation":"(Lucas &amp; Heeb 2005)"},"properties":{"noteIndex":0},"schema":"https://github.com/citation-style-language/schema/raw/master/csl-citation.json"}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42</w:t>
      </w:r>
      <w:r w:rsidRPr="00D23BF1">
        <w:rPr>
          <w:rFonts w:ascii="Times" w:eastAsia="Helvetica Neue" w:hAnsi="Times" w:cs="Helvetica Neue"/>
        </w:rPr>
        <w:fldChar w:fldCharType="end"/>
      </w:r>
      <w:r w:rsidRPr="00D23BF1">
        <w:rPr>
          <w:rFonts w:ascii="Times" w:eastAsia="Helvetica Neue" w:hAnsi="Times" w:cs="Helvetica Neue"/>
        </w:rPr>
        <w:t xml:space="preserve">. For example, the sage grouse gut microbiome is affected by changing seasons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{"citationItems":[{"id":"ITEM-1","itemData":{"DOI":"10.1186/s42523-019-0002-6","abstract":"Current knowledge about seasonal variation in the gut microbiota of vertebrates is limited to a few studies based on mammalian fecal samples. Seasonal changes in the microbiotas of functionally distinct gut regions remain unexplored. We investigated seasonal variation (summer versus winter) and regionalization of the microbiotas of the crop, ventriculus, duodenum, cecum, and colon of the greater sage-grouse (Centrocercus urophasianus), an avian folivore specialized on the toxic foliage of sagebrush (Artemesia spp.) in western North America. We sequenced the V4 region of the 16S rRNA gene on an Illumina MiSeq and obtained 6,639,051 sequences with a median of 50,232 per sample. These sequences were assigned to 457 bacterial and 4 archaeal OTUs. Firmicutes (53.0%), Bacteroidetes (15.2%), Actinobacteria (10.7%), and Proteobacteria (10.1%)were the most abundant and diverse phyla. Microbial composition and richness showed significant differences among gut regions and between summer and winter. Gut region explained almost an order of magnitude more variance in our dataset than did season or the gut region × season interaction. The effect of season was uneven among gut regions. Microbiotas of the crop and cecum showed the greatest seasonal differences. Our data suggest that seasonal differences in gut microbiota reflect seasonal variation in the microbial communities associated with food and water. Strong differentiation and uneven seasonal changes in the composition and richness of the microbiota among functionally distinct gut regions demonstrate the necessity of wider anatomical sampling for studies of composition and dynamics of the gut microbiota.","author":[{"dropping-particle":"V.","family":"Drovetski","given":"Sergei","non-dropping-particle":"","parse-names":false,"suffix":""},{"dropping-particle":"V.","family":"O’Mahoney","given":"Michael J.","non-dropping-particle":"","parse-names":false,"suffix":""},{"dropping-particle":"","family":"Matterson","given":"Kenan O.","non-dropping-particle":"","parse-names":false,"suffix":""},{"dropping-particle":"","family":"Schmidt","given":"Brian K.","non-dropping-particle":"","parse-names":false,"suffix":""},{"dropping-particle":"","family":"Graves","given":"Gary R.","non-dropping-particle":"","parse-names":false,"suffix":""}],"container-title":"Animal Microbiome","id":"ITEM-1","issue":"1","issued":{"date-parts":[["2019"]]},"page":"1-11","publisher":"Animal Microbiome","title":"Distinct microbiotas of anatomical gut regions display idiosyncratic seasonal variation in an avian folivore","type":"article-journal","volume":"1"},"uris":["http://www.mendeley.com/documents/?uuid=bb3d514e-a7c3-44bf-94ca-3c5a3ddfe581"]}],"mendeley":{"formattedCitation":"&lt;sup&gt;43&lt;/sup&gt;","plainTextFormattedCitation":"43","previouslyFormattedCitation":"(Drovetski &lt;i&gt;et al.&lt;/i&gt; 2019)"},"properties":{"noteIndex":0},"schema":"https://github.com/citation-style-language/schema/raw/master/csl-citation.json"}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43</w:t>
      </w:r>
      <w:r w:rsidRPr="00D23BF1">
        <w:rPr>
          <w:rFonts w:ascii="Times" w:eastAsia="Helvetica Neue" w:hAnsi="Times" w:cs="Helvetica Neue"/>
        </w:rPr>
        <w:fldChar w:fldCharType="end"/>
      </w:r>
      <w:r w:rsidRPr="00D23BF1">
        <w:rPr>
          <w:rFonts w:ascii="Times" w:eastAsia="Helvetica Neue" w:hAnsi="Times" w:cs="Helvetica Neue"/>
        </w:rPr>
        <w:t xml:space="preserve">. Of course, these factors shaping gut </w:t>
      </w:r>
      <w:sdt>
        <w:sdtPr>
          <w:rPr>
            <w:rFonts w:ascii="Times" w:hAnsi="Times"/>
          </w:rPr>
          <w:tag w:val="goog_rdk_58"/>
          <w:id w:val="1652092399"/>
        </w:sdtPr>
        <w:sdtEndPr/>
        <w:sdtContent>
          <w:r w:rsidRPr="00D23BF1">
            <w:rPr>
              <w:rFonts w:ascii="Times" w:eastAsia="Helvetica Neue" w:hAnsi="Times" w:cs="Helvetica Neue"/>
            </w:rPr>
            <w:t>bacterial</w:t>
          </w:r>
        </w:sdtContent>
      </w:sdt>
      <w:r w:rsidRPr="00D23BF1">
        <w:rPr>
          <w:rFonts w:ascii="Times" w:eastAsia="Helvetica Neue" w:hAnsi="Times" w:cs="Helvetica Neue"/>
        </w:rPr>
        <w:t xml:space="preserve"> communities are often not independent from one another, e.g. seasonal changes may result in dietary shifts. Given how urbanization changes the environment and acts as a selective pressure on host morphology, one can predict that gut microbiomes will vary across urbanization gradients. </w:t>
      </w:r>
    </w:p>
    <w:p w14:paraId="12E1CE83" w14:textId="77777777" w:rsidR="00041ADB" w:rsidRPr="00D23BF1" w:rsidRDefault="00041ADB" w:rsidP="00F20BE1">
      <w:pPr>
        <w:jc w:val="both"/>
        <w:rPr>
          <w:rFonts w:ascii="Times" w:eastAsia="Helvetica Neue" w:hAnsi="Times" w:cs="Helvetica Neue"/>
        </w:rPr>
      </w:pPr>
    </w:p>
    <w:p w14:paraId="7BBC3D0C" w14:textId="77777777" w:rsidR="00041ADB" w:rsidRPr="00D23BF1" w:rsidRDefault="00041ADB" w:rsidP="00F20BE1">
      <w:pPr>
        <w:rPr>
          <w:rFonts w:ascii="Times" w:hAnsi="Times"/>
          <w:i/>
          <w:iCs/>
        </w:rPr>
      </w:pPr>
      <w:r w:rsidRPr="00D23BF1">
        <w:rPr>
          <w:rFonts w:ascii="Times" w:hAnsi="Times"/>
          <w:i/>
          <w:iCs/>
        </w:rPr>
        <w:t>Bacterial taxa and measures of community diversity</w:t>
      </w:r>
    </w:p>
    <w:p w14:paraId="7F7EDDCE" w14:textId="77777777" w:rsidR="00041ADB" w:rsidRPr="00D23BF1" w:rsidRDefault="00041ADB" w:rsidP="00F20BE1">
      <w:pPr>
        <w:jc w:val="both"/>
        <w:rPr>
          <w:rFonts w:ascii="Times" w:eastAsia="Helvetica Neue" w:hAnsi="Times" w:cs="Helvetica Neue"/>
        </w:rPr>
      </w:pPr>
    </w:p>
    <w:p w14:paraId="41103021" w14:textId="77777777" w:rsidR="00041ADB" w:rsidRPr="00D23BF1" w:rsidRDefault="00C37DB3" w:rsidP="00F20BE1">
      <w:pPr>
        <w:jc w:val="both"/>
        <w:rPr>
          <w:rFonts w:ascii="Times" w:eastAsia="Helvetica Neue" w:hAnsi="Times" w:cs="Helvetica Neue"/>
        </w:rPr>
      </w:pPr>
      <w:sdt>
        <w:sdtPr>
          <w:rPr>
            <w:rFonts w:ascii="Times" w:hAnsi="Times"/>
          </w:rPr>
          <w:tag w:val="goog_rdk_22"/>
          <w:id w:val="1255482388"/>
        </w:sdtPr>
        <w:sdtEndPr/>
        <w:sdtContent/>
      </w:sdt>
      <w:r w:rsidR="00041ADB" w:rsidRPr="00D23BF1">
        <w:rPr>
          <w:rFonts w:ascii="Times" w:eastAsia="Helvetica Neue" w:hAnsi="Times" w:cs="Helvetica Neue"/>
        </w:rPr>
        <w:t xml:space="preserve">There are many ways to measure the gut microbiome, with each method having advantages and disadvantages. For a cursory assessment of diversity present, culture-based methods may be used </w:t>
      </w:r>
      <w:r w:rsidR="00041ADB" w:rsidRPr="00D23BF1">
        <w:rPr>
          <w:rFonts w:ascii="Times" w:eastAsia="Helvetica Neue" w:hAnsi="Times" w:cs="Helvetica Neue"/>
        </w:rPr>
        <w:fldChar w:fldCharType="begin" w:fldLock="1"/>
      </w:r>
      <w:r w:rsidR="00041ADB" w:rsidRPr="00D23BF1">
        <w:rPr>
          <w:rFonts w:ascii="Times" w:eastAsia="Helvetica Neue" w:hAnsi="Times" w:cs="Helvetica Neue"/>
        </w:rPr>
        <w:instrText>ADDIN CSL_CITATION {"citationItems":[{"id":"ITEM-1","itemData":{"DOI":"10.1038/s41579-018-0041-0","ISBN":"4157901800","ISSN":"17401534","PMID":"29937540","abstract":"The gut microbiota has an important role in the maintenance of human health and in disease pathogenesis. This importance was realized through the advent of omics technologies and their application to improve our knowledge of the gut microbial ecosystem. In particular, the use of metagenomics has revealed the diversity of the gut microbiota, but it has also highlighted that the majority of bacteria in the gut remain uncultured. Culturomics was developed to culture and identify unknown bacteria that inhabit the human gut as a part of the rebirth of culture techniques in microbiology. Consisting of multiple culture conditions combined with the rapid identification of bacteria, the culturomic approach has enabled the culture of hundreds of new microorganisms that are associated with humans, providing exciting new perspectives on host–bacteria relationships. In this Review, we discuss why and how culturomics was developed. We describe how culturomics has extended our understanding of bacterial diversity and then explore how culturomics can be applied to the study of the human microbiota and the potential implications for human health.","author":[{"dropping-particle":"","family":"Lagier","given":"Jean Christophe","non-dropping-particle":"","parse-names":false,"suffix":""},{"dropping-particle":"","family":"Dubourg","given":"Grégory","non-dropping-particle":"","parse-names":false,"suffix":""},{"dropping-particle":"","family":"Million","given":"Matthieu","non-dropping-particle":"","parse-names":false,"suffix":""},{"dropping-particle":"","family":"Cadoret","given":"Frédéric","non-dropping-particle":"","parse-names":false,"suffix":""},{"dropping-particle":"","family":"Bilen","given":"Melhem","non-dropping-particle":"","parse-names":false,"suffix":""},{"dropping-particle":"","family":"Fenollar","given":"Florence","non-dropping-particle":"","parse-names":false,"suffix":""},{"dropping-particle":"","family":"Levasseur","given":"Anthony","non-dropping-particle":"","parse-names":false,"suffix":""},{"dropping-particle":"","family":"Rolain","given":"Jean Marc","non-dropping-particle":"","parse-names":false,"suffix":""},{"dropping-particle":"","family":"Fournier","given":"Pierre Edouard","non-dropping-particle":"","parse-names":false,"suffix":""},{"dropping-particle":"","family":"Raoult","given":"Didier","non-dropping-particle":"","parse-names":false,"suffix":""}],"container-title":"Nature Reviews Microbiology","id":"ITEM-1","issue":"9","issued":{"date-parts":[["2018"]]},"page":"540-550","publisher":"Springer US","title":"Culturing the human microbiota and culturomics","type":"article-journal","volume":"16"},"uris":["http://www.mendeley.com/documents/?uuid=fa063a9d-4b4b-4837-ba76-cd95053e81e4"]}],"mendeley":{"formattedCitation":"&lt;sup&gt;44&lt;/sup&gt;","plainTextFormattedCitation":"44","previouslyFormattedCitation":"(Lagier &lt;i&gt;et al.&lt;/i&gt; 2018)"},"properties":{"noteIndex":0},"schema":"https://github.com/citation-style-language/schema/raw/master/csl-citation.json"}</w:instrText>
      </w:r>
      <w:r w:rsidR="00041ADB" w:rsidRPr="00D23BF1">
        <w:rPr>
          <w:rFonts w:ascii="Times" w:eastAsia="Helvetica Neue" w:hAnsi="Times" w:cs="Helvetica Neue"/>
        </w:rPr>
        <w:fldChar w:fldCharType="separate"/>
      </w:r>
      <w:r w:rsidR="00041ADB" w:rsidRPr="00D23BF1">
        <w:rPr>
          <w:rFonts w:ascii="Times" w:eastAsia="Helvetica Neue" w:hAnsi="Times" w:cs="Helvetica Neue"/>
          <w:noProof/>
          <w:vertAlign w:val="superscript"/>
        </w:rPr>
        <w:t>44</w:t>
      </w:r>
      <w:r w:rsidR="00041ADB" w:rsidRPr="00D23BF1">
        <w:rPr>
          <w:rFonts w:ascii="Times" w:eastAsia="Helvetica Neue" w:hAnsi="Times" w:cs="Helvetica Neue"/>
        </w:rPr>
        <w:fldChar w:fldCharType="end"/>
      </w:r>
      <w:r w:rsidR="00041ADB" w:rsidRPr="00D23BF1">
        <w:rPr>
          <w:rFonts w:ascii="Times" w:eastAsia="Helvetica Neue" w:hAnsi="Times" w:cs="Helvetica Neue"/>
        </w:rPr>
        <w:t xml:space="preserve">. </w:t>
      </w:r>
      <w:proofErr w:type="gramStart"/>
      <w:r w:rsidR="00041ADB" w:rsidRPr="00D23BF1">
        <w:rPr>
          <w:rFonts w:ascii="Times" w:eastAsia="Helvetica Neue" w:hAnsi="Times" w:cs="Helvetica Neue"/>
        </w:rPr>
        <w:t>However</w:t>
      </w:r>
      <w:proofErr w:type="gramEnd"/>
      <w:sdt>
        <w:sdtPr>
          <w:rPr>
            <w:rFonts w:ascii="Times" w:hAnsi="Times"/>
          </w:rPr>
          <w:tag w:val="goog_rdk_23"/>
          <w:id w:val="-784504471"/>
        </w:sdtPr>
        <w:sdtEndPr/>
        <w:sdtContent>
          <w:r w:rsidR="00041ADB" w:rsidRPr="00D23BF1">
            <w:rPr>
              <w:rFonts w:ascii="Times" w:eastAsia="Helvetica Neue" w:hAnsi="Times" w:cs="Helvetica Neue"/>
            </w:rPr>
            <w:t>,</w:t>
          </w:r>
        </w:sdtContent>
      </w:sdt>
      <w:r w:rsidR="00041ADB" w:rsidRPr="00D23BF1">
        <w:rPr>
          <w:rFonts w:ascii="Times" w:eastAsia="Helvetica Neue" w:hAnsi="Times" w:cs="Helvetica Neue"/>
        </w:rPr>
        <w:t xml:space="preserve"> these methods are heavily biased toward bacterial strains that can be grown in culture. Another way to survey a bacterial community is through direct analysis of all microbial DNA from an environmental sample. </w:t>
      </w:r>
      <w:sdt>
        <w:sdtPr>
          <w:rPr>
            <w:rFonts w:ascii="Times" w:hAnsi="Times"/>
          </w:rPr>
          <w:tag w:val="goog_rdk_24"/>
          <w:id w:val="1028449229"/>
        </w:sdtPr>
        <w:sdtEndPr/>
        <w:sdtContent>
          <w:r w:rsidR="00041ADB" w:rsidRPr="00D23BF1">
            <w:rPr>
              <w:rFonts w:ascii="Times" w:eastAsia="Helvetica Neue" w:hAnsi="Times" w:cs="Helvetica Neue"/>
            </w:rPr>
            <w:t>Analyzing all microbial DNA</w:t>
          </w:r>
        </w:sdtContent>
      </w:sdt>
      <w:r w:rsidR="00041ADB" w:rsidRPr="00D23BF1">
        <w:rPr>
          <w:rFonts w:ascii="Times" w:eastAsia="Helvetica Neue" w:hAnsi="Times" w:cs="Helvetica Neue"/>
        </w:rPr>
        <w:t xml:space="preserve"> can be accomplished through various </w:t>
      </w:r>
      <w:r w:rsidR="00041ADB" w:rsidRPr="00D23BF1">
        <w:rPr>
          <w:rFonts w:ascii="Times" w:eastAsia="Helvetica Neue" w:hAnsi="Times" w:cs="Helvetica Neue"/>
        </w:rPr>
        <w:lastRenderedPageBreak/>
        <w:t xml:space="preserve">fingerprinting methods which, depending on the method, can identify dominant taxa of bacteria and qualitative structure of communities. We can also use these metagenomic samples to target conserved regions of bacterial DNA (often the 16s rRNA region) in order to assess taxonomic diversity of a community </w:t>
      </w:r>
      <w:r w:rsidR="00041ADB" w:rsidRPr="00D23BF1">
        <w:rPr>
          <w:rFonts w:ascii="Times" w:eastAsia="Helvetica Neue" w:hAnsi="Times" w:cs="Helvetica Neue"/>
        </w:rPr>
        <w:fldChar w:fldCharType="begin" w:fldLock="1"/>
      </w:r>
      <w:r w:rsidR="00041ADB" w:rsidRPr="00D23BF1">
        <w:rPr>
          <w:rFonts w:ascii="Times" w:eastAsia="Helvetica Neue" w:hAnsi="Times" w:cs="Helvetica Neue"/>
        </w:rPr>
        <w:instrText>ADDIN CSL_CITATION {"citationItems":[{"id":"ITEM-1","itemData":{"DOI":"10.1016/j.biocontrol.2017.07.009","ISSN":"10499644","abstract":"Microorganisms are the main drivers shaping the functioning and equilibrium of all ecosystems, contributing to nutrient cycling, primary production, litter decomposition, and multi-trophic interactions. Knowledge about the microbial assemblies in specific ecological niches is integral to understanding the assemblages interact and function the function, and becomes essential when the microbiota intersects with human activities, such as protecting crops against pests and diseases. Metabarcoding has proven to be a valuable tool and has been widely used for characterizing the microbial diversity of different environments and has been utilized in many research endeavors. Here we summarize the current status of metabarcoding technologies, the advantages and challenges in utilizing this technique, and how this pioneer approach is being applied to studying plant diseases and pests, with a focus on plant protection and biological control. Current and future developments in this technology will foster a more comprehensive understanding of microbial ecology, and the development of new, innovative pest control strategies.","author":[{"dropping-particle":"","family":"Abdelfattah","given":"Ahmed","non-dropping-particle":"","parse-names":false,"suffix":""},{"dropping-particle":"","family":"Malacrinò","given":"Antonino","non-dropping-particle":"","parse-names":false,"suffix":""},{"dropping-particle":"","family":"Wisniewski","given":"Michael","non-dropping-particle":"","parse-names":false,"suffix":""},{"dropping-particle":"","family":"Cacciola","given":"Santa O.","non-dropping-particle":"","parse-names":false,"suffix":""},{"dropping-particle":"","family":"Schena","given":"Leonardo","non-dropping-particle":"","parse-names":false,"suffix":""}],"container-title":"Biological Control","id":"ITEM-1","issue":"March 2017","issued":{"date-parts":[["2018"]]},"page":"1-10","publisher":"Elsevier","title":"Metabarcoding: A powerful tool to investigate microbial communities and shape future plant protection strategies","type":"article-journal","volume":"120"},"uris":["http://www.mendeley.com/documents/?uuid=cb52ca1e-78cc-4536-95ab-505a68043fb1"]}],"mendeley":{"formattedCitation":"&lt;sup&gt;45&lt;/sup&gt;","plainTextFormattedCitation":"45","previouslyFormattedCitation":"(Abdelfattah &lt;i&gt;et al.&lt;/i&gt; 2018)"},"properties":{"noteIndex":0},"schema":"https://github.com/citation-style-language/schema/raw/master/csl-citation.json"}</w:instrText>
      </w:r>
      <w:r w:rsidR="00041ADB" w:rsidRPr="00D23BF1">
        <w:rPr>
          <w:rFonts w:ascii="Times" w:eastAsia="Helvetica Neue" w:hAnsi="Times" w:cs="Helvetica Neue"/>
        </w:rPr>
        <w:fldChar w:fldCharType="separate"/>
      </w:r>
      <w:r w:rsidR="00041ADB" w:rsidRPr="00D23BF1">
        <w:rPr>
          <w:rFonts w:ascii="Times" w:eastAsia="Helvetica Neue" w:hAnsi="Times" w:cs="Helvetica Neue"/>
          <w:noProof/>
          <w:vertAlign w:val="superscript"/>
        </w:rPr>
        <w:t>45</w:t>
      </w:r>
      <w:r w:rsidR="00041ADB" w:rsidRPr="00D23BF1">
        <w:rPr>
          <w:rFonts w:ascii="Times" w:eastAsia="Helvetica Neue" w:hAnsi="Times" w:cs="Helvetica Neue"/>
        </w:rPr>
        <w:fldChar w:fldCharType="end"/>
      </w:r>
      <w:r w:rsidR="00041ADB" w:rsidRPr="00D23BF1">
        <w:rPr>
          <w:rFonts w:ascii="Times" w:eastAsia="Helvetica Neue" w:hAnsi="Times" w:cs="Helvetica Neue"/>
        </w:rPr>
        <w:t>. Furthermore, there are options for analyzing microbial communities based on functional genes rather than individual identity, such as shotgun metagenomics</w:t>
      </w:r>
      <w:sdt>
        <w:sdtPr>
          <w:rPr>
            <w:rFonts w:ascii="Times" w:hAnsi="Times"/>
          </w:rPr>
          <w:tag w:val="goog_rdk_27"/>
          <w:id w:val="-1886556307"/>
        </w:sdtPr>
        <w:sdtEndPr/>
        <w:sdtContent>
          <w:r w:rsidR="00041ADB" w:rsidRPr="00D23BF1">
            <w:rPr>
              <w:rFonts w:ascii="Times" w:eastAsia="Helvetica Neue" w:hAnsi="Times" w:cs="Helvetica Neue"/>
            </w:rPr>
            <w:t xml:space="preserve"> and metabarcoding</w:t>
          </w:r>
        </w:sdtContent>
      </w:sdt>
      <w:r w:rsidR="00041ADB" w:rsidRPr="00D23BF1">
        <w:rPr>
          <w:rFonts w:ascii="Times" w:hAnsi="Times"/>
        </w:rPr>
        <w:t xml:space="preserve">. </w:t>
      </w:r>
    </w:p>
    <w:p w14:paraId="25134B6A" w14:textId="77777777" w:rsidR="00041ADB" w:rsidRPr="00D23BF1" w:rsidRDefault="00041ADB" w:rsidP="00F20BE1">
      <w:pPr>
        <w:jc w:val="both"/>
        <w:rPr>
          <w:rFonts w:ascii="Times" w:eastAsia="Helvetica Neue" w:hAnsi="Times" w:cs="Helvetica Neue"/>
        </w:rPr>
      </w:pPr>
    </w:p>
    <w:p w14:paraId="7040EAC9" w14:textId="77777777" w:rsidR="00041ADB" w:rsidRPr="00D23BF1" w:rsidRDefault="00041ADB" w:rsidP="00F20BE1">
      <w:pPr>
        <w:jc w:val="both"/>
        <w:rPr>
          <w:rFonts w:ascii="Times" w:eastAsia="Helvetica Neue" w:hAnsi="Times" w:cs="Helvetica Neue"/>
          <w:i/>
        </w:rPr>
      </w:pPr>
      <w:r w:rsidRPr="00D23BF1">
        <w:rPr>
          <w:rFonts w:ascii="Times" w:eastAsia="Helvetica Neue" w:hAnsi="Times" w:cs="Helvetica Neue"/>
        </w:rPr>
        <w:t xml:space="preserve">Metabarcoding using 16s is currently one of the most common methods of analyzing microbial communities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{"citationItems":[{"id":"ITEM-1","itemData":{"DOI":"10.1093/bib/bbz155","ISSN":"1477-4054","abstract":"Analyzing the microbiome of diverse species and environments using next-generation sequencing techniques has significantly enhanced our understanding on metabolic, physiological and ecological roles of environmental microorganisms. However, the analysis of the microbiome is affected by experimental conditions (e.g. sequencing errors and genomic repeats) and computationally intensive and cumbersome downstream analysis (e.g. quality control, assembly, binning and statistical analyses). Moreover, the introduction of new sequencing technologies and protocols led to a flood of new methodologies, which also have an immediate effect on the results of the analyses. The aim of this work is to review the most important workflows for 16S rRNA sequencing and shotgun and long-read metagenomics, as well as to provide best-practice protocols on experimental design, sample processing, sequencing, assembly, binning, annotation and visualization. To simplify and standardize the computational analysis, we provide a set of best-practice workflows for 16S rRNA and metagenomic sequencing data (available at https://github.com/grimmlab/MicrobiomeBestPracticeReview).","author":[{"dropping-particle":"","family":"Bharti","given":"Richa","non-dropping-particle":"","parse-names":false,"suffix":""},{"dropping-particle":"","family":"Grimm","given":"Dominik G","non-dropping-particle":"","parse-names":false,"suffix":""}],"container-title":"Briefings in Bioinformatics","id":"ITEM-1","issue":"October","issued":{"date-parts":[["2019"]]},"page":"1-16","title":"Current challenges and best-practice protocols for microbiome analysis","type":"article-journal","volume":"00"},"uris":["http://www.mendeley.com/documents/?uuid=a7894a6c-d3e7-4860-8e97-a85da5386bb5"]},{"id":"ITEM-2","itemData":{"DOI":"10.1038/s41579-018-0029-9","ISBN":"4157901800","ISSN":"17401534","PMID":"29795328","abstract":"Complex microbial communities shape the dynamics of various environments, ranging from the mammalian gastrointestinal tract to the soil. Advances in DNA sequencing technologies and data analysis have provided drastic improvements in microbiome analyses, for example, in taxonomic resolution, false discovery rate control and other properties, over earlier methods. In this Review, we discuss the best practices for performing a microbiome study, including experimental design, choice of molecular analysis technology, methods for data analysis and the integration of multiple omics data sets. We focus on recent findings that suggest that operational taxonomic unit-based analyses should be replaced with new methods that are based on exact sequence variants, methods for integrating metagenomic and metabolomic data, and issues surrounding compositional data analysis, where advances have been particularly rapid. We note that although some of these approaches are new, it is important to keep sight of the classic issues that arise during experimental design and relate to research reproducibility. We describe how keeping these issues in mind allows researchers to obtain more insight from their microbiome data sets.","author":[{"dropping-particle":"","family":"Knight","given":"Rob","non-dropping-particle":"","parse-names":false,"suffix":""},{"dropping-particle":"","family":"Vrbanac","given":"Alison","non-dropping-particle":"","parse-names":false,"suffix":""},{"dropping-particle":"","family":"Taylor","given":"Bryn C.","non-dropping-particle":"","parse-names":false,"suffix":""},{"dropping-particle":"","family":"Aksenov","given":"Alexander","non-dropping-particle":"","parse-names":false,"suffix":""},{"dropping-particle":"","family":"Callewaert","given":"Chris","non-dropping-particle":"","parse-names":false,"suffix":""},{"dropping-particle":"","family":"Debelius","given":"Justine","non-dropping-particle":"","parse-names":false,"suffix":""},{"dropping-particle":"","family":"Gonzalez","given":"Antonio","non-dropping-particle":"","parse-names":false,"suffix":""},{"dropping-particle":"","family":"Kosciolek","given":"Tomasz","non-dropping-particle":"","parse-names":false,"suffix":""},{"dropping-particle":"","family":"McCall","given":"Laura Isobel","non-dropping-particle":"","parse-names":false,"suffix":""},{"dropping-particle":"","family":"McDonald","given":"Daniel","non-dropping-particle":"","parse-names":false,"suffix":""},{"dropping-particle":"V.","family":"Melnik","given":"Alexey","non-dropping-particle":"","parse-names":false,"suffix":""},{"dropping-particle":"","family":"Morton","given":"James T.","non-dropping-particle":"","parse-names":false,"suffix":""},{"dropping-particle":"","family":"Navas","given":"Jose","non-dropping-particle":"","parse-names":false,"suffix":""},{"dropping-particle":"","family":"Quinn","given":"Robert A.","non-dropping-particle":"","parse-names":false,"suffix":""},{"dropping-particle":"","family":"Sanders","given":"Jon G.","non-dropping-particle":"","parse-names":false,"suffix":""},{"dropping-particle":"","family":"Swafford","given":"Austin D.","non-dropping-particle":"","parse-names":false,"suffix":""},{"dropping-particle":"","family":"Thompson","given":"Luke R.","non-dropping-particle":"","parse-names":false,"suffix":""},{"dropping-particle":"","family":"Tripathi","given":"Anupriya","non-dropping-particle":"","parse-names":false,"suffix":""},{"dropping-particle":"","family":"Xu","given":"Zhenjiang Z.","non-dropping-particle":"","parse-names":false,"suffix":""},{"dropping-particle":"","family":"Zaneveld","given":"Jesse R.","non-dropping-particle":"","parse-names":false,"suffix":""},{"dropping-particle":"","family":"Zhu","given":"Qiyun","non-dropping-particle":"","parse-names":false,"suffix":""},{"dropping-particle":"","family":"Caporaso","given":"J. Gregory","non-dropping-particle":"","parse-names":false,"suffix":""},{"dropping-particle":"","family":"Dorrestein","given":"Pieter C.","non-dropping-particle":"","parse-names":false,"suffix":""}],"container-title":"Nature Reviews Microbiology","id":"ITEM-2","issue":"7","issued":{"date-parts":[["2018"]]},"page":"410-422","publisher":"Springer US","title":"Best practices for analysing microbiomes","type":"article-journal","volume":"16"},"uris":["http://www.mendeley.com/documents/?uuid=3fc1d06e-2c1e-4d7a-b08e-3140b845a1f7"]}],"mendeley":{"formattedCitation":"&lt;sup&gt;46,47&lt;/sup&gt;","plainTextFormattedCitation":"46,47","previouslyFormattedCitation":"(Knight &lt;i&gt;et al.&lt;/i&gt; 2018, Bharti &amp; Grimm 2019)"},"properties":{"noteIndex":0},"schema":"https://github.com/citation-style-language/schema/raw/master/csl-citation.json"}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46,47</w:t>
      </w:r>
      <w:r w:rsidRPr="00D23BF1">
        <w:rPr>
          <w:rFonts w:ascii="Times" w:eastAsia="Helvetica Neue" w:hAnsi="Times" w:cs="Helvetica Neue"/>
        </w:rPr>
        <w:fldChar w:fldCharType="end"/>
      </w:r>
      <w:r w:rsidRPr="00D23BF1">
        <w:rPr>
          <w:rFonts w:ascii="Times" w:eastAsia="Helvetica Neue" w:hAnsi="Times" w:cs="Helvetica Neue"/>
        </w:rPr>
        <w:t>. This method produces a library of sequences from the same bacterial region</w:t>
      </w:r>
      <w:sdt>
        <w:sdtPr>
          <w:rPr>
            <w:rFonts w:ascii="Times" w:hAnsi="Times"/>
          </w:rPr>
          <w:tag w:val="goog_rdk_29"/>
          <w:id w:val="825710621"/>
        </w:sdtPr>
        <w:sdtEndPr/>
        <w:sdtContent>
          <w:r w:rsidRPr="00D23BF1">
            <w:rPr>
              <w:rFonts w:ascii="Times" w:eastAsia="Helvetica Neue" w:hAnsi="Times" w:cs="Helvetica Neue"/>
            </w:rPr>
            <w:t xml:space="preserve"> and can yield</w:t>
          </w:r>
        </w:sdtContent>
      </w:sdt>
      <w:r w:rsidRPr="00D23BF1">
        <w:rPr>
          <w:rFonts w:ascii="Times" w:eastAsia="Helvetica Neue" w:hAnsi="Times" w:cs="Helvetica Neue"/>
        </w:rPr>
        <w:t xml:space="preserve"> up to millions of sequences per sample. These data can tell us about the taxonomic diversity of community members in a gut</w:t>
      </w:r>
      <w:sdt>
        <w:sdtPr>
          <w:rPr>
            <w:rFonts w:ascii="Times" w:hAnsi="Times"/>
          </w:rPr>
          <w:tag w:val="goog_rdk_31"/>
          <w:id w:val="-1497413190"/>
        </w:sdtPr>
        <w:sdtEndPr/>
        <w:sdtContent>
          <w:r w:rsidRPr="00D23BF1">
            <w:rPr>
              <w:rFonts w:ascii="Times" w:eastAsia="Helvetica Neue" w:hAnsi="Times" w:cs="Helvetica Neue"/>
            </w:rPr>
            <w:t xml:space="preserve"> and</w:t>
          </w:r>
        </w:sdtContent>
      </w:sdt>
      <w:sdt>
        <w:sdtPr>
          <w:rPr>
            <w:rFonts w:ascii="Times" w:hAnsi="Times"/>
          </w:rPr>
          <w:tag w:val="goog_rdk_32"/>
          <w:id w:val="-1851867061"/>
        </w:sdtPr>
        <w:sdtEndPr/>
        <w:sdtContent>
          <w:sdt>
            <w:sdtPr>
              <w:rPr>
                <w:rFonts w:ascii="Times" w:hAnsi="Times"/>
              </w:rPr>
              <w:tag w:val="goog_rdk_33"/>
              <w:id w:val="-1195075678"/>
            </w:sdtPr>
            <w:sdtEndPr/>
            <w:sdtContent/>
          </w:sdt>
        </w:sdtContent>
      </w:sdt>
      <w:r w:rsidRPr="00D23BF1">
        <w:rPr>
          <w:rFonts w:ascii="Times" w:eastAsia="Helvetica Neue" w:hAnsi="Times" w:cs="Helvetica Neue"/>
        </w:rPr>
        <w:t xml:space="preserve"> how abundant bacterial taxa are relative to one another. Taxonomic information can give us some idea of what functions the </w:t>
      </w:r>
      <w:sdt>
        <w:sdtPr>
          <w:rPr>
            <w:rFonts w:ascii="Times" w:hAnsi="Times"/>
          </w:rPr>
          <w:tag w:val="goog_rdk_36"/>
          <w:id w:val="-1759978711"/>
        </w:sdtPr>
        <w:sdtEndPr/>
        <w:sdtContent>
          <w:r w:rsidRPr="00D23BF1">
            <w:rPr>
              <w:rFonts w:ascii="Times" w:eastAsia="Helvetica Neue" w:hAnsi="Times" w:cs="Helvetica Neue"/>
            </w:rPr>
            <w:t>community members</w:t>
          </w:r>
        </w:sdtContent>
      </w:sdt>
      <w:r w:rsidRPr="00D23BF1">
        <w:rPr>
          <w:rFonts w:ascii="Times" w:eastAsia="Helvetica Neue" w:hAnsi="Times" w:cs="Helvetica Neue"/>
        </w:rPr>
        <w:t xml:space="preserve"> may be serving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{"citationItems":[{"id":"ITEM-1","itemData":{"DOI":"10.1038/nbt.2676","ISSN":"1546-1696","PMID":"23975157","abstract":"Profiling phylogenetic marker genes, such as the 16S rRNA gene, is a key tool for studies of microbial communities but does not provide direct evidence of a community's functional capabilities. Here we describe PICRUSt (phylogenetic investigation of communities by reconstruction of unobserved states), a computational approach to predict the functional composition of a metagenome using marker gene data and a database of reference genomes. PICRUSt uses an extended ancestral-state reconstruction algorithm to predict which gene families are present and then combines gene families to estimate the composite metagenome. Using 16S information, PICRUSt recaptures key findings from the Human Microbiome Project and accurately predicts the abundance of gene families in host-associated and environmental communities, with quantifiable uncertainty. Our results demonstrate that phylogeny and function are sufficiently linked that this 'predictive metagenomic' approach should provide useful insights into the thousands of uncultivated microbial communities for which only marker gene surveys are currently available.","author":[{"dropping-particle":"","family":"Langille","given":"Morgan G I","non-dropping-particle":"","parse-names":false,"suffix":""},{"dropping-particle":"","family":"Zaneveld","given":"Jesse","non-dropping-particle":"","parse-names":false,"suffix":""},{"dropping-particle":"","family":"Caporaso","given":"J Gregory","non-dropping-particle":"","parse-names":false,"suffix":""},{"dropping-particle":"","family":"McDonald","given":"Daniel","non-dropping-particle":"","parse-names":false,"suffix":""},{"dropping-particle":"","family":"Knights","given":"Dan","non-dropping-particle":"","parse-names":false,"suffix":""},{"dropping-particle":"","family":"Reyes","given":"Joshua a","non-dropping-particle":"","parse-names":false,"suffix":""},{"dropping-particle":"","family":"Clemente","given":"Jose C","non-dropping-particle":"","parse-names":false,"suffix":""},{"dropping-particle":"","family":"Burkepile","given":"Deron E","non-dropping-particle":"","parse-names":false,"suffix":""},{"dropping-particle":"","family":"Vega Thurber","given":"Rebecca L","non-dropping-particle":"","parse-names":false,"suffix":""},{"dropping-particle":"","family":"Knight","given":"Rob","non-dropping-particle":"","parse-names":false,"suffix":""},{"dropping-particle":"","family":"Beiko","given":"Robert G","non-dropping-particle":"","parse-names":false,"suffix":""},{"dropping-particle":"","family":"Huttenhower","given":"Curtis","non-dropping-particle":"","parse-names":false,"suffix":""}],"container-title":"Nature biotechnology","id":"ITEM-1","issue":"9","issued":{"date-parts":[["2013","9"]]},"page":"814-21","publisher":"Nature Publishing Group","title":"Predictive functional profiling of microbial communities using 16S rRNA marker gene sequences.","type":"article-journal","volume":"31"},"uris":["http://www.mendeley.com/documents/?uuid=ca54b300-fcfd-4ad0-8d54-f128dfc90c4c"]}],"mendeley":{"formattedCitation":"&lt;sup&gt;48&lt;/sup&gt;","plainTextFormattedCitation":"48","previouslyFormattedCitation":"(Langille &lt;i&gt;et al.&lt;/i&gt; 2013)"},"properties":{"noteIndex":0},"schema":"https://github.com/citation-style-language/schema/raw/master/csl-citation.json"}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48</w:t>
      </w:r>
      <w:r w:rsidRPr="00D23BF1">
        <w:rPr>
          <w:rFonts w:ascii="Times" w:eastAsia="Helvetica Neue" w:hAnsi="Times" w:cs="Helvetica Neue"/>
        </w:rPr>
        <w:fldChar w:fldCharType="end"/>
      </w:r>
      <w:r w:rsidRPr="00D23BF1">
        <w:rPr>
          <w:rFonts w:ascii="Times" w:eastAsia="Helvetica Neue" w:hAnsi="Times" w:cs="Helvetica Neue"/>
        </w:rPr>
        <w:t>. However</w:t>
      </w:r>
      <w:sdt>
        <w:sdtPr>
          <w:rPr>
            <w:rFonts w:ascii="Times" w:hAnsi="Times"/>
          </w:rPr>
          <w:tag w:val="goog_rdk_38"/>
          <w:id w:val="58298595"/>
        </w:sdtPr>
        <w:sdtEndPr/>
        <w:sdtContent>
          <w:r w:rsidRPr="00D23BF1">
            <w:rPr>
              <w:rFonts w:ascii="Times" w:eastAsia="Helvetica Neue" w:hAnsi="Times" w:cs="Helvetica Neue"/>
            </w:rPr>
            <w:t>,</w:t>
          </w:r>
        </w:sdtContent>
      </w:sdt>
      <w:r w:rsidRPr="00D23BF1">
        <w:rPr>
          <w:rFonts w:ascii="Times" w:eastAsia="Helvetica Neue" w:hAnsi="Times" w:cs="Helvetica Neue"/>
        </w:rPr>
        <w:t xml:space="preserve"> the same metabolic processes may be carried out by distantly related bacteria, and likewise closely related bacteria can be carrying out drastically different metabolic processes </w:t>
      </w:r>
      <w:r w:rsidRPr="00D23BF1">
        <w:rPr>
          <w:rFonts w:ascii="Times" w:eastAsia="Helvetica Neue" w:hAnsi="Times" w:cs="Helvetica Neue"/>
        </w:rPr>
        <w:fldChar w:fldCharType="begin" w:fldLock="1"/>
      </w:r>
      <w:r w:rsidRPr="00D23BF1">
        <w:rPr>
          <w:rFonts w:ascii="Times" w:eastAsia="Helvetica Neue" w:hAnsi="Times" w:cs="Helvetica Neue"/>
        </w:rPr>
        <w:instrText xml:space="preserve">ADDIN CSL_CITATION {"citationItems":[{"id":"ITEM-1","itemData":{"DOI":"10.1371/journal.pone.0093827","ISSN":"19326203","PMID":"24714158","abstract":"This study explored the short-term planktonic microbial community structure and resilience in Lake Lanier (GA, USA) while simultaneously evaluating the technical aspects of identifying taxa via 16S rRNA gene amplicon and metagenomic sequence data. 16S rRNA gene amplicons generated from four temporally discrete samples were sequenced with 454 GSFLX-Ti yielding </w:instrText>
      </w:r>
      <w:r w:rsidRPr="00D23BF1">
        <w:rPr>
          <w:rFonts w:ascii="Cambria Math" w:eastAsia="Helvetica Neue" w:hAnsi="Cambria Math" w:cs="Cambria Math"/>
        </w:rPr>
        <w:instrText>∼</w:instrText>
      </w:r>
      <w:r w:rsidRPr="00D23BF1">
        <w:rPr>
          <w:rFonts w:ascii="Times" w:eastAsia="Helvetica Neue" w:hAnsi="Times" w:cs="Helvetica Neue"/>
        </w:rPr>
        <w:instrText xml:space="preserve">40,000 rRNA gene sequences from each sample and representing </w:instrText>
      </w:r>
      <w:r w:rsidRPr="00D23BF1">
        <w:rPr>
          <w:rFonts w:ascii="Cambria Math" w:eastAsia="Helvetica Neue" w:hAnsi="Cambria Math" w:cs="Cambria Math"/>
        </w:rPr>
        <w:instrText>∼</w:instrText>
      </w:r>
      <w:r w:rsidRPr="00D23BF1">
        <w:rPr>
          <w:rFonts w:ascii="Times" w:eastAsia="Helvetica Neue" w:hAnsi="Times" w:cs="Helvetica Neue"/>
        </w:rPr>
        <w:instrText xml:space="preserve">300 observed OTUs. Replicates obtained from the same biological sample clustered together but several biases were observed, linked to either the PCR or sequencing-preparation steps. In comparisons with companion whole-community shotgun metagenome datasets, the estimated number of OTUs at each timepoint was concordant, but 1.5 times and </w:instrText>
      </w:r>
      <w:r w:rsidRPr="00D23BF1">
        <w:rPr>
          <w:rFonts w:ascii="Cambria Math" w:eastAsia="Helvetica Neue" w:hAnsi="Cambria Math" w:cs="Cambria Math"/>
        </w:rPr>
        <w:instrText>∼</w:instrText>
      </w:r>
      <w:r w:rsidRPr="00D23BF1">
        <w:rPr>
          <w:rFonts w:ascii="Times" w:eastAsia="Helvetica Neue" w:hAnsi="Times" w:cs="Helvetica Neue"/>
        </w:rPr>
        <w:instrText>10 times as many phyla and genera, respectively, were identified in the metagenomes. Our analyses showed that the 16S rRNA gene captures broad shifts in community diversity over time, but with limited resolution and lower sensitivity compared to metagenomic data. We also identified OTUs that showed marked shifts in abundance over four close timepoints separated by perturbations and tracked these taxa in the metagenome vs. 16S rRNA amplicon data. A strong summer storm had less of an effect on community composition than did seasonal mixing, which revealed a distinct succession of organisms. This study provides insights into freshwater microbial communities and advances the approaches for assessing community diversity and dynamics in situ. © 2014 Poretsky et al.","author":[{"dropping-particle":"","family":"Poretsky","given":"Rachel","non-dropping-particle":"","parse-names":false,"suffix":""},{"dropping-particle":"","family":"Rodriguez-R","given":"Luis M.","non-dropping-particle":"","parse-names":false,"suffix":""},{"dropping-particle":"","family":"Luo","given":"Chengwei","non-dropping-particle":"","parse-names":false,"suffix":""},{"dropping-particle":"","family":"Tsementzi","given":"Despina","non-dropping-particle":"","parse-names":false,"suffix":""},{"dropping-particle":"","family":"Konstantinidis","given":"Konstantinos T.","non-dropping-particle":"","parse-names":false,"suffix":""}],"container-title":"PLoS ONE","id":"ITEM-1","issue":"4","issued":{"date-parts":[["2014"]]},"title":"Strengths and limitations of 16S rRNA gene amplicon sequencing in revealing temporal microbial community dynamics","type":"article-journal","volume":"9"},"uris":["http://www.mendeley.com/documents/?uuid=03757401-302e-4f1a-a5f6-e9d518397f14"]}],"mendeley":{"formattedCitation":"&lt;sup&gt;49&lt;/sup&gt;","plainTextFormattedCitation":"49","previouslyFormattedCitation":"(Poretsky &lt;i&gt;et al.&lt;/i&gt; 2014)"},"properties":{"noteIndex":0},"schema":"https://github.com/citation-style-language/schema/raw/master/csl-citation.json"}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49</w:t>
      </w:r>
      <w:r w:rsidRPr="00D23BF1">
        <w:rPr>
          <w:rFonts w:ascii="Times" w:eastAsia="Helvetica Neue" w:hAnsi="Times" w:cs="Helvetica Neue"/>
        </w:rPr>
        <w:fldChar w:fldCharType="end"/>
      </w:r>
      <w:r w:rsidRPr="00D23BF1">
        <w:rPr>
          <w:rFonts w:ascii="Times" w:eastAsia="Helvetica Neue" w:hAnsi="Times" w:cs="Helvetica Neue"/>
        </w:rPr>
        <w:t xml:space="preserve">. Taxonomic information alone cannot definitively tell us about bacterial function; therefore, care should be taken in interpreting functional information from metabarcoding approaches. Despite the limitations of metabarcoding, these data can be useful in describing bacterial communities and making various comparisons between communities. One can estimate measures of community membership and structure, including alpha and beta diversity. </w:t>
      </w:r>
    </w:p>
    <w:p w14:paraId="057C1397" w14:textId="77777777" w:rsidR="00041ADB" w:rsidRPr="00D23BF1" w:rsidRDefault="00041ADB" w:rsidP="00F20BE1">
      <w:pPr>
        <w:jc w:val="both"/>
        <w:rPr>
          <w:rFonts w:ascii="Times" w:eastAsia="Helvetica Neue" w:hAnsi="Times" w:cs="Helvetica Neue"/>
        </w:rPr>
      </w:pPr>
    </w:p>
    <w:p w14:paraId="040830FF" w14:textId="77777777" w:rsidR="00041ADB" w:rsidRPr="00D23BF1" w:rsidRDefault="00041ADB" w:rsidP="00F20BE1">
      <w:pPr>
        <w:rPr>
          <w:rFonts w:ascii="Times" w:hAnsi="Times"/>
          <w:i/>
          <w:iCs/>
        </w:rPr>
      </w:pPr>
      <w:r w:rsidRPr="00D23BF1">
        <w:rPr>
          <w:rFonts w:ascii="Times" w:hAnsi="Times"/>
          <w:i/>
          <w:iCs/>
        </w:rPr>
        <w:t>Avian microbiomes</w:t>
      </w:r>
    </w:p>
    <w:p w14:paraId="494C4F66" w14:textId="77777777" w:rsidR="00041ADB" w:rsidRPr="00D23BF1" w:rsidRDefault="00041ADB" w:rsidP="00F20BE1">
      <w:pPr>
        <w:jc w:val="both"/>
        <w:rPr>
          <w:rFonts w:ascii="Times" w:eastAsia="Helvetica Neue" w:hAnsi="Times" w:cs="Helvetica Neue"/>
        </w:rPr>
      </w:pPr>
    </w:p>
    <w:p w14:paraId="0F8ECEB4"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 xml:space="preserve">Much of our understanding of the role of the gut microbiome in the life of its host comes from research conducted on mammals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{"citationItems":[{"id":"ITEM-1","itemData":{"DOI":"10.1111/jav.01788","ISBN":"0000000329","ISSN":"1600048X","abstract":"Gastrointestinal microbiota play a vital role in maintaining organismal health, through facilitating nutrient uptake, detoxification and interactions with the immune system. The gastrointestinal microbiota of birds has been poorly studied, especially in wild species under natural conditions. Studies of avian gut microbiota are outnumbered ten to one by studies of mammals, and are dominated by research on domestic poultry. Unlike domestic poultry, wild birds vary widely in environmental preferences, physiology, and life-history traits, such as migratory behavior and mating systems. Species characteristics result in a vast diversity in gut microbiota and its composition and function. Avian life-history characteristics pose selection pressures on the gut microbiota, and ultimately affect host health. Here, we review current knowledge of the gut microbiota of wild birds, including: partitioning of digestive function and microbiota among different gastrointestinal compartments, microbial diversity and function in the context of host diet, energetics and behavior, and the intrinsic and extrinsic factors impacting gut microbiota in free-living birds. The shared core microbiota of wild bird species is dominated by members of four major phyla: Firmicutes, Proteobacteria, Bacteroidetes and Actinobacteria. However, microbial communities varies inter- and intra-specifically, and among gastrointestinal tract sections. To conclude, we identify three key research areas that warrant further investigation: 1) expanding the range of avian host taxa investigated, 2) identifying the function of avian gut microbiota in physiology and immunology, and 3) transitioning from observational studies to experimental manipulations to identify key determinants of wild bird gut microbiota composition.","author":[{"dropping-particle":"","family":"Grond","given":"Kirsten","non-dropping-particle":"","parse-names":false,"suffix":""},{"dropping-particle":"","family":"Sandercock","given":"Brett K.","non-dropping-particle":"","parse-names":false,"suffix":""},{"dropping-particle":"","family":"Jumpponen","given":"Ari","non-dropping-particle":"","parse-names":false,"suffix":""},{"dropping-particle":"","family":"Zeglin","given":"Lydia H.","non-dropping-particle":"","parse-names":false,"suffix":""}],"container-title":"Journal of Avian Biology","id":"ITEM-1","issue":"11","issued":{"date-parts":[["2018"]]},"page":"1-19","title":"The avian gut microbiota: community, physiology and function in wild birds","type":"article-journal","volume":"49"},"uris":["http://www.mendeley.com/documents/?uuid=32d70b63-3a60-47e5-ba9d-2b1624fd5815"]},{"id":"ITEM-2","itemData":{"DOI":"10.1007/s00360-012-0645-z","ISBN":"1432-136X (Electronic)\\r0174-1578 (Linking)","ISSN":"01741578","PMID":"22246239","abstract":"The intestinal microbiota have now been shown to largely affect host health through various functional roles in terms of nutrition, immunity, and other physiological systems. However, the majority of these studies have been carried out in mammalian hosts, which differ in their physiological traits from other taxa. For example, birds possess several unique life history traits, such as hatching from eggs, which may alter the interactions with and transmission of intestinal microbes compared to most mammals. This review covers the diversity of microbial taxa hosted by birds. It also discusses how avian microbial communities strongly influence nutrition, immune function, and processing of toxins in avian hosts, in manners similar to and different from mammalian systems. Finally, areas demanding further research are identified, along with descriptions of existing techniques that could be employed to answer these questions.","author":[{"dropping-particle":"","family":"Kohl","given":"Kevin D.","non-dropping-particle":"","parse-names":false,"suffix":""}],"container-title":"Journal of Comparative Physiology B: Biochemical, Systemic, and Environmental Physiology","id":"ITEM-2","issue":"5","issued":{"date-parts":[["2012"]]},"page":"591-602","title":"Diversity and function of the avian gut microbiota","type":"article-journal","volume":"182"},"uris":["http://www.mendeley.com/documents/?uuid=82ba7ef9-c08b-47e0-9f18-2bb7cd673e56"]}],"mendeley":{"formattedCitation":"&lt;sup&gt;1,50&lt;/sup&gt;","plainTextFormattedCitation":"1,50","previouslyFormattedCitation":"(Kohl 2012, Grond &lt;i&gt;et al.&lt;/i&gt; 2018)"},"properties":{"noteIndex":0},"schema":"https://github.com/citation-style-language/schema/raw/master/csl-citation.json"}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1,50</w:t>
      </w:r>
      <w:r w:rsidRPr="00D23BF1">
        <w:rPr>
          <w:rFonts w:ascii="Times" w:eastAsia="Helvetica Neue" w:hAnsi="Times" w:cs="Helvetica Neue"/>
        </w:rPr>
        <w:fldChar w:fldCharType="end"/>
      </w:r>
      <w:r w:rsidRPr="00D23BF1">
        <w:rPr>
          <w:rFonts w:ascii="Times" w:eastAsia="Helvetica Neue" w:hAnsi="Times" w:cs="Helvetica Neue"/>
        </w:rPr>
        <w:t>. However, significant differences in the gastro-intestinal anatomy and physiology between mammals and birds make for different microbial habitats. Thus, it may be unwise to extrapolate findings in mammalian systems to avian ones. For example, mechanical digestion in mammals takes place in the mouth, but in the gizzard for birds. Further, there is variation across avian taxa in digestive strategy. There are examples of dietary convergence through different digestive strategies, with both rhea (</w:t>
      </w:r>
      <w:proofErr w:type="spellStart"/>
      <w:r w:rsidRPr="00D23BF1">
        <w:rPr>
          <w:rFonts w:ascii="Times" w:eastAsia="Helvetica Neue" w:hAnsi="Times" w:cs="Helvetica Neue"/>
        </w:rPr>
        <w:t>Rheidae</w:t>
      </w:r>
      <w:proofErr w:type="spellEnd"/>
      <w:r w:rsidRPr="00D23BF1">
        <w:rPr>
          <w:rFonts w:ascii="Times" w:eastAsia="Helvetica Neue" w:hAnsi="Times" w:cs="Helvetica Neue"/>
        </w:rPr>
        <w:t>) and ostriches (</w:t>
      </w:r>
      <w:proofErr w:type="spellStart"/>
      <w:r w:rsidRPr="00D23BF1">
        <w:rPr>
          <w:rFonts w:ascii="Times" w:eastAsia="Helvetica Neue" w:hAnsi="Times" w:cs="Helvetica Neue"/>
        </w:rPr>
        <w:t>Struthionidae</w:t>
      </w:r>
      <w:proofErr w:type="spellEnd"/>
      <w:r w:rsidRPr="00D23BF1">
        <w:rPr>
          <w:rFonts w:ascii="Times" w:eastAsia="Helvetica Neue" w:hAnsi="Times" w:cs="Helvetica Neue"/>
        </w:rPr>
        <w:t>) possessing an elongated colon for fermentation of high fiber diets, but hoatzins (</w:t>
      </w:r>
      <w:proofErr w:type="spellStart"/>
      <w:r w:rsidRPr="00D23BF1">
        <w:rPr>
          <w:rFonts w:ascii="Times" w:eastAsia="Helvetica Neue" w:hAnsi="Times" w:cs="Helvetica Neue"/>
        </w:rPr>
        <w:t>Opisthocomidae</w:t>
      </w:r>
      <w:proofErr w:type="spellEnd"/>
      <w:r w:rsidRPr="00D23BF1">
        <w:rPr>
          <w:rFonts w:ascii="Times" w:eastAsia="Helvetica Neue" w:hAnsi="Times" w:cs="Helvetica Neue"/>
        </w:rPr>
        <w:t xml:space="preserve">) instead using an enlarged crop for fermentation of a similar diet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{"citationItems":[{"id":"ITEM-1","itemData":{"DOI":"10.1016/j.anifeedsci.2003.09.007","ISBN":"0377-8401","ISSN":"03778401","abstract":"Poultry diets are primarily based on plant proteins, with carbohydrates serving as the principal source of energy. There is usually no problem digesting most of the sugars as well as starch in the poultry gastrointestinal tract (GIT). However, some carbohydrate fractions, such as dietary fibre (DF), are not hydrolyzed by avian gastrointestinal enzymes but are fermented by the resident anaerobic microflora. Unfortunately, problems can occur with the feeding of dietary fibre due to the physicochemical properties (i.e. viscosity) of the non-starch polysaccharides (NSPs). It has been shown that components of NSPs, including pentosans (arabinoxylans), pectins, and β-glucans have negative effects in the poultry gastrointestinal tract. The anti-nutritive nature of NSPs in poultry diets has been well documented, but data regarding the fermentation of these and other carbohydrates by cecal microorganisms are limited. Concentrations of short-chain fatty acids (SCFA) are highest in the cecum compared with other areas of the avian gastrointestinal tract. It has been suggested that the short-chain fatty acids may inhibit the growth of pathogenic bacteria whilst in addition providing some energy-yielding substrates to the host animal after absorption. The objective of the current paper is to provide an overview of carbohydrate fermentation in the avian ceca as well as to focus on some potential advantages to the bird of this fermentation. © 2003 Elsevier B.V. All rights reserved.","author":[{"dropping-particle":"","family":"Józefiak","given":"D.","non-dropping-particle":"","parse-names":false,"suffix":""},{"dropping-particle":"","family":"Rutkowski","given":"A.","non-dropping-particle":"","parse-names":false,"suffix":""},{"dropping-particle":"","family":"Martin","given":"S. A.","non-dropping-particle":"","parse-names":false,"suffix":""}],"container-title":"Animal Feed Science and Technology","id":"ITEM-1","issue":"1-4","issued":{"date-parts":[["2004"]]},"page":"1-15","title":"Carbohydrate fermentation in the avian ceca: A review","type":"article-journal","volume":"113"},"uris":["http://www.mendeley.com/documents/?uuid=18ea4a09-491a-4b6b-a205-f6f5d77b4422"]}],"mendeley":{"formattedCitation":"&lt;sup&gt;51&lt;/sup&gt;","plainTextFormattedCitation":"51","previouslyFormattedCitation":"(Józefiak &lt;i&gt;et al.&lt;/i&gt; 2004)"},"properties":{"noteIndex":0},"schema":"https://github.com/citation-style-language/schema/raw/master/csl-citation.json"}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51</w:t>
      </w:r>
      <w:r w:rsidRPr="00D23BF1">
        <w:rPr>
          <w:rFonts w:ascii="Times" w:eastAsia="Helvetica Neue" w:hAnsi="Times" w:cs="Helvetica Neue"/>
        </w:rPr>
        <w:fldChar w:fldCharType="end"/>
      </w:r>
      <w:r w:rsidRPr="00D23BF1">
        <w:rPr>
          <w:rFonts w:ascii="Times" w:eastAsia="Helvetica Neue" w:hAnsi="Times" w:cs="Helvetica Neue"/>
        </w:rPr>
        <w:t xml:space="preserve">. These examples illustrate that a trend or mechanism found in one group should not be assumed to be identical in disparate systems. </w:t>
      </w:r>
      <w:sdt>
        <w:sdtPr>
          <w:rPr>
            <w:rFonts w:ascii="Times" w:hAnsi="Times"/>
          </w:rPr>
          <w:tag w:val="goog_rdk_45"/>
          <w:id w:val="543643254"/>
        </w:sdtPr>
        <w:sdtEndPr/>
        <w:sdtContent/>
      </w:sdt>
      <w:r w:rsidRPr="00D23BF1">
        <w:rPr>
          <w:rFonts w:ascii="Times" w:eastAsia="Helvetica Neue" w:hAnsi="Times" w:cs="Helvetica Neue"/>
        </w:rPr>
        <w:t>Thus, the uniquely avian traits that distinguish birds from mammals warrant further investigation into avian gut microbiomes.</w:t>
      </w:r>
    </w:p>
    <w:p w14:paraId="749C9047" w14:textId="77777777" w:rsidR="00041ADB" w:rsidRPr="00D23BF1" w:rsidRDefault="00041ADB" w:rsidP="00F20BE1">
      <w:pPr>
        <w:jc w:val="both"/>
        <w:rPr>
          <w:rFonts w:ascii="Times" w:eastAsia="Helvetica Neue" w:hAnsi="Times" w:cs="Helvetica Neue"/>
        </w:rPr>
      </w:pPr>
    </w:p>
    <w:p w14:paraId="3557D92C"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 xml:space="preserve">Though the volume of research on avian microbiomes pales in comparison to that of mammalian microbiomes, there has certainly been some excellent research on the topic. As reviewed by </w:t>
      </w:r>
      <w:proofErr w:type="spellStart"/>
      <w:r w:rsidRPr="00D23BF1">
        <w:rPr>
          <w:rFonts w:ascii="Times" w:eastAsia="Helvetica Neue" w:hAnsi="Times" w:cs="Helvetica Neue"/>
        </w:rPr>
        <w:t>Grond</w:t>
      </w:r>
      <w:proofErr w:type="spellEnd"/>
      <w:r w:rsidRPr="00D23BF1">
        <w:rPr>
          <w:rFonts w:ascii="Times" w:eastAsia="Helvetica Neue" w:hAnsi="Times" w:cs="Helvetica Neue"/>
        </w:rPr>
        <w:t xml:space="preserve"> et al. (2018), avian microbiomes are dominated by Bacteroidetes, Firmicutes, Actinobacteria, and Proteobacteria. These same bacterial phyla are found in other vertebrate families, but in different proportions. Beyond this type of general characterization of avian gut microbial communities, studies have emerged in many subject areas new to avian gut microbiome research. These topics include endocrinology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{"citationItems":[{"id":"ITEM-1","itemData":{"DOI":"10.1111/1365-2435.12696","ISSN":"13652435","abstract":"Testosterone mediates several key aspects of male reproduction, but maintaining high testosterone levels can reduce long-term survival. One of the proposed pathways by which testosterone can influence survival is through increased risk of parasite infection. The hormone has the potential to affect the transmission of sexually transmitted infections by promoting behaviors that increase sexual contact rates and/or by decreasing immune function. We hypothesized that males with high concentrations of testosterone would increase their chances of being infected with sexually transmitted bacteria, which would manifest as increased diversity of cloacal bacteria. To test this hypothesis, we measured circulating testosterone concentrations in breeding male rufous-collared sparrows (Zonotrichia capensis) and collected cloacal swabs to quantify bacterial diversity using 16S rRNA gene amplicon sequencing. There was a positive correlation between testosterone concentrations and the phylogenetic diversity of cloacal bacteria. In addition, individuals with high and medium testosterone concentrations had cloacal bacterial communities that were more similar to each other than to those of low testosterone individuals. Finally, when considering bacterial taxa that are potential avian pathogens, we found that the relative abundance of Chlamydiae, a class of obligate intracellular parasites, was positively correlated with testosterone concentrations. Two nonexclusive explanations for these results are that testosterone affects behaviors that lead to increased sexual contacts and thus the exposure and acquisition of additional phylogenetically diverse bacteria, and/or that testosterone is altering the immune system or the cloacal environment, thus making it easier for bacteria to colonize. Either way, these data suggest that increased exposure to sexually transmitted pathogens in the form of cloacal bacteria could be a cost of maintaining high testosterone levels. This article is protected by copyright. All rights reserved.","author":[{"dropping-particle":"","family":"Escallón","given":"Camilo","non-dropping-particle":"","parse-names":false,"suffix":""},{"dropping-particle":"","family":"Becker","given":"Matthew H.","non-dropping-particle":"","parse-names":false,"suffix":""},{"dropping-particle":"","family":"Walke","given":"Jenifer B.","non-dropping-particle":"","parse-names":false,"suffix":""},{"dropping-particle":"V.","family":"Jensen","given":"Roderick","non-dropping-particle":"","parse-names":false,"suffix":""},{"dropping-particle":"","family":"Cormier","given":"Guy","non-dropping-particle":"","parse-names":false,"suffix":""},{"dropping-particle":"","family":"Belden","given":"Lisa K.","non-dropping-particle":"","parse-names":false,"suffix":""},{"dropping-particle":"","family":"Moore","given":"Ignacio T.","non-dropping-particle":"","parse-names":false,"suffix":""}],"container-title":"Functional Ecology","id":"ITEM-1","issue":"1","issued":{"date-parts":[["2017"]]},"page":"192-203","title":"Testosterone levels are positively correlated with cloacal bacterial diversity and the relative abundance of Chlamydiae in breeding male rufous-collared sparrows","type":"article-journal","volume":"31"},"uris":["http://www.mendeley.com/documents/?uuid=410b2afe-0ad7-4368-a555-b172faa7702e"]}],"mendeley":{"formattedCitation":"&lt;sup&gt;52&lt;/sup&gt;","plainTextFormattedCitation":"52","previouslyFormattedCitation":"(Escallón &lt;i&gt;et al.&lt;/i&gt; 2017)"},"properties":{"noteIndex":0},"schema":"https://github.com/citation-style-language/schema/raw/master/csl-citation.json"}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52</w:t>
      </w:r>
      <w:r w:rsidRPr="00D23BF1">
        <w:rPr>
          <w:rFonts w:ascii="Times" w:eastAsia="Helvetica Neue" w:hAnsi="Times" w:cs="Helvetica Neue"/>
        </w:rPr>
        <w:fldChar w:fldCharType="end"/>
      </w:r>
      <w:r w:rsidRPr="00D23BF1">
        <w:rPr>
          <w:rFonts w:ascii="Times" w:eastAsia="Helvetica Neue" w:hAnsi="Times" w:cs="Helvetica Neue"/>
        </w:rPr>
        <w:t xml:space="preserve">, developmental biology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{"citationItems":[{"id":"ITEM-1","itemData":{"DOI":"10.1111/ibi.12618","ISBN":"2068026392","ISSN":"00191019","PMID":"19190338","abstract":"Here, we document the development of the House Sparrow Passer domesticus gut microbiota for the benefit of future ecological and evolutionary studies in this widely used avian system. We collected and inventoried luminal and mucosal samples from the distal guts of nestling House Sparrows between three and 12 days of age, and also collected similar samples from adult birds. Luminal bacterial community membership and structure differed significantly between nestlings and adults. The relative abundance of Proteobacteria in the lumen decreased around day nine, while the relative abundance of Firmicutes increased, demonstrating age</w:instrText>
      </w:r>
      <w:r w:rsidRPr="00D23BF1">
        <w:rPr>
          <w:rFonts w:ascii="Cambria Math" w:eastAsia="Helvetica Neue" w:hAnsi="Cambria Math" w:cs="Cambria Math"/>
        </w:rPr>
        <w:instrText>‐</w:instrText>
      </w:r>
      <w:r w:rsidRPr="00D23BF1">
        <w:rPr>
          <w:rFonts w:ascii="Times" w:eastAsia="Helvetica Neue" w:hAnsi="Times" w:cs="Helvetica Neue"/>
        </w:rPr>
        <w:instrText>related changes in the microbiota of House Sparrows.","author":[{"dropping-particle":"","family":"Kohl","given":"Kevin D.","non-dropping-particle":"","parse-names":false,"suffix":""},{"dropping-particle":"","family":"Brun","given":"Antonio","non-dropping-particle":"","parse-names":false,"suffix":""},{"dropping-particle":"","family":"Caviedes-Vidal","given":"Enrique","non-dropping-particle":"","parse-names":false,"suffix":""},{"dropping-particle":"","family":"Karasov","given":"William H.","non-dropping-particle":"","parse-names":false,"suffix":""}],"container-title":"Ibis","id":"ITEM-1","issued":{"date-parts":[["2018"]]},"title":"Age-related changes in the gut microbiota of wild House Sparrow nestlings","type":"article-journal"},"uris":["http://www.mendeley.com/documents/?uuid=c57f62b7-6d3e-427b-ae03-ae14bdd02131"]}],"mendeley":{"formattedCitation":"&lt;sup&gt;53&lt;/sup&gt;","plainTextFormattedCitation":"53","previouslyFormattedCitation":"(Kohl &lt;i&gt;et al.&lt;/i&gt; 2018)"},"properties":{"noteIndex":0},"schema":"https://github.com/citation-style-language/schema/raw/master/csl-citation.json"}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53</w:t>
      </w:r>
      <w:r w:rsidRPr="00D23BF1">
        <w:rPr>
          <w:rFonts w:ascii="Times" w:eastAsia="Helvetica Neue" w:hAnsi="Times" w:cs="Helvetica Neue"/>
        </w:rPr>
        <w:fldChar w:fldCharType="end"/>
      </w:r>
      <w:r w:rsidRPr="00D23BF1">
        <w:rPr>
          <w:rFonts w:ascii="Times" w:eastAsia="Helvetica Neue" w:hAnsi="Times" w:cs="Helvetica Neue"/>
        </w:rPr>
        <w:t xml:space="preserve">, ecology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{"citationItems":[{"id":"ITEM-1","itemData":{"DOI":"10.1093/femsec/fiz061","ISSN":"15746941","abstract":"Microbiomes can be considered as 'second genomes' for the host, and can deeply affect its physiology, behaviour and fitness. We investigated the cloacal microbiomes (CMs) of adult and nestling barn swallows (Hirundo rustica), a small insectivorous migratory passerine bird, in order to assess whether CM structure was related to major ecological traits of individuals. Illumina sequencing of the V5-V6 hypervariable regions of the bacterial 16S rRNA gene showed that barn swallow CMs were dominated by Proteobacteria, Firmicutes, Actinobacteria, Tenericutes and Bacteroidetes. Nestling CMs were more similar to one another than adult ones, but showed higher alpha diversity. Sibling nestlings had more similar CMs than non-sibling ones. CMs of adult males also differed from those of adult females, but pair members had more similar CMs than expected by chance. In contrast, CMs did not differ between male and female nestlings. Finally, in adults, CMs strongly different from the 'average' CM were associated to lower survival prospects of the host. The CMs of a bird species in the wild are therefore related to important traits of individuals, such as survival, suggesting that microbiomes should be included among the traits examined in ecological studies.","author":[{"dropping-particle":"","family":"Ambrosini","given":"Roberto","non-dropping-particle":"","parse-names":false,"suffix":""},{"dropping-particle":"","family":"Corti","given":"Margherita","non-dropping-particle":"","parse-names":false,"suffix":""},{"dropping-particle":"","family":"Franzetti","given":"Andrea","non-dropping-particle":"","parse-names":false,"suffix":""},{"dropping-particle":"","family":"Caprioli","given":"Manuela","non-dropping-particle":"","parse-names":false,"suffix":""},{"dropping-particle":"","family":"Rubolini","given":"Diego","non-dropping-particle":"","parse-names":false,"suffix":""},{"dropping-particle":"","family":"Motta","given":"Veronica Maria","non-dropping-particle":"","parse-names":false,"suffix":""},{"dropping-particle":"","family":"Costanzo","given":"Alessandra","non-dropping-particle":"","parse-names":false,"suffix":""},{"dropping-particle":"","family":"Saino","given":"Nicola","non-dropping-particle":"","parse-names":false,"suffix":""},{"dropping-particle":"","family":"Gandolfi","given":"Isabella","non-dropping-particle":"","parse-names":false,"suffix":""}],"container-title":"FEMS Microbiology Ecology","id":"ITEM-1","issue":"6","issued":{"date-parts":[["2019"]]},"page":"1-13","publisher":"Oxford University Press","title":"Cloacal microbiomes and ecology of individual barn swallows","type":"article-journal","volume":"95"},"uris":["http://www.mendeley.com/documents/?uuid=9be96a0e-ec35-3a9f-8632-1001a91975dc"]}],"mendeley":{"formattedCitation":"&lt;sup&gt;54&lt;/sup&gt;","plainTextFormattedCitation":"54","previouslyFormattedCitation":"(Ambrosini &lt;i&gt;et al.&lt;/i&gt; 2019)"},"properties":{"noteIndex":0},"schema":"https://github.com/citation-style-language/schema/raw/master/csl-citation.json"}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54</w:t>
      </w:r>
      <w:r w:rsidRPr="00D23BF1">
        <w:rPr>
          <w:rFonts w:ascii="Times" w:eastAsia="Helvetica Neue" w:hAnsi="Times" w:cs="Helvetica Neue"/>
        </w:rPr>
        <w:fldChar w:fldCharType="end"/>
      </w:r>
      <w:r w:rsidRPr="00D23BF1">
        <w:rPr>
          <w:rFonts w:ascii="Times" w:eastAsia="Helvetica Neue" w:hAnsi="Times" w:cs="Helvetica Neue"/>
        </w:rPr>
        <w:t xml:space="preserve">, behavior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{"citationItems":[{"id":"ITEM-1","itemData":{"DOI":"10.1101/827741","abstract":"Studies in lab rodents indicate diet alters host gut microbiome and that the gut microbiome influences behaviour. However, the ecological relevance across species and in wild animals is unclear. First we showed that problem solving performance in wild-caught great tits ( Parus major ) was weakly associated with natural variation in the gut microbiome. Then we experimentally manipulated the gut microbiome by feeding birds one of two different diets – an all insect diet or an all seed/nut diet. We presented these individuals with the problem solving task after the dietary manipulation to test whether the gut microbiome alterations influenced foraging innovativeness. Microbial communities changed substantially when given the insect, but not the seed diet. Individuals were less likely to problem-solve after being given the insect diet, and performance was positively associated with microbiome diversity. This is the first demonstration of an association between innovative problem solving and the gut microbiome in a wild animal.","author":[{"dropping-particle":"","family":"Davidson","given":"Gabrielle","non-dropping-particle":"","parse-names":false,"suffix":""},{"dropping-particle":"","family":"Wiley","given":"Niamh","non-dropping-particle":"","parse-names":false,"suffix":""},{"dropping-particle":"","family":"Cooke","given":"Amy","non-dropping-particle":"","parse-names":false,"suffix":""},{"dropping-particle":"","family":"Johnson","given":"Crystal","non-dropping-particle":"","parse-names":false,"suffix":""},{"dropping-particle":"","family":"Fouhy","given":"Fiona","non-dropping-particle":"","parse-names":false,"suffix":""},{"dropping-particle":"","family":"Reichert","given":"Michael","non-dropping-particle":"","parse-names":false,"suffix":""},{"dropping-particle":"","family":"la Hera","given":"Iván","non-dropping-particle":"de","parse-names":false,"suffix":""},{"dropping-particle":"","family":"Crane","given":"Jodie","non-dropping-particle":"","parse-names":false,"suffix":""},{"dropping-particle":"","family":"Kulahci","given":"Ipek","non-dropping-particle":"","parse-names":false,"suffix":""},{"dropping-particle":"","family":"Ross","given":"R. Paul","non-dropping-particle":"","parse-names":false,"suffix":""},{"dropping-particle":"","family":"Stanton","given":"Catherine","non-dropping-particle":"","parse-names":false,"suffix":""},{"dropping-particle":"","family":"Quinn","given":"John","non-dropping-particle":"","parse-names":false,"suffix":""}],"container-title":"pre-print","id":"ITEM-1","issued":{"date-parts":[["2019"]]},"page":"1-18","title":"Diet-induced changes to host gut microbiota is linked to foraging innovation in a wild bird","type":"article-journal"},"uris":["http://www.mendeley.com/documents/?uuid=063c006f-3113-4bec-b0ea-b35e1d2035a4"]}],"mendeley":{"formattedCitation":"&lt;sup&gt;55&lt;/sup&gt;","plainTextFormattedCitation":"55","previouslyFormattedCitation":"(Davidson &lt;i&gt;et al.&lt;/i&gt; 2019)"},"properties":{"noteIndex":0},"schema":"https://github.com/citation-style-language/schema/raw/master/csl-citation.json"}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55</w:t>
      </w:r>
      <w:r w:rsidRPr="00D23BF1">
        <w:rPr>
          <w:rFonts w:ascii="Times" w:eastAsia="Helvetica Neue" w:hAnsi="Times" w:cs="Helvetica Neue"/>
        </w:rPr>
        <w:fldChar w:fldCharType="end"/>
      </w:r>
      <w:r w:rsidRPr="00D23BF1">
        <w:rPr>
          <w:rFonts w:ascii="Times" w:eastAsia="Helvetica Neue" w:hAnsi="Times" w:cs="Helvetica Neue"/>
        </w:rPr>
        <w:t xml:space="preserve">, evolution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mec.15354","author":[{"dropping-particle":"","family":"Capunitan","given":"Darien","non-dropping-particle":"","parse-names":false,"suffix":""},{"dropping-particle":"","family":"Johnson","given":"Oscar","non-dropping-particle":"","parse-names":false,"suffix":""},{"dropping-particle":"","family":"Terrill","given":"Ryan S.","non-dropping-particle":"","parse-names":false,"suffix":""},{"dropping-particle":"","family":"Hird","given":"Sarah M.","non-dropping-particle":"","parse-names":false,"suffix":""}],"id":"ITEM-1","issued":{"date-parts":[["2020"]]},"number-of-pages":"0-3","title":"Evolutionary signal in the gut microbiomes of 74 bird species from Equatorial Guinea","type":"book"},"uris":["http://www.mendeley.com/documents/?uuid=b038e4df-593e-3ddd-91b9-6fa1e0b09531"]}],"mendeley":{"formattedCitation":"&lt;sup&gt;56&lt;/sup&gt;","plainTextFormattedCitation":"56","previouslyFormattedCitation":"(Capunitan &lt;i&gt;et al.&lt;/i&gt; 2020)"},"properties":{"noteIndex":0},"schema":"https://github.com/citation-style-language/schema/raw/master/csl-citation.json"}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56</w:t>
      </w:r>
      <w:r w:rsidRPr="00D23BF1">
        <w:rPr>
          <w:rFonts w:ascii="Times" w:eastAsia="Helvetica Neue" w:hAnsi="Times" w:cs="Helvetica Neue"/>
        </w:rPr>
        <w:fldChar w:fldCharType="end"/>
      </w:r>
      <w:r w:rsidRPr="00D23BF1">
        <w:rPr>
          <w:rFonts w:ascii="Times" w:eastAsia="Helvetica Neue" w:hAnsi="Times" w:cs="Helvetica Neue"/>
        </w:rPr>
        <w:t xml:space="preserve">, and conservation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{"citationItems":[{"id":"ITEM-1","itemData":{"DOI":"10.1128/AEM.00975-14","ISSN":"10985336","PMID":"24837385","abstract":"The critically endangered New Zealand parrot, the kakapo, is subject to an intensive management regime aiming to maintain bird health and boost population size. Newly hatched kakapo chicks are subjected to human intervention and are frequently placed in captivity throughout their formative months. Hand rearing greatly reduces mortality among juveniles, but the potential long-term impact on the kakapo gut microbiota is uncertain. To track development of the kakapo gut microbiota, fecal samples from healthy, prefledged juvenile kakapos, as well as from unrelated adults, were analyzed by using 16S rRNA gene amplicon pyrosequencing. Following the original sampling, juvenile kakapos underwent a period of captivity, so further sampling during and after captivity aimed to elucidate the impact of captivity on the juvenile gut microbiota. Variation in the fecal microbiota over a year was also investigated, with resampling of the original juvenile population. Amplicon pyrosequencing revealed a juvenile fecal microbiota enriched with particular lactic acid bacteria compared to the microbiota of adults, although the overall community structure did not differ significantly among kakapos of different ages. The abundance of key operational taxonomic units (OTUs) was correlated with antibiotic treatment and captivity, although the importance of these factors could not be proven unequivocally within the bounds of this study. Finally, the microbial community structure of juvenile and adult kakapos changed over time, reinforcing the need for continual monitoring of the microbiota as part of regular health screening.","author":[{"dropping-particle":"","family":"Waite","given":"David W.","non-dropping-particle":"","parse-names":false,"suffix":""},{"dropping-particle":"","family":"Eason","given":"Daryl K.","non-dropping-particle":"","parse-names":false,"suffix":""},{"dropping-particle":"","family":"Taylor","given":"Michael W.","non-dropping-particle":"","parse-names":false,"suffix":""}],"container-title":"Applied and Environmental Microbiology","id":"ITEM-1","issue":"15","issued":{"date-parts":[["2014"]]},"title":"Influence of hand rearing and bird age on the fecal microbiota of the critically endangered kakapo","type":"article-journal","volume":"80"},"uris":["http://www.mendeley.com/documents/?uuid=a8e513f0-c8df-3cda-a1e0-8e72443e84dc"]}],"mendeley":{"formattedCitation":"&lt;sup&gt;57&lt;/sup&gt;","plainTextFormattedCitation":"57","previouslyFormattedCitation":"(Waite &lt;i&gt;et al.&lt;/i&gt; 2014)"},"properties":{"noteIndex":0},"schema":"https://github.com/citation-style-language/schema/raw/master/csl-citation.json"}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57</w:t>
      </w:r>
      <w:r w:rsidRPr="00D23BF1">
        <w:rPr>
          <w:rFonts w:ascii="Times" w:eastAsia="Helvetica Neue" w:hAnsi="Times" w:cs="Helvetica Neue"/>
        </w:rPr>
        <w:fldChar w:fldCharType="end"/>
      </w:r>
      <w:r w:rsidRPr="00D23BF1">
        <w:rPr>
          <w:rFonts w:ascii="Times" w:eastAsia="Helvetica Neue" w:hAnsi="Times" w:cs="Helvetica Neue"/>
        </w:rPr>
        <w:t>. A majority of experimental research on avian gut microbiota thus far has been conducted in poultry</w:t>
      </w:r>
      <w:sdt>
        <w:sdtPr>
          <w:rPr>
            <w:rFonts w:ascii="Times" w:hAnsi="Times"/>
          </w:rPr>
          <w:tag w:val="goog_rdk_46"/>
          <w:id w:val="822775878"/>
        </w:sdtPr>
        <w:sdtEndPr/>
        <w:sdtContent>
          <w:r w:rsidRPr="00D23BF1">
            <w:rPr>
              <w:rFonts w:ascii="Times" w:eastAsia="Helvetica Neue" w:hAnsi="Times" w:cs="Helvetica Neue"/>
            </w:rPr>
            <w:t>,</w:t>
          </w:r>
        </w:sdtContent>
      </w:sdt>
      <w:r w:rsidRPr="00D23BF1">
        <w:rPr>
          <w:rFonts w:ascii="Times" w:eastAsia="Helvetica Neue" w:hAnsi="Times" w:cs="Helvetica Neue"/>
        </w:rPr>
        <w:t xml:space="preserve"> as these animals are of economic significance. Most studies of wild avian gut microbiomes are observational and use taxonomic characterization of bacterial communities. </w:t>
      </w:r>
    </w:p>
    <w:p w14:paraId="06333DB0" w14:textId="77777777" w:rsidR="00041ADB" w:rsidRPr="00D23BF1" w:rsidRDefault="00041ADB" w:rsidP="00F20BE1">
      <w:pPr>
        <w:jc w:val="both"/>
        <w:rPr>
          <w:rFonts w:ascii="Times" w:eastAsia="Helvetica Neue" w:hAnsi="Times" w:cs="Helvetica Neue"/>
        </w:rPr>
      </w:pPr>
    </w:p>
    <w:p w14:paraId="76D22E19" w14:textId="77777777" w:rsidR="00041ADB" w:rsidRPr="00D23BF1" w:rsidRDefault="00041ADB" w:rsidP="00F20BE1">
      <w:pPr>
        <w:rPr>
          <w:rFonts w:ascii="Times" w:hAnsi="Times"/>
          <w:b/>
          <w:bCs/>
        </w:rPr>
      </w:pPr>
      <w:bookmarkStart w:id="16" w:name="_Toc69393544"/>
      <w:bookmarkStart w:id="17" w:name="_Toc69396318"/>
      <w:bookmarkStart w:id="18" w:name="_Toc69396353"/>
      <w:r w:rsidRPr="00D23BF1">
        <w:rPr>
          <w:rFonts w:ascii="Times" w:hAnsi="Times"/>
          <w:b/>
          <w:bCs/>
        </w:rPr>
        <w:lastRenderedPageBreak/>
        <w:t>Urban microbial ecology</w:t>
      </w:r>
      <w:bookmarkEnd w:id="16"/>
      <w:bookmarkEnd w:id="17"/>
      <w:bookmarkEnd w:id="18"/>
    </w:p>
    <w:p w14:paraId="783F78E1" w14:textId="77777777" w:rsidR="00041ADB" w:rsidRPr="00D23BF1" w:rsidRDefault="00041ADB" w:rsidP="00F20BE1">
      <w:pPr>
        <w:jc w:val="both"/>
        <w:rPr>
          <w:rFonts w:ascii="Times" w:eastAsia="Helvetica Neue" w:hAnsi="Times" w:cs="Helvetica Neue"/>
        </w:rPr>
      </w:pPr>
    </w:p>
    <w:p w14:paraId="360D3D0F"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 xml:space="preserve">The rapid effects of human land development present relatively recent but stark changes in the environment. These changes shift the diversity and composition of environmental microbiomes found in the air, water, and on structural surfaces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{"citationItems":[{"id":"ITEM-1","itemData":{"DOI":"10.1111/j.1469-8137.2010.03197.x","ISBN":"0028-646X","ISSN":"0028646X","PMID":"20180911","abstract":"*The fungal richness, diversity and community composition in the Quercus macrocarpa phyllosphere were compared across a growing season in trees located in six stands within and outside a small urban center using 454-sequencing and DNA tagging. The approaches did not differentiate between endophytic and epiphytic fungal communities. *Fungi accumulated in the phyllosphere rapidly and communities were temporally dynamic, with more than a third of the analyzed operational taxonomic units (OTUs) and half of the BLAST-inferred genera showing distinct seasonal patterns. The seasonal patterns could be explained by fungal life cycles or environmental tolerances. *The communities were hyperdiverse and differed between the urban and nonurban stands, albeit not consistently across the growing season. Foliar macronutrients (nitrogen (N), potassium (K) and sulfur (S)), micronutrients (boron (B), manganese (Mn) and selenium (Se)) and trace elements (cadmium (Cd), lead (Pb) and zinc (Zn)) were enriched in the urban trees, probably as a result of anthropogenic activities. Because of correlations with the experimental layout, these chemical elements should not be considered as community drivers without further empirical studies. *We suggest that a combination of mechanisms leads to differences between urban and nonurban communities. Among those are stand isolation and size, nutrient and pollutant accumulation plus stand management, including fertilization and litter removal.","author":[{"dropping-particle":"","family":"Jumpponen","given":"A.","non-dropping-particle":"","parse-names":false,"suffix":""},{"dropping-particle":"","family":"Jones","given":"K. L.","non-dropping-particle":"","parse-names":false,"suffix":""}],"container-title":"New Phytologist","id":"ITEM-1","issue":"2","issued":{"date-parts":[["2010"]]},"page":"496-513","title":"Seasonally dynamic fungal communities in the Quercus macrocarpa phyllosphere differ between urban and nonurban environments","type":"article-journal","volume":"186"},"uris":["http://www.mendeley.com/documents/?uuid=f4f516be-af72-4206-91c6-1e462aa09f3d"]},{"id":"ITEM-2","itemData":{"DOI":"10.1038/ismej.2011.211","ISBN":"1751-7362","ISSN":"17517362","PMID":"22278670","abstract":"Buildings are complex ecosystems that house trillions of microorganisms interacting with each other, with humans and with their environment. Understanding the ecological and evolutionary processes that determine the diversity and composition of the built environment microbiome--the community of microorganisms that live indoors--is important for understanding the relationship between building design, biodiversity and human health. In this study, we used high-throughput sequencing of the bacterial 16S rRNA gene to quantify relationships between building attributes and airborne bacterial communities at a health-care facility. We quantified airborne bacterial community structure and environmental conditions in patient rooms exposed to mechanical or window ventilation and in outdoor air. The phylogenetic diversity of airborne bacterial communities was lower indoors than outdoors, and mechanically ventilated rooms contained less diverse microbial communities than did window-ventilated rooms. Bacterial communities in indoor environments contained many taxa that are absent or rare outdoors, including taxa closely related to potential human pathogens. Building attributes, specifically the source of ventilation air, airflow rates, relative humidity and temperature, were correlated with the diversity and composition of indoor bacterial communities. The relative abundance of bacteria closely related to human pathogens was higher indoors than outdoors, and higher in rooms with lower airflow rates and lower relative humidity. The observed relationship between building design and airborne bacterial diversity suggests that we can manage indoor environments, altering through building design and operation the community of microbial species that potentially colonize the human microbiome during our time indoors.","author":[{"dropping-particle":"","family":"Kembel","given":"Steven W.","non-dropping-particle":"","parse-names":false,"suffix":""},{"dropping-particle":"","family":"Jones","given":"Evan","non-dropping-particle":"","parse-names":false,"suffix":""},{"dropping-particle":"","family":"Kline","given":"Jeff","non-dropping-particle":"","parse-names":false,"suffix":""},{"dropping-particle":"","family":"Northcutt","given":"Dale","non-dropping-particle":"","parse-names":false,"suffix":""},{"dropping-particle":"","family":"Stenson","given":"Jason","non-dropping-particle":"","parse-names":false,"suffix":""},{"dropping-particle":"","family":"Womack","given":"Ann M.","non-dropping-particle":"","parse-names":false,"suffix":""},{"dropping-particle":"","family":"Bohannan","given":"Brendan J.M.","non-dropping-particle":"","parse-names":false,"suffix":""},{"dropping-particle":"","family":"Brown","given":"G. Z.","non-dropping-particle":"","parse-names":false,"suffix":""},{"dropping-particle":"","family":"Green","given":"Jessica L.","non-dropping-particle":"","parse-names":false,"suffix":""}],"container-title":"ISME Journal","id":"ITEM-2","issue":"8","issued":{"date-parts":[["2012"]]},"page":"1469-1479","publisher":"Nature Publishing Group","title":"Architectural design influences the diversity and structure of the built environment microbiome","type":"article-journal","volume":"6"},"uris":["http://www.mendeley.com/documents/?uuid=846d83de-ab42-4192-b04e-c77bc2a91de0"]},{"id":"ITEM-3","itemData":{"DOI":"10.1038/srep45651","ISSN":"20452322","PMID":"28361981","abstract":"Patterns in the skin microbiota differ in children and teenagers between rural and urban environments","author":[{"dropping-particle":"","family":"Lehtimäki","given":"Jenni","non-dropping-particle":"","parse-names":false,"suffix":""},{"dropping-particle":"","family":"Karkman","given":"Antti","non-dropping-particle":"","parse-names":false,"suffix":""},{"dropping-particle":"","family":"Laatikainen","given":"Tiina","non-dropping-particle":"","parse-names":false,"suffix":""},{"dropping-particle":"","family":"Paalanen","given":"Laura","non-dropping-particle":"","parse-names":false,"suffix":""},{"dropping-particle":"","family":"Hertzen","given":"Leena","non-dropping-particle":"Von","parse-names":false,"suffix":""},{"dropping-particle":"","family":"Haahtela","given":"Tari","non-dropping-particle":"","parse-names":false,"suffix":""},{"dropping-particle":"","family":"Hanski","given":"Ilkka","non-dropping-particle":"","parse-names":false,"suffix":""},{"dropping-particle":"","family":"Ruokolainen","given":"Lasse","non-dropping-particle":"","parse-names":false,"suffix":""}],"container-title":"Scientific Reports","id":"ITEM-3","issued":{"date-parts":[["2017"]]},"note":"urban/rural skin microbiota","page":"0-11","title":"Patterns in the skin microbiota differ in children and teenagers between rural and urban environments","type":"article-journal","volume":"7"},"uris":["http://www.mendeley.com/documents/?uuid=5963c990-e39b-4f8c-b561-21662dae4e3c"]},{"id":"ITEM-4","itemData":{"DOI":"10.1128/AEM.02244-14","ISBN":"0099-2240","ISSN":"10985336","PMID":"25172855","abstract":"Subway systems are indispensable for urban societies, but microbiological characteristics of subway aerosols are relatively unknown. Previous studies investigating microbial compositions in subways employed methodologies that underestimated the diversity of microbial exposure for commuters, with little focus on factors governing subway air microbiology, which may have public health implications. Here, a culture-independent approach unraveling the bacterial diversity within the urban subway network in Hong Kong is presented. Aerosol samples from multiple subway lines and outdoor locations were collected. Targeting the 16S rRNA gene V4 region, extensive taxonomic diversity was found, with the most common bacterial genera in the subway environment among those associated with skin. Overall, subway lines harbored different phylogenetic communities based on α- and β-diversity comparisons, and closer inspection suggests that each community within a line is dependent on architectural characteristics, nearby outdoor microbiomes, and connectedness with other lines. Microbial diversities and assemblages also varied depending on the day sampled, as well as the time of day, and changes in microbial communities between peak and nonpeak commuting hours were attributed largely to increases in skin-associated genera in peak samples. Microbial diversities within the subway were influenced by temperature and relative humidity, while carbon dioxide levels showed a positive correlation with abundances of commuter-associated genera. This Hong Kong data set and communities from previous studies conducted in the United States formed distinct community clusters, indicating that additional work is required to unravel the mechanisms that shape subway microbiomes around the globe.","author":[{"dropping-particle":"","family":"Leung","given":"Marcus H.Y.","non-dropping-particle":"","parse-names":false,"suffix":""},{"dropping-particle":"","family":"Wilkins","given":"David","non-dropping-particle":"","parse-names":false,"suffix":""},{"dropping-particle":"","family":"Li","given":"Ellen K.T.","non-dropping-particle":"","parse-names":false,"suffix":""},{"dropping-particle":"","family":"Kong","given":"Fred K.F.","non-dropping-particle":"","parse-names":false,"suffix":""},{"dropping-particle":"","family":"Lee","given":"Patrick K.H.","non-dropping-particle":"","parse-names":false,"suffix":""}],"container-title":"Applied and Environmental Microbiology","id":"ITEM-4","issue":"21","issued":{"date-parts":[["2014"]]},"page":"6760-6770","title":"Indoor-air microbiome in an urban subway network: Diversity and dynamics","type":"article-journal","volume":"80"},"uris":["http://www.mendeley.com/documents/?uuid=d13dc3c3-5fe1-473c-8884-d1f9f378dba7"]},{"id":"ITEM-5","itemData":{"DOI":"10.2436/20.1501.01.244","ISBN":"1139-6709 (Print)\\r1139-6709","ISSN":"16181905","PMID":"27036741","abstract":"More than 50% of the world's population lives in urban centers. As collection basins for landscape activity, urban waters are an interface between human activity and the natural environment. The microbiome of urban waters could provide insight into the impacts of pollution, the presence of human health risks, or the potential for long-term consequences for these ecosystems and the people who depend upon them. An integral part of the urban water cycle is sewer infrastructure. Thousands of miles of pipes line cities as part of wastewater and stormwater systems. As stormwater and sewage are released into natural waterways, traces of human and animal microbiomes reflect the sources and magnitude of fecal pollution and indicate the presence of pollutants, such as nutrients, pathogens, and chemicals. Non-fecal organisms are also released as part of these systems. Runoff from impervious surfaces delivers microbes from soils, plants and the built environment to stormwater systems. Further, urban sewer infrastructure contains its own unique microbial community seemingly adapted to this relatively new artificial habitat. High microbial densities are conveyed via pipes to waterways, and these organisms can be found as an urban microbial signature imprinted on the natural community of rivers and urban coastal waters. The potential consequences of mass releases of non-indigenous microorganisms into natural waters include creation of reservoirs for emerging human pathogens, altered nutrient flows into aquatic food webs, and increased genetic exchange between two distinct gene pools. This review highlights the recent characterization of the microbiome of urban sewer and stormwater infrastructure and its connection to and potential impact upon freshwater systems. [Int Microbiol 18(3):141-149 (2015)]","author":[{"dropping-particle":"","family":"McLellan","given":"Sandra L.","non-dropping-particle":"","parse-names":false,"suffix":""},{"dropping-particle":"","family":"Fisher","given":"Jenny C.","non-dropping-particle":"","parse-names":false,"suffix":""},{"dropping-particle":"","family":"Newton","given":"Ryan J.","non-dropping-particle":"","parse-names":false,"suffix":""}],"container-title":"International Microbiology","id":"ITEM-5","issue":"3","issued":{"date-parts":[["2015"]]},"page":"141-149","title":"The microbiome of urban waters","type":"article-journal","volume":"18"},"uris":["http://www.mendeley.com/documents/?uuid=801275f5-11fc-4c55-9a4e-f1c8155c0062"]}],"mendeley":{"formattedCitation":"&lt;sup&gt;58–62&lt;/sup&gt;","plainTextFormattedCitation":"58–62","previouslyFormattedCitation":"(Jumpponen &amp; Jones 2010, Kembel &lt;i&gt;et al.&lt;/i&gt; 2012, Leung &lt;i&gt;et al.&lt;/i&gt; 2014, McLellan &lt;i&gt;et al.&lt;/i&gt; 2015, Lehtimäki &lt;i&gt;et al.&lt;/i&gt; 2017)"},"properties":{"noteIndex":0},"schema":"https://github.com/citation-style-language/schema/raw/master/csl-citation.json"}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58–62</w:t>
      </w:r>
      <w:r w:rsidRPr="00D23BF1">
        <w:rPr>
          <w:rFonts w:ascii="Times" w:eastAsia="Helvetica Neue" w:hAnsi="Times" w:cs="Helvetica Neue"/>
        </w:rPr>
        <w:fldChar w:fldCharType="end"/>
      </w:r>
      <w:r w:rsidRPr="00D23BF1">
        <w:rPr>
          <w:rFonts w:ascii="Times" w:eastAsia="Helvetica Neue" w:hAnsi="Times" w:cs="Helvetica Neue"/>
        </w:rPr>
        <w:t>. Recent work in birds, lizards</w:t>
      </w:r>
      <w:sdt>
        <w:sdtPr>
          <w:rPr>
            <w:rFonts w:ascii="Times" w:hAnsi="Times"/>
          </w:rPr>
          <w:tag w:val="goog_rdk_60"/>
          <w:id w:val="84115650"/>
        </w:sdtPr>
        <w:sdtEndPr/>
        <w:sdtContent>
          <w:r w:rsidRPr="00D23BF1">
            <w:rPr>
              <w:rFonts w:ascii="Times" w:eastAsia="Helvetica Neue" w:hAnsi="Times" w:cs="Helvetica Neue"/>
            </w:rPr>
            <w:t>,</w:t>
          </w:r>
        </w:sdtContent>
      </w:sdt>
      <w:r w:rsidRPr="00D23BF1">
        <w:rPr>
          <w:rFonts w:ascii="Times" w:eastAsia="Helvetica Neue" w:hAnsi="Times" w:cs="Helvetica Neue"/>
        </w:rPr>
        <w:t xml:space="preserve"> and humans suggests that urbanization may also affect the composition of animal gut microbiomes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{"citationItems":[{"id":"ITEM-1","itemData":{"DOI":"10.1016/j.celrep.2018.05.018","ISSN":"22111247","PMID":"29874590","abstract":"We assessed the subsistence-related variation of the human gut microbiome at a fine resolution for two of the main dimensions of microbiome variation, age and geography. For this, we investigated the fecal microbiome and metabolome in rural Bassa and urbanized individuals from Nigeria, including infants, and compared data with worldwide populations practicing varying subsistence. Our data highlight specific microbiome traits that are progressively lost with urbanization, such as the dominance of pristine fiber degraders and the low inter-individual variation. For the Bassa, this last feature is the result of their subsistence-related practices favoring microbial dispersal, such as their extensive environmental contact and the usage of untreated waters from the Usuma River. The high degree of microbial dispersal observed in the Bassa meta-community nullifies the differences between infant and adult intestinal ecosystems, suggesting that the infant-type microbiome in Western populations could be the result of microbiome-associated neotenic traits favored by urbanization. Ayeni et al. characterize the fecal microbiome and metabolome of rural Bassa and urban individuals from Nigeria, including infants. Their findings stress the loss of ancient signatures along with urbanization and support distinct trajectories of development of the intestinal ecosystem in early life, depending on human subsistence.","author":[{"dropping-particle":"","family":"Ayeni","given":"Funmilola A.","non-dropping-particle":"","parse-names":false,"suffix":""},{"dropping-particle":"","family":"Biagi","given":"Elena","non-dropping-particle":"","parse-names":false,"suffix":""},{"dropping-particle":"","family":"Rampelli","given":"Simone","non-dropping-particle":"","parse-names":false,"suffix":""},{"dropping-particle":"","family":"Fiori","given":"Jessica","non-dropping-particle":"","parse-names":false,"suffix":""},{"dropping-particle":"","family":"Soverini","given":"Matteo","non-dropping-particle":"","parse-names":false,"suffix":""},{"dropping-particle":"","family":"Audu","given":"Haruna J.","non-dropping-particle":"","parse-names":false,"suffix":""},{"dropping-particle":"","family":"Cristino","given":"Sandra","non-dropping-particle":"","parse-names":false,"suffix":""},{"dropping-particle":"","family":"Caporali","given":"Leonardo","non-dropping-particle":"","parse-names":false,"suffix":""},{"dropping-particle":"","family":"Schnorr","given":"Stephanie L.","non-dropping-particle":"","parse-names":false,"suffix":""},{"dropping-particle":"","family":"Carelli","given":"Valerio","non-dropping-particle":"","parse-names":false,"suffix":""},{"dropping-particle":"","family":"Brigidi","given":"Patrizia","non-dropping-particle":"","parse-names":false,"suffix":""},{"dropping-particle":"","family":"Candela","given":"Marco","non-dropping-particle":"","parse-names":false,"suffix":""},{"dropping-particle":"","family":"Turroni","given":"Silvia","non-dropping-particle":"","parse-names":false,"suffix":""}],"container-title":"Cell Reports","id":"ITEM-1","issue":"10","issued":{"date-parts":[["2018"]]},"page":"3056-3067","publisher":"ElsevierCompany.","title":"Infant and Adult Gut Microbiome and Metabolome in Rural Bassa and Urban Settlers from Nigeria","type":"article-journal","volume":"23"},"uris":["http://www.mendeley.com/documents/?uuid=e4a668ad-2768-46e1-ab78-d21e4b40f19c"]},{"id":"ITEM-2","itemData":{"DOI":"10.1007/s00248-020-01569-8","ISSN":"1432184X","abstract":"Habitats are changing rapidly around the globe and urbanization is one of the primary drivers. Urbanization changes food availability, environmental stressors, and the prevalence of disease for many species. These changes can lead to divergence in phenotypic traits, including behavioral, physiological, and morphological features between urban and rural populations. Recent research highlights that urbanization is also changing the gut microbial communities found in a diverse group of host species. These changes have not been uniform, leaving uncertainty as to how urban habitats are shaping gut microbial communities. To better understand these effects, we investigated the gut bacterial communities of White-Crowned Sparrow (Zonotrichia leucophrys) populations along an urbanization gradient in the San Francisco Bay area. We examined how gut bacterial communities vary with the local environment and host morphological characteristics. We found direct effects of environmental factors, including urban noise levels and territory land cover, as well as indirect effects through body size and condition, on alpha and beta diversity of gut microbial communities. We also found that urban and rural birds’ microbiomes differed in which variables predicted their diversity, with urban communities driven by host morphology, and rural communities driven by environmental factors. Elucidating these effects provides a better understanding of how urbanization affects wild avian physiology.","author":[{"dropping-particle":"","family":"Berlow","given":"Mae","non-dropping-particle":"","parse-names":false,"suffix":""},{"dropping-particle":"","family":"Phillips","given":"Jennifer N.","non-dropping-particle":"","parse-names":false,"suffix":""},{"dropping-particle":"","family":"Derryberry","given":"Elizabeth P.","non-dropping-particle":"","parse-names":false,"suffix":""}],"container-title":"Microbial Ecology","id":"ITEM-2","issued":{"date-parts":[["2020"]]},"publisher":"Microbial Ecology","title":"Effects of Urbanization and Landscape on Gut Microbiomes in White-Crowned Sparrows","type":"article-journal"},"uris":["http://www.mendeley.com/documents/?uuid=c656f4b4-5239-4473-9592-ae645591f882"]},{"id":"ITEM-3","itemData":{"DOI":"10.1016/j.psyneuen.2012.03.007","ISSN":"03064530","author":[{"dropping-particle":"","family":"Dinan","given":"Timothy G.","non-dropping-particle":"","parse-names":false,"suffix":""},{"dropping-particle":"","family":"Cryan","given":"John F.","non-dropping-particle":"","parse-names":false,"suffix":""}],"container-title":"Psychoneuroendocrinology","id":"ITEM-3","issue":"9","issued":{"date-parts":[["2012"]]},"page":"1369-1378","publisher":"Elsevier Ltd","title":"Regulation of the stress response by the gut microbiota: Implications for psychoneuroendocrinology","type":"article-journal","volume":"37"},"uris":["http://www.mendeley.com/documents/?uuid=0a10eb98-73d0-4876-a9d7-866610cf0fba"]},{"id":"ITEM-4","itemData":{"DOI":"10.1111/mec.15240","ISSN":"1365294X","abstract":"Urbanisation is one of the most significant threats to biodiversity, due to the rapid and large-scale environmental alterations it imposes on the natural landscape. It is, therefore, imperative that we understand the consequences of and mechanisms by which, species can respond to it. In recent years, research has shown that plasticity of the gut microbiome may be an important mechanism by which animals can adapt to environmental change, yet empirical evidence of this in wild non-model species remains sparse. Using an empirical replicated study system, we show that city life alters the gut microbiome and stable isotope profiling of a wild native non-model species – the eastern water dragon (Intellagama lesueurii) in Queensland, Australia. City dragons exhibit a more diverse gut microbiome than their native habitat counterparts and show gut microbial signatures of a high fat and plant rich diet. Additionally, we also show that city dragons have elevated levels of the Nitrogen-15 isotope in their blood suggesting that a city diet, which incorporates novel anthropogenic food sources, may also be richer in protein. These results highlight the role that gut microbial plasticity plays in an animals' response to human-altered landscapes.","author":[{"dropping-particle":"","family":"Littleford-Colquhoun","given":"Bethan L.","non-dropping-particle":"","parse-names":false,"suffix":""},{"dropping-particle":"","family":"Weyrich","given":"Laura S.","non-dropping-particle":"","parse-names":false,"suffix":""},{"dropping-particle":"","family":"Kent","given":"Nicola","non-dropping-particle":"","parse-names":false,"suffix":""},{"dropping-particle":"","family":"Frere","given":"Celine H.","non-dropping-particle":"","parse-names":false,"suffix":""}],"container-title":"Molecular Ecology","id":"ITEM-4","issue":"20","issued":{"date-parts":[["2019"]]},"page":"4592-4607","title":"City life alters the gut microbiome and stable isotope profiling of the eastern water dragon (Intellagama lesueurii)","type":"article-journal","volume":"28"},"uris":["http://www.mendeley.com/documents/?uuid=a3f34b8b-b9b9-3c82-a021-64c6a6b70fa4"]},{"id":"ITEM-5","itemData":{"DOI":"10.1111/1462-2920.13692","ISBN":"8222123270","ISSN":"14622920","PMID":"28198087","abstract":"Metagenomic studies of the human gut microbiome have only recently begun to explore the differences in taxonomic composition between subjects from diverse geographical origins. Here, we compared taxonomy, resistome and functional metabolic properties of publicly available shotgun datasets of human fecal samples collected from different geographical regions (Europe, North America, Asia and Oceania). Such datasets encompassed gut microbiota information corresponding to 13 developed/industrialized societies, as well as two traditional hunter-gatherer, pre-agricultural communities (Tanzanian and Peruvian individuals). Assessment of the retrieved taxonomic profiles allowed the most updated reconstruction of the global core-microbiome as based on currently available data, as well as the identification and targeted genome reconstruction of bacterial taxa that appear to have been lost and/or acquired during urbanization/industrialization. Functional characterization of these metagenomic datasets indicates that the urbanization/industrialization process which occurred in recent human history has shaped the gut microbiota through the acquisition and/or loss of specific gut microbes, thereby potentially impacting on the overall functionality of the gut microbiome. This article is protected by copyright. All rights reserved.","author":[{"dropping-particle":"","family":"Mancabelli","given":"Leonardo","non-dropping-particle":"","parse-names":false,"suffix":""},{"dropping-particle":"","family":"Milani","given":"Christian","non-dropping-particle":"","parse-names":false,"suffix":""},{"dropping-particle":"","family":"Lugli","given":"Gabriele Andrea","non-dropping-particle":"","parse-names":false,"suffix":""},{"dropping-particle":"","family":"Turroni","given":"Francesca","non-dropping-particle":"","parse-names":false,"suffix":""},{"dropping-particle":"","family":"Ferrario","given":"Chiara","non-dropping-particle":"","parse-names":false,"suffix":""},{"dropping-particle":"","family":"Sinderen","given":"Douwe","non-dropping-particle":"van","parse-names":false,"suffix":""},{"dropping-particle":"","family":"Ventura","given":"Marco","non-dropping-particle":"","parse-names":false,"suffix":""}],"container-title":"Environmental Microbiology","id":"ITEM-5","issue":"4","issued":{"date-parts":[["2017"]]},"page":"1379-1390","title":"Meta-analysis of the human gut microbiome from urbanized and pre-agricultural populations","type":"article-journal","volume":"19"},"uris":["http://www.mendeley.com/documents/?uuid=5b611eb4-3745-476d-8d03-f56258c91dc9"]},{"id":"ITEM-6","itemData":{"DOI":"10.3389/fevo.2018.00148","ISSN":"2296-701X","abstract":"Urban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males using spatial analyses of land cover (impervious, scrub, grass, and trees) at the regional level and territory level in urban San Francisco, CA and nearby rural Point Reyes, California. We hypothesized that urbanization of habitats affects gut microbial composition and diversity, potentially through direct effects on diet and/or indirect environmental effects. We measured gut microbial community diversity from 16s rRNA sequences amplified from cloacal swabs. We find that the urban and rural male gut microbiomes are significantly different, such that the urban gut microbiome is more diverse than the rural gut microbiome. This relationship may be due to more variable land cover types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Evolution","id":"ITEM-6","issued":{"date-parts":[["2018","9","24"]]},"title":"The Effects of Landscape Urbanization on the Gut Microbiome: An Exploration Into the Gut of Urban and Rural White-Crowned Sparrows","type":"article-journal","volume":"6"},"uris":["http://www.mendeley.com/documents/?uuid=5f91c1ce-dae3-30cf-ae5f-0fdb182fb176"]},{"id":"ITEM-7","itemData":{"DOI":"10.1016/j.scitotenv.2017.09.035","ISSN":"00489697","abstract":"Urbanisation represents one of the most radical forms of terrestrial land use change and has been shown to lead to alterations in ecosystem functioning and community dynamics and changes in individual phenotypic traits. While the recent surge in microbiome studies has brought about a paradigm shift by which individuals cannot truly be considered independently of the bacterial communities they host, the role of gut microbiota in organismal response to human-induced environmental change is still scarcely studied. Here, we applied a metabarcoding approach to examine the impact of urbanisation on the gut microbiota of Passer domesticus. We found urbanisation to be associated to lower microbiota species diversity, modifications in taxonomic composition and community structure, and changes in functional composition. The strength of these relationships, however, depended on the spatial scale and season at which they were considered. Such spatio-temporal effect suggests that urbanisation may dampen the natural seasonal variation of the gut microbiota observed in more pristine habitats, potentially influencing the fitness of urban organisms. Our results hence shed light on a hitherto little considered perspective, i.e. that the negative effects of urbanisation on city-dwelling organisms may extend to their microbiomes, causing potential dysbioses.","author":[{"dropping-particle":"","family":"Teyssier","given":"Aimeric","non-dropping-particle":"","parse-names":false,"suffix":""},{"dropping-particle":"","family":"Rouffaer","given":"Lieze Oscar","non-dropping-particle":"","parse-names":false,"suffix":""},{"dropping-particle":"","family":"Saleh Hudin","given":"Noraine","non-dropping-particle":"","parse-names":false,"suffix":""},{"dropping-particle":"","family":"Strubbe","given":"Diederik","non-dropping-particle":"","parse-names":false,"suffix":""},{"dropping-particle":"","family":"Matthysen","given":"Erik","non-dropping-particle":"","parse-names":false,"suffix":""},{"dropping-particle":"","family":"Lens","given":"Luc","non-dropping-particle":"","parse-names":false,"suffix":""},{"dropping-particle":"","family":"White","given":"Joël","non-dropping-particle":"","parse-names":false,"suffix":""}],"container-title":"Science of The Total Environment","id":"ITEM-7","issued":{"date-parts":[["2018"]]},"page":"1276-1286","publisher":"Elsevier B.V.","title":"Inside the guts of the city: Urban-induced alterations of the gut microbiota in a wild passerine","type":"article-journal","volume":"612"},"uris":["http://www.mendeley.com/documents/?uuid=0a16ed80-e088-46cb-8182-f6ebba9f38d7"]}],"mendeley":{"formattedCitation":"&lt;sup&gt;10,11,14–16,63,64&lt;/sup&gt;","plainTextFormattedCitation":"10,11,14–16,63,64","previouslyFormattedCitation":"(Dinan &amp; Cryan 2012, Mancabelli &lt;i&gt;et al.&lt;/i&gt; 2017, Ayeni &lt;i&gt;et al.&lt;/i&gt; 2018, Phillips &lt;i&gt;et al.&lt;/i&gt; 2018, Teyssier &lt;i&gt;et al.&lt;/i&gt; 2018, Littleford-Colquhoun &lt;i&gt;et al.&lt;/i&gt; 2019, Berlow &lt;i&gt;et al.&lt;/i&gt; 2020)"},"properties":{"noteIndex":0},"schema":"https://github.com/citation-style-language/schema/raw/master/csl-citation.json"}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10,11,14–16,63,64</w:t>
      </w:r>
      <w:r w:rsidRPr="00D23BF1">
        <w:rPr>
          <w:rFonts w:ascii="Times" w:eastAsia="Helvetica Neue" w:hAnsi="Times" w:cs="Helvetica Neue"/>
        </w:rPr>
        <w:fldChar w:fldCharType="end"/>
      </w:r>
      <w:r w:rsidRPr="00D23BF1">
        <w:rPr>
          <w:rFonts w:ascii="Times" w:eastAsia="Helvetica Neue" w:hAnsi="Times" w:cs="Helvetica Neue"/>
        </w:rPr>
        <w:t xml:space="preserve">. A number of recent studies find that urban and rural populations have different gut microbiomes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{"citationItems":[{"id":"ITEM-1","itemData":{"DOI":"10.1016/j.celrep.2018.05.018","ISSN":"22111247","PMID":"29874590","abstract":"We assessed the subsistence-related variation of the human gut microbiome at a fine resolution for two of the main dimensions of microbiome variation, age and geography. For this, we investigated the fecal microbiome and metabolome in rural Bassa and urbanized individuals from Nigeria, including infants, and compared data with worldwide populations practicing varying subsistence. Our data highlight specific microbiome traits that are progressively lost with urbanization, such as the dominance of pristine fiber degraders and the low inter-individual variation. For the Bassa, this last feature is the result of their subsistence-related practices favoring microbial dispersal, such as their extensive environmental contact and the usage of untreated waters from the Usuma River. The high degree of microbial dispersal observed in the Bassa meta-community nullifies the differences between infant and adult intestinal ecosystems, suggesting that the infant-type microbiome in Western populations could be the result of microbiome-associated neotenic traits favored by urbanization. Ayeni et al. characterize the fecal microbiome and metabolome of rural Bassa and urban individuals from Nigeria, including infants. Their findings stress the loss of ancient signatures along with urbanization and support distinct trajectories of development of the intestinal ecosystem in early life, depending on human subsistence.","author":[{"dropping-particle":"","family":"Ayeni","given":"Funmilola A.","non-dropping-particle":"","parse-names":false,"suffix":""},{"dropping-particle":"","family":"Biagi","given":"Elena","non-dropping-particle":"","parse-names":false,"suffix":""},{"dropping-particle":"","family":"Rampelli","given":"Simone","non-dropping-particle":"","parse-names":false,"suffix":""},{"dropping-particle":"","family":"Fiori","given":"Jessica","non-dropping-particle":"","parse-names":false,"suffix":""},{"dropping-particle":"","family":"Soverini","given":"Matteo","non-dropping-particle":"","parse-names":false,"suffix":""},{"dropping-particle":"","family":"Audu","given":"Haruna J.","non-dropping-particle":"","parse-names":false,"suffix":""},{"dropping-particle":"","family":"Cristino","given":"Sandra","non-dropping-particle":"","parse-names":false,"suffix":""},{"dropping-particle":"","family":"Caporali","given":"Leonardo","non-dropping-particle":"","parse-names":false,"suffix":""},{"dropping-particle":"","family":"Schnorr","given":"Stephanie L.","non-dropping-particle":"","parse-names":false,"suffix":""},{"dropping-particle":"","family":"Carelli","given":"Valerio","non-dropping-particle":"","parse-names":false,"suffix":""},{"dropping-particle":"","family":"Brigidi","given":"Patrizia","non-dropping-particle":"","parse-names":false,"suffix":""},{"dropping-particle":"","family":"Candela","given":"Marco","non-dropping-particle":"","parse-names":false,"suffix":""},{"dropping-particle":"","family":"Turroni","given":"Silvia","non-dropping-particle":"","parse-names":false,"suffix":""}],"container-title":"Cell Reports","id":"ITEM-1","issue":"10","issued":{"date-parts":[["2018"]]},"page":"3056-3067","publisher":"ElsevierCompany.","title":"Infant and Adult Gut Microbiome and Metabolome in Rural Bassa and Urban Settlers from Nigeria","type":"article-journal","volume":"23"},"uris":["http://www.mendeley.com/documents/?uuid=e4a668ad-2768-46e1-ab78-d21e4b40f19c"]},{"id":"ITEM-2","itemData":{"DOI":"10.1016/j.scitotenv.2017.09.035","ISSN":"00489697","abstract":"Urbanisation represents one of the most radical forms of terrestrial land use change and has been shown to lead to alterations in ecosystem functioning and community dynamics and changes in individual phenotypic traits. While the recent surge in microbiome studies has brought about a paradigm shift by which individuals cannot truly be considered independently of the bacterial communities they host, the role of gut microbiota in organismal response to human-induced environmental change is still scarcely studied. Here, we applied a metabarcoding approach to examine the impact of urbanisation on the gut microbiota of Passer domesticus. We found urbanisation to be associated to lower microbiota species diversity, modifications in taxonomic composition and community structure, and changes in functional composition. The strength of these relationships, however, depended on the spatial scale and season at which they were considered. Such spatio-temporal effect suggests that urbanisation may dampen the natural seasonal variation of the gut microbiota observed in more pristine habitats, potentially influencing the fitness of urban organisms. Our results hence shed light on a hitherto little considered perspective, i.e. that the negative effects of urbanisation on city-dwelling organisms may extend to their microbiomes, causing potential dysbioses.","author":[{"dropping-particle":"","family":"Teyssier","given":"Aimeric","non-dropping-particle":"","parse-names":false,"suffix":""},{"dropping-particle":"","family":"Rouffaer","given":"Lieze Oscar","non-dropping-particle":"","parse-names":false,"suffix":""},{"dropping-particle":"","family":"Saleh Hudin","given":"Noraine","non-dropping-particle":"","parse-names":false,"suffix":""},{"dropping-particle":"","family":"Strubbe","given":"Diederik","non-dropping-particle":"","parse-names":false,"suffix":""},{"dropping-particle":"","family":"Matthysen","given":"Erik","non-dropping-particle":"","parse-names":false,"suffix":""},{"dropping-particle":"","family":"Lens","given":"Luc","non-dropping-particle":"","parse-names":false,"suffix":""},{"dropping-particle":"","family":"White","given":"Joël","non-dropping-particle":"","parse-names":false,"suffix":""}],"container-title":"Science of The Total Environment","id":"ITEM-2","issued":{"date-parts":[["2018"]]},"page":"1276-1286","publisher":"Elsevier B.V.","title":"Inside the guts of the city: Urban-induced alterations of the gut microbiota in a wild passerine","type":"article-journal","volume":"612"},"uris":["http://www.mendeley.com/documents/?uuid=0a16ed80-e088-46cb-8182-f6ebba9f38d7"]}],"mendeley":{"formattedCitation":"&lt;sup&gt;10,16&lt;/sup&gt;","plainTextFormattedCitation":"10,16","previouslyFormattedCitation":"(Ayeni &lt;i&gt;et al.&lt;/i&gt; 2018, Teyssier &lt;i&gt;et al.&lt;/i&gt; 2018)"},"properties":{"noteIndex":0},"schema":"https://github.com/citation-style-language/schema/raw/master/csl-citation.json"}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10,16</w:t>
      </w:r>
      <w:r w:rsidRPr="00D23BF1">
        <w:rPr>
          <w:rFonts w:ascii="Times" w:eastAsia="Helvetica Neue" w:hAnsi="Times" w:cs="Helvetica Neue"/>
        </w:rPr>
        <w:fldChar w:fldCharType="end"/>
      </w:r>
      <w:r w:rsidRPr="00D23BF1">
        <w:rPr>
          <w:rFonts w:ascii="Times" w:eastAsia="Helvetica Neue" w:hAnsi="Times" w:cs="Helvetica Neue"/>
        </w:rPr>
        <w:t>.  For example, humans living in rural agricultural communities in Nigeria have distinct and more diverse fecal microbiota from those living in cities (Ayeni et al., 2018). Similarly, house sparrows (</w:t>
      </w:r>
      <w:r w:rsidRPr="00D23BF1">
        <w:rPr>
          <w:rFonts w:ascii="Times" w:eastAsia="Helvetica Neue" w:hAnsi="Times" w:cs="Helvetica Neue"/>
          <w:i/>
          <w:iCs/>
        </w:rPr>
        <w:t xml:space="preserve">Passer </w:t>
      </w:r>
      <w:proofErr w:type="spellStart"/>
      <w:r w:rsidRPr="00D23BF1">
        <w:rPr>
          <w:rFonts w:ascii="Times" w:eastAsia="Helvetica Neue" w:hAnsi="Times" w:cs="Helvetica Neue"/>
          <w:i/>
          <w:iCs/>
        </w:rPr>
        <w:t>domesticus</w:t>
      </w:r>
      <w:proofErr w:type="spellEnd"/>
      <w:r w:rsidRPr="00D23BF1">
        <w:rPr>
          <w:rFonts w:ascii="Times" w:eastAsia="Helvetica Neue" w:hAnsi="Times" w:cs="Helvetica Neue"/>
        </w:rPr>
        <w:t xml:space="preserve">) were found to have differing gut microbial community structure between urban and rural locations in Belgium, with urban areas more diverse in terms of community membership, and small spatial scale measures of urbanization having a significant impact on this pattern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{"citationItems":[{"id":"ITEM-1","itemData":{"DOI":"10.1016/j.scitotenv.2017.09.035","ISSN":"00489697","abstract":"Urbanisation represents one of the most radical forms of terrestrial land use change and has been shown to lead to alterations in ecosystem functioning and community dynamics and changes in individual phenotypic traits. While the recent surge in microbiome studies has brought about a paradigm shift by which individuals cannot truly be considered independently of the bacterial communities they host, the role of gut microbiota in organismal response to human-induced environmental change is still scarcely studied. Here, we applied a metabarcoding approach to examine the impact of urbanisation on the gut microbiota of Passer domesticus. We found urbanisation to be associated to lower microbiota species diversity, modifications in taxonomic composition and community structure, and changes in functional composition. The strength of these relationships, however, depended on the spatial scale and season at which they were considered. Such spatio-temporal effect suggests that urbanisation may dampen the natural seasonal variation of the gut microbiota observed in more pristine habitats, potentially influencing the fitness of urban organisms. Our results hence shed light on a hitherto little considered perspective, i.e. that the negative effects of urbanisation on city-dwelling organisms may extend to their microbiomes, causing potential dysbioses.","author":[{"dropping-particle":"","family":"Teyssier","given":"Aimeric","non-dropping-particle":"","parse-names":false,"suffix":""},{"dropping-particle":"","family":"Rouffaer","given":"Lieze Oscar","non-dropping-particle":"","parse-names":false,"suffix":""},{"dropping-particle":"","family":"Saleh Hudin","given":"Noraine","non-dropping-particle":"","parse-names":false,"suffix":""},{"dropping-particle":"","family":"Strubbe","given":"Diederik","non-dropping-particle":"","parse-names":false,"suffix":""},{"dropping-particle":"","family":"Matthysen","given":"Erik","non-dropping-particle":"","parse-names":false,"suffix":""},{"dropping-particle":"","family":"Lens","given":"Luc","non-dropping-particle":"","parse-names":false,"suffix":""},{"dropping-particle":"","family":"White","given":"Joël","non-dropping-particle":"","parse-names":false,"suffix":""}],"container-title":"Science of The Total Environment","id":"ITEM-1","issued":{"date-parts":[["2018"]]},"page":"1276-1286","publisher":"Elsevier B.V.","title":"Inside the guts of the city: Urban-induced alterations of the gut microbiota in a wild passerine","type":"article-journal","volume":"612"},"uris":["http://www.mendeley.com/documents/?uuid=0a16ed80-e088-46cb-8182-f6ebba9f38d7"]}],"mendeley":{"formattedCitation":"&lt;sup&gt;16&lt;/sup&gt;","plainTextFormattedCitation":"16","previouslyFormattedCitation":"(Teyssier &lt;i&gt;et al.&lt;/i&gt; 2018)"},"properties":{"noteIndex":0},"schema":"https://github.com/citation-style-language/schema/raw/master/csl-citation.json"}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16</w:t>
      </w:r>
      <w:r w:rsidRPr="00D23BF1">
        <w:rPr>
          <w:rFonts w:ascii="Times" w:eastAsia="Helvetica Neue" w:hAnsi="Times" w:cs="Helvetica Neue"/>
        </w:rPr>
        <w:fldChar w:fldCharType="end"/>
      </w:r>
      <w:r w:rsidRPr="00D23BF1">
        <w:rPr>
          <w:rFonts w:ascii="Times" w:eastAsia="Helvetica Neue" w:hAnsi="Times" w:cs="Helvetica Neue"/>
        </w:rPr>
        <w:t xml:space="preserve">. Further, gut microbial communities were less diverse in rural areas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males using spatial analyses of land cover (impervious, scrub, grass, and trees) at the regional level and territory level in urban San Francisco, CA and nearby rural Point Reyes, California. We hypothesized that urbanization of habitats affects gut microbial composition and diversity, potentially through direct effects on diet and/or indirect environmental effects. We measured gut microbial community diversity from 16s rRNA sequences amplified from cloacal swabs. We find that the urban and rural male gut microbiomes are significantly different, such that the urban gut microbiome is more diverse than the rural gut microbiome. This relationship may be due to more variable land cover types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Evolution","id":"ITEM-1","issued":{"date-parts":[["2018","9","24"]]},"title":"The Effects of Landscape Urbanization on the Gut Microbiome: An Exploration Into the Gut of Urban and Rural White-Crowned Sparrows","type":"article-journal","volume":"6"},"uris":["http://www.mendeley.com/documents/?uuid=5f91c1ce-dae3-30cf-ae5f-0fdb182fb176"]}],"mendeley":{"formattedCitation":"&lt;sup&gt;15&lt;/sup&gt;","plainTextFormattedCitation":"15","previouslyFormattedCitation":"(Phillips &lt;i&gt;et al.&lt;/i&gt; 2018)"},"properties":{"noteIndex":0},"schema":"https://github.com/citation-style-language/schema/raw/master/csl-citation.json"}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15</w:t>
      </w:r>
      <w:r w:rsidRPr="00D23BF1">
        <w:rPr>
          <w:rFonts w:ascii="Times" w:eastAsia="Helvetica Neue" w:hAnsi="Times" w:cs="Helvetica Neue"/>
        </w:rPr>
        <w:fldChar w:fldCharType="end"/>
      </w:r>
      <w:r w:rsidRPr="00D23BF1">
        <w:rPr>
          <w:rFonts w:ascii="Times" w:eastAsia="Helvetica Neue" w:hAnsi="Times" w:cs="Helvetica Neue"/>
        </w:rPr>
        <w:t>. These complex and in some cases conflicting findings raise the question of how urbanization is shaping gut microbial communities, and if, in some cases, microbial communities buffer populations against certain urban stressors.</w:t>
      </w:r>
    </w:p>
    <w:p w14:paraId="34EC42E3" w14:textId="77777777" w:rsidR="00041ADB" w:rsidRPr="00D23BF1" w:rsidRDefault="00041ADB" w:rsidP="00F20BE1">
      <w:pPr>
        <w:jc w:val="both"/>
        <w:rPr>
          <w:rFonts w:ascii="Times" w:eastAsia="Helvetica Neue" w:hAnsi="Times" w:cs="Helvetica Neue"/>
        </w:rPr>
      </w:pPr>
    </w:p>
    <w:p w14:paraId="66CEE185"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Factors driving differences in gut microbiomes between urban and rural areas are unknown. There are several possible mechanisms that could explain these differences in gut microbes</w:t>
      </w:r>
      <w:sdt>
        <w:sdtPr>
          <w:rPr>
            <w:rFonts w:ascii="Times" w:hAnsi="Times"/>
          </w:rPr>
          <w:tag w:val="goog_rdk_63"/>
          <w:id w:val="-48076910"/>
        </w:sdtPr>
        <w:sdtEndPr/>
        <w:sdtContent>
          <w:r w:rsidRPr="00D23BF1">
            <w:rPr>
              <w:rFonts w:ascii="Times" w:hAnsi="Times"/>
            </w:rPr>
            <w:t>,</w:t>
          </w:r>
        </w:sdtContent>
      </w:sdt>
      <w:r w:rsidRPr="00D23BF1">
        <w:rPr>
          <w:rFonts w:ascii="Times" w:eastAsia="Helvetica Neue" w:hAnsi="Times" w:cs="Helvetica Neue"/>
        </w:rPr>
        <w:t xml:space="preserve"> including diet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{"citationItems":[{"id":"ITEM-1","itemData":{"DOI":"10.1073/pnas.1005963107","ISBN":"1091-6490 (Electronic)\\r0027-8424 (Linking)","ISSN":"0027-8424","PMID":"20679230","abstract":"Gut microbial composition depends on different dietary habits just as health depends on microbial metabolism, but the association of microbiota with different diets in human populations has not yet been shown. In this work, we compared the fecal microbiota of European children (EU) and that of children from a rural African village of Burkina Faso (BF), where the diet, high in fiber content, is similar to that of early human settlements at the time of the birth of agriculture. By using high-throughput 16S rDNA sequencing and biochemical analyses, we found significant differences in gut microbiota between the two groups. BF children showed a significant enrichment in Bacteroidetes and depletion in Firmicutes (P &lt; 0.001), with a unique abundance of bacteria from the genus Prevotella and Xylanibacter, known to contain a set of bacterial genes for cellulose and xylan hydrolysis, completely lacking in the EU children. In addition, we found significantly more short-chain fatty acids (P &lt; 0.001) in BF than in EU children. Also, Enterobacteriaceae (Shigella and Escherichia) were significantly underrepresented in BF than in EU children (P &lt; 0.05). We hypothesize that gut microbiota coevolved with the polysaccharide-rich diet of BF individuals, allowing them to maximize energy intake from fibers while also protecting them from inflammations and noninfectious colonic diseases. This study investigates and compares human intestinal microbiota from children characterized by a modern western diet and a rural diet, indicating the importance of preserving this treasure of microbial diversity from ancient rural communities worldwide.","author":[{"dropping-particle":"","family":"Filippo","given":"C.","non-dropping-particle":"De","parse-names":false,"suffix":""},{"dropping-particle":"","family":"Cavalieri","given":"D.","non-dropping-particle":"","parse-names":false,"suffix":""},{"dropping-particle":"","family":"Paola","given":"M.","non-dropping-particle":"Di","parse-names":false,"suffix":""},{"dropping-particle":"","family":"Ramazzotti","given":"M.","non-dropping-particle":"","parse-names":false,"suffix":""},{"dropping-particle":"","family":"Poullet","given":"J. B.","non-dropping-particle":"","parse-names":false,"suffix":""},{"dropping-particle":"","family":"Massart","given":"S.","non-dropping-particle":"","parse-names":false,"suffix":""},{"dropping-particle":"","family":"Collini","given":"S.","non-dropping-particle":"","parse-names":false,"suffix":""},{"dropping-particle":"","family":"Pieraccini","given":"G.","non-dropping-particle":"","parse-names":false,"suffix":""},{"dropping-particle":"","family":"Lionetti","given":"P.","non-dropping-particle":"","parse-names":false,"suffix":""}],"container-title":"Proceedings of the National Academy of Sciences","id":"ITEM-1","issue":"33","issued":{"date-parts":[["2010"]]},"page":"14691-14696","title":"Impact of diet in shaping gut microbiota revealed by a comparative study in children from Europe and rural Africa","type":"article-journal","volume":"107"},"uris":["http://www.mendeley.com/documents/?uuid=bef5115e-526e-4ce7-8773-761a0301f43d"]},{"id":"ITEM-2","itemData":{"DOI":"10.1098/rspb.2019.2182","ISSN":"14712954","abstract":"Urban sprawl increasingly affects the ecology of natural populations, including host-microbiota interactions, with observed differences in the gut microbiota between urban and rural hosts. While different mechanisms could explain this pattern, dietary uptake constitutes a likely candidate. To assess the contribution of diet in explaining urban-rural variation in gut microbiota, we performed an aviary experiment in which urban and rural house sparrows were fed with mimics of urban or rural diets. Before the experiment, rural sparrows hosted more diverse gut communities, with a higher relative abundance of Enterococcaceae and Staphylococcaceae and lower abundance of genes involved in xenobiotic degradation and lipid metabolism than their urban counterparts. The experimental diets significantly altered gut microbiota α- and β-diversity and taxonomic composition, with the strongest shifts occurring in individuals exposed to contrasting diets. Overall, diet-induced shifts resembled initial differences between free-ranging urban and rural hosts. Furthermore, rural diet had a positive impact on urban host body mass but only in hosts with the highest initial gut diversity. Overall, our results indicate that diet constitutes an important factor contributing to differences in gut microbiota along the urbanization gradient and provide new insights on possible fitness consequences of a reduced gut diversity in urban settings.","author":[{"dropping-particle":"","family":"Teyssier","given":"Aimeric","non-dropping-particle":"","parse-names":false,"suffix":""},{"dropping-particle":"","family":"Matthysen","given":"Erik","non-dropping-particle":"","parse-names":false,"suffix":""},{"dropping-particle":"","family":"Hudin","given":"Noraine Salleh","non-dropping-particle":"","parse-names":false,"suffix":""},{"dropping-particle":"","family":"Neve","given":"Liesbeth","non-dropping-particle":"de","parse-names":false,"suffix":""},{"dropping-particle":"","family":"White","given":"Joël","non-dropping-particle":"","parse-names":false,"suffix":""},{"dropping-particle":"","family":"Lens","given":"Luc","non-dropping-particle":"","parse-names":false,"suffix":""}],"container-title":"Proceedings. Biological sciences","id":"ITEM-2","issue":"1920","issued":{"date-parts":[["2020"]]},"note":"for birds with significantly different diets this makes sense, I need to find out for sure whether wcsp have different diets, because despite different locations the microhabitat is somewhat similar","page":"20192182","title":"Diet contributes to urban-induced alterations in gut microbiota: experimental evidence from a wild passerine","type":"article-journal","volume":"287"},"uris":["http://www.mendeley.com/documents/?uuid=f5c7c019-3e67-44a3-9903-964c2a58c0d3"]}],"mendeley":{"formattedCitation":"&lt;sup&gt;65,66&lt;/sup&gt;","plainTextFormattedCitation":"65,66","previouslyFormattedCitation":"(De Filippo &lt;i&gt;et al.&lt;/i&gt; 2010, Teyssier &lt;i&gt;et al.&lt;/i&gt; 2020)"},"properties":{"noteIndex":0},"schema":"https://github.com/citation-style-language/schema/raw/master/csl-citation.json"}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65,66</w:t>
      </w:r>
      <w:r w:rsidRPr="00D23BF1">
        <w:rPr>
          <w:rFonts w:ascii="Times" w:eastAsia="Helvetica Neue" w:hAnsi="Times" w:cs="Helvetica Neue"/>
        </w:rPr>
        <w:fldChar w:fldCharType="end"/>
      </w:r>
      <w:r w:rsidRPr="00D23BF1">
        <w:rPr>
          <w:rFonts w:ascii="Times" w:eastAsia="Helvetica Neue" w:hAnsi="Times" w:cs="Helvetica Neue"/>
        </w:rPr>
        <w:t xml:space="preserve">, landscape cover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{"citationItems":[{"id":"ITEM-1","itemData":{"DOI":"10.1007/s10980-007-9122-6","ISBN":"0921-2973","ISSN":"09212973","abstract":"Historical records provide information to land managers and landscape ecologists attempting to understand current trajectories in altered landscapes. In this study, we synthesized a heterogeneous array of historical sources to reconstruct historical land cover in California's Santa Clara Valley (a.k.a. ``Silicon Valley''). To increase and assess accuracy, we used the triangulation of overlapping, independent data sources and the application of certainty level standards. The region has been subject to extensive urbanization, so we also evaluated the applicability of historical landscape reconstructions to the altered landscape. We found evidence for five major land cover types prior to significant Euro--American modification. Valley freshwater marsh, wet meadow, alkali meadow, willow grove, and valley oak savanna have all experienced extreme decline (85--100%) since Euro--American settlement. However, comparison of historical land cover patterns to contemporary land use suggested several new strategies for environmental recovery, despite the limitations of surrounding urbanization. We also observed a temporal shift in riparian habitat along the mainstem of Coyote Creek, from a relatively open mixture of riparian scrub, sycamore woodland, and unvegetated gravel bars to dense riparian forest, likely resulting from stream flow regulation. By identifying former land cover patterns we provide a basis for evaluating local landscape change and setting restoration targets, including the identification of residual features and under-recognized land cover types. These findings suggest that reliable historical landscape reconstructions can be developed in the absence of standardized historical data sources and can be of value even in highly modified regions.","author":[{"dropping-particle":"","family":"Grossinger","given":"Robin M.","non-dropping-particle":"","parse-names":false,"suffix":""},{"dropping-particle":"","family":"Striplen","given":"Charles J.","non-dropping-particle":"","parse-names":false,"suffix":""},{"dropping-particle":"","family":"Askevold","given":"Ruth A.","non-dropping-particle":"","parse-names":false,"suffix":""},{"dropping-particle":"","family":"Brewster","given":"Elise","non-dropping-particle":"","parse-names":false,"suffix":""},{"dropping-particle":"","family":"Beller","given":"Erin E.","non-dropping-particle":"","parse-names":false,"suffix":""}],"container-title":"Landscape Ecology","id":"ITEM-1","issue":"SUPPL. 1","issued":{"date-parts":[["2007"]]},"page":"103-120","title":"Historical landscape ecology of an urbanized California valley: Wetlands and woodlands in the Santa Clara Valley","type":"article-journal","volume":"22"},"uris":["http://www.mendeley.com/documents/?uuid=7e04d785-3271-41e5-a32a-48f4e83dbaff"]}],"mendeley":{"formattedCitation":"&lt;sup&gt;67&lt;/sup&gt;","plainTextFormattedCitation":"67","previouslyFormattedCitation":"(Grossinger &lt;i&gt;et al.&lt;/i&gt; 2007)"},"properties":{"noteIndex":0},"schema":"https://github.com/citation-style-language/schema/raw/master/csl-citation.json"}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67</w:t>
      </w:r>
      <w:r w:rsidRPr="00D23BF1">
        <w:rPr>
          <w:rFonts w:ascii="Times" w:eastAsia="Helvetica Neue" w:hAnsi="Times" w:cs="Helvetica Neue"/>
        </w:rPr>
        <w:fldChar w:fldCharType="end"/>
      </w:r>
      <w:r w:rsidRPr="00D23BF1">
        <w:rPr>
          <w:rFonts w:ascii="Times" w:eastAsia="Helvetica Neue" w:hAnsi="Times" w:cs="Helvetica Neue"/>
        </w:rPr>
        <w:t xml:space="preserve">, geography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{"citationItems":[{"id":"ITEM-1","itemData":{"DOI":"10.7717/peerj.321","ISSN":"2167-8359","PMID":"24711971","abstract":"Brown-headed Cowbirds (Molothrus ater) are the most widespread avian brood parasite in North America, laying their eggs in the nests of approximately 250 host species that raise the cowbird nestlings as their own. It is currently unknown how these heterospecific hosts influence the cowbird gut microbiota relative to other factors, such as the local environment and genetics. We test a Nature Hypothesis (positing the importance of cowbird genetics) and a Nurture Hypothesis (where the host parents are most influential to cowbird gut microbiota) using the V6 region of 16S rRNA as a microbial fingerprint of the gut from 32 cowbird samples and 16 potential hosts from nine species. We test additional hypotheses regarding the influence of the local environment and age of the birds. We found no evidence for the Nature Hypothesis and little support for the Nurture Hypothesis. Cowbird gut microbiota did not form a clade, but neither did members of the host species. Rather, the physical location, diet and age of the bird, whether cowbird or host, were the most significant categorical variables. Thus, passerine gut microbiota may be most strongly influenced by environmental factors. To put this variation in a broader context, we compared the bird data to a fecal microbiota dataset of 38 mammal species and 22 insect species. Insects were always the most variable; on some axes, we found more variation within cowbirds than across all mammals. Taken together, passerine gut microbiota may be more variable and environmentally determined than other taxonomic groups examined to date.","author":[{"dropping-particle":"","family":"Hird","given":"Sarah M.","non-dropping-particle":"","parse-names":false,"suffix":""},{"dropping-particle":"","family":"Carstens","given":"Bryan C.","non-dropping-particle":"","parse-names":false,"suffix":""},{"dropping-particle":"","family":"Cardiff","given":"Steven W.","non-dropping-particle":"","parse-names":false,"suffix":""},{"dropping-particle":"","family":"Dittmann","given":"Donna L.","non-dropping-particle":"","parse-names":false,"suffix":""},{"dropping-particle":"","family":"Brumfield","given":"Robb T.","non-dropping-particle":"","parse-names":false,"suffix":""}],"container-title":"PeerJ","id":"ITEM-1","issued":{"date-parts":[["2014"]]},"page":"e321","title":"Sampling locality is more detectable than taxonomy or ecology in the gut microbiota of the brood-parasitic Brown-headed Cowbird ( Molothrus ater )","type":"article-journal","volume":"2"},"uris":["http://www.mendeley.com/documents/?uuid=645fb96d-7d23-4c54-96ef-853603fe1a55"]},{"id":"ITEM-2","itemData":{"DOI":"10.1098/rsbl.2013.1037","ISBN":"1744-957X (Electronic)\\r1744-9561 (Linking)","ISSN":"1744-9561","PMID":"24522631","abstract":"Although we know there is considerable variation in gut microbial composition within host species, little is known about how this variation is shaped and why such variation exists. In humans, obesity is associated with the relative abundance of two dominant bacterial phyla: an increase in the proportion of Firmicutes and a decrease in the proportion of Bacteroidetes. As there is evidence that humans have adapted to colder climates by increasing their body mass (e.g. Bergmann's rule), we tested whether Firmicutes increase and Bacteroidetes decrease with latitude, using 1020 healthy individuals drawn from 23 populations and six published studies. We found a positive correlation between Firmicutes and latitude and a negative correlation between Bacteroidetes and latitude. The overall pattern appears robust to sex, age and bacterial detection methods. Comparisons between African Americans and native Africans and between European Americans and native Europeans suggest no evidence of host genotype explaining the observed patterns. The variation of gut microbial composition described here is consistent with the pattern expected by Bergmann's rule. This surprising link between large-scale geography and human gut microbial composition merits further investigation.","author":[{"dropping-particle":"","family":"Suzuki","given":"T. A.","non-dropping-particle":"","parse-names":false,"suffix":""},{"dropping-particle":"","family":"Worobey","given":"M.","non-dropping-particle":"","parse-names":false,"suffix":""}],"container-title":"Biology Letters","id":"ITEM-2","issue":"2","issued":{"date-parts":[["2014"]]},"page":"20131037-20131037","title":"Geographical variation of human gut microbial composition","type":"article-journal","volume":"10"},"uris":["http://www.mendeley.com/documents/?uuid=ae85b9e5-fd03-4e5d-9701-55a785ea3c5c"]}],"mendeley":{"formattedCitation":"&lt;sup&gt;68,69&lt;/sup&gt;","plainTextFormattedCitation":"68,69","previouslyFormattedCitation":"(Hird &lt;i&gt;et al.&lt;/i&gt; 2014, Suzuki &amp; Worobey 2014)"},"properties":{"noteIndex":0},"schema":"https://github.com/citation-style-language/schema/raw/master/csl-citation.json"}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68,69</w:t>
      </w:r>
      <w:r w:rsidRPr="00D23BF1">
        <w:rPr>
          <w:rFonts w:ascii="Times" w:eastAsia="Helvetica Neue" w:hAnsi="Times" w:cs="Helvetica Neue"/>
        </w:rPr>
        <w:fldChar w:fldCharType="end"/>
      </w:r>
      <w:r w:rsidRPr="00D23BF1">
        <w:rPr>
          <w:rFonts w:ascii="Times" w:eastAsia="Helvetica Neue" w:hAnsi="Times" w:cs="Helvetica Neue"/>
        </w:rPr>
        <w:t xml:space="preserve">, novel stressors like increased social stress due to population density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tree.2005.11.019","ISSN":"01695347","author":[{"dropping-particle":"","family":"Shochat","given":"E","non-dropping-particle":"","parse-names":false,"suffix":""},{"dropping-particle":"","family":"Warren","given":"P","non-dropping-particle":"","parse-names":false,"suffix":""},{"dropping-particle":"","family":"Faeth","given":"S","non-dropping-particle":"","parse-names":false,"suffix":""},{"dropping-particle":"","family":"McIntyre","given":"N","non-dropping-particle":"","parse-names":false,"suffix":""},{"dropping-particle":"","family":"Hope","given":"D","non-dropping-particle":"","parse-names":false,"suffix":""}],"container-title":"Trends in Ecology &amp; Evolution","id":"ITEM-1","issue":"4","issued":{"date-parts":[["2006"]]},"page":"186-191","title":"From patterns to emerging processes in mechanistic urban ecology","type":"article-journal","volume":"21"},"uris":["http://www.mendeley.com/documents/?uuid=9c1e7565-0d76-4415-a010-e529bcc465a1"]}],"mendeley":{"formattedCitation":"&lt;sup&gt;70&lt;/sup&gt;","plainTextFormattedCitation":"70","previouslyFormattedCitation":"(Shochat &lt;i&gt;et al.&lt;/i&gt; 2006)"},"properties":{"noteIndex":0},"schema":"https://github.com/citation-style-language/schema/raw/master/csl-citation.json"}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70</w:t>
      </w:r>
      <w:r w:rsidRPr="00D23BF1">
        <w:rPr>
          <w:rFonts w:ascii="Times" w:eastAsia="Helvetica Neue" w:hAnsi="Times" w:cs="Helvetica Neue"/>
        </w:rPr>
        <w:fldChar w:fldCharType="end"/>
      </w:r>
      <w:r w:rsidRPr="00D23BF1">
        <w:rPr>
          <w:rFonts w:ascii="Times" w:eastAsia="Helvetica Neue" w:hAnsi="Times" w:cs="Helvetica Neue"/>
        </w:rPr>
        <w:t xml:space="preserve">, disruptions in light/dark cycles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{"citationItems":[{"id":"ITEM-1","itemData":{"DOI":"10.1098/rstb.2014.0118","abstract":"Artificial light at night is one of the most apparent environmental changes accompanying anthropogenic habitat change. The global increase in light pollution poses newchallenges towild species, butwe still have limited under- standing of the temporal and spatial pattern of exposure to light at night. In particular, it has been suggested by several studies that animals exposed to light pollution, such as songbirds, perceive a longer daylength compared with conspecifics living in natural darker areas, but direct tests of such a hy- pothesis are still lacking. Here, we use a combination of light loggers deployed on individual European blackbirds, as well as automated radio- telemetry, to examine whether urban birds are exposed to a longer daylength than forest counterparts.We first used activity data from forest birds to deter- mine the level of light intensity which defines the onset and offset of daily activity in rural areas. We then used this value as threshold to calculate the subjective perceived daylength of both forest and urban blackbirds. In March, when reproductive growth occurs, urban birds were exposed on aver- age to a 49-min longer subjective perceived daylength than forest ones, which corresponds to a 19-day difference in photoperiod at this time of the year. In the field, urban blackbirds reached reproductive maturity 19 day earlier than rural birds, suggesting that light pollution could be responsible of most of the variation in reproductive timing found between urban and rural dwell- ers. We conclude that light at night is the most relevant change in ambient light affecting biological rhythms in avian urban-dwellers, most likely via a modification of the perceived photoperiod. Electronic","author":[{"dropping-particle":"","family":"Dominoni","given":"Davide M","non-dropping-particle":"","parse-names":false,"suffix":""},{"dropping-particle":"","family":"Partecke","given":"Jesko","non-dropping-particle":"","parse-names":false,"suffix":""}],"container-title":"Philosophical transactions of the Royal Society of London. Series B, Biological sciences","id":"ITEM-1","issue":"MAY","issued":{"date-parts":[["2015"]]},"note":"BLACKBIRDS WITH RADIO TRACKERS AND LIGHT METERS, CITY BIRDS WITH MORE LIGHT LAID EGGS EARLIER BECAUSE PHOTOPERIOD WAS AFFECTED BY AMBIENT LIGHT.","title":"Does light pollution alter daylength ? A test using light loggers on free-ranging European blackbirds ( Turdus merula ) Does light pollution alter daylength ? A test using light loggers on free-ranging European blackbirds ( Turdus merula )","type":"article-journal","volume":"370"},"uris":["http://www.mendeley.com/documents/?uuid=12a087fe-e9d6-4d6c-bd77-3c9cd9e6c05f"]},{"id":"ITEM-2","itemData":{"DOI":"10.1016/j.tree.2015.06.009","ISSN":"01695347","author":[{"dropping-particle":"","family":"Swaddle","given":"John P.","non-dropping-particle":"","parse-names":false,"suffix":""},{"dropping-particle":"","family":"Francis","given":"Clinton D.","non-dropping-particle":"","parse-names":false,"suffix":""},{"dropping-particle":"","family":"Barber","given":"Jesse R.","non-dropping-particle":"","parse-names":false,"suffix":""},{"dropping-particle":"","family":"Cooper","given":"Caren B.","non-dropping-particle":"","parse-names":false,"suffix":""},{"dropping-particle":"","family":"Kyba","given":"Christopher C.M.","non-dropping-particle":"","parse-names":false,"suffix":""},{"dropping-particle":"","family":"Dominoni","given":"Davide M.","non-dropping-particle":"","parse-names":false,"suffix":""},{"dropping-particle":"","family":"Shannon","given":"Graeme","non-dropping-particle":"","parse-names":false,"suffix":""},{"dropping-particle":"","family":"Aschehoug","given":"Erik","non-dropping-particle":"","parse-names":false,"suffix":""},{"dropping-particle":"","family":"Goodwin","given":"Sarah E.","non-dropping-particle":"","parse-names":false,"suffix":""},{"dropping-particle":"","family":"Kawahara","given":"Akito Y.","non-dropping-particle":"","parse-names":false,"suffix":""},{"dropping-particle":"","family":"Luther","given":"David","non-dropping-particle":"","parse-names":false,"suffix":""},{"dropping-particle":"","family":"Spoelstra","given":"Kamiel","non-dropping-particle":"","parse-names":false,"suffix":""},{"dropping-particle":"","family":"Voss","given":"Margaret","non-dropping-particle":"","parse-names":false,"suffix":""},{"dropping-particle":"","family":"Longcore","given":"Travis","non-dropping-particle":"","parse-names":false,"suffix":""}],"container-title":"Trends in Ecology &amp; Evolution","id":"ITEM-2","issue":"9","issued":{"date-parts":[["2015"]]},"page":"550-560","publisher":"Elsevier Ltd","title":"A framework to assess evolutionary responses to anthropogenic light and sound","type":"article-journal","volume":"30"},"uris":["http://www.mendeley.com/documents/?uuid=70c72674-b7f2-464e-bf76-bb51d85e72d3"]}],"mendeley":{"formattedCitation":"&lt;sup&gt;18,71&lt;/sup&gt;","plainTextFormattedCitation":"18,71","previouslyFormattedCitation":"(Dominoni &amp; Partecke 2015, Swaddle &lt;i&gt;et al.&lt;/i&gt; 2015)"},"properties":{"noteIndex":0},"schema":"https://github.com/citation-style-language/schema/raw/master/csl-citation.json"}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18,71</w:t>
      </w:r>
      <w:r w:rsidRPr="00D23BF1">
        <w:rPr>
          <w:rFonts w:ascii="Times" w:eastAsia="Helvetica Neue" w:hAnsi="Times" w:cs="Helvetica Neue"/>
        </w:rPr>
        <w:fldChar w:fldCharType="end"/>
      </w:r>
      <w:r w:rsidRPr="00D23BF1">
        <w:rPr>
          <w:rFonts w:ascii="Times" w:eastAsia="Helvetica Neue" w:hAnsi="Times" w:cs="Helvetica Neue"/>
        </w:rPr>
        <w:t xml:space="preserve">, and chronically high levels of noise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{"citationItems":[{"id":"ITEM-1","itemData":{"DOI":"10.1016/j.tree.2009.08.002","ISBN":"0169-5347","ISSN":"01695347","PMID":"19762112","abstract":"Growth in transportation networks, resource extraction, motorized recreation and urban development is responsible for chronic noise exposure in most terrestrial areas, including remote wilderness sites. Increased noise levels reduce the distance and area over which acoustic signals can be perceived by animals. Here, we review a broad range of findings that indicate the potential severity of this threat to diverse taxa, and recent studies that document substantial changes in foraging and anti-predator behavior, reproductive success, density and community structure in response to noise. Effective management of protected areas must include noise assessment, and research is needed to further quantify the ecological consequences of chronic noise exposure in terrestrial environments. © 2009 Elsevier Ltd.","author":[{"dropping-particle":"","family":"Barber","given":"Jesse R.","non-dropping-particle":"","parse-names":false,"suffix":""},{"dropping-particle":"","family":"Crooks","given":"Kevin R.","non-dropping-particle":"","parse-names":false,"suffix":""},{"dropping-particle":"","family":"Fristrup","given":"Kurt M.","non-dropping-particle":"","parse-names":false,"suffix":""}],"container-title":"Trends in Ecology and Evolution","id":"ITEM-1","issue":"3","issued":{"date-parts":[["2010"]]},"page":"180-189","publisher":"Elsevier Ltd","title":"The costs of chronic noise exposure for terrestrial organisms","type":"article-journal","volume":"25"},"uris":["http://www.mendeley.com/documents/?uuid=224b03d1-0577-4607-a36f-5b7268795e17"]}],"mendeley":{"formattedCitation":"&lt;sup&gt;72&lt;/sup&gt;","plainTextFormattedCitation":"72","previouslyFormattedCitation":"(Barber &lt;i&gt;et al.&lt;/i&gt; 2010)"},"properties":{"noteIndex":0},"schema":"https://github.com/citation-style-language/schema/raw/master/csl-citation.json"}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72</w:t>
      </w:r>
      <w:r w:rsidRPr="00D23BF1">
        <w:rPr>
          <w:rFonts w:ascii="Times" w:eastAsia="Helvetica Neue" w:hAnsi="Times" w:cs="Helvetica Neue"/>
        </w:rPr>
        <w:fldChar w:fldCharType="end"/>
      </w:r>
      <w:r w:rsidRPr="00D23BF1">
        <w:rPr>
          <w:rFonts w:ascii="Times" w:eastAsia="Helvetica Neue" w:hAnsi="Times" w:cs="Helvetica Neue"/>
        </w:rPr>
        <w:t xml:space="preserve">. A few of these potential mechanisms underlying patterns of urban and rural gut microbial differences have been experimentally tested. For example, a lab experiment on mice showed that gut bacterial diversity and richness were decreased when a subject was socially stressed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{"citationItems":[{"id":"ITEM-1","itemData":{"DOI":"10.1186/1471-2180-14-189","ISBN":"1471-2180","ISSN":"1471-2180","PMID":"25028050","abstract":"BACKGROUND: The microbiota of the mammalian gastrointestinal (GI) tract consists of diverse populations of commensal bacteria that interact with host physiological function. Dysregulating these populations, through exogenous means such as antibiotics or dietary changes, can have adverse consequences on the health of the host. Studies from laboratories such as ours have demonstrated that exposure to psychological stressors disrupts the population profile of intestinal microbiota. To date, such studies have primarily focused on prolonged stressors (repeated across several days) and have assessed fecal bacterial populations. It is not known whether shorter stressors can also impact the microbiota, and whether colonic mucosa-associated populations can also be affected. The mucosa-associated microbiota exist in close proximity to elements of the host immune system and the two are tightly interrelated. Therefore, alterations in these populations should be emphasized. Additionally, stressors can induce differential responses in anxiety-like behavior and corticosterone outputs in variant strains of mice. Thus, whether stressor exposure can have contrasting effects on the colonic microbiota in inbred C57BL/6 mice and outbred CD-1 mice was also examined.\\n\\nRESULTS: In the present study, we used high throughput pyrosequencing to assess the effects of a single 2-hour exposure to a social stressor, called social disruption (SDR), on colonic mucosa-associated microbial profiles of C57BL/6 mice. The data indicate that exposure to the stressor significantly changed the community profile and significantly reduced the relative proportions of two genera and one family of highly abundant intestinal bacteria, including the genus Lactobacillus. This finding was confirmed using a quantitative real-time polymerase chain reaction (qPCR) technique. The use of qPCR also identified mouse strain-specific differences in bacterial abundances. L. reuteri, an immunomodulatory species, was decreased in stressor-exposed CD-1 mice, but not C57BL/6 mice.\\n\\nCONCLUSIONS: These data illustrate that stressor exposure can affect microbial populations, including the lactobacilli, that are closely associated with the colonic mucosa. Because the lactobacilli can have beneficial effects on human health, stressor-induced reductions of their population could have important health implications.","author":[{"dropping-particle":"","family":"Galley","given":"Jeffrey D","non-dropping-particle":"","parse-names":false,"suffix":""},{"dropping-particle":"","family":"Nelson","given":"Michael C","non-dropping-particle":"","parse-names":false,"suffix":""},{"dropping-particle":"","family":"Yu","given":"Zhongtang","non-dropping-particle":"","parse-names":false,"suffix":""},{"dropping-particle":"","family":"Dowd","given":"Scot E","non-dropping-particle":"","parse-names":false,"suffix":""},{"dropping-particle":"","family":"Walter","given":"Jens","non-dropping-particle":"","parse-names":false,"suffix":""},{"dropping-particle":"","family":"Kumar","given":"Purnima S","non-dropping-particle":"","parse-names":false,"suffix":""},{"dropping-particle":"","family":"Lyte","given":"Mark","non-dropping-particle":"","parse-names":false,"suffix":""},{"dropping-particle":"","family":"Bailey","given":"Michael T","non-dropping-particle":"","parse-names":false,"suffix":""}],"container-title":"BMC microbiology","id":"ITEM-1","issue":"1","issued":{"date-parts":[["2014"]]},"page":"189","title":"Exposure to a social stressor disrupts the community structure of the colonic mucosa-associated microbiota.","type":"article-journal","volume":"14"},"uris":["http://www.mendeley.com/documents/?uuid=0d18964c-a13d-408d-b21b-d82c337eef6c"]}],"mendeley":{"formattedCitation":"&lt;sup&gt;73&lt;/sup&gt;","plainTextFormattedCitation":"73","previouslyFormattedCitation":"(Galley &lt;i&gt;et al.&lt;/i&gt; 2014)"},"properties":{"noteIndex":0},"schema":"https://github.com/citation-style-language/schema/raw/master/csl-citation.json"}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73</w:t>
      </w:r>
      <w:r w:rsidRPr="00D23BF1">
        <w:rPr>
          <w:rFonts w:ascii="Times" w:eastAsia="Helvetica Neue" w:hAnsi="Times" w:cs="Helvetica Neue"/>
        </w:rPr>
        <w:fldChar w:fldCharType="end"/>
      </w:r>
      <w:r w:rsidRPr="00D23BF1">
        <w:rPr>
          <w:rFonts w:ascii="Times" w:eastAsia="Helvetica Neue" w:hAnsi="Times" w:cs="Helvetica Neue"/>
        </w:rPr>
        <w:t xml:space="preserve">. In Siberian hamsters, increased day length impacted gut microbial community structure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{"citationItems":[{"id":"ITEM-1","itemData":{"DOI":"10.1016/j.bbi.2009.12.010","ISBN":"1090-2139 (Electronic)\\r0889-1591 (Linking)","ISSN":"08891591","PMID":"20045457","abstract":"Seasonal changes in day length (i.e., photoperiod) provide animals with a reliable environmental cue to determine time of year, and many physiological changes occur in laboratory animals simply by extending or shortening day length. Male Siberian hamsters (Phodopus sungorus) housed in long summer-like day lengths have significantly elevated body and fat masses compared to short-day hamsters. Because others have demonstrated that the intestinal microbiota of humans and rodents promotes host adiposity, we hypothesized that photoperiod-induced changes in body and fat masses could be associated with changes in the microbial composition in the intestines. We used bacterial tag-encoded FLX amplicon pyrosequencing (bTEFAP) to assess microbial diversity in the cecal contents of hamsters; long days significantly increased the relative abundance of bacteria in the phylum Proteobacteria. This effect was primarily due to a significant increase in the abundance of the genus Citrobacter, with both the abundance of Proteobacteria and Citrobacter spp. significantly correlated with body mass and with inguinal fat mass. In general, the abundance of the Firmicutes phylum was inversely associated with body mass. These data indicate that the intestinal microbiota are responsive to changes in photoperiod and suggest that these changes may in part influence photoperiodic changes in body and fat masses. © 2009 Elsevier Inc.","author":[{"dropping-particle":"","family":"Bailey","given":"Michael T.","non-dropping-particle":"","parse-names":false,"suffix":""},{"dropping-particle":"","family":"Walton","given":"James C.","non-dropping-particle":"","parse-names":false,"suffix":""},{"dropping-particle":"","family":"Dowd","given":"Scot E.","non-dropping-particle":"","parse-names":false,"suffix":""},{"dropping-particle":"","family":"Weil","given":"Zachary M.","non-dropping-particle":"","parse-names":false,"suffix":""},{"dropping-particle":"","family":"Nelson","given":"Randy J.","non-dropping-particle":"","parse-names":false,"suffix":""}],"container-title":"Brain, Behavior, and Immunity","id":"ITEM-1","issue":"4","issued":{"date-parts":[["2010"]]},"note":"Day length affects hampster GMB (evenness) and adiposity (phatnez) but not food intake","page":"577-584","publisher":"Elsevier Inc.","title":"Photoperiod modulates gut bacteria composition in male Siberian hamsters (Phodopus sungorus)","type":"article-journal","volume":"24"},"uris":["http://www.mendeley.com/documents/?uuid=247aeda7-7593-460c-ac44-aa3c842fa23f"]}],"mendeley":{"formattedCitation":"&lt;sup&gt;6&lt;/sup&gt;","plainTextFormattedCitation":"6","previouslyFormattedCitation":"(Bailey &lt;i&gt;et al.&lt;/i&gt; 2010b)"},"properties":{"noteIndex":0},"schema":"https://github.com/citation-style-language/schema/raw/master/csl-citation.json"}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6</w:t>
      </w:r>
      <w:r w:rsidRPr="00D23BF1">
        <w:rPr>
          <w:rFonts w:ascii="Times" w:eastAsia="Helvetica Neue" w:hAnsi="Times" w:cs="Helvetica Neue"/>
        </w:rPr>
        <w:fldChar w:fldCharType="end"/>
      </w:r>
      <w:r w:rsidRPr="00D23BF1">
        <w:rPr>
          <w:rFonts w:ascii="Times" w:eastAsia="Helvetica Neue" w:hAnsi="Times" w:cs="Helvetica Neue"/>
        </w:rPr>
        <w:t xml:space="preserve">. However, few of these mechanisms have been tested in relevant systems, such as species persisting in urban environments. </w:t>
      </w:r>
    </w:p>
    <w:p w14:paraId="29AE8A1A" w14:textId="77777777" w:rsidR="00041ADB" w:rsidRPr="00D23BF1" w:rsidRDefault="00041ADB" w:rsidP="00F20BE1">
      <w:pPr>
        <w:jc w:val="both"/>
        <w:rPr>
          <w:rFonts w:ascii="Times" w:eastAsia="Helvetica Neue" w:hAnsi="Times" w:cs="Helvetica Neue"/>
        </w:rPr>
      </w:pPr>
    </w:p>
    <w:p w14:paraId="27F4D8AB"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 xml:space="preserve">A biologically relevant stressor in urban environments is noise pollution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{"citationItems":[{"id":"ITEM-1","itemData":{"DOI":"10.1111/j.1461-0248.2011.01664.x","ISBN":"1461-023X","ISSN":"1461023X","PMID":"21806743","abstract":"Ecology Letters (2011) 14: 1052-1061 ABSTRACT: The scope and magnitude of anthropogenic noise pollution are often much greater than those of natural noise and are predicted to have an array of deleterious effects on wildlife. Recent work on this topic has focused mainly on behavioural responses of animals exposed to noise. Here, by outlining the effects of acoustic stimuli on animal physiology, development, neural function and genetic effects, we advocate the use of a more mechanistic approach in anthropogenic environments. Specifically, we summarise evidence and hypotheses from research on laboratory, domestic and free-living animals exposed to biotic and abiotic stimuli, studied both observationally and experimentally. We hope that this molecular- and cellular-focused literature, which examines the effects of noise on the neuroendocrine system, reproduction and development, metabolism, cardiovascular health, cognition and sleep, audition, the immune system, and DNA integrity and gene expression, will help researchers better understand results of previous work, as well as identify new avenues of future research in anthropogenic environments. Furthermore, given the interconnectedness of these physiological, cellular and genetic processes, and their effects on behaviour and fitness, we suggest that much can be learned from a more integrative framework of how and why animals are affected by environmental noise.","author":[{"dropping-particle":"","family":"Kight","given":"Caitlin R.","non-dropping-particle":"","parse-names":false,"suffix":""},{"dropping-particle":"","family":"Swaddle","given":"John P.","non-dropping-particle":"","parse-names":false,"suffix":""}],"container-title":"Ecology Letters","id":"ITEM-1","issue":"10","issued":{"date-parts":[["2011"]]},"page":"1052-1061","title":"How and why environmental noise impacts animals: An integrative, mechanistic review","type":"article-journal","volume":"14"},"uris":["http://www.mendeley.com/documents/?uuid=c7f78b8b-97e3-4cf7-b07f-3ac4626f80f4"]},{"id":"ITEM-2","itemData":{"DOI":"10.1111/acv.12302","ISSN":"14691795","abstract":"Several past studies have demonstrated the effects of anthropogenic noise on popu- lations of animals. Yet, differing effects of noise by age and subsequent changes in the age structure of populations are poorly understood. We experimentally tested the effects of traffic noise alone on the age structure of a community of migrating birds at a fall stopover site in south-western Idaho using an array of speakers – creating a phantom road – that replicated the sound of a roadway without other confounding aspects of roads. Both hatch-year and adult birds were negatively affected by noise – having lower capture rates, lower body condition and lower stopover efficiency along the phantom road when the noise was on compared to control conditions. However, hatch-year birds responded more strongly which lead to a significant shift in the ratio of hatch-year to adult birds under noisy conditions. Our previous work using the phantom road demonstrated that traffic noise can degrade the quality of a stopover site by affecting the ability of migrating birds to gain body condition. Here, we demonstrate differences between age classes such that although noise degrades habitat for both hatch-year and adult migrants, there are still differences in responses to noise between age groups. Despite alternative explanations of our results such as changes in behavior affecting capture likeli- hood, evidence suggests that younger birds avoided the phantom road more than adult birds perhaps because of different tradeoffs between foraging and predation risk and differing strategies of site selection during migration.","author":[{"dropping-particle":"","family":"McClure","given":"C. J.W.","non-dropping-particle":"","parse-names":false,"suffix":""},{"dropping-particle":"","family":"Ware","given":"H. E.","non-dropping-particle":"","parse-names":false,"suffix":""},{"dropping-particle":"","family":"Carlisle","given":"J. D.","non-dropping-particle":"","parse-names":false,"suffix":""},{"dropping-particle":"","family":"Barber","given":"J. R.","non-dropping-particle":"","parse-names":false,"suffix":""}],"container-title":"Animal Conservation","id":"ITEM-2","issue":"2","issued":{"date-parts":[["2017"]]},"page":"164-172","title":"Noise from a phantom road experiment alters the age structure of a community of migrating birds","type":"article-journal","volume":"20"},"uris":["http://www.mendeley.com/documents/?uuid=b41c1db0-f3db-4176-9c74-1c5ac75ad752"]}],"mendeley":{"formattedCitation":"&lt;sup&gt;74,75&lt;/sup&gt;","plainTextFormattedCitation":"74,75","previouslyFormattedCitation":"(Kight &amp; Swaddle 2011, McClure &lt;i&gt;et al.&lt;/i&gt; 2017)"},"properties":{"noteIndex":0},"schema":"https://github.com/citation-style-language/schema/raw/master/csl-citation.json"}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74,75</w:t>
      </w:r>
      <w:r w:rsidRPr="00D23BF1">
        <w:rPr>
          <w:rFonts w:ascii="Times" w:eastAsia="Helvetica Neue" w:hAnsi="Times" w:cs="Helvetica Neue"/>
        </w:rPr>
        <w:fldChar w:fldCharType="end"/>
      </w:r>
      <w:r w:rsidRPr="00D23BF1">
        <w:rPr>
          <w:rFonts w:ascii="Times" w:eastAsia="Helvetica Neue" w:hAnsi="Times" w:cs="Helvetica Neue"/>
        </w:rPr>
        <w:t>; however</w:t>
      </w:r>
      <w:sdt>
        <w:sdtPr>
          <w:rPr>
            <w:rFonts w:ascii="Times" w:hAnsi="Times"/>
          </w:rPr>
          <w:tag w:val="goog_rdk_79"/>
          <w:id w:val="-1896269010"/>
        </w:sdtPr>
        <w:sdtEndPr/>
        <w:sdtContent>
          <w:r w:rsidRPr="00D23BF1">
            <w:rPr>
              <w:rFonts w:ascii="Times" w:eastAsia="Helvetica Neue" w:hAnsi="Times" w:cs="Helvetica Neue"/>
            </w:rPr>
            <w:t>,</w:t>
          </w:r>
        </w:sdtContent>
      </w:sdt>
      <w:r w:rsidRPr="00D23BF1">
        <w:rPr>
          <w:rFonts w:ascii="Times" w:eastAsia="Helvetica Neue" w:hAnsi="Times" w:cs="Helvetica Neue"/>
        </w:rPr>
        <w:t xml:space="preserve"> very little is known about whether noise could be shaping the avian gut microbiome. Noise pollution can interfere with many aspects of an animal’s life. It can mask communication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{"citationItems":[{"id":"ITEM-1","itemData":{"DOI":"10.1002/elps.200500921","ISBN":"0021-8790","ISSN":"01730835","PMID":"15258642","abstract":"1. The impact of environmental background noise on the performance of territorial songs was examined in free-ranging nightingales (Luscinia megarhynchos Brehm). An analysis of sound pressure levels revealed that males at noisier locations sang with higher sound levels than birds in territories less affected by background sounds. 2. This is the first evidence of a noise-dependent vocal amplitude regulation in the natural environment of an animal. 3. The results yielded demonstrate that the birds tried to mitigate the impairments on their communication caused by masking noise. This behaviour may help to maintain a given transmission distance of songs, which are used in territory defence and mate attraction. At the same time, birds forced to sing with higher amplitudes have to bear the increased costs of singing. 4. This suggests that in songbirds the level of environmental noise in a territory will contribute to its quality and thus considerably affect the behavioural ecology of singing males.","author":[{"dropping-particle":"","family":"Brumm","given":"H.","non-dropping-particle":"","parse-names":false,"suffix":""}],"container-title":"Journal of Animal Ecology","id":"ITEM-1","issued":{"date-parts":[["2004"]]},"page":"434-440","title":"The impact of environmental noise on song amplitude in a territorial bird","type":"article-journal","volume":"73"},"uris":["http://www.mendeley.com/documents/?uuid=7e4317af-bc11-4c63-a0ff-a11b30c4f8e0"]},{"id":"ITEM-2","itemData":{"DOI":"10.1016/j.anbehav.2015.06.021","ISSN":"00033472","author":[{"dropping-particle":"","family":"Potvin","given":"Dominique a.","non-dropping-particle":"","parse-names":false,"suffix":""},{"dropping-particle":"","family":"MacDougall-Shackleton","given":"Scott a.","non-dropping-particle":"","parse-names":false,"suffix":""}],"container-title":"Animal Behaviour","id":"ITEM-2","issued":{"date-parts":[["2015"]]},"page":"201-207","publisher":"Elsevier Ltd","title":"Experimental chronic noise exposure affects adult song in zebra finches","type":"article-journal","volume":"107"},"uris":["http://www.mendeley.com/documents/?uuid=309d823c-c683-40f4-853e-cb1d524942e3"]},{"id":"ITEM-3","itemData":{"DOI":"10.1163/1568539x-00003068","ISBN":"0005-7959","ISSN":"0005-7959","abstract":"Acoustically communicating species have evolved adaptations that allow them to transmit information and overcome signal masking where their habitat, is disturbed by anthropogenic noise. To investigate whether calling behaviour or spatial distribution is related to road traffic noise we studied the poison frog Andinobates bombetes in a mid-elevation forest remnant that has been exposed to heavy traffic noise throughout more than four decades. To test whether frogs avoid call during noise episodes generated by passing trucks, we compared background noise levels between calling and non-calling times. To test whether traffic noise is correlated with frogs spatial distribution, we measured frog abundance, ambient noise, and environmental covariates throughout a set of 24 sampling plots between 15 and 300 m from two forest edges, one bordered by the road and another one by an agricultural field. Frogs called more often when traffic noise level was lower. Frogs abundance was only marginally correlated with distance to noisy edges but was predictable from the abundance of bromeliad tanks, an alleged limiting resource for their reproduction. Apparently, to avoid calling during episodes with higher noise level allowed frogs to reduce the detrimental masking effects of anthropogenic noise; if so, it would explain why frog distribution is poorly correlated with distance to the noisy road.","author":[{"dropping-particle":"","family":"Vargas-Salinas","given":"Fernando","non-dropping-particle":"","parse-names":false,"suffix":""},{"dropping-particle":"","family":"Amezquita","given":"Adolfo","non-dropping-particle":"","parse-names":false,"suffix":""}],"container-title":"Behaviour","id":"ITEM-3","issue":"6","issued":{"date-parts":[["2013"]]},"page":"569-584","title":"Traffic noise correlates with calling time but not spatial distribution in the threatened poison frog Andinobates bombetes","type":"article-journal","volume":"150"},"uris":["http://www.mendeley.com/documents/?uuid=3899d045-f173-4376-a299-6baa66907976"]}],"mendeley":{"formattedCitation":"&lt;sup&gt;76–78&lt;/sup&gt;","plainTextFormattedCitation":"76–78","previouslyFormattedCitation":"(Brumm 2004, Vargas-Salinas &amp; Amezquita 2013, Potvin &amp; MacDougall-Shackleton 2015)"},"properties":{"noteIndex":0},"schema":"https://github.com/citation-style-language/schema/raw/master/csl-citation.json"}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76–78</w:t>
      </w:r>
      <w:r w:rsidRPr="00D23BF1">
        <w:rPr>
          <w:rFonts w:ascii="Times" w:eastAsia="Helvetica Neue" w:hAnsi="Times" w:cs="Helvetica Neue"/>
        </w:rPr>
        <w:fldChar w:fldCharType="end"/>
      </w:r>
      <w:r w:rsidRPr="00D23BF1">
        <w:rPr>
          <w:rFonts w:ascii="Times" w:eastAsia="Helvetica Neue" w:hAnsi="Times" w:cs="Helvetica Neue"/>
        </w:rPr>
        <w:t xml:space="preserve"> and consequently change social behaviors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{"citationItems":[{"id":"ITEM-1","itemData":{"DOI":"10.1016/j.tree.2015.06.009","ISSN":"01695347","author":[{"dropping-particle":"","family":"Swaddle","given":"John P.","non-dropping-particle":"","parse-names":false,"suffix":""},{"dropping-particle":"","family":"Francis","given":"Clinton D.","non-dropping-particle":"","parse-names":false,"suffix":""},{"dropping-particle":"","family":"Barber","given":"Jesse R.","non-dropping-particle":"","parse-names":false,"suffix":""},{"dropping-particle":"","family":"Cooper","given":"Caren B.","non-dropping-particle":"","parse-names":false,"suffix":""},{"dropping-particle":"","family":"Kyba","given":"Christopher C.M.","non-dropping-particle":"","parse-names":false,"suffix":""},{"dropping-particle":"","family":"Dominoni","given":"Davide M.","non-dropping-particle":"","parse-names":false,"suffix":""},{"dropping-particle":"","family":"Shannon","given":"Graeme","non-dropping-particle":"","parse-names":false,"suffix":""},{"dropping-particle":"","family":"Aschehoug","given":"Erik","non-dropping-particle":"","parse-names":false,"suffix":""},{"dropping-particle":"","family":"Goodwin","given":"Sarah E.","non-dropping-particle":"","parse-names":false,"suffix":""},{"dropping-particle":"","family":"Kawahara","given":"Akito Y.","non-dropping-particle":"","parse-names":false,"suffix":""},{"dropping-particle":"","family":"Luther","given":"David","non-dropping-particle":"","parse-names":false,"suffix":""},{"dropping-particle":"","family":"Spoelstra","given":"Kamiel","non-dropping-particle":"","parse-names":false,"suffix":""},{"dropping-particle":"","family":"Voss","given":"Margaret","non-dropping-particle":"","parse-names":false,"suffix":""},{"dropping-particle":"","family":"Longcore","given":"Travis","non-dropping-particle":"","parse-names":false,"suffix":""}],"container-title":"Trends in Ecology &amp; Evolution","id":"ITEM-1","issue":"9","issued":{"date-parts":[["2015"]]},"page":"550-560","publisher":"Elsevier Ltd","title":"A framework to assess evolutionary responses to anthropogenic light and sound","type":"article-journal","volume":"30"},"uris":["http://www.mendeley.com/documents/?uuid=70c72674-b7f2-464e-bf76-bb51d85e72d3"]}],"mendeley":{"formattedCitation":"&lt;sup&gt;18&lt;/sup&gt;","plainTextFormattedCitation":"18","previouslyFormattedCitation":"(Swaddle &lt;i&gt;et al.&lt;/i&gt; 2015)"},"properties":{"noteIndex":0},"schema":"https://github.com/citation-style-language/schema/raw/master/csl-citation.json"}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18</w:t>
      </w:r>
      <w:r w:rsidRPr="00D23BF1">
        <w:rPr>
          <w:rFonts w:ascii="Times" w:eastAsia="Helvetica Neue" w:hAnsi="Times" w:cs="Helvetica Neue"/>
        </w:rPr>
        <w:fldChar w:fldCharType="end"/>
      </w:r>
      <w:r w:rsidRPr="00D23BF1">
        <w:rPr>
          <w:rFonts w:ascii="Times" w:eastAsia="Helvetica Neue" w:hAnsi="Times" w:cs="Helvetica Neue"/>
        </w:rPr>
        <w:t xml:space="preserve">. It can interfere with prey or predator identification, leading to modified feeding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{"citationItems":[{"id":"ITEM-1","itemData":{"DOI":"10.1038/srep30602","ISSN":"2045-2322","PMID":"27537709","abstract":"Anthropogenic noise has been increasing globally. Laboratory experiments suggest that noise disrupts foraging behavior across a range of species, but to reveal the full impacts of noise, we must examine the impacts of noise on foraging behavior among species in the wild. Owls are widespread nocturnal top predators and use prey rustling sounds for localizing prey when hunting. We conducted field experiments to examine the effect of traffic noise on owls' ability to detect prey. Results suggest that foraging efficiency declines with increasing traffic noise levels due to acoustic masking and/or distraction and aversion to traffic noise. Moreover, we estimate that effects of traffic noise on owls' ability to detect prey reach &gt;120</w:instrText>
      </w:r>
      <w:r w:rsidRPr="00D23BF1">
        <w:rPr>
          <w:rFonts w:ascii="Times New Roman" w:eastAsia="Helvetica Neue" w:hAnsi="Times New Roman" w:cs="Times New Roman"/>
        </w:rPr>
        <w:instrText> </w:instrText>
      </w:r>
      <w:r w:rsidRPr="00D23BF1">
        <w:rPr>
          <w:rFonts w:ascii="Times" w:eastAsia="Helvetica Neue" w:hAnsi="Times" w:cs="Helvetica Neue"/>
        </w:rPr>
        <w:instrText>m from a road, which is larger than the distance estimated from captive studies with bats. Our study provides the first evidence that noise reduces foraging efficiency in wild animals, and highlights the possible pervasive impacts of noise.","author":[{"dropping-particle":"","family":"Senzaki","given":"Masayuki","non-dropping-particle":"","parse-names":false,"suffix":""},{"dropping-particle":"","family":"Yamaura","given":"Yuichi","non-dropping-particle":"","parse-names":false,"suffix":""},{"dropping-particle":"","family":"Francis","given":"Clinton D.","non-dropping-particle":"","parse-names":false,"suffix":""},{"dropping-particle":"","family":"Nakamura","given":"Futoshi","non-dropping-particle":"","parse-names":false,"suffix":""}],"container-title":"Scientific Reports","id":"ITEM-1","issue":"1","issued":{"date-parts":[["2016"]]},"note":"·      Played prey rustling noises with and without traffic noise accompaniment \n·      Prey detectability wend down as noise went up \n·      Nosie is louder closer to roads, thus prey detectability would be lower closer to roads","page":"30602","publisher":"Nature Publishing Group","title":"Traffic noise reduces foraging efficiency in wild owls","type":"article-journal","volume":"6"},"uris":["http://www.mendeley.com/documents/?uuid=cec73e9d-80e4-45db-be83-e859fca875b1"]}],"mendeley":{"formattedCitation":"&lt;sup&gt;79&lt;/sup&gt;","plainTextFormattedCitation":"79","previouslyFormattedCitation":"(Senzaki &lt;i&gt;et al.&lt;/i&gt; 2016)"},"properties":{"noteIndex":0},"schema":"https://github.com/citation-style-language/schema/raw/master/csl-citation.json"}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79</w:t>
      </w:r>
      <w:r w:rsidRPr="00D23BF1">
        <w:rPr>
          <w:rFonts w:ascii="Times" w:eastAsia="Helvetica Neue" w:hAnsi="Times" w:cs="Helvetica Neue"/>
        </w:rPr>
        <w:fldChar w:fldCharType="end"/>
      </w:r>
      <w:r w:rsidRPr="00D23BF1">
        <w:rPr>
          <w:rFonts w:ascii="Times" w:eastAsia="Helvetica Neue" w:hAnsi="Times" w:cs="Helvetica Neue"/>
        </w:rPr>
        <w:t xml:space="preserve"> and vigilance behaviors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{"citationItems":[{"id":"ITEM-1","itemData":{"DOI":"10.1111/j.2006.0908-8857.03781.x","ISSN":"09088857","abstract":"Background noise should in theory hinder detection of auditory cues associated with approaching danger. We tested whether foraging chaffinches Fringilla coelebs responded to background noise by increasing vigilance, and examined whether this was explained by predation risk compensation or by a novel stimulus hypothesis. The former predicts that only inter-scan interval should be modified in the presence of background noise, not vigilance levels generally. This is because noise hampers auditory cue detection and increases perceived predation risk primarily when in the head-down position, and also because previous tests have shown that only interscan interval is correlated with predator detection ability in this system. Chaffinches only modified interscan interval supporting this hypothesis. At the same time they made significantly fewer pecks when feeding during the background noise treatment and so the increased vigilance led to a reduction in intake rate, suggesting that compensating for the increased predation risk could indirectly lead to a fitness cost. Finally, the novel stimulus hypothesis predicts that chaffinches should habituate to the noise, which did not occur within a trial or over 5 subsequent trials. We conclude that auditory cues may be an important component of the trade-off between vigilance and feeding, and discuss possible implications for anti-predation theory and ecological processes. © Journal of Avian Biology.","author":[{"dropping-particle":"","family":"L. Quinn","given":"John","non-dropping-particle":"","parse-names":false,"suffix":""},{"dropping-particle":"","family":"J. Whittingham","given":"Mark","non-dropping-particle":"","parse-names":false,"suffix":""},{"dropping-particle":"","family":"J. Butler","given":"Simon","non-dropping-particle":"","parse-names":false,"suffix":""},{"dropping-particle":"","family":"Cresswell","given":"Will","non-dropping-particle":"","parse-names":false,"suffix":""}],"container-title":"Journal of Avian Biology","id":"ITEM-1","issue":"6","issued":{"date-parts":[["2006"]]},"page":"601-608","title":"Noise, predation risk compensation and vigilance in the chaffinch Fringilla coelebs","type":"article-journal","volume":"37"},"uris":["http://www.mendeley.com/documents/?uuid=893e6448-db3d-4995-8513-2f4b13aa8289"]}],"mendeley":{"formattedCitation":"&lt;sup&gt;80&lt;/sup&gt;","plainTextFormattedCitation":"80","previouslyFormattedCitation":"(L. Quinn &lt;i&gt;et al.&lt;/i&gt; 2006)"},"properties":{"noteIndex":0},"schema":"https://github.com/citation-style-language/schema/raw/master/csl-citation.json"}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80</w:t>
      </w:r>
      <w:r w:rsidRPr="00D23BF1">
        <w:rPr>
          <w:rFonts w:ascii="Times" w:eastAsia="Helvetica Neue" w:hAnsi="Times" w:cs="Helvetica Neue"/>
        </w:rPr>
        <w:fldChar w:fldCharType="end"/>
      </w:r>
      <w:r w:rsidRPr="00D23BF1">
        <w:rPr>
          <w:rFonts w:ascii="Times" w:eastAsia="Helvetica Neue" w:hAnsi="Times" w:cs="Helvetica Neue"/>
        </w:rPr>
        <w:t xml:space="preserve">. Excess noise can also indirectly alter an animal’s behavior by increasing stress hormones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{"citationItems":[{"id":"ITEM-1","itemData":{"DOI":"10.1111/j.1523-1739.2012.01840.x","ISBN":"0888-8892","ISSN":"08888892","PMID":"22594595","abstract":"Increasing evidence suggests that chronic noise from human activities negatively affects wild animals, but most studies have failed to separate the effects of chronic noise from confounding factors, such as habitat fragmentation. We played back recorded continuous and intermittent anthropogenic sounds associated with natural gas drilling and roads at leks of Greater Sage-Grouse (Centrocercus urophasianus). For 3 breeding seasons, we monitored sage grouse abundance at leks with and without noise. Peak male attendance (i.e., abundance) at leks experimentally treated with noise from natural gas drilling and roads decreased 29% and 73%, respectively, relative to paired controls. Decreases in abundance at leks treated with noise occurred in the first year of the study and continued throughout the experiment. Noise playback did not have a cumulative effect over time on peak male attendance. There was limited evidence for an effect of noise playback on peak female attendance at leks or male attendance the year after the experiment ended. Our results suggest that sage-grouse avoid leks with anthropogenic noise and that intermittent noise has a greater effect on attendance than continuous noise. Our results highlight the threat of anthropogenic noise to population viability for this and other sensitive species.","author":[{"dropping-particle":"","family":"Blickley","given":"Jessica L.","non-dropping-particle":"","parse-names":false,"suffix":""},{"dropping-particle":"","family":"Blackwood","given":"Diane","non-dropping-particle":"","parse-names":false,"suffix":""},{"dropping-particle":"","family":"Patricelli","given":"Gail L.","non-dropping-particle":"","parse-names":false,"suffix":""}],"container-title":"Conservation Biology","id":"ITEM-1","issue":"3","issued":{"date-parts":[["2012"]]},"page":"461-471","title":"Experimental Evidence for the Effects of Chronic Anthropogenic Noise on Abundance of Greater Sage-Grouse at Leks","type":"article-journal","volume":"26"},"uris":["http://www.mendeley.com/documents/?uuid=59496623-1eaf-4c13-9bf2-65d25034611f"]},{"id":"ITEM-2","itemData":{"DOI":"10.1111/j.1461-0248.2011.01664.x","ISBN":"1461-023X","ISSN":"1461023X","PMID":"21806743","abstract":"Ecology Letters (2011) 14: 1052-1061 ABSTRACT: The scope and magnitude of anthropogenic noise pollution are often much greater than those of natural noise and are predicted to have an array of deleterious effects on wildlife. Recent work on this topic has focused mainly on behavioural responses of animals exposed to noise. Here, by outlining the effects of acoustic stimuli on animal physiology, development, neural function and genetic effects, we advocate the use of a more mechanistic approach in anthropogenic environments. Specifically, we summarise evidence and hypotheses from research on laboratory, domestic and free-living animals exposed to biotic and abiotic stimuli, studied both observationally and experimentally. We hope that this molecular- and cellular-focused literature, which examines the effects of noise on the neuroendocrine system, reproduction and development, metabolism, cardiovascular health, cognition and sleep, audition, the immune system, and DNA integrity and gene expression, will help researchers better understand results of previous work, as well as identify new avenues of future research in anthropogenic environments. Furthermore, given the interconnectedness of these physiological, cellular and genetic processes, and their effects on behaviour and fitness, we suggest that much can be learned from a more integrative framework of how and why animals are affected by environmental noise.","author":[{"dropping-particle":"","family":"Kight","given":"Caitlin R.","non-dropping-particle":"","parse-names":false,"suffix":""},{"dropping-particle":"","family":"Swaddle","given":"John P.","non-dropping-particle":"","parse-names":false,"suffix":""}],"container-title":"Ecology Letters","id":"ITEM-2","issue":"10","issued":{"date-parts":[["2011"]]},"page":"1052-1061","title":"How and why environmental noise impacts animals: An integrative, mechanistic review","type":"article-journal","volume":"14"},"uris":["http://www.mendeley.com/documents/?uuid=c7f78b8b-97e3-4cf7-b07f-3ac4626f80f4"]}],"mendeley":{"formattedCitation":"&lt;sup&gt;74,81&lt;/sup&gt;","plainTextFormattedCitation":"74,81","previouslyFormattedCitation":"(Kight &amp; Swaddle 2011, Blickley &lt;i&gt;et al.&lt;/i&gt; 2012)"},"properties":{"noteIndex":0},"schema":"https://github.com/citation-style-language/schema/raw/master/csl-citation.json"}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74,81</w:t>
      </w:r>
      <w:r w:rsidRPr="00D23BF1">
        <w:rPr>
          <w:rFonts w:ascii="Times" w:eastAsia="Helvetica Neue" w:hAnsi="Times" w:cs="Helvetica Neue"/>
        </w:rPr>
        <w:fldChar w:fldCharType="end"/>
      </w:r>
      <w:r w:rsidRPr="00D23BF1">
        <w:rPr>
          <w:rFonts w:ascii="Times" w:eastAsia="Helvetica Neue" w:hAnsi="Times" w:cs="Helvetica Neue"/>
        </w:rPr>
        <w:t xml:space="preserve">. As reviewed in </w:t>
      </w:r>
      <w:proofErr w:type="spellStart"/>
      <w:r w:rsidRPr="00D23BF1">
        <w:rPr>
          <w:rFonts w:ascii="Times" w:eastAsia="Helvetica Neue" w:hAnsi="Times" w:cs="Helvetica Neue"/>
        </w:rPr>
        <w:t>Kight</w:t>
      </w:r>
      <w:proofErr w:type="spellEnd"/>
      <w:r w:rsidRPr="00D23BF1">
        <w:rPr>
          <w:rFonts w:ascii="Times" w:eastAsia="Helvetica Neue" w:hAnsi="Times" w:cs="Helvetica Neue"/>
        </w:rPr>
        <w:t xml:space="preserve"> and Swaddle (2011), these sustained increases in stress hormones can have wide ranging behavioral and physiological repercussions</w:t>
      </w:r>
      <w:sdt>
        <w:sdtPr>
          <w:rPr>
            <w:rFonts w:ascii="Times" w:hAnsi="Times"/>
          </w:rPr>
          <w:tag w:val="goog_rdk_70"/>
          <w:id w:val="687028288"/>
        </w:sdtPr>
        <w:sdtEndPr/>
        <w:sdtContent>
          <w:r w:rsidRPr="00D23BF1">
            <w:rPr>
              <w:rFonts w:ascii="Times" w:eastAsia="Helvetica Neue" w:hAnsi="Times" w:cs="Helvetica Neue"/>
            </w:rPr>
            <w:t>,</w:t>
          </w:r>
        </w:sdtContent>
      </w:sdt>
      <w:r w:rsidRPr="00D23BF1">
        <w:rPr>
          <w:rFonts w:ascii="Times" w:eastAsia="Helvetica Neue" w:hAnsi="Times" w:cs="Helvetica Neue"/>
        </w:rPr>
        <w:t xml:space="preserve"> such as compromised feeding and metabolism, cognition, and immunity. Given the known relationships between those same biological functions and the gut microbiome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{"citationItems":[{"id":"ITEM-1","itemData":{"DOI":"10.1111/ele.12301","ISBN":"1461-023X","ISSN":"14610248","PMID":"24847735","abstract":"Vertebrates' diets profoundly influence the composition of symbiotic gut microbial communities. Studies documenting diet-microbiota associations typically focus on univariate or categorical diet variables. However, in nature individuals often consume diverse combinations of foods. If diet components act independently, each providing distinct microbial colonists or nutrients, we expect a positive relationship between diet diversity and microbial diversity. We tested this prediction within each of two fish species (stickleback and perch), in which individuals vary in their propensity to eat littoral or pelagic invertebrates or mixtures of both prey. Unexpectedly, in most cases individuals with more generalised diets had less diverse microbiota than dietary specialists, in both natural and laboratory populations. This negative association between diet diversity and microbial diversity was small but significant, and most apparent after accounting for complex interactions between sex, size and diet. Our results suggest that multiple diet components can interact non-additively to influence gut microbial diversity.","author":[{"dropping-particle":"","family":"Bolnick","given":"Daniel I.","non-dropping-particle":"","parse-names":false,"suffix":""},{"dropping-particle":"","family":"Snowberg","given":"Lisa K.","non-dropping-particle":"","parse-names":false,"suffix":""},{"dropping-particle":"","family":"Hirsch","given":"Philipp E.","non-dropping-particle":"","parse-names":false,"suffix":""},{"dropping-particle":"","family":"Lauber","given":"Christian L.","non-dropping-particle":"","parse-names":false,"suffix":""},{"dropping-particle":"","family":"Knight","given":"Rob","non-dropping-particle":"","parse-names":false,"suffix":""},{"dropping-particle":"","family":"Caporaso","given":"J. Gregory","non-dropping-particle":"","parse-names":false,"suffix":""},{"dropping-particle":"","family":"Svanb??ck","given":"Richard","non-dropping-particle":"","parse-names":false,"suffix":""}],"container-title":"Ecology Letters","id":"ITEM-1","issue":"8","issued":{"date-parts":[["2014"]]},"page":"979-987","title":"Individuals' diet diversity influences gut microbial diversity in two freshwater fish (threespine stickleback and Eurasian perch)","type":"article-journal","volume":"17"},"uris":["http://www.mendeley.com/documents/?uuid=a0989b26-646a-4d52-af4b-8da5d2aa6a2f"]},{"id":"ITEM-2","itemData":{"DOI":"10.1016/j.mib.2013.06.004","ISBN":"1879-0364 (Electronic)\\r1369-5274 (Linking)","ISSN":"13695274","PMID":"23845749","abstract":"There is growing interest in the ability of the intestinal microbiome to influence host function within and beyond the gastrointestinal tract. Here we review evidence of microbiome-brain interactions in mice and focus on the ability to transfer behavioral traits between mouse strains using fecal microbiota transplantation (FMT). Transplantation alters brain chemistry and behavior in recipient ex-germ free mice, raising the possibility of using FMT for disorders of the central nervous system, and prompting caution in the selection of FMT donors for conditions that may include refractory Clostridium difficile infection, diabetes and inflammatory bowel disease in humans. ?? 2013 Elsevier Ltd.","author":[{"dropping-particle":"","family":"Collins","given":"Stephen M.","non-dropping-particle":"","parse-names":false,"suffix":""},{"dropping-particle":"","family":"Kassam","given":"Zain","non-dropping-particle":"","parse-names":false,"suffix":""},{"dropping-particle":"","family":"Bercik","given":"Premysl","non-dropping-particle":"","parse-names":false,"suffix":""}],"container-title":"Current Opinion in Microbiology","id":"ITEM-2","issue":"3","issued":{"date-parts":[["2013"]]},"page":"240-245","publisher":"Elsevier Ltd","title":"The adoptive transfer of behavioral phenotype via the intestinal microbiota: Experimental evidence and clinical implications","type":"article-journal","volume":"16"},"uris":["http://www.mendeley.com/documents/?uuid=f760f653-8af3-47ea-99ec-2e4f5b356a28"]},{"id":"ITEM-3","itemData":{"author":[{"dropping-particle":"","family":"Nicholson","given":"Jeremy K","non-dropping-particle":"","parse-names":false,"suffix":""},{"dropping-particle":"","family":"Holmes","given":"Elaine","non-dropping-particle":"","parse-names":false,"suffix":""},{"dropping-particle":"","family":"Kinross","given":"James","non-dropping-particle":"","parse-names":false,"suffix":""},{"dropping-particle":"","family":"Burcelin","given":"Remy","non-dropping-particle":"","parse-names":false,"suffix":""},{"dropping-particle":"","family":"Gibson","given":"Glenn","non-dropping-particle":"","parse-names":false,"suffix":""},{"dropping-particle":"","family":"Jia","given":"Wei","non-dropping-particle":"","parse-names":false,"suffix":""},{"dropping-particle":"","family":"Pettersson","given":"Sven","non-dropping-particle":"","parse-names":false,"suffix":""}],"id":"ITEM-3","issue":"June","issued":{"date-parts":[["2012"]]},"page":"1262-1268","title":"Host-Gut Microbiota Metabolic Interactions","type":"article-journal","volume":"108"},"uris":["http://www.mendeley.com/documents/?uuid=c1451926-9af2-4bd5-bf75-de0fc11a3732"]},{"id":"ITEM-4","itemData":{"DOI":"10.1038/nature11552","ISBN":"1476-4687 (Electronic)\\n0028-0836 (Linking)","ISSN":"00280836","PMID":"22972297","abstract":"The link between the microbes in the human gut and the development of obesity, cardiovascular disease and metabolic syndromes, such as type 2 diabetes, is becoming clearer. However, because of the complexity of the microbial community, the functional connections are less well understood. Studies in both mice and humans are helping to show what effect the gut microbiota has on host metabolism by improving energy yield from food and modulating dietary or the host-derived compounds that alter host metabolic pathways. Through increased knowledge of the mechanisms involved in the interactions between the microbiota and its host, we will be in a better position to develop treatments for metabolic disease.","author":[{"dropping-particle":"","family":"Tremaroli","given":"Valentina","non-dropping-particle":"","parse-names":false,"suffix":""},{"dropping-particle":"","family":"Bäckhed","given":"Fredrik","non-dropping-particle":"","parse-names":false,"suffix":""}],"container-title":"Nature","id":"ITEM-4","issue":"7415","issued":{"date-parts":[["2012"]]},"page":"242-249","title":"Functional interactions between the gut microbiota and host metabolism","type":"article-journal","volume":"489"},"uris":["http://www.mendeley.com/documents/?uuid=5ebed759-4ffc-47d5-9f47-91f0bf2d8bd3"]}],"mendeley":{"formattedCitation":"&lt;sup&gt;38,82–84&lt;/sup&gt;","plainTextFormattedCitation":"38,82–84","previouslyFormattedCitation":"(Nicholson &lt;i&gt;et al.&lt;/i&gt; 2012, Tremaroli &amp; Bäckhed 2012, Collins &lt;i&gt;et al.&lt;/i&gt; 2013, Bolnick &lt;i&gt;et al.&lt;/i&gt; 2014a)"},"properties":{"noteIndex":0},"schema":"https://github.com/citation-style-language/schema/raw/master/csl-citation.json"}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38,82–84</w:t>
      </w:r>
      <w:r w:rsidRPr="00D23BF1">
        <w:rPr>
          <w:rFonts w:ascii="Times" w:eastAsia="Helvetica Neue" w:hAnsi="Times" w:cs="Helvetica Neue"/>
        </w:rPr>
        <w:fldChar w:fldCharType="end"/>
      </w:r>
      <w:r w:rsidRPr="00D23BF1">
        <w:rPr>
          <w:rFonts w:ascii="Times" w:eastAsia="Helvetica Neue" w:hAnsi="Times" w:cs="Helvetica Neue"/>
        </w:rPr>
        <w:t xml:space="preserve">, the potential for the gut microbiome to act as a </w:t>
      </w:r>
      <w:sdt>
        <w:sdtPr>
          <w:rPr>
            <w:rFonts w:ascii="Times" w:hAnsi="Times"/>
          </w:rPr>
          <w:tag w:val="goog_rdk_71"/>
          <w:id w:val="1363562919"/>
        </w:sdtPr>
        <w:sdtEndPr/>
        <w:sdtContent/>
      </w:sdt>
      <w:r w:rsidRPr="00D23BF1">
        <w:rPr>
          <w:rFonts w:ascii="Times" w:eastAsia="Helvetica Neue" w:hAnsi="Times" w:cs="Helvetica Neue"/>
        </w:rPr>
        <w:t xml:space="preserve">mediating factor between urbanization and the gut microbiome needs to be investigated. </w:t>
      </w:r>
    </w:p>
    <w:p w14:paraId="7728EE10" w14:textId="77777777" w:rsidR="00041ADB" w:rsidRPr="00D23BF1" w:rsidRDefault="00041ADB" w:rsidP="00F20BE1">
      <w:pPr>
        <w:jc w:val="both"/>
        <w:rPr>
          <w:rFonts w:ascii="Times" w:eastAsia="Helvetica Neue" w:hAnsi="Times" w:cs="Helvetica Neue"/>
        </w:rPr>
      </w:pPr>
    </w:p>
    <w:p w14:paraId="7841C2C3" w14:textId="77777777" w:rsidR="00041ADB" w:rsidRPr="00D23BF1" w:rsidRDefault="00041ADB" w:rsidP="00F20BE1">
      <w:pPr>
        <w:rPr>
          <w:rFonts w:ascii="Times" w:eastAsia="Times New Roman" w:hAnsi="Times" w:cs="Times New Roman"/>
        </w:rPr>
      </w:pPr>
      <w:r w:rsidRPr="00D23BF1">
        <w:rPr>
          <w:rFonts w:ascii="Times" w:eastAsia="Helvetica Neue" w:hAnsi="Times" w:cs="Helvetica Neue"/>
        </w:rPr>
        <w:t xml:space="preserve">The stress response to noise may be one mechanism by which noise pollution affects the gut microbiome. Previous work in birds suggests that exposure to noise activates a stress response, such that levels of corticosterone increase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{"citationItems":[{"id":"ITEM-1","itemData":{"DOI":"10.1111/j.1523-1739.2012.01840.x","ISBN":"0888-8892","ISSN":"08888892","PMID":"22594595","abstract":"Increasing evidence suggests that chronic noise from human activities negatively affects wild animals, but most studies have failed to separate the effects of chronic noise from confounding factors, such as habitat fragmentation. We played back recorded continuous and intermittent anthropogenic sounds associated with natural gas drilling and roads at leks of Greater Sage-Grouse (Centrocercus urophasianus). For 3 breeding seasons, we monitored sage grouse abundance at leks with and without noise. Peak male attendance (i.e., abundance) at leks experimentally treated with noise from natural gas drilling and roads decreased 29% and 73%, respectively, relative to paired controls. Decreases in abundance at leks treated with noise occurred in the first year of the study and continued throughout the experiment. Noise playback did not have a cumulative effect over time on peak male attendance. There was limited evidence for an effect of noise playback on peak female attendance at leks or male attendance the year after the experiment ended. Our results suggest that sage-grouse avoid leks with anthropogenic noise and that intermittent noise has a greater effect on attendance than continuous noise. Our results highlight the threat of anthropogenic noise to population viability for this and other sensitive species.","author":[{"dropping-particle":"","family":"Blickley","given":"Jessica L.","non-dropping-particle":"","parse-names":false,"suffix":""},{"dropping-particle":"","family":"Blackwood","given":"Diane","non-dropping-particle":"","parse-names":false,"suffix":""},{"dropping-particle":"","family":"Patricelli","given":"Gail L.","non-dropping-particle":"","parse-names":false,"suffix":""}],"container-title":"Conservation Biology","id":"ITEM-1","issue":"3","issued":{"date-parts":[["2012"]]},"page":"461-471","title":"Experimental Evidence for the Effects of Chronic Anthropogenic Noise on Abundance of Greater Sage-Grouse at Leks","type":"article-journal","volume":"26"},"uris":["http://www.mendeley.com/documents/?uuid=59496623-1eaf-4c13-9bf2-65d25034611f"]},{"id":"ITEM-2","itemData":{"author":[{"dropping-particle":"","family":"Davies","given":"Scott","non-dropping-particle":"","parse-names":false,"suffix":""},{"dropping-particle":"","family":"Haddad","given":"Nicole","non-dropping-particle":"","parse-names":false,"suffix":""},{"dropping-particle":"","family":"Ouyang","given":"Jenny Q","non-dropping-particle":"","parse-names":false,"suffix":""},{"dropping-particle":"","family":"Ouyang","given":"Jenny Q","non-dropping-particle":"","parse-names":false,"suffix":""}],"id":"ITEM-2","issued":{"date-parts":[["2017"]]},"title":"Stressful city sounds : glucocorticoid responses to experimental traffic noise are environmentally dependent","type":"article-journal"},"uris":["http://www.mendeley.com/documents/?uuid=05c0a91b-8568-4a53-bc19-90bb70270cab"]},{"id":"ITEM-3","itemData":{"DOI":"10.1073/pnas.1709200115","ISSN":"0027-8424","PMID":"29311304","abstract":"Anthropogenic noise is a pervasive pollutant that decreases environmental quality by disrupting a suite of behaviors vital to perception and communication. However, even within populations of noise-sensitive species, individuals still select breeding sites located within areas exposed to high noise levels, with largely unknown physiological and fitness consequences. We use a study system in the natural gas fields of northern New Mexico to test the prediction that exposure to noise causes glucocorticoid-signaling dysfunction and decreases fitness in a community of secondary cavity-nesting birds. In accordance with these predictions, and across all species, we find strong support for noise exposure decreasing baseline corticosterone in adults and nestlings and, conversely, increasing acute stressor-induced corticosterone in nestlings. We also document fitness consequences with increased noise in the form of reduced hatching success in the western bluebird (Sialia mexicana), the species most likely to nest in noisiest environments. Nestlings of all three species exhibited accelerated growth of both feathers and body size at intermediate noise amplitudes compared with lower or higher amplitudes. Our results are consistent with recent experimental laboratory studies and show that noise functions as a chronic, inescapable stressor. Anthropogenic noise likely impairs environmental risk perception by species relying on acoustic cues and ultimately leads to impacts on fitness. Our work, when taken together with recent efforts to document noise across the landscape, implies potential widespread, noise-induced chronic stress coupled with reduced fitness for many species reliant on acoustic cues.","author":[{"dropping-particle":"","family":"Kleist","given":"Nathan J.","non-dropping-particle":"","parse-names":false,"suffix":""},{"dropping-particle":"","family":"Guralnick","given":"Robert P.","non-dropping-particle":"","parse-names":false,"suffix":""},{"dropping-particle":"","family":"Cruz","given":"Alexander","non-dropping-particle":"","parse-names":false,"suffix":""},{"dropping-particle":"","family":"Lowry","given":"Christopher A.","non-dropping-particle":"","parse-names":false,"suffix":""},{"dropping-particle":"","family":"Francis","given":"Clinton D.","non-dropping-particle":"","parse-names":false,"suffix":""}],"container-title":"Proceedings of the National Academy of Sciences","id":"ITEM-3","issued":{"date-parts":[["2018"]]},"page":"201709200","title":"Chronic anthropogenic noise disrupts glucocorticoid signaling and has multiple effects on fitness in an avian community","type":"article-journal"},"uris":["http://www.mendeley.com/documents/?uuid=f1c3149b-4535-4212-a417-3db2150d4c20"]}],"mendeley":{"formattedCitation":"&lt;sup&gt;81,85,86&lt;/sup&gt;","plainTextFormattedCitation":"81,85,86","previouslyFormattedCitation":"(Blickley &lt;i&gt;et al.&lt;/i&gt; 2012, Davies &lt;i&gt;et al.&lt;/i&gt; 2017, Kleist &lt;i&gt;et al.&lt;/i&gt; 2018)"},"properties":{"noteIndex":0},"schema":"https://github.com/citation-style-language/schema/raw/master/csl-citation.json"}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81,85,86</w:t>
      </w:r>
      <w:r w:rsidRPr="00D23BF1">
        <w:rPr>
          <w:rFonts w:ascii="Times" w:eastAsia="Helvetica Neue" w:hAnsi="Times" w:cs="Helvetica Neue"/>
        </w:rPr>
        <w:fldChar w:fldCharType="end"/>
      </w:r>
      <w:r w:rsidRPr="00D23BF1">
        <w:rPr>
          <w:rFonts w:ascii="Times" w:eastAsia="Helvetica Neue" w:hAnsi="Times" w:cs="Helvetica Neue"/>
        </w:rPr>
        <w:t>. Broiler chicks (</w:t>
      </w:r>
      <w:r w:rsidRPr="00D23BF1">
        <w:rPr>
          <w:rFonts w:ascii="Times" w:eastAsia="Helvetica Neue" w:hAnsi="Times" w:cs="Helvetica Neue"/>
          <w:i/>
          <w:iCs/>
        </w:rPr>
        <w:t xml:space="preserve">Gallus </w:t>
      </w:r>
      <w:proofErr w:type="spellStart"/>
      <w:r w:rsidRPr="00D23BF1">
        <w:rPr>
          <w:rFonts w:ascii="Times" w:eastAsia="Helvetica Neue" w:hAnsi="Times" w:cs="Helvetica Neue"/>
          <w:i/>
          <w:iCs/>
        </w:rPr>
        <w:t>gallus</w:t>
      </w:r>
      <w:proofErr w:type="spellEnd"/>
      <w:r w:rsidRPr="00D23BF1">
        <w:rPr>
          <w:rFonts w:ascii="Times" w:eastAsia="Helvetica Neue" w:hAnsi="Times" w:cs="Helvetica Neue"/>
          <w:i/>
          <w:iCs/>
        </w:rPr>
        <w:t xml:space="preserve"> </w:t>
      </w:r>
      <w:proofErr w:type="spellStart"/>
      <w:r w:rsidRPr="00D23BF1">
        <w:rPr>
          <w:rFonts w:ascii="Times" w:eastAsia="Helvetica Neue" w:hAnsi="Times" w:cs="Helvetica Neue"/>
          <w:i/>
          <w:iCs/>
        </w:rPr>
        <w:t>domesticus</w:t>
      </w:r>
      <w:proofErr w:type="spellEnd"/>
      <w:r w:rsidRPr="00D23BF1">
        <w:rPr>
          <w:rFonts w:ascii="Times" w:eastAsia="Helvetica Neue" w:hAnsi="Times" w:cs="Helvetica Neue"/>
        </w:rPr>
        <w:t xml:space="preserve">) in an agricultural setting showed elevated corticosterone when exposed to 10 minutes of very high amplitude noise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{"citationItems":[{"id":"ITEM-1","itemData":{"DOI":"10.2754/avb200978010093","ISBN":"0001-7213","ISSN":"00017213","abstract":"Stress effects from acute noise exposure were monitored in a group of ROSS 308 broiler chickens (n = 80), aged 42 days. The experiment simulated slaughterhouse sounds to which the broilers were exposed for 10 min in the test enclosure. Effects of acute noise exposure at two different levels (80 dB and 100 dB) were evaluated on the basis of examinations of selected biochemical plasma indicators and tonic immobility tests. Noise stimuli of both 80 dB and 100 dB intensities for 10 min induced a significant elevation in plasma corticosterone levels. Broilers that were exposed to noise stimuli of 100 dB also exhibited a significant increase in the cholesterol level and total protein level. Exposure to noise stimuli did not influence the glucose level and triglyceride concentrations. The duration of tonic immobility was not affected by noise stimuli in our experiment. However, noise exposure at a 100 dB level decreased the number of attempts to induce tonic immobility in broilers.","author":[{"dropping-particle":"","family":"Chloupek","given":"Petr","non-dropping-particle":"","parse-names":false,"suffix":""},{"dropping-particle":"","family":"Voslářová","given":"Eva","non-dropping-particle":"","parse-names":false,"suffix":""},{"dropping-particle":"","family":"Chloupek","given":"Jan","non-dropping-particle":"","parse-names":false,"suffix":""},{"dropping-particle":"","family":"Bedáňová","given":"Iveta","non-dropping-particle":"","parse-names":false,"suffix":""},{"dropping-particle":"","family":"Pištěková","given":"Vladimíra","non-dropping-particle":"","parse-names":false,"suffix":""},{"dropping-particle":"","family":"Večerek","given":"Vladimír","non-dropping-particle":"","parse-names":false,"suffix":""}],"container-title":"Acta Veterinaria Brno","id":"ITEM-1","issue":"1","issued":{"date-parts":[["2009"]]},"note":"short (10min) intense noise = higher CORT","page":"93-98","title":"Stress in broiler chickens due to acute noise exposure","type":"article-journal","volume":"78"},"uris":["http://www.mendeley.com/documents/?uuid=047a9922-b7f8-4d36-a75b-368b716d6441"]}],"mendeley":{"formattedCitation":"&lt;sup&gt;87&lt;/sup&gt;","plainTextFormattedCitation":"87","previouslyFormattedCitation":"(Chloupek &lt;i&gt;et al.&lt;/i&gt; 2009)"},"properties":{"noteIndex":0},"schema":"https://github.com/citation-style-language/schema/raw/master/csl-citation.json"}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87</w:t>
      </w:r>
      <w:r w:rsidRPr="00D23BF1">
        <w:rPr>
          <w:rFonts w:ascii="Times" w:eastAsia="Helvetica Neue" w:hAnsi="Times" w:cs="Helvetica Neue"/>
        </w:rPr>
        <w:fldChar w:fldCharType="end"/>
      </w:r>
      <w:r w:rsidRPr="00D23BF1">
        <w:rPr>
          <w:rFonts w:ascii="Times" w:eastAsia="Helvetica Neue" w:hAnsi="Times" w:cs="Helvetica Neue"/>
        </w:rPr>
        <w:t xml:space="preserve">. Similarly, wild, lekking male sage grouse </w:t>
      </w:r>
      <w:r w:rsidRPr="00D23BF1">
        <w:rPr>
          <w:rFonts w:ascii="Calibri" w:eastAsia="Helvetica Neue" w:hAnsi="Calibri" w:cs="Calibri"/>
        </w:rPr>
        <w:t>﻿</w:t>
      </w:r>
      <w:r w:rsidRPr="00D23BF1">
        <w:rPr>
          <w:rFonts w:ascii="Times" w:eastAsia="Helvetica Neue" w:hAnsi="Times" w:cs="Calibri"/>
        </w:rPr>
        <w:t>(</w:t>
      </w:r>
      <w:r w:rsidRPr="00D23BF1">
        <w:rPr>
          <w:rFonts w:ascii="Times" w:eastAsia="Helvetica Neue" w:hAnsi="Times" w:cs="Helvetica Neue"/>
          <w:i/>
          <w:iCs/>
        </w:rPr>
        <w:t>Centrocercus urophasianus</w:t>
      </w:r>
      <w:r w:rsidRPr="00D23BF1">
        <w:rPr>
          <w:rFonts w:ascii="Times" w:eastAsia="Helvetica Neue" w:hAnsi="Times" w:cs="Helvetica Neue"/>
        </w:rPr>
        <w:t xml:space="preserve">) showed an increase in fecal corticosterone metabolites when exposed to chronic noise on their </w:t>
      </w:r>
      <w:r w:rsidRPr="00D23BF1">
        <w:rPr>
          <w:rFonts w:ascii="Times" w:eastAsia="Helvetica Neue" w:hAnsi="Times" w:cs="Helvetica Neue"/>
        </w:rPr>
        <w:lastRenderedPageBreak/>
        <w:t xml:space="preserve">breeding sites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{"citationItems":[{"id":"ITEM-1","itemData":{"DOI":"10.1111/j.1523-1739.2012.01840.x","ISBN":"0888-8892","ISSN":"08888892","PMID":"22594595","abstract":"Increasing evidence suggests that chronic noise from human activities negatively affects wild animals, but most studies have failed to separate the effects of chronic noise from confounding factors, such as habitat fragmentation. We played back recorded continuous and intermittent anthropogenic sounds associated with natural gas drilling and roads at leks of Greater Sage-Grouse (Centrocercus urophasianus). For 3 breeding seasons, we monitored sage grouse abundance at leks with and without noise. Peak male attendance (i.e., abundance) at leks experimentally treated with noise from natural gas drilling and roads decreased 29% and 73%, respectively, relative to paired controls. Decreases in abundance at leks treated with noise occurred in the first year of the study and continued throughout the experiment. Noise playback did not have a cumulative effect over time on peak male attendance. There was limited evidence for an effect of noise playback on peak female attendance at leks or male attendance the year after the experiment ended. Our results suggest that sage-grouse avoid leks with anthropogenic noise and that intermittent noise has a greater effect on attendance than continuous noise. Our results highlight the threat of anthropogenic noise to population viability for this and other sensitive species.","author":[{"dropping-particle":"","family":"Blickley","given":"Jessica L.","non-dropping-particle":"","parse-names":false,"suffix":""},{"dropping-particle":"","family":"Blackwood","given":"Diane","non-dropping-particle":"","parse-names":false,"suffix":""},{"dropping-particle":"","family":"Patricelli","given":"Gail L.","non-dropping-particle":"","parse-names":false,"suffix":""}],"container-title":"Conservation Biology","id":"ITEM-1","issue":"3","issued":{"date-parts":[["2012"]]},"page":"461-471","title":"Experimental Evidence for the Effects of Chronic Anthropogenic Noise on Abundance of Greater Sage-Grouse at Leks","type":"article-journal","volume":"26"},"uris":["http://www.mendeley.com/documents/?uuid=59496623-1eaf-4c13-9bf2-65d25034611f"]}],"mendeley":{"formattedCitation":"&lt;sup&gt;81&lt;/sup&gt;","plainTextFormattedCitation":"81","previouslyFormattedCitation":"(Blickley &lt;i&gt;et al.&lt;/i&gt; 2012)"},"properties":{"noteIndex":0},"schema":"https://github.com/citation-style-language/schema/raw/master/csl-citation.json"}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81</w:t>
      </w:r>
      <w:r w:rsidRPr="00D23BF1">
        <w:rPr>
          <w:rFonts w:ascii="Times" w:eastAsia="Helvetica Neue" w:hAnsi="Times" w:cs="Helvetica Neue"/>
        </w:rPr>
        <w:fldChar w:fldCharType="end"/>
      </w:r>
      <w:r w:rsidRPr="00D23BF1">
        <w:rPr>
          <w:rFonts w:ascii="Times" w:eastAsia="Helvetica Neue" w:hAnsi="Times" w:cs="Helvetica Neue"/>
        </w:rPr>
        <w:t>. House wrens (</w:t>
      </w:r>
      <w:r w:rsidRPr="00D23BF1">
        <w:rPr>
          <w:rFonts w:ascii="Times" w:eastAsia="Helvetica Neue" w:hAnsi="Times" w:cs="Helvetica Neue"/>
          <w:i/>
          <w:iCs/>
        </w:rPr>
        <w:t xml:space="preserve">Troglodytes </w:t>
      </w:r>
      <w:proofErr w:type="spellStart"/>
      <w:r w:rsidRPr="00D23BF1">
        <w:rPr>
          <w:rFonts w:ascii="Times" w:eastAsia="Helvetica Neue" w:hAnsi="Times" w:cs="Helvetica Neue"/>
          <w:i/>
          <w:iCs/>
        </w:rPr>
        <w:t>aedon</w:t>
      </w:r>
      <w:proofErr w:type="spellEnd"/>
      <w:r w:rsidRPr="00D23BF1">
        <w:rPr>
          <w:rFonts w:ascii="Times" w:eastAsia="Helvetica Neue" w:hAnsi="Times" w:cs="Helvetica Neue"/>
        </w:rPr>
        <w:t xml:space="preserve">) collected from the city had higher baseline corticosterone than rural house wrens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{"citationItems":[{"id":"ITEM-1","itemData":{"DOI":"10.1073/pnas.1709200115","ISSN":"0027-8424","PMID":"29311304","abstract":"Anthropogenic noise is a pervasive pollutant that decreases environmental quality by disrupting a suite of behaviors vital to perception and communication. However, even within populations of noise-sensitive species, individuals still select breeding sites located within areas exposed to high noise levels, with largely unknown physiological and fitness consequences. We use a study system in the natural gas fields of northern New Mexico to test the prediction that exposure to noise causes glucocorticoid-signaling dysfunction and decreases fitness in a community of secondary cavity-nesting birds. In accordance with these predictions, and across all species, we find strong support for noise exposure decreasing baseline corticosterone in adults and nestlings and, conversely, increasing acute stressor-induced corticosterone in nestlings. We also document fitness consequences with increased noise in the form of reduced hatching success in the western bluebird (Sialia mexicana), the species most likely to nest in noisiest environments. Nestlings of all three species exhibited accelerated growth of both feathers and body size at intermediate noise amplitudes compared with lower or higher amplitudes. Our results are consistent with recent experimental laboratory studies and show that noise functions as a chronic, inescapable stressor. Anthropogenic noise likely impairs environmental risk perception by species relying on acoustic cues and ultimately leads to impacts on fitness. Our work, when taken together with recent efforts to document noise across the landscape, implies potential widespread, noise-induced chronic stress coupled with reduced fitness for many species reliant on acoustic cues.","author":[{"dropping-particle":"","family":"Kleist","given":"Nathan J.","non-dropping-particle":"","parse-names":false,"suffix":""},{"dropping-particle":"","family":"Guralnick","given":"Robert P.","non-dropping-particle":"","parse-names":false,"suffix":""},{"dropping-particle":"","family":"Cruz","given":"Alexander","non-dropping-particle":"","parse-names":false,"suffix":""},{"dropping-particle":"","family":"Lowry","given":"Christopher A.","non-dropping-particle":"","parse-names":false,"suffix":""},{"dropping-particle":"","family":"Francis","given":"Clinton D.","non-dropping-particle":"","parse-names":false,"suffix":""}],"container-title":"Proceedings of the National Academy of Sciences","id":"ITEM-1","issued":{"date-parts":[["2018"]]},"page":"201709200","title":"Chronic anthropogenic noise disrupts glucocorticoid signaling and has multiple effects on fitness in an avian community","type":"article-journal"},"uris":["http://www.mendeley.com/documents/?uuid=f1c3149b-4535-4212-a417-3db2150d4c20"]}],"mendeley":{"formattedCitation":"&lt;sup&gt;86&lt;/sup&gt;","plainTextFormattedCitation":"86","previouslyFormattedCitation":"(Kleist &lt;i&gt;et al.&lt;/i&gt; 2018)"},"properties":{"noteIndex":0},"schema":"https://github.com/citation-style-language/schema/raw/master/csl-citation.json"}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86</w:t>
      </w:r>
      <w:r w:rsidRPr="00D23BF1">
        <w:rPr>
          <w:rFonts w:ascii="Times" w:eastAsia="Helvetica Neue" w:hAnsi="Times" w:cs="Helvetica Neue"/>
        </w:rPr>
        <w:fldChar w:fldCharType="end"/>
      </w:r>
      <w:r w:rsidRPr="00D23BF1">
        <w:rPr>
          <w:rFonts w:ascii="Times" w:eastAsia="Helvetica Neue" w:hAnsi="Times" w:cs="Helvetica Neue"/>
        </w:rPr>
        <w:t>.</w:t>
      </w:r>
      <w:r w:rsidRPr="00D23BF1">
        <w:rPr>
          <w:rFonts w:ascii="Times" w:hAnsi="Times"/>
        </w:rPr>
        <w:t xml:space="preserve"> A</w:t>
      </w:r>
      <w:r w:rsidRPr="00D23BF1">
        <w:rPr>
          <w:rFonts w:ascii="Times" w:eastAsia="Helvetica Neue" w:hAnsi="Times" w:cs="Helvetica Neue"/>
        </w:rPr>
        <w:t>lthough rural house wrens showed an increase in corticosterone as a result of one</w:t>
      </w:r>
      <w:sdt>
        <w:sdtPr>
          <w:rPr>
            <w:rFonts w:ascii="Times" w:hAnsi="Times"/>
          </w:rPr>
          <w:tag w:val="goog_rdk_85"/>
          <w:id w:val="1503013868"/>
        </w:sdtPr>
        <w:sdtEndPr/>
        <w:sdtContent>
          <w:r w:rsidRPr="00D23BF1">
            <w:rPr>
              <w:rFonts w:ascii="Times" w:eastAsia="Helvetica Neue" w:hAnsi="Times" w:cs="Helvetica Neue"/>
            </w:rPr>
            <w:t>-</w:t>
          </w:r>
        </w:sdtContent>
      </w:sdt>
      <w:r w:rsidRPr="00D23BF1">
        <w:rPr>
          <w:rFonts w:ascii="Times" w:eastAsia="Helvetica Neue" w:hAnsi="Times" w:cs="Helvetica Neue"/>
        </w:rPr>
        <w:t xml:space="preserve">day of noise exposure, urban birds did not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{"citationItems":[{"id":"ITEM-1","itemData":{"DOI":"10.1073/pnas.1709200115","ISSN":"0027-8424","PMID":"29311304","abstract":"Anthropogenic noise is a pervasive pollutant that decreases environmental quality by disrupting a suite of behaviors vital to perception and communication. However, even within populations of noise-sensitive species, individuals still select breeding sites located within areas exposed to high noise levels, with largely unknown physiological and fitness consequences. We use a study system in the natural gas fields of northern New Mexico to test the prediction that exposure to noise causes glucocorticoid-signaling dysfunction and decreases fitness in a community of secondary cavity-nesting birds. In accordance with these predictions, and across all species, we find strong support for noise exposure decreasing baseline corticosterone in adults and nestlings and, conversely, increasing acute stressor-induced corticosterone in nestlings. We also document fitness consequences with increased noise in the form of reduced hatching success in the western bluebird (Sialia mexicana), the species most likely to nest in noisiest environments. Nestlings of all three species exhibited accelerated growth of both feathers and body size at intermediate noise amplitudes compared with lower or higher amplitudes. Our results are consistent with recent experimental laboratory studies and show that noise functions as a chronic, inescapable stressor. Anthropogenic noise likely impairs environmental risk perception by species relying on acoustic cues and ultimately leads to impacts on fitness. Our work, when taken together with recent efforts to document noise across the landscape, implies potential widespread, noise-induced chronic stress coupled with reduced fitness for many species reliant on acoustic cues.","author":[{"dropping-particle":"","family":"Kleist","given":"Nathan J.","non-dropping-particle":"","parse-names":false,"suffix":""},{"dropping-particle":"","family":"Guralnick","given":"Robert P.","non-dropping-particle":"","parse-names":false,"suffix":""},{"dropping-particle":"","family":"Cruz","given":"Alexander","non-dropping-particle":"","parse-names":false,"suffix":""},{"dropping-particle":"","family":"Lowry","given":"Christopher A.","non-dropping-particle":"","parse-names":false,"suffix":""},{"dropping-particle":"","family":"Francis","given":"Clinton D.","non-dropping-particle":"","parse-names":false,"suffix":""}],"container-title":"Proceedings of the National Academy of Sciences","id":"ITEM-1","issued":{"date-parts":[["2018"]]},"page":"201709200","title":"Chronic anthropogenic noise disrupts glucocorticoid signaling and has multiple effects on fitness in an avian community","type":"article-journal"},"uris":["http://www.mendeley.com/documents/?uuid=f1c3149b-4535-4212-a417-3db2150d4c20"]}],"mendeley":{"formattedCitation":"&lt;sup&gt;86&lt;/sup&gt;","plainTextFormattedCitation":"86","previouslyFormattedCitation":"(Kleist &lt;i&gt;et al.&lt;/i&gt; 2018)"},"properties":{"noteIndex":0},"schema":"https://github.com/citation-style-language/schema/raw/master/csl-citation.json"}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86</w:t>
      </w:r>
      <w:r w:rsidRPr="00D23BF1">
        <w:rPr>
          <w:rFonts w:ascii="Times" w:eastAsia="Helvetica Neue" w:hAnsi="Times" w:cs="Helvetica Neue"/>
        </w:rPr>
        <w:fldChar w:fldCharType="end"/>
      </w:r>
      <w:r w:rsidRPr="00D23BF1">
        <w:rPr>
          <w:rFonts w:ascii="Times" w:eastAsia="Helvetica Neue" w:hAnsi="Times" w:cs="Helvetica Neue"/>
        </w:rPr>
        <w:t xml:space="preserve">. In contrast, three bird species exposed to oil drilling noise throughout their breeding period showed evidence of </w:t>
      </w:r>
      <w:proofErr w:type="spellStart"/>
      <w:r w:rsidRPr="00D23BF1">
        <w:rPr>
          <w:rFonts w:ascii="Times" w:eastAsia="Helvetica Neue" w:hAnsi="Times" w:cs="Helvetica Neue"/>
        </w:rPr>
        <w:t>hypocorticism</w:t>
      </w:r>
      <w:proofErr w:type="spellEnd"/>
      <w:r w:rsidRPr="00D23BF1">
        <w:rPr>
          <w:rFonts w:ascii="Times" w:eastAsia="Helvetica Neue" w:hAnsi="Times" w:cs="Helvetica Neue"/>
        </w:rPr>
        <w:t xml:space="preserve">, a negative relationship between noise and corticosterone as a result of hormone depletion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author":[{"dropping-particle":"","family":"Davies","given":"Scott","non-dropping-particle":"","parse-names":false,"suffix":""},{"dropping-particle":"","family":"Haddad","given":"Nicole","non-dropping-particle":"","parse-names":false,"suffix":""},{"dropping-particle":"","family":"Ouyang","given":"Jenny Q","non-dropping-particle":"","parse-names":false,"suffix":""},{"dropping-particle":"","family":"Ouyang","given":"Jenny Q","non-dropping-particle":"","parse-names":false,"suffix":""}],"id":"ITEM-1","issued":{"date-parts":[["2017"]]},"title":"Stressful city sounds : glucocorticoid responses to experimental traffic noise are environmentally dependent","type":"article-journal"},"uris":["http://www.mendeley.com/documents/?uuid=05c0a91b-8568-4a53-bc19-90bb70270cab"]}],"mendeley":{"formattedCitation":"&lt;sup&gt;85&lt;/sup&gt;","plainTextFormattedCitation":"85","previouslyFormattedCitation":"(Davies &lt;i&gt;et al.&lt;/i&gt; 2017)"},"properties":{"noteIndex":0},"schema":"https://github.com/citation-style-language/schema/raw/master/csl-citation.json"}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85</w:t>
      </w:r>
      <w:r w:rsidRPr="00D23BF1">
        <w:rPr>
          <w:rFonts w:ascii="Times" w:eastAsia="Helvetica Neue" w:hAnsi="Times" w:cs="Helvetica Neue"/>
        </w:rPr>
        <w:fldChar w:fldCharType="end"/>
      </w:r>
      <w:r w:rsidRPr="00D23BF1">
        <w:rPr>
          <w:rFonts w:ascii="Times" w:eastAsia="Helvetica Neue" w:hAnsi="Times" w:cs="Helvetica Neue"/>
        </w:rPr>
        <w:t>. Similarly, a field study found lower corticosterone response to restraint in nestling white-crowned sparrows (</w:t>
      </w:r>
      <w:proofErr w:type="spellStart"/>
      <w:r w:rsidRPr="00D23BF1">
        <w:rPr>
          <w:rFonts w:ascii="Times" w:eastAsia="Helvetica Neue" w:hAnsi="Times" w:cs="Helvetica Neue"/>
          <w:i/>
          <w:iCs/>
        </w:rPr>
        <w:t>Zonotrichia</w:t>
      </w:r>
      <w:proofErr w:type="spellEnd"/>
      <w:r w:rsidRPr="00D23BF1">
        <w:rPr>
          <w:rFonts w:ascii="Times" w:eastAsia="Helvetica Neue" w:hAnsi="Times" w:cs="Helvetica Neue"/>
          <w:i/>
          <w:iCs/>
        </w:rPr>
        <w:t xml:space="preserve"> </w:t>
      </w:r>
      <w:proofErr w:type="spellStart"/>
      <w:r w:rsidRPr="00D23BF1">
        <w:rPr>
          <w:rFonts w:ascii="Times" w:eastAsia="Helvetica Neue" w:hAnsi="Times" w:cs="Helvetica Neue"/>
          <w:i/>
          <w:iCs/>
        </w:rPr>
        <w:t>leucophrys</w:t>
      </w:r>
      <w:proofErr w:type="spellEnd"/>
      <w:r w:rsidRPr="00D23BF1">
        <w:rPr>
          <w:rFonts w:ascii="Times" w:eastAsia="Helvetica Neue" w:hAnsi="Times" w:cs="Helvetica Neue"/>
        </w:rPr>
        <w:t xml:space="preserve">) exposed to noise, and no difference in baseline corticosterone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{"citationItems":[{"id":"ITEM-1","itemData":{"DOI":"10.1242/jeb.081109","ISBN":"1477-9145 (Electronic)\\n0022-0949 (Linking)","ISSN":"1477-9145","PMID":"23430998","abstract":"Roads have been associated with behavioral and physiological changes in wildlife. In birds, roads decrease reproductive success and biodiversity and increase physiological stress. Although the consequences of roads on individuals and communities have been well described, the mechanisms through which roads affect birds remain largely unexplored. Here, we examine one mechanism through which roads could affect birds: traffic noise. We exposed nestling mountain white-crowned sparrows (Zonotrichia leucophrys oriantha) to experimentally elevated traffic noise for 5 days during the nestling period. Following exposure to traffic noise we measured nestling stress physiology, immune function, body size, condition and survival. Based on prior studies, we expected the traffic noise treatment to result in elevated stress hormones (glucocorticoids), and declines in immune function, body size, condition and survival. Surprisingly, nestlings exposed to traffic noise had lower glucocorticoid levels and improved condition relative to control nests. These results indicate that traffic noise does affect physiology and development in white-crowned sparrows, but not at all as predicted. Therefore, when evaluating the mechanisms through which roads affect avian populations, other factors (e.g. edge effects, pollution and mechanical vibration) may be more important than traffic noise in explaining elevated nestling stress responses in this species.","author":[{"dropping-particle":"","family":"Crino","given":"Ondi L","non-dropping-particle":"","parse-names":false,"suffix":""},{"dropping-particle":"","family":"Johnson","given":"Erin E","non-dropping-particle":"","parse-names":false,"suffix":""},{"dropping-particle":"","family":"Blickley","given":"Jessica L","non-dropping-particle":"","parse-names":false,"suffix":""},{"dropping-particle":"","family":"Patricelli","given":"Gail L","non-dropping-particle":"","parse-names":false,"suffix":""},{"dropping-particle":"","family":"Breuner","given":"Creagh W","non-dropping-particle":"","parse-names":false,"suffix":""}],"container-title":"The Journal of experimental biology","id":"ITEM-1","issued":{"date-parts":[["2013"]]},"note":"•Conducted on nestlings in the wild (8 exp. nests 5 control) \n–Short noise files &amp;amp; silent files on shuffle for ~6min of noise per hour \n–5 days of exposure \n–Measured: \n•Stress response to restraint –(didn’t say why they chose this) \n•Plasma CORT \n•Free CORT \n•Body condition (scaled mass) \n•Nestling fledgeling success \n•Found total CORT higher in control after restraint, free CORT no difference \n–Control birds respond more strongly to a stressor \n–Noise birds respond less strongly, but their HPA activity is not exhausted (as in chronic stress)","page":"2055-62","title":"Effects of experimentally elevated traffic noise on nestling white-crowned sparrow stress physiology, immune function and life history.","type":"article-journal","volume":"216"},"uris":["http://www.mendeley.com/documents/?uuid=c1396083-320d-4963-b803-4925c4fb13d0"]}],"mendeley":{"formattedCitation":"&lt;sup&gt;88&lt;/sup&gt;","plainTextFormattedCitation":"88","previouslyFormattedCitation":"(Crino &lt;i&gt;et al.&lt;/i&gt; 2013)"},"properties":{"noteIndex":0},"schema":"https://github.com/citation-style-language/schema/raw/master/csl-citation.json"}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88</w:t>
      </w:r>
      <w:r w:rsidRPr="00D23BF1">
        <w:rPr>
          <w:rFonts w:ascii="Times" w:eastAsia="Helvetica Neue" w:hAnsi="Times" w:cs="Helvetica Neue"/>
        </w:rPr>
        <w:fldChar w:fldCharType="end"/>
      </w:r>
      <w:r w:rsidRPr="00D23BF1">
        <w:rPr>
          <w:rFonts w:ascii="Times" w:eastAsia="Helvetica Neue" w:hAnsi="Times" w:cs="Helvetica Neue"/>
        </w:rPr>
        <w:t xml:space="preserve">. In any case, a  change in corticosterone may change the substrate  for intestinal microbes through alterations in gut physiology such as increased intestinal motility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{"citationItems":[{"id":"ITEM-1","itemData":{"DOI":"10.1152/ajpgi.00419.2006.","ISSN":"0017095X","abstract":"Freely decomposable and strongly freely decomposable maps were introduced by G. R. Gordh and C. B. Hughes as a generalization of monotone maps with the property that these maps preserve local connectedness in inverse limits. We prove some relationships between f, Cn(f) and 2f, when f, Cn(f) or 2f belong to the following classes of maps: Almost monotone, quasi-monotone, weakly monotone, freely decomposable or strongly freely decomposable. We correct two corollaries formulated by Jaunusz J. Charatonik in \"On feebly monotone and related classes of maps\". We also present an alternative reformulation of these results.","author":[{"dropping-particle":"","family":"Nakade","given":"Y.","non-dropping-particle":"","parse-names":false,"suffix":""},{"dropping-particle":"","family":"Fukuda","given":"H.","non-dropping-particle":"","parse-names":false,"suffix":""},{"dropping-particle":"","family":"Iwa","given":"M. Kiyoshi","non-dropping-particle":"","parse-names":false,"suffix":""},{"dropping-particle":"","family":"T. Yanagi","given":"H.","non-dropping-particle":"","parse-names":false,"suffix":""},{"dropping-particle":"","family":"Yamamura","given":"T.","non-dropping-particle":"","parse-names":false,"suffix":""},{"dropping-particle":"","family":"Mantyh","given":"C.","non-dropping-particle":"","parse-names":false,"suffix":""},{"dropping-particle":"","family":"Pappas","given":"T. N.","non-dropping-particle":"","parse-names":false,"suffix":""},{"dropping-particle":"","family":"Takahashi","given":"T.","non-dropping-particle":"","parse-names":false,"suffix":""}],"container-title":"American Journal of Physiology-Gastrointestinal and Liver Physiology","id":"ITEM-1","issue":"2","issued":{"date-parts":[["2006"]]},"note":"Restraint stress in rats increases gut motility through corticotrophin releasing factor/glucocorticoid pathways.","page":"1037-1044","title":"Restraint stress stimulates colonic motility via central corticotropin-releasing factor and peripheral 5-HT3 receptors in conscious rats","type":"article-journal","volume":"48"},"uris":["http://www.mendeley.com/documents/?uuid=f40d147d-1841-4c2c-8d69-00323ca5e818"]}],"mendeley":{"formattedCitation":"&lt;sup&gt;89&lt;/sup&gt;","plainTextFormattedCitation":"89","previouslyFormattedCitation":"(Nakade &lt;i&gt;et al.&lt;/i&gt; 2006)"},"properties":{"noteIndex":0},"schema":"https://github.com/citation-style-language/schema/raw/master/csl-citation.json"}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89</w:t>
      </w:r>
      <w:r w:rsidRPr="00D23BF1">
        <w:rPr>
          <w:rFonts w:ascii="Times" w:eastAsia="Helvetica Neue" w:hAnsi="Times" w:cs="Helvetica Neue"/>
        </w:rPr>
        <w:fldChar w:fldCharType="end"/>
      </w:r>
      <w:r w:rsidRPr="00D23BF1">
        <w:rPr>
          <w:rFonts w:ascii="Times" w:eastAsia="Helvetica Neue" w:hAnsi="Times" w:cs="Helvetica Neue"/>
        </w:rPr>
        <w:t xml:space="preserve">, and permeability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{"citationItems":[{"id":"ITEM-1","itemData":{"DOI":"10.1016/j.pain.2004.10.002","ISBN":"0304-3959 (Print)\\r0304-3959 (Linking)","ISSN":"03043959","PMID":"15621374","abstract":"Hypersensitivity to rectal or colonic distension characterizes most patients with IBS and increased gut permeability has been described in post-dysenteric IBS patients. However, no link has been established between these two events. The aim of this study was to determine (i) whether chemical blockade of stress-induced increase of colonic paracellular permeability by 2,4,6 triaminopyrimidine (TAP) affects the concomitant hypersensitivity to colonic distension, (ii) the role of epithelial cell contraction in the stress-induced increased permeability and hyperalgesia, using a myosin light chain kinase inhibitor (ML-7). The effect of acute partial restraint stress (PRS) on visceral sensitivity to colorectal distension (RD) was assessed by abdominal muscle electromyography. Colonic paracellular permeability was determined by measuring percentage of urinary51Cr-EDTA recovery after intracolonic infusion. The effect of stress on both parameters was evaluated after TAP, ML-7 or vehicle pretreated animals. PRS significantly increased colonic paracellular permeability and the number of spike bursts for all volumes of RD applied compared to sham. TAP suppressed the stress-induced increase of colonic paracellular permeability and sensitivity to colonic distension. Similarly, ML-7 blocked the stress-induced increase of colonic paracellular permeability and sensitivity. Neither ML-7 nor TAP had any effect on both permeability and sensitivity in absence of stress. The increase of colonic permeability induced by PRS results from epithelial cell cytoskeleton contraction through myosin light chain kinase activation and this increase is responsible for stress-induced rectal hypersensitivity. © 2004 International Association for the Study of Pain. Published by Elsevier B.V. All rights reserved.","author":[{"dropping-particle":"","family":"Ait-Belgnaoui","given":"Afifa","non-dropping-particle":"","parse-names":false,"suffix":""},{"dropping-particle":"","family":"Bradesi","given":"Sylvie","non-dropping-particle":"","parse-names":false,"suffix":""},{"dropping-particle":"","family":"Fioramonti","given":"Jean","non-dropping-particle":"","parse-names":false,"suffix":""},{"dropping-particle":"","family":"Theodorou","given":"Vassilia","non-dropping-particle":"","parse-names":false,"suffix":""},{"dropping-particle":"","family":"Bueno","given":"Lionel","non-dropping-particle":"","parse-names":false,"suffix":""}],"container-title":"Pain","id":"ITEM-1","issued":{"date-parts":[["2005"]]},"title":"Acute stress-induced hypersensitivity to colonic distension depends upon increase in paracellular permeability: Role of myosin light chain kinase","type":"article-journal"},"uris":["http://www.mendeley.com/documents/?uuid=817e3638-7fcf-4573-942d-d1dae292ecbf"]}],"mendeley":{"formattedCitation":"&lt;sup&gt;90&lt;/sup&gt;","plainTextFormattedCitation":"90","previouslyFormattedCitation":"(Ait-Belgnaoui &lt;i&gt;et al.&lt;/i&gt; 2005)"},"properties":{"noteIndex":0},"schema":"https://github.com/citation-style-language/schema/raw/master/csl-citation.json"}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90</w:t>
      </w:r>
      <w:r w:rsidRPr="00D23BF1">
        <w:rPr>
          <w:rFonts w:ascii="Times" w:eastAsia="Helvetica Neue" w:hAnsi="Times" w:cs="Helvetica Neue"/>
        </w:rPr>
        <w:fldChar w:fldCharType="end"/>
      </w:r>
      <w:r w:rsidRPr="00D23BF1">
        <w:rPr>
          <w:rFonts w:ascii="Times" w:eastAsia="Helvetica Neue" w:hAnsi="Times" w:cs="Helvetica Neue"/>
        </w:rPr>
        <w:t xml:space="preserve"> leading to a change in the composition and relative abundances of gut microbiota. A study in rats (</w:t>
      </w:r>
      <w:r w:rsidRPr="00D23BF1">
        <w:rPr>
          <w:rFonts w:ascii="Times" w:eastAsia="Helvetica Neue" w:hAnsi="Times" w:cs="Helvetica Neue"/>
          <w:i/>
          <w:iCs/>
        </w:rPr>
        <w:t>Rattus norvegicus domestica</w:t>
      </w:r>
      <w:r w:rsidRPr="00D23BF1">
        <w:rPr>
          <w:rFonts w:ascii="Times" w:eastAsia="Times New Roman" w:hAnsi="Times" w:cs="Times New Roman"/>
        </w:rPr>
        <w:t xml:space="preserve">) </w:t>
      </w:r>
      <w:r w:rsidRPr="00D23BF1">
        <w:rPr>
          <w:rFonts w:ascii="Times" w:eastAsia="Helvetica Neue" w:hAnsi="Times" w:cs="Helvetica Neue"/>
        </w:rPr>
        <w:t xml:space="preserve">used restraint as a stressor and found that stress increased gastro-intestinal motility, and that this relationship was mediated by glucocorticoid pathways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{"citationItems":[{"id":"ITEM-1","itemData":{"DOI":"10.1152/ajpgi.00419.2006.","ISSN":"0017095X","abstract":"Freely decomposable and strongly freely decomposable maps were introduced by G. R. Gordh and C. B. Hughes as a generalization of monotone maps with the property that these maps preserve local connectedness in inverse limits. We prove some relationships between f, Cn(f) and 2f, when f, Cn(f) or 2f belong to the following classes of maps: Almost monotone, quasi-monotone, weakly monotone, freely decomposable or strongly freely decomposable. We correct two corollaries formulated by Jaunusz J. Charatonik in \"On feebly monotone and related classes of maps\". We also present an alternative reformulation of these results.","author":[{"dropping-particle":"","family":"Nakade","given":"Y.","non-dropping-particle":"","parse-names":false,"suffix":""},{"dropping-particle":"","family":"Fukuda","given":"H.","non-dropping-particle":"","parse-names":false,"suffix":""},{"dropping-particle":"","family":"Iwa","given":"M. Kiyoshi","non-dropping-particle":"","parse-names":false,"suffix":""},{"dropping-particle":"","family":"T. Yanagi","given":"H.","non-dropping-particle":"","parse-names":false,"suffix":""},{"dropping-particle":"","family":"Yamamura","given":"T.","non-dropping-particle":"","parse-names":false,"suffix":""},{"dropping-particle":"","family":"Mantyh","given":"C.","non-dropping-particle":"","parse-names":false,"suffix":""},{"dropping-particle":"","family":"Pappas","given":"T. N.","non-dropping-particle":"","parse-names":false,"suffix":""},{"dropping-particle":"","family":"Takahashi","given":"T.","non-dropping-particle":"","parse-names":false,"suffix":""}],"container-title":"American Journal of Physiology-Gastrointestinal and Liver Physiology","id":"ITEM-1","issue":"2","issued":{"date-parts":[["2006"]]},"note":"Restraint stress in rats increases gut motility through corticotrophin releasing factor/glucocorticoid pathways.","page":"1037-1044","title":"Restraint stress stimulates colonic motility via central corticotropin-releasing factor and peripheral 5-HT3 receptors in conscious rats","type":"article-journal","volume":"48"},"uris":["http://www.mendeley.com/documents/?uuid=f40d147d-1841-4c2c-8d69-00323ca5e818"]}],"mendeley":{"formattedCitation":"&lt;sup&gt;89&lt;/sup&gt;","plainTextFormattedCitation":"89","previouslyFormattedCitation":"(Nakade &lt;i&gt;et al.&lt;/i&gt; 2006)"},"properties":{"noteIndex":0},"schema":"https://github.com/citation-style-language/schema/raw/master/csl-citation.json"}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89</w:t>
      </w:r>
      <w:r w:rsidRPr="00D23BF1">
        <w:rPr>
          <w:rFonts w:ascii="Times" w:eastAsia="Helvetica Neue" w:hAnsi="Times" w:cs="Helvetica Neue"/>
        </w:rPr>
        <w:fldChar w:fldCharType="end"/>
      </w:r>
      <w:r w:rsidRPr="00D23BF1">
        <w:rPr>
          <w:rFonts w:ascii="Times" w:eastAsia="Helvetica Neue" w:hAnsi="Times" w:cs="Helvetica Neue"/>
        </w:rPr>
        <w:t xml:space="preserve">. As reviewed by </w:t>
      </w:r>
      <w:proofErr w:type="spellStart"/>
      <w:r w:rsidRPr="00D23BF1">
        <w:rPr>
          <w:rFonts w:ascii="Times" w:eastAsia="Helvetica Neue" w:hAnsi="Times" w:cs="Helvetica Neue"/>
        </w:rPr>
        <w:t>Soderholm</w:t>
      </w:r>
      <w:proofErr w:type="spellEnd"/>
      <w:r w:rsidRPr="00D23BF1">
        <w:rPr>
          <w:rFonts w:ascii="Times" w:eastAsia="Helvetica Neue" w:hAnsi="Times" w:cs="Helvetica Neue"/>
        </w:rPr>
        <w:t xml:space="preserve"> and Perdue in 2001 (though this review included only mammals), physical stress such as wounds elsewhere in the body, as well as stressors with both a physical and psychological component such as restraint or water submersion, can cause increased intestinal permeability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{"citationItems":[{"id":"ITEM-1","itemData":{"DOI":"10.1152/ajpgi.2001.280.1.G7","ISBN":"0193-1857 (Print)\\n0193-1857 (Linking)","ISSN":"0193-1857","PMID":"11123192","abstract":"The influence of stress on the clinical course of a number of intestinal diseases is increasingly being recognized, but the underlying mechanisms are largely unknown. This themes article focuses on recent findings related to the effects of stress on mucosal barrier function in the small intestine and colon. Experiments using animal models demonstrate that various types of psychological and physical stress induce dysfunction of the intestinal barrier, resulting in enhanced uptake of potentially noxious material (e.g., antigens, toxins, and other proinflammatory molecules) from the gut lumen. Evidence from several studies indicates that in this process, mucosal mast cells play an important role, possibly activated via neurons releasing corticotropin-releasing hormone and/or acetylcholine. Defining the role of specific cells and mediator molecules in stress-induced barrier dysfunction may provide clues to novel treatments for intestinal disorders.","author":[{"dropping-particle":"","family":"Soderholm","given":"Johan D.","non-dropping-particle":"","parse-names":false,"suffix":""},{"dropping-particle":"","family":"Perdue","given":"Mary H.","non-dropping-particle":"","parse-names":false,"suffix":""}],"container-title":"American journal of physiology. Gastrointestinal and liver physiology","id":"ITEM-1","issue":"1","issued":{"date-parts":[["2001"]]},"page":"G7-G13","title":"Stress and gastrointestinal tract. II. Stress and intestinal barrier function.","type":"article-journal","volume":"280"},"uris":["http://www.mendeley.com/documents/?uuid=409c0296-b984-4486-ac2e-c8d84b744b89"]}],"mendeley":{"formattedCitation":"&lt;sup&gt;91&lt;/sup&gt;","plainTextFormattedCitation":"91","previouslyFormattedCitation":"(Soderholm &amp; Perdue 2001)"},"properties":{"noteIndex":0},"schema":"https://github.com/citation-style-language/schema/raw/master/csl-citation.json"}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91</w:t>
      </w:r>
      <w:r w:rsidRPr="00D23BF1">
        <w:rPr>
          <w:rFonts w:ascii="Times" w:eastAsia="Helvetica Neue" w:hAnsi="Times" w:cs="Helvetica Neue"/>
        </w:rPr>
        <w:fldChar w:fldCharType="end"/>
      </w:r>
      <w:r w:rsidRPr="00D23BF1">
        <w:rPr>
          <w:rFonts w:ascii="Times" w:eastAsia="Helvetica Neue" w:hAnsi="Times" w:cs="Helvetica Neue"/>
        </w:rPr>
        <w:t xml:space="preserve">. Changes in gut permeability as a result of compromised mucosal barrier can also cause inflammation, as seen in inflammatory bowel syndrome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{"citationItems":[{"id":"ITEM-1","itemData":{"DOI":"10.1046/j.0269-2813.2002.01359.x","author":[{"dropping-particle":"","family":"Hart","given":"A.","non-dropping-particle":"","parse-names":false,"suffix":""},{"dropping-particle":"","family":"Kamm","given":"M. A.","non-dropping-particle":"","parse-names":false,"suffix":""}],"container-title":"Alimentary Pharmacology &amp; Therapeutics","id":"ITEM-1","issued":{"date-parts":[["2002"]]},"page":"2017-2028","title":"Review article: mechanisms of initiation and perpetuation of gut inflammation by stress","type":"article-journal"},"uris":["http://www.mendeley.com/documents/?uuid=3b6f28ea-5a96-4514-b3b6-61b3ff6bdf7d"]}],"mendeley":{"formattedCitation":"&lt;sup&gt;92&lt;/sup&gt;","plainTextFormattedCitation":"92","previouslyFormattedCitation":"(Hart &amp; Kamm 2002)"},"properties":{"noteIndex":0},"schema":"https://github.com/citation-style-language/schema/raw/master/csl-citation.json"}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92</w:t>
      </w:r>
      <w:r w:rsidRPr="00D23BF1">
        <w:rPr>
          <w:rFonts w:ascii="Times" w:eastAsia="Helvetica Neue" w:hAnsi="Times" w:cs="Helvetica Neue"/>
        </w:rPr>
        <w:fldChar w:fldCharType="end"/>
      </w:r>
      <w:r w:rsidRPr="00D23BF1">
        <w:rPr>
          <w:rFonts w:ascii="Times" w:eastAsia="Helvetica Neue" w:hAnsi="Times" w:cs="Helvetica Neue"/>
        </w:rPr>
        <w:t>.</w:t>
      </w:r>
      <w:sdt>
        <w:sdtPr>
          <w:rPr>
            <w:rFonts w:ascii="Times" w:hAnsi="Times"/>
          </w:rPr>
          <w:tag w:val="goog_rdk_90"/>
          <w:id w:val="1572231419"/>
        </w:sdtPr>
        <w:sdtEndPr/>
        <w:sdtContent/>
      </w:sdt>
      <w:r w:rsidRPr="00D23BF1">
        <w:rPr>
          <w:rFonts w:ascii="Times" w:eastAsia="Helvetica Neue" w:hAnsi="Times" w:cs="Helvetica Neue"/>
        </w:rPr>
        <w:t xml:space="preserve"> Thus, stress and stress hormones have the potential to shape </w:t>
      </w:r>
      <w:sdt>
        <w:sdtPr>
          <w:rPr>
            <w:rFonts w:ascii="Times" w:hAnsi="Times"/>
          </w:rPr>
          <w:tag w:val="goog_rdk_91"/>
          <w:id w:val="684177359"/>
        </w:sdtPr>
        <w:sdtEndPr/>
        <w:sdtContent>
          <w:r w:rsidRPr="00D23BF1">
            <w:rPr>
              <w:rFonts w:ascii="Times" w:eastAsia="Helvetica Neue" w:hAnsi="Times" w:cs="Helvetica Neue"/>
            </w:rPr>
            <w:t>gut</w:t>
          </w:r>
        </w:sdtContent>
      </w:sdt>
      <w:r w:rsidRPr="00D23BF1">
        <w:rPr>
          <w:rFonts w:ascii="Times" w:eastAsia="Helvetica Neue" w:hAnsi="Times" w:cs="Helvetica Neue"/>
        </w:rPr>
        <w:t xml:space="preserve"> communities.</w:t>
      </w:r>
    </w:p>
    <w:p w14:paraId="0DD9A2DC" w14:textId="77777777" w:rsidR="00041ADB" w:rsidRPr="00D23BF1" w:rsidRDefault="00041ADB" w:rsidP="00F20BE1">
      <w:pPr>
        <w:jc w:val="both"/>
        <w:rPr>
          <w:rFonts w:ascii="Times" w:eastAsia="Helvetica Neue" w:hAnsi="Times" w:cs="Helvetica Neue"/>
        </w:rPr>
      </w:pPr>
    </w:p>
    <w:p w14:paraId="71499AAD"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Another, not mutually exclusive mechanism that may mediate the relationship between gut bacteria and urbanization is the potential impact of noise exposure on feeding behavior. Previous experimental work in chaffinches (</w:t>
      </w:r>
      <w:r w:rsidRPr="00D23BF1">
        <w:rPr>
          <w:rFonts w:ascii="Times" w:eastAsia="Helvetica Neue" w:hAnsi="Times" w:cs="Helvetica Neue"/>
          <w:i/>
          <w:iCs/>
        </w:rPr>
        <w:t>Fringilla coelebs</w:t>
      </w:r>
      <w:r w:rsidRPr="00D23BF1">
        <w:rPr>
          <w:rFonts w:ascii="Times" w:eastAsia="Helvetica Neue" w:hAnsi="Times" w:cs="Helvetica Neue"/>
        </w:rPr>
        <w:t>) and owls (</w:t>
      </w:r>
      <w:proofErr w:type="spellStart"/>
      <w:r w:rsidRPr="00D23BF1">
        <w:rPr>
          <w:rFonts w:ascii="Times" w:eastAsia="Helvetica Neue" w:hAnsi="Times" w:cs="Helvetica Neue"/>
          <w:i/>
          <w:iCs/>
        </w:rPr>
        <w:t>Asio</w:t>
      </w:r>
      <w:proofErr w:type="spellEnd"/>
      <w:r w:rsidRPr="00D23BF1">
        <w:rPr>
          <w:rFonts w:ascii="Times" w:eastAsia="Helvetica Neue" w:hAnsi="Times" w:cs="Helvetica Neue"/>
          <w:i/>
          <w:iCs/>
        </w:rPr>
        <w:t xml:space="preserve"> </w:t>
      </w:r>
      <w:proofErr w:type="spellStart"/>
      <w:r w:rsidRPr="00D23BF1">
        <w:rPr>
          <w:rFonts w:ascii="Times" w:eastAsia="Helvetica Neue" w:hAnsi="Times" w:cs="Helvetica Neue"/>
          <w:i/>
          <w:iCs/>
        </w:rPr>
        <w:t>flammeus</w:t>
      </w:r>
      <w:proofErr w:type="spellEnd"/>
      <w:r w:rsidRPr="00D23BF1">
        <w:rPr>
          <w:rFonts w:ascii="Times" w:eastAsia="Helvetica Neue" w:hAnsi="Times" w:cs="Helvetica Neue"/>
        </w:rPr>
        <w:t xml:space="preserve"> and </w:t>
      </w:r>
      <w:proofErr w:type="spellStart"/>
      <w:r w:rsidRPr="00D23BF1">
        <w:rPr>
          <w:rFonts w:ascii="Times" w:eastAsia="Helvetica Neue" w:hAnsi="Times" w:cs="Helvetica Neue"/>
          <w:i/>
          <w:iCs/>
        </w:rPr>
        <w:t>Asio</w:t>
      </w:r>
      <w:proofErr w:type="spellEnd"/>
      <w:r w:rsidRPr="00D23BF1">
        <w:rPr>
          <w:rFonts w:ascii="Times" w:eastAsia="Helvetica Neue" w:hAnsi="Times" w:cs="Helvetica Neue"/>
          <w:i/>
          <w:iCs/>
        </w:rPr>
        <w:t xml:space="preserve"> </w:t>
      </w:r>
      <w:proofErr w:type="spellStart"/>
      <w:r w:rsidRPr="00D23BF1">
        <w:rPr>
          <w:rFonts w:ascii="Times" w:eastAsia="Helvetica Neue" w:hAnsi="Times" w:cs="Helvetica Neue"/>
          <w:i/>
          <w:iCs/>
        </w:rPr>
        <w:t>otus</w:t>
      </w:r>
      <w:proofErr w:type="spellEnd"/>
      <w:r w:rsidRPr="00D23BF1">
        <w:rPr>
          <w:rFonts w:ascii="Times" w:eastAsia="Helvetica Neue" w:hAnsi="Times" w:cs="Helvetica Neue"/>
        </w:rPr>
        <w:t>) found that noise exposure reduced feeding efficiency due to increased time spent on vigilance and decreased prey detectability</w:t>
      </w:r>
      <w:sdt>
        <w:sdtPr>
          <w:rPr>
            <w:rFonts w:ascii="Times" w:hAnsi="Times"/>
          </w:rPr>
          <w:tag w:val="goog_rdk_94"/>
          <w:id w:val="-516241771"/>
        </w:sdtPr>
        <w:sdtEndPr/>
        <w:sdtContent>
          <w:r w:rsidRPr="00D23BF1">
            <w:rPr>
              <w:rFonts w:ascii="Times" w:eastAsia="Helvetica Neue" w:hAnsi="Times" w:cs="Helvetica Neue"/>
            </w:rPr>
            <w:t>,</w:t>
          </w:r>
        </w:sdtContent>
      </w:sdt>
      <w:r w:rsidRPr="00D23BF1">
        <w:rPr>
          <w:rFonts w:ascii="Times" w:eastAsia="Helvetica Neue" w:hAnsi="Times" w:cs="Helvetica Neue"/>
        </w:rPr>
        <w:t xml:space="preserve"> respectively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{"citationItems":[{"id":"ITEM-1","itemData":{"DOI":"10.1111/j.2006.0908-8857.03781.x","ISSN":"09088857","abstract":"Background noise should in theory hinder detection of auditory cues associated with approaching danger. We tested whether foraging chaffinches Fringilla coelebs responded to background noise by increasing vigilance, and examined whether this was explained by predation risk compensation or by a novel stimulus hypothesis. The former predicts that only inter-scan interval should be modified in the presence of background noise, not vigilance levels generally. This is because noise hampers auditory cue detection and increases perceived predation risk primarily when in the head-down position, and also because previous tests have shown that only interscan interval is correlated with predator detection ability in this system. Chaffinches only modified interscan interval supporting this hypothesis. At the same time they made significantly fewer pecks when feeding during the background noise treatment and so the increased vigilance led to a reduction in intake rate, suggesting that compensating for the increased predation risk could indirectly lead to a fitness cost. Finally, the novel stimulus hypothesis predicts that chaffinches should habituate to the noise, which did not occur within a trial or over 5 subsequent trials. We conclude that auditory cues may be an important component of the trade-off between vigilance and feeding, and discuss possible implications for anti-predation theory and ecological processes. © Journal of Avian Biology.","author":[{"dropping-particle":"","family":"L. Quinn","given":"John","non-dropping-particle":"","parse-names":false,"suffix":""},{"dropping-particle":"","family":"J. Whittingham","given":"Mark","non-dropping-particle":"","parse-names":false,"suffix":""},{"dropping-particle":"","family":"J. Butler","given":"Simon","non-dropping-particle":"","parse-names":false,"suffix":""},{"dropping-particle":"","family":"Cresswell","given":"Will","non-dropping-particle":"","parse-names":false,"suffix":""}],"container-title":"Journal of Avian Biology","id":"ITEM-1","issue":"6","issued":{"date-parts":[["2006"]]},"page":"601-608","title":"Noise, predation risk compensation and vigilance in the chaffinch Fringilla coelebs","type":"article-journal","volume":"37"},"uris":["http://www.mendeley.com/documents/?uuid=893e6448-db3d-4995-8513-2f4b13aa8289"]},{"id":"ITEM-2","itemData":{"DOI":"10.1038/srep30602","ISSN":"2045-2322","PMID":"27537709","abstract":"Anthropogenic noise has been increasing globally. Laboratory experiments suggest that noise disrupts foraging behavior across a range of species, but to reveal the full impacts of noise, we must examine the impacts of noise on foraging behavior among species in the wild. Owls are widespread nocturnal top predators and use prey rustling sounds for localizing prey when hunting. We conducted field experiments to examine the effect of traffic noise on owls' ability to detect prey. Results suggest that foraging efficiency declines with increasing traffic noise levels due to acoustic masking and/or distraction and aversion to traffic noise. Moreover, we estimate that effects of traffic noise on owls' ability to detect prey reach &gt;120</w:instrText>
      </w:r>
      <w:r w:rsidRPr="00D23BF1">
        <w:rPr>
          <w:rFonts w:ascii="Times New Roman" w:eastAsia="Helvetica Neue" w:hAnsi="Times New Roman" w:cs="Times New Roman"/>
        </w:rPr>
        <w:instrText> </w:instrText>
      </w:r>
      <w:r w:rsidRPr="00D23BF1">
        <w:rPr>
          <w:rFonts w:ascii="Times" w:eastAsia="Helvetica Neue" w:hAnsi="Times" w:cs="Helvetica Neue"/>
        </w:rPr>
        <w:instrText>m from a road, which is larger than the distance estimated from captive studies with bats. Our study provides the first evidence that noise reduces foraging efficiency in wild animals, and highlights the possible pervasive impacts of noise.","author":[{"dropping-particle":"","family":"Senzaki","given":"Masayuki","non-dropping-particle":"","parse-names":false,"suffix":""},{"dropping-particle":"","family":"Yamaura","given":"Yuichi","non-dropping-particle":"","parse-names":false,"suffix":""},{"dropping-particle":"","family":"Francis","given":"Clinton D.","non-dropping-particle":"","parse-names":false,"suffix":""},{"dropping-particle":"","family":"Nakamura","given":"Futoshi","non-dropping-particle":"","parse-names":false,"suffix":""}],"container-title":"Scientific Reports","id":"ITEM-2","issue":"1","issued":{"date-parts":[["2016"]]},"note":"·      Played prey rustling noises with and without traffic noise accompaniment \n·      Prey detectability wend down as noise went up \n·      Nosie is louder closer to roads, thus prey detectability would be lower closer to roads","page":"30602","publisher":"Nature Publishing Group","title":"Traffic noise reduces foraging efficiency in wild owls","type":"article-journal","volume":"6"},"uris":["http://www.mendeley.com/documents/?uuid=cec73e9d-80e4-45db-be83-e859fca875b1"]}],"mendeley":{"formattedCitation":"&lt;sup&gt;79,80&lt;/sup&gt;","plainTextFormattedCitation":"79,80","previouslyFormattedCitation":"(L. Quinn &lt;i&gt;et al.&lt;/i&gt; 2006, Senzaki &lt;i&gt;et al.&lt;/i&gt; 2016)"},"properties":{"noteIndex":0},"schema":"https://github.com/citation-style-language/schema/raw/master/csl-citation.json"}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79,80</w:t>
      </w:r>
      <w:r w:rsidRPr="00D23BF1">
        <w:rPr>
          <w:rFonts w:ascii="Times" w:eastAsia="Helvetica Neue" w:hAnsi="Times" w:cs="Helvetica Neue"/>
        </w:rPr>
        <w:fldChar w:fldCharType="end"/>
      </w:r>
      <w:r w:rsidRPr="00D23BF1">
        <w:rPr>
          <w:rFonts w:ascii="Times" w:eastAsia="Helvetica Neue" w:hAnsi="Times" w:cs="Helvetica Neue"/>
        </w:rPr>
        <w:t xml:space="preserve">. A study that focused on white-crowned sparrows also found a decrease in foraging duration and an increase in vigilance behavior when birds were experimentally exposed to noise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{"citationItems":[{"id":"ITEM-1","itemData":{"DOI":"10.1073/pnas.1504710112","ISBN":"0711232105","ISSN":"0027-8424","PMID":"26324924","abstract":"Decades of research demonstrate that roads impact wildlife and suggest traffic noise as a primary cause of population declines near roads. We created a \"phantom road\" using an array of speakers to apply traffic noise to a roadless landscape, directly testing the effect of noise alone on an entire songbird community during autumn migration. Thirty-one percent of the bird community avoided the phantom road. For individuals that stayed despite the noise, overall body condition decreased by a full SD and some species showed a change in ability to gain body condition when exposed to traffic noise during migratory stopover. We conducted complementary laboratory experiments that implicate foraging-vigilance behavior as one mechanism driving this pattern. Our results suggest that noise degrades habitat that is otherwise suitable, and that the presence of a species does not indicate the absence of an impact.","author":[{"dropping-particle":"","family":"Ware","given":"Heidi E.","non-dropping-particle":"","parse-names":false,"suffix":""},{"dropping-particle":"","family":"McClure","given":"Christopher J. W.","non-dropping-particle":"","parse-names":false,"suffix":""},{"dropping-particle":"","family":"Carlisle","given":"Jay D.","non-dropping-particle":"","parse-names":false,"suffix":""},{"dropping-particle":"","family":"Barber","given":"Jesse R.","non-dropping-particle":"","parse-names":false,"suffix":""}],"container-title":"Proceedings of the National Academy of Sciences","id":"ITEM-1","issue":"39","issued":{"date-parts":[["2015"]]},"note":"body condition and foraging-vigilance behavior impacted by &amp;quot;phantom road&amp;quot;","page":"12105-12109","title":"A phantom road experiment reveals traffic noise is an invisible source of habitat degradation","type":"article-journal","volume":"112"},"uris":["http://www.mendeley.com/documents/?uuid=1798a2ed-dfe9-46bd-971e-a367a2e4978b"]}],"mendeley":{"formattedCitation":"&lt;sup&gt;93&lt;/sup&gt;","plainTextFormattedCitation":"93","previouslyFormattedCitation":"(Ware &lt;i&gt;et al.&lt;/i&gt; 2015)"},"properties":{"noteIndex":0},"schema":"https://github.com/citation-style-language/schema/raw/master/csl-citation.json"}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93</w:t>
      </w:r>
      <w:r w:rsidRPr="00D23BF1">
        <w:rPr>
          <w:rFonts w:ascii="Times" w:eastAsia="Helvetica Neue" w:hAnsi="Times" w:cs="Helvetica Neue"/>
        </w:rPr>
        <w:fldChar w:fldCharType="end"/>
      </w:r>
      <w:r w:rsidRPr="00D23BF1">
        <w:rPr>
          <w:rFonts w:ascii="Times" w:eastAsia="Helvetica Neue" w:hAnsi="Times" w:cs="Helvetica Neue"/>
        </w:rPr>
        <w:t xml:space="preserve">. A change in feeding behavior may also have consequences for the gut microbial community, both as a result of changes in dietary composition, and food intake volume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{"citationItems":[{"id":"ITEM-1","itemData":{"DOI":"10.1111/1574-6941.12442","ISBN":"1574-6941 (Electronic)\\r0168-6496 (Linking)","ISSN":"15746941","PMID":"25319042","abstract":"Many animals face unpredictable food sources and periods of prolonged fasting, which likely present significant challenges to gut microorganisms. While several studies have demonstrated that fasting impacts the gut microbiota, experiments have not been carried out in a comparative context. We used 16S rRNA gene sequencing to document changes in colonic and cecal microbiomes of animals representing five classes of vertebrates at four time points through prolonged fasting: tilapia, toads, geckos, quail, and mice. We found differences in the starvation-induced changes in the microbiome across host species and across gut regions. Microbial phylogenetic diversity increased as a result of fasting in the colons of fish, toads, and mice, while quail exhibited a decrease in diversity; geckos exhibited no change. Microbial diversity in the cecum decreased in fish and exhibited no change in mice. Alterations in relative abundances of microbial taxa varied across hosts. Fish exhibited the most significant changes due to fasting, while geckos maintained a stable community over 28 days of fasting. We uncovered several shared responses of the microbiota across hosts. For example, all tetrapods exhibited decreases in the abundances of Coprobacillus and Ruminococcus in response to fasting. We also discuss host-mediated physiological mechanisms that may underlie these community changes.","author":[{"dropping-particle":"","family":"Kohl","given":"Kevin D.","non-dropping-particle":"","parse-names":false,"suffix":""},{"dropping-particle":"","family":"Amaya","given":"James","non-dropping-particle":"","parse-names":false,"suffix":""},{"dropping-particle":"","family":"Passement","given":"Celeste A.","non-dropping-particle":"","parse-names":false,"suffix":""},{"dropping-particle":"","family":"Dearing","given":"M. Denise","non-dropping-particle":"","parse-names":false,"suffix":""},{"dropping-particle":"","family":"Mccue","given":"Marshall D.","non-dropping-particle":"","parse-names":false,"suffix":""}],"container-title":"FEMS Microbiology Ecology","id":"ITEM-1","issue":"3","issued":{"date-parts":[["2014"]]},"page":"883-894","title":"Unique and shared responses of the gut microbiota to prolonged fasting: A comparative study across five classes of vertebrate hosts","type":"article-journal","volume":"90"},"uris":["http://www.mendeley.com/documents/?uuid=656596e0-9211-45ca-83a4-ec8b38f7e6e7"]}],"mendeley":{"formattedCitation":"&lt;sup&gt;94&lt;/sup&gt;","plainTextFormattedCitation":"94","previouslyFormattedCitation":"(Kohl &lt;i&gt;et al.&lt;/i&gt; 2014a)"},"properties":{"noteIndex":0},"schema":"https://github.com/citation-style-language/schema/raw/master/csl-citation.json"}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94</w:t>
      </w:r>
      <w:r w:rsidRPr="00D23BF1">
        <w:rPr>
          <w:rFonts w:ascii="Times" w:eastAsia="Helvetica Neue" w:hAnsi="Times" w:cs="Helvetica Neue"/>
        </w:rPr>
        <w:fldChar w:fldCharType="end"/>
      </w:r>
      <w:r w:rsidRPr="00D23BF1">
        <w:rPr>
          <w:rFonts w:ascii="Times" w:eastAsia="Helvetica Neue" w:hAnsi="Times" w:cs="Helvetica Neue"/>
        </w:rPr>
        <w:t xml:space="preserve">. In humans, a dietary shift was shown to dramatically change the gut microbiome in less than a week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{"citationItems":[{"id":"ITEM-1","itemData":{"DOI":"10.1038/nature12820","ISBN":"1476-4687 (Electronic)\\n0028-0836 (Linking)","ISSN":"1476-4687","PMID":"24336217","abstract":"Long-term dietary intake influences the structure and activity of the trillions of microorganisms residing in the human gut, but it remains unclear how rapidly and reproducibly the human gut microbiome responds to short-term macronutrient change. Here we show that the short-term consumption of diets composed entirely of animal or plant products alters microbial community structure and overwhelms inter-individual differences in microbial gene expression. The animal-based diet increased the abundance of bile-tolerant microorganisms (Alistipes, Bilophila and Bacteroides) and decreased the levels of Firmicutes that metabolize dietary plant polysaccharides (Roseburia, Eubacterium rectale and Ruminococcus bromii). Microbial activity mirrored differences between herbivorous and carnivorous mammals, reflecting trade-offs between carbohydrate and protein fermentation. Foodborne microbes from both diets transiently colonized the gut, including bacteria, fungi and even viruses. Finally, increases in the abundance and activity of Bilophila wadsworthia on the animal-based diet support a link between dietary fat, bile acids and the outgrowth of microorganisms capable of triggering inflammatory bowel disease. In concert, these results demonstrate that the gut microbiome can rapidly respond to altered diet, potentially facilitating the diversity of human dietary lifestyles.","author":[{"dropping-particle":"","family":"David","given":"Lawrence a","non-dropping-particle":"","parse-names":false,"suffix":""},{"dropping-particle":"","family":"Maurice","given":"Corinne F","non-dropping-particle":"","parse-names":false,"suffix":""},{"dropping-particle":"","family":"Carmody","given":"Rachel N","non-dropping-particle":"","parse-names":false,"suffix":""},{"dropping-particle":"","family":"Gootenberg","given":"David B","non-dropping-particle":"","parse-names":false,"suffix":""},{"dropping-particle":"","family":"Button","given":"Julie E","non-dropping-particle":"","parse-names":false,"suffix":""},{"dropping-particle":"","family":"Wolfe","given":"Benjamin E","non-dropping-particle":"","parse-names":false,"suffix":""},{"dropping-particle":"V","family":"Ling","given":"Alisha","non-dropping-particle":"","parse-names":false,"suffix":""},{"dropping-particle":"","family":"Devlin","given":"a Sloan","non-dropping-particle":"","parse-names":false,"suffix":""},{"dropping-particle":"","family":"Varma","given":"Yug","non-dropping-particle":"","parse-names":false,"suffix":""},{"dropping-particle":"","family":"Fischbach","given":"Michael a","non-dropping-particle":"","parse-names":false,"suffix":""},{"dropping-particle":"","family":"Biddinger","given":"Sudha B","non-dropping-particle":"","parse-names":false,"suffix":""},{"dropping-particle":"","family":"Dutton","given":"Rachel J","non-dropping-particle":"","parse-names":false,"suffix":""},{"dropping-particle":"","family":"Turnbaugh","given":"Peter J","non-dropping-particle":"","parse-names":false,"suffix":""}],"container-title":"Nature","id":"ITEM-1","issue":"7484","issued":{"date-parts":[["2014"]]},"note":"MINE. \nPresent on Monday nov. 30th","page":"559-63","publisher":"Nature Publishing Group","title":"Diet rapidly and reproducibly alters the human gut microbiome.","type":"article-journal","volume":"505"},"uris":["http://www.mendeley.com/documents/?uuid=d9752aca-41b5-4165-bbff-4d21d992df1c"]}],"mendeley":{"formattedCitation":"&lt;sup&gt;95&lt;/sup&gt;","plainTextFormattedCitation":"95","previouslyFormattedCitation":"(David &lt;i&gt;et al.&lt;/i&gt; 2014)"},"properties":{"noteIndex":0},"schema":"https://github.com/citation-style-language/schema/raw/master/csl-citation.json"}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95</w:t>
      </w:r>
      <w:r w:rsidRPr="00D23BF1">
        <w:rPr>
          <w:rFonts w:ascii="Times" w:eastAsia="Helvetica Neue" w:hAnsi="Times" w:cs="Helvetica Neue"/>
        </w:rPr>
        <w:fldChar w:fldCharType="end"/>
      </w:r>
      <w:r w:rsidRPr="00D23BF1">
        <w:rPr>
          <w:rFonts w:ascii="Times" w:eastAsia="Helvetica Neue" w:hAnsi="Times" w:cs="Helvetica Neue"/>
        </w:rPr>
        <w:t xml:space="preserve">. There is also evidence that dietary composition drives gut bacterial community composition in birds. In broiler chickens, the source of feed predicted cecal bacterial community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{"citationItems":[{"id":"ITEM-1","itemData":{"DOI":"10.1134/S0026261716040056","abstract":"—Molecular genetic techniques (NGS sequencing and quantitative PCR) were used to determine the composition of the cecal bacterial community of broiler chickens fed with different mixed fodder. The cecal microbiome exhibited taxonomic diversity, with both typical inhabitants of avian intestine belonging to the families Clostridiaceae, Eubacteriaceae, and Lactobacillaceae and to the phylum Bacteroidetes, and new unidentified taxa, as well as bacteria of the families Lachnospiraceae and Ruminococcaceae, which were pre-viously considered restricted to the rumen microbiota. Contrary to traditional concepts, enterococci and bifidobacteria were among the minor components of the community, lactate-fermenting species were absent, and typical avian pathogens of the genus Staphylococcus were detected but seldom. Members of the family Suterellaceae and the genus Gallibacterium, which are responsible for avian respiratory infections, were also detected. Significant fluctuations of abundance and composition of microbial groups within the cecal com-munity and of the parameters of broiler productivity were found to occur depending on the feed allowance. Cellulose content in the feed had the most pronounced effect on the composition and structure of bacterial communities. Decreased cellulose content resulted in a decrease of bacterial abundance by an order of mag-nitude and in increased ratios of members of the phylum Bacteroidetes and the family Clostridiaceae, which possess the enzymes degrading starch polysaccharides. Abundance of the normal inhabitants of avian intes-tine belonging to the genus Lactobacillus and the order Bacillales decreased, while the share of Escherichia and members of the family Sutterellaceae increased, including some species capable of causing dysbiotic changes in the avian intestine. No significant change in the abundance of cellulolytics of the families Rumi-nococcaceae, Lachnospiraceae, and Eubacteriaceae was observed.","author":[{"dropping-particle":"","family":"Fisinin","given":"V I","non-dropping-particle":"","parse-names":false,"suffix":""},{"dropping-particle":"","family":"Il","given":"L A","non-dropping-particle":"","parse-names":false,"suffix":""},{"dropping-particle":"","family":"Iyldyrym","given":"E A","non-dropping-particle":"","parse-names":false,"suffix":""},{"dropping-particle":"","family":"Nikonov","given":"I N","non-dropping-particle":"","parse-names":false,"suffix":""},{"dropping-particle":"","family":"Filippova","given":"V A","non-dropping-particle":"","parse-names":false,"suffix":""},{"dropping-particle":"","family":"Yu Laptev","given":"G","non-dropping-particle":"","parse-names":false,"suffix":""},{"dropping-particle":"","family":"Novikova","given":"N I","non-dropping-particle":"","parse-names":false,"suffix":""},{"dropping-particle":"","family":"Grozina","given":"A A","non-dropping-particle":"","parse-names":false,"suffix":""},{"dropping-particle":"","family":"Lenkova","given":"T N","non-dropping-particle":"","parse-names":false,"suffix":""},{"dropping-particle":"","family":"Manukyan","given":"V A","non-dropping-particle":"","parse-names":false,"suffix":""},{"dropping-particle":"","family":"Egorov","given":"I A","non-dropping-particle":"","parse-names":false,"suffix":""}],"container-title":"Microbiology Egorov","id":"ITEM-1","issue":"4","issued":{"date-parts":[["2016"]]},"page":"26-2617","title":"Broiler Chicken Cecal Microbiocenoses Depending on Mixed Fodder","type":"article-journal","volume":"85"},"uris":["http://www.mendeley.com/documents/?uuid=bd7cf0d3-dfca-324c-9e7c-789ac4fba366"]}],"mendeley":{"formattedCitation":"&lt;sup&gt;96&lt;/sup&gt;","plainTextFormattedCitation":"96","previouslyFormattedCitation":"(Fisinin &lt;i&gt;et al.&lt;/i&gt; 2016)"},"properties":{"noteIndex":0},"schema":"https://github.com/citation-style-language/schema/raw/master/csl-citation.json"}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96</w:t>
      </w:r>
      <w:r w:rsidRPr="00D23BF1">
        <w:rPr>
          <w:rFonts w:ascii="Times" w:eastAsia="Helvetica Neue" w:hAnsi="Times" w:cs="Helvetica Neue"/>
        </w:rPr>
        <w:fldChar w:fldCharType="end"/>
      </w:r>
      <w:r w:rsidRPr="00D23BF1">
        <w:rPr>
          <w:rFonts w:ascii="Times" w:eastAsia="Helvetica Neue" w:hAnsi="Times" w:cs="Helvetica Neue"/>
        </w:rPr>
        <w:t xml:space="preserve">, and in house sparrows simulated urban and rural diets resulted in shifted gut bacterial communities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{"citationItems":[{"id":"ITEM-1","itemData":{"DOI":"10.1098/rspb.2019.2182","ISSN":"14712954","abstract":"Urban sprawl increasingly affects the ecology of natural populations, including host-microbiota interactions, with observed differences in the gut microbiota between urban and rural hosts. While different mechanisms could explain this pattern, dietary uptake constitutes a likely candidate. To assess the contribution of diet in explaining urban-rural variation in gut microbiota, we performed an aviary experiment in which urban and rural house sparrows were fed with mimics of urban or rural diets. Before the experiment, rural sparrows hosted more diverse gut communities, with a higher relative abundance of Enterococcaceae and Staphylococcaceae and lower abundance of genes involved in xenobiotic degradation and lipid metabolism than their urban counterparts. The experimental diets significantly altered gut microbiota α- and β-diversity and taxonomic composition, with the strongest shifts occurring in individuals exposed to contrasting diets. Overall, diet-induced shifts resembled initial differences between free-ranging urban and rural hosts. Furthermore, rural diet had a positive impact on urban host body mass but only in hosts with the highest initial gut diversity. Overall, our results indicate that diet constitutes an important factor contributing to differences in gut microbiota along the urbanization gradient and provide new insights on possible fitness consequences of a reduced gut diversity in urban settings.","author":[{"dropping-particle":"","family":"Teyssier","given":"Aimeric","non-dropping-particle":"","parse-names":false,"suffix":""},{"dropping-particle":"","family":"Matthysen","given":"Erik","non-dropping-particle":"","parse-names":false,"suffix":""},{"dropping-particle":"","family":"Hudin","given":"Noraine Salleh","non-dropping-particle":"","parse-names":false,"suffix":""},{"dropping-particle":"","family":"Neve","given":"Liesbeth","non-dropping-particle":"de","parse-names":false,"suffix":""},{"dropping-particle":"","family":"White","given":"Joël","non-dropping-particle":"","parse-names":false,"suffix":""},{"dropping-particle":"","family":"Lens","given":"Luc","non-dropping-particle":"","parse-names":false,"suffix":""}],"container-title":"Proceedings. Biological sciences","id":"ITEM-1","issue":"1920","issued":{"date-parts":[["2020"]]},"note":"for birds with significantly different diets this makes sense, I need to find out for sure whether wcsp have different diets, because despite different locations the microhabitat is somewhat similar","page":"20192182","title":"Diet contributes to urban-induced alterations in gut microbiota: experimental evidence from a wild passerine","type":"article-journal","volume":"287"},"uris":["http://www.mendeley.com/documents/?uuid=f5c7c019-3e67-44a3-9903-964c2a58c0d3"]}],"mendeley":{"formattedCitation":"&lt;sup&gt;66&lt;/sup&gt;","plainTextFormattedCitation":"66","previouslyFormattedCitation":"(Teyssier &lt;i&gt;et al.&lt;/i&gt; 2020)"},"properties":{"noteIndex":0},"schema":"https://github.com/citation-style-language/schema/raw/master/csl-citation.json"}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66</w:t>
      </w:r>
      <w:r w:rsidRPr="00D23BF1">
        <w:rPr>
          <w:rFonts w:ascii="Times" w:eastAsia="Helvetica Neue" w:hAnsi="Times" w:cs="Helvetica Neue"/>
        </w:rPr>
        <w:fldChar w:fldCharType="end"/>
      </w:r>
      <w:r w:rsidRPr="00D23BF1">
        <w:rPr>
          <w:rFonts w:ascii="Times" w:eastAsia="Helvetica Neue" w:hAnsi="Times" w:cs="Helvetica Neue"/>
        </w:rPr>
        <w:t xml:space="preserve">. When food intake decreases, as in the extreme case of fasting, changes in the phylogenetic diversity, relative abundance, and microbial diversity may change, though this pattern is not uniform across taxa. Interestingly, while fasting increased phylogenetic diversity of gut bacteria in fish, toads, and mice, a decrease of phylogenetic diversity was seen in quail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{"citationItems":[{"id":"ITEM-1","itemData":{"DOI":"10.1111/1574-6941.12442","ISBN":"1574-6941 (Electronic)\\r0168-6496 (Linking)","ISSN":"15746941","PMID":"25319042","abstract":"Many animals face unpredictable food sources and periods of prolonged fasting, which likely present significant challenges to gut microorganisms. While several studies have demonstrated that fasting impacts the gut microbiota, experiments have not been carried out in a comparative context. We used 16S rRNA gene sequencing to document changes in colonic and cecal microbiomes of animals representing five classes of vertebrates at four time points through prolonged fasting: tilapia, toads, geckos, quail, and mice. We found differences in the starvation-induced changes in the microbiome across host species and across gut regions. Microbial phylogenetic diversity increased as a result of fasting in the colons of fish, toads, and mice, while quail exhibited a decrease in diversity; geckos exhibited no change. Microbial diversity in the cecum decreased in fish and exhibited no change in mice. Alterations in relative abundances of microbial taxa varied across hosts. Fish exhibited the most significant changes due to fasting, while geckos maintained a stable community over 28 days of fasting. We uncovered several shared responses of the microbiota across hosts. For example, all tetrapods exhibited decreases in the abundances of Coprobacillus and Ruminococcus in response to fasting. We also discuss host-mediated physiological mechanisms that may underlie these community changes.","author":[{"dropping-particle":"","family":"Kohl","given":"Kevin D.","non-dropping-particle":"","parse-names":false,"suffix":""},{"dropping-particle":"","family":"Amaya","given":"James","non-dropping-particle":"","parse-names":false,"suffix":""},{"dropping-particle":"","family":"Passement","given":"Celeste A.","non-dropping-particle":"","parse-names":false,"suffix":""},{"dropping-particle":"","family":"Dearing","given":"M. Denise","non-dropping-particle":"","parse-names":false,"suffix":""},{"dropping-particle":"","family":"Mccue","given":"Marshall D.","non-dropping-particle":"","parse-names":false,"suffix":""}],"container-title":"FEMS Microbiology Ecology","id":"ITEM-1","issue":"3","issued":{"date-parts":[["2014"]]},"page":"883-894","title":"Unique and shared responses of the gut microbiota to prolonged fasting: A comparative study across five classes of vertebrate hosts","type":"article-journal","volume":"90"},"uris":["http://www.mendeley.com/documents/?uuid=656596e0-9211-45ca-83a4-ec8b38f7e6e7"]}],"mendeley":{"formattedCitation":"&lt;sup&gt;94&lt;/sup&gt;","plainTextFormattedCitation":"94","previouslyFormattedCitation":"(Kohl &lt;i&gt;et al.&lt;/i&gt; 2014a)"},"properties":{"noteIndex":0},"schema":"https://github.com/citation-style-language/schema/raw/master/csl-citation.json"}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94</w:t>
      </w:r>
      <w:r w:rsidRPr="00D23BF1">
        <w:rPr>
          <w:rFonts w:ascii="Times" w:eastAsia="Helvetica Neue" w:hAnsi="Times" w:cs="Helvetica Neue"/>
        </w:rPr>
        <w:fldChar w:fldCharType="end"/>
      </w:r>
      <w:r w:rsidRPr="00D23BF1">
        <w:rPr>
          <w:rFonts w:ascii="Times" w:eastAsia="Helvetica Neue" w:hAnsi="Times" w:cs="Helvetica Neue"/>
        </w:rPr>
        <w:t>. Altogether, changes in feeding behavior will likely have an impact on gut microbial communities although the nature of the change may vary across species.</w:t>
      </w:r>
    </w:p>
    <w:p w14:paraId="2FBFC700" w14:textId="77777777" w:rsidR="00041ADB" w:rsidRPr="00D23BF1" w:rsidRDefault="00041ADB" w:rsidP="00F20BE1">
      <w:pPr>
        <w:jc w:val="both"/>
        <w:rPr>
          <w:rFonts w:ascii="Times" w:eastAsia="Helvetica Neue" w:hAnsi="Times" w:cs="Helvetica Neue"/>
        </w:rPr>
      </w:pPr>
    </w:p>
    <w:p w14:paraId="6B42110E"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The field of urban microbial ecology is in its nascent stages, and key first steps still remain, from how best to collect non-lethal samples of the gut microbiome to describing patterns of variation in gut microbiomes across urbanization gradients, as well as steps to push this field forward into experimental and functional assays of how the gut microbiome may or may not facilitate a host adapting to urban environments. My dissertation addresses these gaps</w:t>
      </w:r>
      <w:sdt>
        <w:sdtPr>
          <w:rPr>
            <w:rFonts w:ascii="Times" w:hAnsi="Times"/>
          </w:rPr>
          <w:tag w:val="goog_rdk_10"/>
          <w:id w:val="-1900436783"/>
        </w:sdtPr>
        <w:sdtEndPr/>
        <w:sdtContent>
          <w:r w:rsidRPr="00D23BF1">
            <w:rPr>
              <w:rFonts w:ascii="Times" w:eastAsia="Helvetica Neue" w:hAnsi="Times" w:cs="Helvetica Neue"/>
            </w:rPr>
            <w:t>,</w:t>
          </w:r>
        </w:sdtContent>
      </w:sdt>
      <w:r w:rsidRPr="00D23BF1">
        <w:rPr>
          <w:rFonts w:ascii="Times" w:eastAsia="Helvetica Neue" w:hAnsi="Times" w:cs="Helvetica Neue"/>
        </w:rPr>
        <w:t xml:space="preserve"> from developing and comparing protocols to experimental tests of urban drivers of gut microbial diversity. Together, my work refines our understanding of why and how urbanization affects the composition of the </w:t>
      </w:r>
      <w:r w:rsidRPr="00D23BF1">
        <w:rPr>
          <w:rFonts w:ascii="Times" w:eastAsia="Helvetica Neue" w:hAnsi="Times" w:cs="Helvetica Neue"/>
        </w:rPr>
        <w:lastRenderedPageBreak/>
        <w:t>gut microbiome, building a foundation for future research to continue exploring the role of the gut microbiome in urban ecology.</w:t>
      </w:r>
    </w:p>
    <w:p w14:paraId="60953FEB" w14:textId="77777777" w:rsidR="00041ADB" w:rsidRPr="00D23BF1" w:rsidRDefault="00041ADB" w:rsidP="00F20BE1">
      <w:pPr>
        <w:jc w:val="both"/>
        <w:rPr>
          <w:rFonts w:ascii="Times" w:eastAsia="Helvetica Neue" w:hAnsi="Times" w:cs="Helvetica Neue"/>
        </w:rPr>
      </w:pPr>
    </w:p>
    <w:p w14:paraId="58C201B2" w14:textId="77777777" w:rsidR="00041ADB" w:rsidRPr="00D23BF1" w:rsidRDefault="00041ADB" w:rsidP="00F20BE1">
      <w:pPr>
        <w:jc w:val="both"/>
        <w:rPr>
          <w:rFonts w:ascii="Times" w:eastAsia="Helvetica Neue" w:hAnsi="Times" w:cs="Helvetica Neue"/>
        </w:rPr>
      </w:pPr>
    </w:p>
    <w:p w14:paraId="25C7F603" w14:textId="77777777" w:rsidR="00041ADB" w:rsidRPr="00D23BF1" w:rsidRDefault="00041ADB" w:rsidP="00F20BE1">
      <w:pPr>
        <w:jc w:val="both"/>
        <w:rPr>
          <w:rFonts w:ascii="Times" w:eastAsia="Helvetica Neue" w:hAnsi="Times" w:cs="Helvetica Neue"/>
        </w:rPr>
      </w:pPr>
    </w:p>
    <w:p w14:paraId="03359D98" w14:textId="77777777" w:rsidR="00041ADB" w:rsidRPr="00D23BF1" w:rsidRDefault="00041ADB" w:rsidP="00F20BE1">
      <w:pPr>
        <w:jc w:val="both"/>
        <w:rPr>
          <w:rFonts w:ascii="Times" w:eastAsia="Helvetica Neue" w:hAnsi="Times" w:cs="Helvetica Neue"/>
        </w:rPr>
      </w:pPr>
    </w:p>
    <w:bookmarkStart w:id="19" w:name="_heading=h.gjdgxs" w:colFirst="0" w:colLast="0"/>
    <w:bookmarkStart w:id="20" w:name="_Toc69393545"/>
    <w:bookmarkStart w:id="21" w:name="_Toc69396319"/>
    <w:bookmarkStart w:id="22" w:name="_Toc69396354"/>
    <w:bookmarkStart w:id="23" w:name="_Toc69396547"/>
    <w:bookmarkStart w:id="24" w:name="_Toc69972864"/>
    <w:bookmarkEnd w:id="19"/>
    <w:p w14:paraId="3AEB9527" w14:textId="77777777" w:rsidR="00041ADB" w:rsidRPr="00D23BF1" w:rsidRDefault="00C37DB3" w:rsidP="00F20BE1">
      <w:pPr>
        <w:pStyle w:val="Heading2"/>
        <w:rPr>
          <w:rFonts w:ascii="Times" w:hAnsi="Times"/>
        </w:rPr>
      </w:pPr>
      <w:sdt>
        <w:sdtPr>
          <w:rPr>
            <w:rFonts w:ascii="Times" w:hAnsi="Times"/>
          </w:rPr>
          <w:tag w:val="goog_rdk_96"/>
          <w:id w:val="1476411294"/>
        </w:sdtPr>
        <w:sdtEndPr/>
        <w:sdtContent/>
      </w:sdt>
      <w:r w:rsidR="00041ADB" w:rsidRPr="00D23BF1">
        <w:rPr>
          <w:rFonts w:ascii="Times" w:hAnsi="Times"/>
        </w:rPr>
        <w:t>Dissertation Ai</w:t>
      </w:r>
      <w:sdt>
        <w:sdtPr>
          <w:rPr>
            <w:rFonts w:ascii="Times" w:hAnsi="Times"/>
          </w:rPr>
          <w:tag w:val="goog_rdk_97"/>
          <w:id w:val="-227154095"/>
        </w:sdtPr>
        <w:sdtEndPr/>
        <w:sdtContent/>
      </w:sdt>
      <w:r w:rsidR="00041ADB" w:rsidRPr="00D23BF1">
        <w:rPr>
          <w:rFonts w:ascii="Times" w:hAnsi="Times"/>
        </w:rPr>
        <w:t>ms</w:t>
      </w:r>
      <w:bookmarkEnd w:id="20"/>
      <w:bookmarkEnd w:id="21"/>
      <w:bookmarkEnd w:id="22"/>
      <w:bookmarkEnd w:id="23"/>
      <w:bookmarkEnd w:id="24"/>
    </w:p>
    <w:p w14:paraId="7AC5D734" w14:textId="77777777" w:rsidR="00041ADB" w:rsidRPr="00D23BF1" w:rsidRDefault="00041ADB" w:rsidP="00F20BE1">
      <w:pPr>
        <w:jc w:val="both"/>
        <w:rPr>
          <w:rFonts w:ascii="Times" w:eastAsia="Helvetica Neue" w:hAnsi="Times" w:cs="Helvetica Neue"/>
          <w:b/>
        </w:rPr>
      </w:pPr>
    </w:p>
    <w:p w14:paraId="12DDD52A" w14:textId="77777777" w:rsidR="00041ADB" w:rsidRPr="00D23BF1" w:rsidRDefault="00041ADB" w:rsidP="00F20BE1">
      <w:pPr>
        <w:rPr>
          <w:rFonts w:ascii="Times" w:hAnsi="Times"/>
          <w:b/>
          <w:bCs/>
        </w:rPr>
      </w:pPr>
      <w:bookmarkStart w:id="25" w:name="_Toc69393546"/>
      <w:bookmarkStart w:id="26" w:name="_Toc69396320"/>
      <w:bookmarkStart w:id="27" w:name="_Toc69396355"/>
      <w:r w:rsidRPr="00D23BF1">
        <w:rPr>
          <w:rFonts w:ascii="Times" w:hAnsi="Times"/>
          <w:b/>
          <w:bCs/>
        </w:rPr>
        <w:t>Aim 1: Evaluation of non-lethal sampling methods for use in avian systems.</w:t>
      </w:r>
      <w:bookmarkEnd w:id="25"/>
      <w:bookmarkEnd w:id="26"/>
      <w:bookmarkEnd w:id="27"/>
      <w:r w:rsidRPr="00D23BF1">
        <w:rPr>
          <w:rFonts w:ascii="Times" w:hAnsi="Times"/>
          <w:b/>
          <w:bCs/>
        </w:rPr>
        <w:t xml:space="preserve">  </w:t>
      </w:r>
    </w:p>
    <w:p w14:paraId="634755B1" w14:textId="77777777" w:rsidR="00041ADB" w:rsidRPr="00D23BF1" w:rsidRDefault="00041ADB" w:rsidP="00F20BE1">
      <w:pPr>
        <w:jc w:val="both"/>
        <w:rPr>
          <w:rFonts w:ascii="Times" w:eastAsia="Helvetica Neue" w:hAnsi="Times" w:cs="Helvetica Neue"/>
        </w:rPr>
      </w:pPr>
    </w:p>
    <w:p w14:paraId="42AF524C"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 xml:space="preserve">A key step in studying drivers of the gut microbial community is evaluating the methods used to sample this community. Different physical and chemical microhabitats are present along a host organism’s intestines, and digestive physiology and anatomy vary among host taxa and feeding guilds. These differences in microhabitat select for different bacterial species, as well as different community compositions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{"citationItems":[{"id":"ITEM-1","itemData":{"DOI":"10.1371/journal.pone.0163720","ISSN":"19326203","PMID":"27669007","abstract":"There is a growing appreciation of the role of gut microbial communities in host biology. However, the nature of variation in microbial communities among different segments of the gastrointestinal (GI) tract is not well understood. Here, we describe microbial communities from ten different segments of the GI tract (mouth, esophagus, stomach, duodenum, ileum, proximal cecum, distal cecum, colon, rectum, and feces) in wild house mice using 16S rRNA gene amplicon sequencing. We also measured carbon and nitrogen stable isotopic ratios from hair samples of individual mice as a proxy for diet. We identified factors that may explain differences in microbial composition among gut segments, and we tested for differ-ences among individual mice in the composition of the microbiota. Consistent with previous studies, the lower GI tract was characterized by a greater relative abundance of anaerobic bacteria and greater microbial diversity relative to the upper GI tract. The upper and lower GI tracts also differed in the relative abundances of predicted microbial gene functions, including those involved in metabolic pathways. However, when the upper and lower GI tracts were considered separately, gut microbial composition was associated with individ-ual mice. Finally, microbial communities derived from fecal samples were similar to those derived from the lower GI tract of their respective hosts, supporting the utility of fecal sam-pling for studying the gut microbiota of mice. These results show that while there is substan-tial heterogeneity among segments of the GI tract, individual hosts play a significant role in structuring microbial communities within particular segments of the GI tract.","author":[{"dropping-particle":"","family":"Suzuki","given":"Taichi A.","non-dropping-particle":"","parse-names":false,"suffix":""},{"dropping-particle":"","family":"Nachman","given":"Michael W.","non-dropping-particle":"","parse-names":false,"suffix":""}],"container-title":"PLoS ONE","id":"ITEM-1","issue":"9","issued":{"date-parts":[["2016"]]},"page":"1-15","title":"Spatial heterogeneity of gut microbial composition along the gastrointestinal tract in natural populations of house mice","type":"article-journal","volume":"11"},"uris":["http://www.mendeley.com/documents/?uuid=fe6e11f2-c4f0-4562-84e3-e6f6d4f0464c"]}],"mendeley":{"formattedCitation":"&lt;sup&gt;97&lt;/sup&gt;","plainTextFormattedCitation":"97","previouslyFormattedCitation":"(Suzuki &amp; Nachman 2016)"},"properties":{"noteIndex":0},"schema":"https://github.com/citation-style-language/schema/raw/master/csl-citation.json"}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97</w:t>
      </w:r>
      <w:r w:rsidRPr="00D23BF1">
        <w:rPr>
          <w:rFonts w:ascii="Times" w:eastAsia="Helvetica Neue" w:hAnsi="Times" w:cs="Helvetica Neue"/>
        </w:rPr>
        <w:fldChar w:fldCharType="end"/>
      </w:r>
      <w:r w:rsidRPr="00D23BF1">
        <w:rPr>
          <w:rFonts w:ascii="Times" w:eastAsia="Helvetica Neue" w:hAnsi="Times" w:cs="Helvetica Neue"/>
        </w:rPr>
        <w:t xml:space="preserve">. In some cases, investigation of the function of gut microbiota requires repeated sampling of an individual, which necessitates non-lethal sampling. Such cases include behavioral, dietary, environmental modulation, and long-term studies. Fecal or cloacal/rectal swabs are often used to research bird and mammal gut microbiomes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{"citationItems":[{"id":"ITEM-1","itemData":{"DOI":"10.1093/jmammal/gyu008","ISSN":"15451542","abstract":"Gut microbes can largely influence the ecology and evolution of mammalian hosts. As research in this area increases, it will be necessary to collect fecal samples from nature to inventory microbial populations. Here, we tested the appropriateness of using feces collected from live-traps for microbiome studies. We found that feces collected from the traps containing the desert woodrat (Neotoma lepida) did not differ from aseptically collected feces in terms of microbial community structure, abundances of bacterial phyla, or measurements of a-diversity. Roughly 83% of the microbes in trap-collected feces represented the endogenous microbiota. Thus, we suggest that feces collected from small mammal traps are acceptable for studying the microbiota of wild, small mammals.","author":[{"dropping-particle":"","family":"Kohl","given":"Kevin D.","non-dropping-particle":"","parse-names":false,"suffix":""},{"dropping-particle":"","family":"Luong","given":"Kyphuong","non-dropping-particle":"","parse-names":false,"suffix":""},{"dropping-particle":"","family":"Dearing","given":"M. Denise","non-dropping-particle":"","parse-names":false,"suffix":""}],"container-title":"Journal of Mammalogy","id":"ITEM-1","issue":"1","issued":{"date-parts":[["2015"]]},"page":"90-93","title":"Validating the use of trap-collected feces for studying the gut microbiota of a small mammal (Neotoma lepida)","type":"article-journal","volume":"96"},"uris":["http://www.mendeley.com/documents/?uuid=759a41cc-eb7e-4492-acef-3c75e0152bb5"]},{"id":"ITEM-2","itemData":{"DOI":"10.1111/1755-0998.12269","ISSN":"1755098X","author":[{"dropping-particle":"","family":"Vo","given":"a.-T. E.","non-dropping-particle":"","parse-names":false,"suffix":""},{"dropping-particle":"","family":"Jedlicka","given":"J. a.","non-dropping-particle":"","parse-names":false,"suffix":""}],"container-title":"Molecular Ecology Resources","id":"ITEM-2","issue":"6","issued":{"date-parts":[["2014"]]},"note":"Methods for faecal swab\ncomparison to other GMB seque","page":"1183-1197","title":"Protocols for metagenomic DNA extraction and Illumina amplicon library preparation for faecal and swab samples","type":"article-journal","volume":"14"},"uris":["http://www.mendeley.com/documents/?uuid=c6baf98d-7dd9-4d28-9b5b-38b5d4998e58"]}],"mendeley":{"formattedCitation":"&lt;sup&gt;98,99&lt;/sup&gt;","plainTextFormattedCitation":"98,99","previouslyFormattedCitation":"(Vo &amp; Jedlicka 2014, Kohl &lt;i&gt;et al.&lt;/i&gt; 2015)"},"properties":{"noteIndex":0},"schema":"https://github.com/citation-style-language/schema/raw/master/csl-citation.json"}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98,99</w:t>
      </w:r>
      <w:r w:rsidRPr="00D23BF1">
        <w:rPr>
          <w:rFonts w:ascii="Times" w:eastAsia="Helvetica Neue" w:hAnsi="Times" w:cs="Helvetica Neue"/>
        </w:rPr>
        <w:fldChar w:fldCharType="end"/>
      </w:r>
      <w:r w:rsidRPr="00D23BF1">
        <w:rPr>
          <w:rFonts w:ascii="Times" w:eastAsia="Helvetica Neue" w:hAnsi="Times" w:cs="Helvetica Neue"/>
        </w:rPr>
        <w:t xml:space="preserve">. However, non-lethal samples could be problematic to use as direct representation of internal, functional gut microbial communities because they represent different microhabitats. Therefore, a critical step in the use of non-lethal sampling is to quantify the extent to which different non-lethal sampling methods capture information about functional gut microbial communities.  </w:t>
      </w:r>
    </w:p>
    <w:p w14:paraId="5AF51622"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 xml:space="preserve">I addressed this gap in knowledge for passerine birds by comparing the microbial communities of feces and cloacal swabs, two common non-lethal sampling methods in birds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{"citationItems":[{"id":"ITEM-1","itemData":{"DOI":"10.1111/1755-0998.12269","ISSN":"1755098X","author":[{"dropping-particle":"","family":"Vo","given":"a.-T. E.","non-dropping-particle":"","parse-names":false,"suffix":""},{"dropping-particle":"","family":"Jedlicka","given":"J. a.","non-dropping-particle":"","parse-names":false,"suffix":""}],"container-title":"Molecular Ecology Resources","id":"ITEM-1","issue":"6","issued":{"date-parts":[["2014"]]},"note":"Methods for faecal swab\ncomparison to other GMB seque","page":"1183-1197","title":"Protocols for metagenomic DNA extraction and Illumina amplicon library preparation for faecal and swab samples","type":"article-journal","volume":"14"},"uris":["http://www.mendeley.com/documents/?uuid=c6baf98d-7dd9-4d28-9b5b-38b5d4998e58"]}],"mendeley":{"formattedCitation":"&lt;sup&gt;99&lt;/sup&gt;","plainTextFormattedCitation":"99","previouslyFormattedCitation":"(Vo &amp; Jedlicka 2014)"},"properties":{"noteIndex":0},"schema":"https://github.com/citation-style-language/schema/raw/master/csl-citation.json"}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99</w:t>
      </w:r>
      <w:r w:rsidRPr="00D23BF1">
        <w:rPr>
          <w:rFonts w:ascii="Times" w:eastAsia="Helvetica Neue" w:hAnsi="Times" w:cs="Helvetica Neue"/>
        </w:rPr>
        <w:fldChar w:fldCharType="end"/>
      </w:r>
      <w:r w:rsidRPr="00D23BF1">
        <w:rPr>
          <w:rFonts w:ascii="Times" w:eastAsia="Helvetica Neue" w:hAnsi="Times" w:cs="Helvetica Neue"/>
        </w:rPr>
        <w:t xml:space="preserve">, to the microbial communities of functionally relevant large and small intestinal samples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j.1574-6941.2006.00193.x","ISSN":"01686496","author":[{"dropping-particle":"","family":"Gong","given":"Jianhua","non-dropping-particle":"","parse-names":false,"suffix":""},{"dropping-particle":"","family":"Si","given":"Weiduo","non-dropping-particle":"","parse-names":false,"suffix":""},{"dropping-particle":"","family":"Forster","given":"Robert J.","non-dropping-particle":"","parse-names":false,"suffix":""},{"dropping-particle":"","family":"Huang","given":"Ruilin","non-dropping-particle":"","parse-names":false,"suffix":""},{"dropping-particle":"","family":"Yu","given":"Hai","non-dropping-particle":"","parse-names":false,"suffix":""},{"dropping-particle":"","family":"Yin","given":"Yulong","non-dropping-particle":"","parse-names":false,"suffix":""},{"dropping-particle":"","family":"Yang","given":"Chengbo","non-dropping-particle":"","parse-names":false,"suffix":""},{"dropping-particle":"","family":"Han","given":"Yanming","non-dropping-particle":"","parse-names":false,"suffix":""}],"container-title":"FEMS Microbiology Ecology","id":"ITEM-1","issue":"1","issued":{"date-parts":[["2007"]]},"page":"147-157","title":"16S rRNA gene-based analysis of mucosa-associated bacterial community and phylogeny in the chicken gastrointestinal tracts: from crops to ceca","type":"article-journal","volume":"59"},"uris":["http://www.mendeley.com/documents/?uuid=b26906f8-3de2-4aa1-86fe-4d27073351af"]}],"mendeley":{"formattedCitation":"&lt;sup&gt;100&lt;/sup&gt;","plainTextFormattedCitation":"100","previouslyFormattedCitation":"(Gong &lt;i&gt;et al.&lt;/i&gt; 2007)"},"properties":{"noteIndex":0},"schema":"https://github.com/citation-style-language/schema/raw/master/csl-citation.json"}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100</w:t>
      </w:r>
      <w:r w:rsidRPr="00D23BF1">
        <w:rPr>
          <w:rFonts w:ascii="Times" w:eastAsia="Helvetica Neue" w:hAnsi="Times" w:cs="Helvetica Neue"/>
        </w:rPr>
        <w:fldChar w:fldCharType="end"/>
      </w:r>
      <w:r w:rsidRPr="00D23BF1">
        <w:rPr>
          <w:rFonts w:ascii="Times" w:eastAsia="Helvetica Neue" w:hAnsi="Times" w:cs="Helvetica Neue"/>
        </w:rPr>
        <w:t xml:space="preserve">, as well as the more physiologically distinct </w:t>
      </w:r>
      <w:proofErr w:type="spellStart"/>
      <w:r w:rsidRPr="00D23BF1">
        <w:rPr>
          <w:rFonts w:ascii="Times" w:eastAsia="Helvetica Neue" w:hAnsi="Times" w:cs="Helvetica Neue"/>
        </w:rPr>
        <w:t>proventriculous</w:t>
      </w:r>
      <w:proofErr w:type="spellEnd"/>
      <w:r w:rsidRPr="00D23BF1">
        <w:rPr>
          <w:rFonts w:ascii="Times" w:eastAsia="Helvetica Neue" w:hAnsi="Times" w:cs="Helvetica Neue"/>
        </w:rPr>
        <w:t xml:space="preserve"> as a point of contrast. I conducted this study in a model system, Zebra Finches, (</w:t>
      </w:r>
      <w:proofErr w:type="spellStart"/>
      <w:r w:rsidRPr="00D23BF1">
        <w:rPr>
          <w:rFonts w:ascii="Times" w:eastAsia="Helvetica Neue" w:hAnsi="Times" w:cs="Helvetica Neue"/>
          <w:i/>
        </w:rPr>
        <w:t>Taeniopygia</w:t>
      </w:r>
      <w:proofErr w:type="spellEnd"/>
      <w:r w:rsidRPr="00D23BF1">
        <w:rPr>
          <w:rFonts w:ascii="Times" w:eastAsia="Helvetica Neue" w:hAnsi="Times" w:cs="Helvetica Neue"/>
          <w:i/>
        </w:rPr>
        <w:t xml:space="preserve"> </w:t>
      </w:r>
      <w:proofErr w:type="spellStart"/>
      <w:r w:rsidRPr="00D23BF1">
        <w:rPr>
          <w:rFonts w:ascii="Times" w:eastAsia="Helvetica Neue" w:hAnsi="Times" w:cs="Helvetica Neue"/>
          <w:i/>
        </w:rPr>
        <w:t>guttata</w:t>
      </w:r>
      <w:proofErr w:type="spellEnd"/>
      <w:r w:rsidRPr="00D23BF1">
        <w:rPr>
          <w:rFonts w:ascii="Times" w:eastAsia="Helvetica Neue" w:hAnsi="Times" w:cs="Helvetica Neue"/>
          <w:iCs/>
        </w:rPr>
        <w:t>)</w:t>
      </w:r>
      <w:r w:rsidRPr="00D23BF1">
        <w:rPr>
          <w:rFonts w:ascii="Times" w:eastAsia="Helvetica Neue" w:hAnsi="Times" w:cs="Helvetica Neue"/>
        </w:rPr>
        <w:t xml:space="preserve"> using metabarcoding data from 16s rRNA. I asked which, if any, gut functional communities that non-lethal samples represent. I also assessed whether cloacal swabs or fecal samples are more representative of the large intestinal community. The results from this study inform interpretation of past studies and the methods of future studies </w:t>
      </w:r>
      <w:sdt>
        <w:sdtPr>
          <w:rPr>
            <w:rFonts w:ascii="Times" w:hAnsi="Times"/>
          </w:rPr>
          <w:tag w:val="goog_rdk_99"/>
          <w:id w:val="510422361"/>
        </w:sdtPr>
        <w:sdtEndPr/>
        <w:sdtContent/>
      </w:sdt>
      <w:r w:rsidRPr="00D23BF1">
        <w:rPr>
          <w:rFonts w:ascii="Times" w:eastAsia="Helvetica Neue" w:hAnsi="Times" w:cs="Helvetica Neue"/>
        </w:rPr>
        <w:t xml:space="preserve">using non-lethal approaches to sampling the gut microbial communities of songbirds. Characterization of the gut microbiome using both internal and multiple non-lethal samples has been done only once in birds, on an ostrich which has a different diet and anatomy than songbirds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author":[{"dropping-particle":"","family":"Videvall","given":"Elin","non-dropping-particle":"","parse-names":false,"suffix":""},{"dropping-particle":"","family":"Strandh","given":"Maria","non-dropping-particle":"","parse-names":false,"suffix":""},{"dropping-particle":"","family":"Engelbrecht","given":"Anel","non-dropping-particle":"","parse-names":false,"suffix":""},{"dropping-particle":"","family":"Cloete","given":"Schalk","non-dropping-particle":"","parse-names":false,"suffix":""},{"dropping-particle":"","family":"Cornwallis","given":"Charlie K.","non-dropping-particle":"","parse-names":false,"suffix":""}],"container-title":"Preprint","id":"ITEM-1","issued":{"date-parts":[["2017"]]},"note":"&amp;quot;The two most similar sample types were the faeces and colon, which resulted in a low R2 (0.069), whereas the cloaca and colon were more dissimilar (R2 = 0.099).&amp;quot;\n(from results, based on bray curtis)","page":"1-22","title":"Measuring the gut microbiome in birds : comparison of faecal and cloacal sampling","type":"article-journal"},"uris":["http://www.mendeley.com/documents/?uuid=03f68f00-2e6e-40c2-89b7-77fe2cfd8dc5"]}],"mendeley":{"formattedCitation":"&lt;sup&gt;101&lt;/sup&gt;","plainTextFormattedCitation":"101","previouslyFormattedCitation":"(Videvall &lt;i&gt;et al.&lt;/i&gt; 2017)"},"properties":{"noteIndex":0},"schema":"https://github.com/citation-style-language/schema/raw/master/csl-citation.json"}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101</w:t>
      </w:r>
      <w:r w:rsidRPr="00D23BF1">
        <w:rPr>
          <w:rFonts w:ascii="Times" w:eastAsia="Helvetica Neue" w:hAnsi="Times" w:cs="Helvetica Neue"/>
        </w:rPr>
        <w:fldChar w:fldCharType="end"/>
      </w:r>
      <w:r w:rsidRPr="00D23BF1">
        <w:rPr>
          <w:rFonts w:ascii="Times" w:eastAsia="Helvetica Neue" w:hAnsi="Times" w:cs="Helvetica Neue"/>
        </w:rPr>
        <w:t xml:space="preserve">. My data set thus fills the knowledge gap that exists regarding the use of non-lethal sampling techniques in songbirds, which are granivorous passerines. Further, these results inform how samples are collected and interpreted in my subsequent studies that used non-lethal sampling techniques with a songbird. </w:t>
      </w:r>
    </w:p>
    <w:p w14:paraId="075EFF1B" w14:textId="77777777" w:rsidR="00041ADB" w:rsidRPr="00D23BF1" w:rsidRDefault="00041ADB" w:rsidP="00F20BE1">
      <w:pPr>
        <w:jc w:val="both"/>
        <w:rPr>
          <w:rFonts w:ascii="Times" w:eastAsia="Helvetica Neue" w:hAnsi="Times" w:cs="Helvetica Neue"/>
        </w:rPr>
      </w:pPr>
    </w:p>
    <w:p w14:paraId="626D5FBC" w14:textId="77777777" w:rsidR="00041ADB" w:rsidRPr="00D23BF1" w:rsidRDefault="00041ADB" w:rsidP="00F20BE1">
      <w:pPr>
        <w:rPr>
          <w:rFonts w:ascii="Times" w:hAnsi="Times"/>
          <w:b/>
          <w:bCs/>
        </w:rPr>
      </w:pPr>
      <w:bookmarkStart w:id="28" w:name="_Toc69393547"/>
      <w:bookmarkStart w:id="29" w:name="_Toc69396321"/>
      <w:bookmarkStart w:id="30" w:name="_Toc69396356"/>
      <w:r w:rsidRPr="00D23BF1">
        <w:rPr>
          <w:rFonts w:ascii="Times" w:hAnsi="Times"/>
          <w:b/>
          <w:bCs/>
        </w:rPr>
        <w:t>Aim 2: Effects of urbanization on the avian gut microbiome.</w:t>
      </w:r>
      <w:bookmarkEnd w:id="28"/>
      <w:bookmarkEnd w:id="29"/>
      <w:bookmarkEnd w:id="30"/>
      <w:r w:rsidRPr="00D23BF1">
        <w:rPr>
          <w:rFonts w:ascii="Times" w:hAnsi="Times"/>
          <w:b/>
          <w:bCs/>
        </w:rPr>
        <w:t xml:space="preserve">  </w:t>
      </w:r>
    </w:p>
    <w:p w14:paraId="18FEA097" w14:textId="77777777" w:rsidR="00041ADB" w:rsidRPr="00D23BF1" w:rsidRDefault="00041ADB" w:rsidP="00F20BE1">
      <w:pPr>
        <w:jc w:val="both"/>
        <w:rPr>
          <w:rFonts w:ascii="Times" w:eastAsia="Helvetica Neue" w:hAnsi="Times" w:cs="Helvetica Neue"/>
        </w:rPr>
      </w:pPr>
    </w:p>
    <w:p w14:paraId="7B638CE8"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 xml:space="preserve">A first step to understanding why urbanization influences gut microbial communities is to investigate how different urban metrics correlate with gut microbial diversity. Urbanization brings dramatic landscape changes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{"citationItems":[{"id":"ITEM-1","itemData":{"DOI":"10.1007/s10980-007-9122-6","ISBN":"0921-2973","ISSN":"09212973","abstract":"Historical records provide information to land managers and landscape ecologists attempting to understand current trajectories in altered landscapes. In this study, we synthesized a heterogeneous array of historical sources to reconstruct historical land cover in California's Santa Clara Valley (a.k.a. ``Silicon Valley''). To increase and assess accuracy, we used the triangulation of overlapping, independent data sources and the application of certainty level standards. The region has been subject to extensive urbanization, so we also evaluated the applicability of historical landscape reconstructions to the altered landscape. We found evidence for five major land cover types prior to significant Euro--American modification. Valley freshwater marsh, wet meadow, alkali meadow, willow grove, and valley oak savanna have all experienced extreme decline (85--100%) since Euro--American settlement. However, comparison of historical land cover patterns to contemporary land use suggested several new strategies for environmental recovery, despite the limitations of surrounding urbanization. We also observed a temporal shift in riparian habitat along the mainstem of Coyote Creek, from a relatively open mixture of riparian scrub, sycamore woodland, and unvegetated gravel bars to dense riparian forest, likely resulting from stream flow regulation. By identifying former land cover patterns we provide a basis for evaluating local landscape change and setting restoration targets, including the identification of residual features and under-recognized land cover types. These findings suggest that reliable historical landscape reconstructions can be developed in the absence of standardized historical data sources and can be of value even in highly modified regions.","author":[{"dropping-particle":"","family":"Grossinger","given":"Robin M.","non-dropping-particle":"","parse-names":false,"suffix":""},{"dropping-particle":"","family":"Striplen","given":"Charles J.","non-dropping-particle":"","parse-names":false,"suffix":""},{"dropping-particle":"","family":"Askevold","given":"Ruth A.","non-dropping-particle":"","parse-names":false,"suffix":""},{"dropping-particle":"","family":"Brewster","given":"Elise","non-dropping-particle":"","parse-names":false,"suffix":""},{"dropping-particle":"","family":"Beller","given":"Erin E.","non-dropping-particle":"","parse-names":false,"suffix":""}],"container-title":"Landscape Ecology","id":"ITEM-1","issue":"SUPPL. 1","issued":{"date-parts":[["2007"]]},"page":"103-120","title":"Historical landscape ecology of an urbanized California valley: Wetlands and woodlands in the Santa Clara Valley","type":"article-journal","volume":"22"},"uris":["http://www.mendeley.com/documents/?uuid=7e04d785-3271-41e5-a32a-48f4e83dbaff"]}],"mendeley":{"formattedCitation":"&lt;sup&gt;67&lt;/sup&gt;","plainTextFormattedCitation":"67","previouslyFormattedCitation":"(Grossinger &lt;i&gt;et al.&lt;/i&gt; 2007)"},"properties":{"noteIndex":0},"schema":"https://github.com/citation-style-language/schema/raw/master/csl-citation.json"}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67</w:t>
      </w:r>
      <w:r w:rsidRPr="00D23BF1">
        <w:rPr>
          <w:rFonts w:ascii="Times" w:eastAsia="Helvetica Neue" w:hAnsi="Times" w:cs="Helvetica Neue"/>
        </w:rPr>
        <w:fldChar w:fldCharType="end"/>
      </w:r>
      <w:r w:rsidRPr="00D23BF1">
        <w:rPr>
          <w:rFonts w:ascii="Times" w:eastAsia="Helvetica Neue" w:hAnsi="Times" w:cs="Helvetica Neue"/>
        </w:rPr>
        <w:t xml:space="preserve">, which alter the available surfaces and plant communities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{"citationItems":[{"id":"ITEM-1","itemData":{"DOI":"10.1128/mSystems.00018-16","ISBN":"2379-5077","ISSN":"2379-5077","PMID":"27822528","abstract":"&lt;p&gt; Public transit systems are ideal for studying the urban microbiome and interindividual community transfer. In this study, we used 16S amplicon and shotgun metagenomic sequencing to profile microbial communities on multiple transit surfaces across train lines and stations in the Boston metropolitan transit system. The greatest determinant of microbial community structure was the transit surface type. In contrast, little variation was observed between geographically distinct train lines and stations serving different demographics. All surfaces were dominated by human skin and oral commensals such as &lt;italic&gt;Propionibacterium&lt;/italic&gt; , &lt;italic&gt;Corynebacterium&lt;/italic&gt; , &lt;italic&gt;Staphylococcus&lt;/italic&gt; , and &lt;italic&gt;Streptococcus&lt;/italic&gt; . The detected taxa not associated with humans included generalists from alphaproteobacteria, which were especially abundant on outdoor touchscreens. Shotgun metagenomics further identified viral and eukaryotic microbes, including &lt;italic&gt;Propionibacterium&lt;/italic&gt; phage and &lt;italic&gt;Malassezia globosa&lt;/italic&gt; . Functional profiling showed that &lt;italic&gt;Propionibacterium acnes&lt;/italic&gt; pathways such as propionate production and porphyrin synthesis were enriched on train holding surfaces (holds), while electron transport chain components for aerobic respiration were enriched on touchscreens and seats. Lastly, the transit environment was not found to be a reservoir of antimicrobial resistance and virulence genes. Our results suggest that microbial communities on transit surfaces are maintained from a metapopulation of human skin commensals and environmental generalists, with enrichments corresponding to local interactions with the human body and environmental exposures. &lt;/p&gt;","author":[{"dropping-particle":"","family":"Hsu","given":"Tiffany","non-dropping-particle":"","parse-names":false,"suffix":""},{"dropping-particle":"","family":"Joice","given":"Regina","non-dropping-particle":"","parse-names":false,"suffix":""},{"dropping-particle":"","family":"Vallarino","given":"Jose","non-dropping-particle":"","parse-names":false,"suffix":""},{"dropping-particle":"","family":"Abu-Ali","given":"Galeb","non-dropping-particle":"","parse-names":false,"suffix":""},{"dropping-particle":"","family":"Hartmann","given":"Erica M.","non-dropping-particle":"","parse-names":false,"suffix":""},{"dropping-particle":"","family":"Shafquat","given":"Afrah","non-dropping-particle":"","parse-names":false,"suffix":""},{"dropping-particle":"","family":"DuLong","given":"Casey","non-dropping-particle":"","parse-names":false,"suffix":""},{"dropping-particle":"","family":"Baranowski","given":"Catherine","non-dropping-particle":"","parse-names":false,"suffix":""},{"dropping-particle":"","family":"Gevers","given":"Dirk","non-dropping-particle":"","parse-names":false,"suffix":""},{"dropping-particle":"","family":"Green","given":"Jessica L.","non-dropping-particle":"","parse-names":false,"suffix":""},{"dropping-particle":"","family":"Morgan","given":"Xochitl C.","non-dropping-particle":"","parse-names":false,"suffix":""},{"dropping-particle":"","family":"Spengler","given":"John D.","non-dropping-particle":"","parse-names":false,"suffix":""},{"dropping-particle":"","family":"Huttenhower","given":"Curtis","non-dropping-particle":"","parse-names":false,"suffix":""}],"container-title":"mSystems","id":"ITEM-1","issue":"3","issued":{"date-parts":[["2016"]]},"page":"e00018-16","title":"Urban Transit System Microbial Communities Differ by Surface Type and Interaction with Humans and the Environment","type":"article-journal","volume":"1"},"uris":["http://www.mendeley.com/documents/?uuid=6e7773dd-4dc6-4c13-94ab-d83339c64ae4"]},{"id":"ITEM-2","itemData":{"DOI":"10.1641/0006-3568(2002)052[0883:UBAC]2.0.CO;2","ISBN":"0022-3042 (Print) 0022-3042 (Linking)","ISSN":"0006-3568","PMID":"2578183","abstract":"We have recently found that there is a proximo-distal delay in the recovery of neurotoxic esterase (NTE) following inhibition along the sciatic nerve of the hen. To determine whether this delay could be due to a requirement for the transport of newly synthesized NTE from the cell body, we investigated the transport of NTE by measuring the rate of accumulation of activity at either one or two ligations. Although rapid turnaround of accumulated protein confounds calculation of the transport rate, it appeared that NTE is transported down the hen sciatic nerve at a rate close to 300 mm/day. Acetylcholinesterase (AChE) was found to be transported at a rate of about 500 mm/day, which is close to the expected rate of fast axoplasmic transport in the chicken. The relatively rapid turnaround of NTE compared with the retrograde transport rate precluded the estimation of a retrograde transport rate. A model is presented that accounts for turnaround as a result of exchange between mobile and stationary transport pools. Exchange of NTE between pools may account for the rapid turnaround of NTE described in this paper and for the proximo-distal delay in recovery as a dilution of newly synthesized NTE in the anterograde fast transport pool by inhibited protein as it travels down the nerve.","author":[{"dropping-particle":"","family":"McKinney","given":"Michael L.","non-dropping-particle":"","parse-names":false,"suffix":""}],"container-title":"BioScience","id":"ITEM-2","issue":"10","issued":{"date-parts":[["2002"]]},"title":"Urbanization, Biodiversity, and Conservation","type":"article-journal","volume":"52"},"uris":["http://www.mendeley.com/documents/?uuid=1827b5e1-ad8e-4a41-af27-67b985537843"]},{"id":"ITEM-3","itemData":{"DOI":"10.1007/s11252-007-0045-4","ISBN":"1083-8155","ISSN":"10838155","PMID":"20926156","abstract":"Many studies have described the effects of urbanization on species richness. These studies indicate that urbanization can increase or decrease species richness, depending on several variables. Some of these variables include: taxonomic group, spatial scale of analysis, and intensity of urbanization. Recent reviews of birds (the most-studied group) indicate that species richness decreases with increasing urbanization in most cases but produces no change or even increases richness in some studies. Here I expand beyond the bird studies by reviewing 105 studies on the effects of urbanization on the species richness of non-avian species: mammals, reptiles, amphibians, invertebrates and plants. For all groups, species richness tends to be reduced in areas with extreme urbanization (i.e., central urban core areas). However, the effects of moderate levels of urbanization (i.e., suburban areas) vary significantly among groups. Most of the plant studies (about 65%) indicate increasing species richness with moderate urbanization whereas only a minority of invertebrate studies (about 30%) and a very small minority of non-avian vertebrate studies (about 12%) show increasing species richness. Possible explanations for these results are discussed, including the importance of nonnative species importation, spatial heterogeneity, intermediate disturbance and scale as major factors influencing species richness.","author":[{"dropping-particle":"","family":"McKinney","given":"Michael L.","non-dropping-particle":"","parse-names":false,"suffix":""}],"container-title":"Urban Ecosystems","id":"ITEM-3","issue":"2","issued":{"date-parts":[["2008"]]},"page":"161-176","title":"Effects of urbanization on species richness: A review of plants and animals","type":"article-journal","volume":"11"},"uris":["http://www.mendeley.com/documents/?uuid=1e1371f9-34a3-4a55-a16c-3c7c4bb1ca9f"]}],"mendeley":{"formattedCitation":"&lt;sup&gt;21,102,103&lt;/sup&gt;","plainTextFormattedCitation":"21,102,103","previouslyFormattedCitation":"(McKinney 2002, 2008, Hsu &lt;i&gt;et al.&lt;/i&gt; 2016)"},"properties":{"noteIndex":0},"schema":"https://github.com/citation-style-language/schema/raw/master/csl-citation.json"}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21,102,103</w:t>
      </w:r>
      <w:r w:rsidRPr="00D23BF1">
        <w:rPr>
          <w:rFonts w:ascii="Times" w:eastAsia="Helvetica Neue" w:hAnsi="Times" w:cs="Helvetica Neue"/>
        </w:rPr>
        <w:fldChar w:fldCharType="end"/>
      </w:r>
      <w:r w:rsidRPr="00D23BF1">
        <w:rPr>
          <w:rFonts w:ascii="Times" w:eastAsia="Helvetica Neue" w:hAnsi="Times" w:cs="Helvetica Neue"/>
        </w:rPr>
        <w:t xml:space="preserve">. This in turn may shape the gut microbiome through different available food sources, as well as different communities of environmental bacteria. I investigated the impact of the landscape on gut microbial communities and found that variation in ground cover on individual territories </w:t>
      </w:r>
      <w:r w:rsidRPr="00D23BF1">
        <w:rPr>
          <w:rFonts w:ascii="Times" w:eastAsia="Helvetica Neue" w:hAnsi="Times" w:cs="Helvetica Neue"/>
        </w:rPr>
        <w:lastRenderedPageBreak/>
        <w:t xml:space="preserve">explained a significant but small amount of variation in alpha diversity of gut microbial communities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males using spatial analyses of land cover (impervious, scrub, grass, and trees) at the regional level and territory level in urban San Francisco, CA and nearby rural Point Reyes, California. We hypothesized that urbanization of habitats affects gut microbial composition and diversity, potentially through direct effects on diet and/or indirect environmental effects. We measured gut microbial community diversity from 16s rRNA sequences amplified from cloacal swabs. We find that the urban and rural male gut microbiomes are significantly different, such that the urban gut microbiome is more diverse than the rural gut microbiome. This relationship may be due to more variable land cover types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Evolution","id":"ITEM-1","issued":{"date-parts":[["2018","9","24"]]},"title":"The Effects of Landscape Urbanization on the Gut Microbiome: An Exploration Into the Gut of Urban and Rural White-Crowned Sparrows","type":"article-journal","volume":"6"},"uris":["http://www.mendeley.com/documents/?uuid=5f91c1ce-dae3-30cf-ae5f-0fdb182fb176"]}],"mendeley":{"formattedCitation":"&lt;sup&gt;15&lt;/sup&gt;","plainTextFormattedCitation":"15","previouslyFormattedCitation":"(Phillips &lt;i&gt;et al.&lt;/i&gt; 2018)"},"properties":{"noteIndex":0},"schema":"https://github.com/citation-style-language/schema/raw/master/csl-citation.json"}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15</w:t>
      </w:r>
      <w:r w:rsidRPr="00D23BF1">
        <w:rPr>
          <w:rFonts w:ascii="Times" w:eastAsia="Helvetica Neue" w:hAnsi="Times" w:cs="Helvetica Neue"/>
        </w:rPr>
        <w:fldChar w:fldCharType="end"/>
      </w:r>
      <w:r w:rsidRPr="00D23BF1">
        <w:rPr>
          <w:rFonts w:ascii="Times" w:eastAsia="Helvetica Neue" w:hAnsi="Times" w:cs="Helvetica Neue"/>
        </w:rPr>
        <w:t xml:space="preserve">. The next step was to consider urban stressors, as changes in stress levels are known to have short and long-term effects on the gut microbial community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{"citationItems":[{"id":"ITEM-1","itemData":{"DOI":"10.1128/IAI.00862-09","ISBN":"1098-5522 (Electronic)\\r0019-9567 (Linking)","ISSN":"00199567","PMID":"20145094","abstract":"The gastrointestinal tract is colonized by an enormous array of microbes that are known to have many beneficial effects on the host. Previous studies have indicated that stressor exposure can disrupt the stability of the intestinal microbiota, but the extent of these changes, as well as the effects on enteric infection, has not been well characterized. In order to examine the ability of stressors to induce changes in the gut microbiota, we exposed mice to a prolonged restraint stressor and then characterized microbial populations in the intestines using both traditional culture techniques and bacterial tag-encoded FLX amplicon pyrosequencing (bTEFAP). Exposure to the stressor led to an overgrowth of facultatively anaerobic microbiota while at the same time significantly reducing microbial richness and diversity in the ceca of stressed mice. Some of these effects could be explained by a stressor-induced reduction in the relative abundance of bacteria in the family Porphyromonadaceae. To determine whether these alterations would lead to increased pathogen colonization, stressed mice, as well as nonstressed controls, were challenged orally with the enteric murine pathogen Citrobacter rodentium. Exposure to the restraint stressor led to a significant increase in C. rodentium colonization over that in nonstressed control mice. The increased colonization was associated with increased tumor necrosis factor alpha (TNF-alpha) gene expression in colonic tissue. Together, these data demonstrate that a prolonged stressor can significantly change the composition of the intestinal microbiota and suggest that this disruption of the microbiota increases susceptibility to an enteric pathogen.","author":[{"dropping-particle":"","family":"Bailey","given":"Michael T.","non-dropping-particle":"","parse-names":false,"suffix":""},{"dropping-particle":"","family":"Dowd","given":"Scot E.","non-dropping-particle":"","parse-names":false,"suffix":""},{"dropping-particle":"","family":"Parry","given":"Nicola M A","non-dropping-particle":"","parse-names":false,"suffix":""},{"dropping-particle":"","family":"Galley","given":"Jeffrey D.","non-dropping-particle":"","parse-names":false,"suffix":""},{"dropping-particle":"","family":"Schauer","given":"David B.","non-dropping-particle":"","parse-names":false,"suffix":""},{"dropping-particle":"","family":"Lyte","given":"Mark","non-dropping-particle":"","parse-names":false,"suffix":""}],"container-title":"Infection and Immunity","id":"ITEM-1","issue":"4","issued":{"date-parts":[["2010"]]},"page":"1509-1519","title":"Stressor exposure disrupts commensal microbial populations in the intestines and leads to increased colonization by Citrobacter rodentium","type":"article-journal","volume":"78"},"uris":["http://www.mendeley.com/documents/?uuid=83ac4f7c-a066-463c-86d3-3de7ea17c44f"]},{"id":"ITEM-2","itemData":{"DOI":"10.1371/journal.pone.0046231","ISBN":"1932-6203 (Electronic)\\r1932-6203 (Linking)","ISSN":"19326203","PMID":"23056268","abstract":"Stress has profound influence on the gastro-intestinal tract, the immune system and the behavior of the animal. In this study, the correlation between gut microbiota composition determined by Denaturing Grade Gel Electrophoresis (DGGE) and tag-encoded 16S rRNA gene amplicon pyrosequencing (454/FLX) and behavior in the Tripletest (Elevated Plus Maze, Light/Dark Box, and Open Field combined), the Tail Suspension Test, and Burrowing in 28 female BALB/c mice exposed to two weeks of grid floor induced stress was investigated. Cytokine and glucose levels were measured at baseline, during and after exposure to grid floor. Stressing the mice clearly changed the cecal microbiota as determined by both DGGE and pyrosequencing. Odoribacter, Alistipes and an unclassified genus from the Coriobacteriaceae family increased significantly in the grid floor housed mice. Compared to baseline, the mice exposed to grid floor housing changed the amount of time spent in the Elevated Plus Maze, in the Light/Dark Box, and burrowing behavior. The grid floor housed mice had significantly longer immobility duration in the Tail Suspension Test and increased their number of immobility episodes from baseline. Significant correlations were found between GM composition and IL-1α, IFN-γ, closed arm entries of Elevated Plus Maze, total time in Elevated Plus Maze, time spent in Light/Dark Box, and time spent in the inner zone of the Open Field as well as total time in the Open Field. Significant correlations were found to the levels of Firmicutes, e.g. various species of Ruminococccaceae and Lachnospiraceae. No significant difference was found for the evaluated cytokines, except an overall decrease in levels from baseline to end. A significant lower level of blood glucose was found in the grid floor housed mice, whereas the HbA1c level was significantly higher. It is concluded that grid floor housing changes the GM composition, which seems to influence certain anxiety-related parameters.","author":[{"dropping-particle":"","family":"Bangsgaard Bendtsen","given":"Katja Maria","non-dropping-particle":"","parse-names":false,"suffix":""},{"dropping-particle":"","family":"Krych","given":"Lukasz","non-dropping-particle":"","parse-names":false,"suffix":""},{"dropping-particle":"","family":"Sørensen","given":"Dorte Bratbo","non-dropping-particle":"","parse-names":false,"suffix":""},{"dropping-particle":"","family":"Pang","given":"Wanyong","non-dropping-particle":"","parse-names":false,"suffix":""},{"dropping-particle":"","family":"Nielsen","given":"Dennis Sandris","non-dropping-particle":"","parse-names":false,"suffix":""},{"dropping-particle":"","family":"Josefsen","given":"Knud","non-dropping-particle":"","parse-names":false,"suffix":""},{"dropping-particle":"","family":"Hansen","given":"Lars H.","non-dropping-particle":"","parse-names":false,"suffix":""},{"dropping-particle":"","family":"Sørensen","given":"Søren J.","non-dropping-particle":"","parse-names":false,"suffix":""},{"dropping-particle":"","family":"Hansen","given":"Axel Kornerup","non-dropping-particle":"","parse-names":false,"suffix":""}],"container-title":"PLoS ONE","id":"ITEM-2","issue":"10","issued":{"date-parts":[["2012"]]},"title":"Gut Microbiota Composition Is Correlated to Grid Floor Induced Stress and Behavior in the BALB/c Mouse","type":"article-journal","volume":"7"},"uris":["http://www.mendeley.com/documents/?uuid=b389645a-7f47-41c9-8058-2c1b7fdf9c75"]}],"mendeley":{"formattedCitation":"&lt;sup&gt;30,104&lt;/sup&gt;","plainTextFormattedCitation":"30,104","previouslyFormattedCitation":"(Bailey &lt;i&gt;et al.&lt;/i&gt; 2010a, Bangsgaard Bendtsen &lt;i&gt;et al.&lt;/i&gt; 2012)"},"properties":{"noteIndex":0},"schema":"https://github.com/citation-style-language/schema/raw/master/csl-citation.json"}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30,104</w:t>
      </w:r>
      <w:r w:rsidRPr="00D23BF1">
        <w:rPr>
          <w:rFonts w:ascii="Times" w:eastAsia="Helvetica Neue" w:hAnsi="Times" w:cs="Helvetica Neue"/>
        </w:rPr>
        <w:fldChar w:fldCharType="end"/>
      </w:r>
      <w:r w:rsidRPr="00D23BF1">
        <w:rPr>
          <w:rFonts w:ascii="Times" w:eastAsia="Helvetica Neue" w:hAnsi="Times" w:cs="Helvetica Neue"/>
        </w:rPr>
        <w:t xml:space="preserve">. There are many different possible stressors to consider. I decided to start with noise pollution because noise is a biologically relevant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{"citationItems":[{"id":"ITEM-1","itemData":{"DOI":"10.1242/jeb.081109","ISBN":"1477-9145 (Electronic)\\n0022-0949 (Linking)","ISSN":"1477-9145","PMID":"23430998","abstract":"Roads have been associated with behavioral and physiological changes in wildlife. In birds, roads decrease reproductive success and biodiversity and increase physiological stress. Although the consequences of roads on individuals and communities have been well described, the mechanisms through which roads affect birds remain largely unexplored. Here, we examine one mechanism through which roads could affect birds: traffic noise. We exposed nestling mountain white-crowned sparrows (Zonotrichia leucophrys oriantha) to experimentally elevated traffic noise for 5 days during the nestling period. Following exposure to traffic noise we measured nestling stress physiology, immune function, body size, condition and survival. Based on prior studies, we expected the traffic noise treatment to result in elevated stress hormones (glucocorticoids), and declines in immune function, body size, condition and survival. Surprisingly, nestlings exposed to traffic noise had lower glucocorticoid levels and improved condition relative to control nests. These results indicate that traffic noise does affect physiology and development in white-crowned sparrows, but not at all as predicted. Therefore, when evaluating the mechanisms through which roads affect avian populations, other factors (e.g. edge effects, pollution and mechanical vibration) may be more important than traffic noise in explaining elevated nestling stress responses in this species.","author":[{"dropping-particle":"","family":"Crino","given":"Ondi L","non-dropping-particle":"","parse-names":false,"suffix":""},{"dropping-particle":"","family":"Johnson","given":"Erin E","non-dropping-particle":"","parse-names":false,"suffix":""},{"dropping-particle":"","family":"Blickley","given":"Jessica L","non-dropping-particle":"","parse-names":false,"suffix":""},{"dropping-particle":"","family":"Patricelli","given":"Gail L","non-dropping-particle":"","parse-names":false,"suffix":""},{"dropping-particle":"","family":"Breuner","given":"Creagh W","non-dropping-particle":"","parse-names":false,"suffix":""}],"container-title":"The Journal of experimental biology","id":"ITEM-1","issued":{"date-parts":[["2013"]]},"note":"•Conducted on nestlings in the wild (8 exp. nests 5 control) \n–Short noise files &amp;amp; silent files on shuffle for ~6min of noise per hour \n–5 days of exposure \n–Measured: \n•Stress response to restraint –(didn’t say why they chose this) \n•Plasma CORT \n•Free CORT \n•Body condition (scaled mass) \n•Nestling fledgeling success \n•Found total CORT higher in control after restraint, free CORT no difference \n–Control birds respond more strongly to a stressor \n–Noise birds respond less strongly, but their HPA activity is not exhausted (as in chronic stress)","page":"2055-62","title":"Effects of experimentally elevated traffic noise on nestling white-crowned sparrow stress physiology, immune function and life history.","type":"article-journal","volume":"216"},"uris":["http://www.mendeley.com/documents/?uuid=c1396083-320d-4963-b803-4925c4fb13d0"]},{"id":"ITEM-2","itemData":{"DOI":"10.1111/j.1461-0248.2011.01664.x","ISBN":"1461-023X","ISSN":"1461023X","PMID":"21806743","abstract":"Ecology Letters (2011) 14: 1052-1061 ABSTRACT: The scope and magnitude of anthropogenic noise pollution are often much greater than those of natural noise and are predicted to have an array of deleterious effects on wildlife. Recent work on this topic has focused mainly on behavioural responses of animals exposed to noise. Here, by outlining the effects of acoustic stimuli on animal physiology, development, neural function and genetic effects, we advocate the use of a more mechanistic approach in anthropogenic environments. Specifically, we summarise evidence and hypotheses from research on laboratory, domestic and free-living animals exposed to biotic and abiotic stimuli, studied both observationally and experimentally. We hope that this molecular- and cellular-focused literature, which examines the effects of noise on the neuroendocrine system, reproduction and development, metabolism, cardiovascular health, cognition and sleep, audition, the immune system, and DNA integrity and gene expression, will help researchers better understand results of previous work, as well as identify new avenues of future research in anthropogenic environments. Furthermore, given the interconnectedness of these physiological, cellular and genetic processes, and their effects on behaviour and fitness, we suggest that much can be learned from a more integrative framework of how and why animals are affected by environmental noise.","author":[{"dropping-particle":"","family":"Kight","given":"Caitlin R.","non-dropping-particle":"","parse-names":false,"suffix":""},{"dropping-particle":"","family":"Swaddle","given":"John P.","non-dropping-particle":"","parse-names":false,"suffix":""}],"container-title":"Ecology Letters","id":"ITEM-2","issue":"10","issued":{"date-parts":[["2011"]]},"page":"1052-1061","title":"How and why environmental noise impacts animals: An integrative, mechanistic review","type":"article-journal","volume":"14"},"uris":["http://www.mendeley.com/documents/?uuid=c7f78b8b-97e3-4cf7-b07f-3ac4626f80f4"]}],"mendeley":{"formattedCitation":"&lt;sup&gt;74,88&lt;/sup&gt;","plainTextFormattedCitation":"74,88","previouslyFormattedCitation":"(Kight &amp; Swaddle 2011, Crino &lt;i&gt;et al.&lt;/i&gt; 2013)"},"properties":{"noteIndex":0},"schema":"https://github.com/citation-style-language/schema/raw/master/csl-citation.json"}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74,88</w:t>
      </w:r>
      <w:r w:rsidRPr="00D23BF1">
        <w:rPr>
          <w:rFonts w:ascii="Times" w:eastAsia="Helvetica Neue" w:hAnsi="Times" w:cs="Helvetica Neue"/>
        </w:rPr>
        <w:fldChar w:fldCharType="end"/>
      </w:r>
      <w:r w:rsidRPr="00D23BF1">
        <w:rPr>
          <w:rFonts w:ascii="Times" w:eastAsia="Helvetica Neue" w:hAnsi="Times" w:cs="Helvetica Neue"/>
        </w:rPr>
        <w:t xml:space="preserve"> and widespread source of pollution in the landscape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{"citationItems":[{"id":"ITEM-1","itemData":{"DOI":"10.1016/j.tree.2015.06.009","ISSN":"01695347","author":[{"dropping-particle":"","family":"Swaddle","given":"John P.","non-dropping-particle":"","parse-names":false,"suffix":""},{"dropping-particle":"","family":"Francis","given":"Clinton D.","non-dropping-particle":"","parse-names":false,"suffix":""},{"dropping-particle":"","family":"Barber","given":"Jesse R.","non-dropping-particle":"","parse-names":false,"suffix":""},{"dropping-particle":"","family":"Cooper","given":"Caren B.","non-dropping-particle":"","parse-names":false,"suffix":""},{"dropping-particle":"","family":"Kyba","given":"Christopher C.M.","non-dropping-particle":"","parse-names":false,"suffix":""},{"dropping-particle":"","family":"Dominoni","given":"Davide M.","non-dropping-particle":"","parse-names":false,"suffix":""},{"dropping-particle":"","family":"Shannon","given":"Graeme","non-dropping-particle":"","parse-names":false,"suffix":""},{"dropping-particle":"","family":"Aschehoug","given":"Erik","non-dropping-particle":"","parse-names":false,"suffix":""},{"dropping-particle":"","family":"Goodwin","given":"Sarah E.","non-dropping-particle":"","parse-names":false,"suffix":""},{"dropping-particle":"","family":"Kawahara","given":"Akito Y.","non-dropping-particle":"","parse-names":false,"suffix":""},{"dropping-particle":"","family":"Luther","given":"David","non-dropping-particle":"","parse-names":false,"suffix":""},{"dropping-particle":"","family":"Spoelstra","given":"Kamiel","non-dropping-particle":"","parse-names":false,"suffix":""},{"dropping-particle":"","family":"Voss","given":"Margaret","non-dropping-particle":"","parse-names":false,"suffix":""},{"dropping-particle":"","family":"Longcore","given":"Travis","non-dropping-particle":"","parse-names":false,"suffix":""}],"container-title":"Trends in Ecology &amp; Evolution","id":"ITEM-1","issue":"9","issued":{"date-parts":[["2015"]]},"page":"550-560","publisher":"Elsevier Ltd","title":"A framework to assess evolutionary responses to anthropogenic light and sound","type":"article-journal","volume":"30"},"uris":["http://www.mendeley.com/documents/?uuid=70c72674-b7f2-464e-bf76-bb51d85e72d3"]}],"mendeley":{"formattedCitation":"&lt;sup&gt;18&lt;/sup&gt;","plainTextFormattedCitation":"18","previouslyFormattedCitation":"(Swaddle &lt;i&gt;et al.&lt;/i&gt; 2015)"},"properties":{"noteIndex":0},"schema":"https://github.com/citation-style-language/schema/raw/master/csl-citation.json"}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18</w:t>
      </w:r>
      <w:r w:rsidRPr="00D23BF1">
        <w:rPr>
          <w:rFonts w:ascii="Times" w:eastAsia="Helvetica Neue" w:hAnsi="Times" w:cs="Helvetica Neue"/>
        </w:rPr>
        <w:fldChar w:fldCharType="end"/>
      </w:r>
      <w:sdt>
        <w:sdtPr>
          <w:rPr>
            <w:rFonts w:ascii="Times" w:hAnsi="Times"/>
          </w:rPr>
          <w:tag w:val="goog_rdk_100"/>
          <w:id w:val="-766848536"/>
        </w:sdtPr>
        <w:sdtEndPr/>
        <w:sdtContent>
          <w:r w:rsidRPr="00D23BF1">
            <w:rPr>
              <w:rFonts w:ascii="Times" w:eastAsia="Helvetica Neue" w:hAnsi="Times" w:cs="Helvetica Neue"/>
            </w:rPr>
            <w:t xml:space="preserve"> and</w:t>
          </w:r>
        </w:sdtContent>
      </w:sdt>
      <w:r w:rsidRPr="00D23BF1">
        <w:rPr>
          <w:rFonts w:ascii="Times" w:eastAsia="Helvetica Neue" w:hAnsi="Times" w:cs="Helvetica Neue"/>
        </w:rPr>
        <w:t xml:space="preserve"> is known to have negative consequences for animal health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{"citationItems":[{"id":"ITEM-1","itemData":{"DOI":"10.1073/pnas.1709200115","ISSN":"0027-8424","PMID":"29311304","abstract":"Anthropogenic noise is a pervasive pollutant that decreases environmental quality by disrupting a suite of behaviors vital to perception and communication. However, even within populations of noise-sensitive species, individuals still select breeding sites located within areas exposed to high noise levels, with largely unknown physiological and fitness consequences. We use a study system in the natural gas fields of northern New Mexico to test the prediction that exposure to noise causes glucocorticoid-signaling dysfunction and decreases fitness in a community of secondary cavity-nesting birds. In accordance with these predictions, and across all species, we find strong support for noise exposure decreasing baseline corticosterone in adults and nestlings and, conversely, increasing acute stressor-induced corticosterone in nestlings. We also document fitness consequences with increased noise in the form of reduced hatching success in the western bluebird (Sialia mexicana), the species most likely to nest in noisiest environments. Nestlings of all three species exhibited accelerated growth of both feathers and body size at intermediate noise amplitudes compared with lower or higher amplitudes. Our results are consistent with recent experimental laboratory studies and show that noise functions as a chronic, inescapable stressor. Anthropogenic noise likely impairs environmental risk perception by species relying on acoustic cues and ultimately leads to impacts on fitness. Our work, when taken together with recent efforts to document noise across the landscape, implies potential widespread, noise-induced chronic stress coupled with reduced fitness for many species reliant on acoustic cues.","author":[{"dropping-particle":"","family":"Kleist","given":"Nathan J.","non-dropping-particle":"","parse-names":false,"suffix":""},{"dropping-particle":"","family":"Guralnick","given":"Robert P.","non-dropping-particle":"","parse-names":false,"suffix":""},{"dropping-particle":"","family":"Cruz","given":"Alexander","non-dropping-particle":"","parse-names":false,"suffix":""},{"dropping-particle":"","family":"Lowry","given":"Christopher A.","non-dropping-particle":"","parse-names":false,"suffix":""},{"dropping-particle":"","family":"Francis","given":"Clinton D.","non-dropping-particle":"","parse-names":false,"suffix":""}],"container-title":"Proceedings of the National Academy of Sciences","id":"ITEM-1","issued":{"date-parts":[["2018"]]},"page":"201709200","title":"Chronic anthropogenic noise disrupts glucocorticoid signaling and has multiple effects on fitness in an avian community","type":"article-journal"},"uris":["http://www.mendeley.com/documents/?uuid=f1c3149b-4535-4212-a417-3db2150d4c20"]}],"mendeley":{"formattedCitation":"&lt;sup&gt;86&lt;/sup&gt;","plainTextFormattedCitation":"86","previouslyFormattedCitation":"(Kleist &lt;i&gt;et al.&lt;/i&gt; 2018)"},"properties":{"noteIndex":0},"schema":"https://github.com/citation-style-language/schema/raw/master/csl-citation.json"}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86</w:t>
      </w:r>
      <w:r w:rsidRPr="00D23BF1">
        <w:rPr>
          <w:rFonts w:ascii="Times" w:eastAsia="Helvetica Neue" w:hAnsi="Times" w:cs="Helvetica Neue"/>
        </w:rPr>
        <w:fldChar w:fldCharType="end"/>
      </w:r>
      <w:r w:rsidRPr="00D23BF1">
        <w:rPr>
          <w:rFonts w:ascii="Times" w:eastAsia="Helvetica Neue" w:hAnsi="Times" w:cs="Helvetica Neue"/>
        </w:rPr>
        <w:t xml:space="preserve">, but has not yet been considered in the context of examining animal gut microbial communities. </w:t>
      </w:r>
    </w:p>
    <w:p w14:paraId="35218822"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To address this gap in knowledge, I sampled gut microbial communities of white-crowned sparrows (</w:t>
      </w:r>
      <w:proofErr w:type="spellStart"/>
      <w:r w:rsidRPr="00D23BF1">
        <w:rPr>
          <w:rFonts w:ascii="Times" w:eastAsia="Helvetica Neue" w:hAnsi="Times" w:cs="Helvetica Neue"/>
          <w:i/>
        </w:rPr>
        <w:t>Zonotrichia</w:t>
      </w:r>
      <w:proofErr w:type="spellEnd"/>
      <w:r w:rsidRPr="00D23BF1">
        <w:rPr>
          <w:rFonts w:ascii="Times" w:eastAsia="Helvetica Neue" w:hAnsi="Times" w:cs="Helvetica Neue"/>
          <w:i/>
        </w:rPr>
        <w:t xml:space="preserve"> </w:t>
      </w:r>
      <w:proofErr w:type="spellStart"/>
      <w:r w:rsidRPr="00D23BF1">
        <w:rPr>
          <w:rFonts w:ascii="Times" w:eastAsia="Helvetica Neue" w:hAnsi="Times" w:cs="Helvetica Neue"/>
          <w:i/>
        </w:rPr>
        <w:t>leucophrys</w:t>
      </w:r>
      <w:proofErr w:type="spellEnd"/>
      <w:r w:rsidRPr="00D23BF1">
        <w:rPr>
          <w:rFonts w:ascii="Times" w:eastAsia="Helvetica Neue" w:hAnsi="Times" w:cs="Helvetica Neue"/>
        </w:rPr>
        <w:t xml:space="preserve">) holding territories on ten transects in and near to San Francisco, CA.  These transects occurred both in wildlife areas as well as in urban parks. Each transect contained both relatively quiet and loud territories in order to tease apart the effects of noise from other urban stressors on the composition of gut microbial communities. I also investigated whether any of the sampled environmental variables, such as noise and territory land cover, or morphological variables, such as bill depth and body size, correlated with microbial diversity and community structure.  Altogether, I was able to examine which environmental and morphological factors predict how gut microbiome community membership and composition change between urban and rural areas. </w:t>
      </w:r>
    </w:p>
    <w:p w14:paraId="627050E6" w14:textId="77777777" w:rsidR="00041ADB" w:rsidRPr="00D23BF1" w:rsidRDefault="00041ADB" w:rsidP="00F20BE1">
      <w:pPr>
        <w:jc w:val="both"/>
        <w:rPr>
          <w:rFonts w:ascii="Times" w:eastAsia="Helvetica Neue" w:hAnsi="Times" w:cs="Helvetica Neue"/>
        </w:rPr>
      </w:pPr>
    </w:p>
    <w:p w14:paraId="09DC6B83" w14:textId="77777777" w:rsidR="00041ADB" w:rsidRPr="00D23BF1" w:rsidRDefault="00041ADB" w:rsidP="00F20BE1">
      <w:pPr>
        <w:rPr>
          <w:rFonts w:ascii="Times" w:hAnsi="Times"/>
          <w:b/>
          <w:bCs/>
        </w:rPr>
      </w:pPr>
      <w:bookmarkStart w:id="31" w:name="_Toc69393548"/>
      <w:bookmarkStart w:id="32" w:name="_Toc69396322"/>
      <w:bookmarkStart w:id="33" w:name="_Toc69396357"/>
      <w:r w:rsidRPr="00D23BF1">
        <w:rPr>
          <w:rFonts w:ascii="Times" w:hAnsi="Times"/>
          <w:b/>
          <w:bCs/>
        </w:rPr>
        <w:t>Aim 3: Isolation of an urban-associated variable (noise) and mechanistic investigation</w:t>
      </w:r>
      <w:bookmarkEnd w:id="31"/>
      <w:bookmarkEnd w:id="32"/>
      <w:bookmarkEnd w:id="33"/>
    </w:p>
    <w:p w14:paraId="68153FE7" w14:textId="77777777" w:rsidR="00041ADB" w:rsidRPr="00D23BF1" w:rsidRDefault="00041ADB" w:rsidP="00F20BE1">
      <w:pPr>
        <w:jc w:val="both"/>
        <w:rPr>
          <w:rFonts w:ascii="Times" w:eastAsia="Helvetica Neue" w:hAnsi="Times" w:cs="Helvetica Neue"/>
        </w:rPr>
      </w:pPr>
    </w:p>
    <w:p w14:paraId="12416D6B"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The next step in further understanding what shapes gut bacterial communities is experimentally testing variables that have been found to be important in wild populations</w:t>
      </w:r>
      <w:sdt>
        <w:sdtPr>
          <w:rPr>
            <w:rFonts w:ascii="Times" w:hAnsi="Times"/>
          </w:rPr>
          <w:tag w:val="goog_rdk_105"/>
          <w:id w:val="176934992"/>
          <w:showingPlcHdr/>
        </w:sdtPr>
        <w:sdtEndPr/>
        <w:sdtContent>
          <w:r w:rsidRPr="00D23BF1">
            <w:rPr>
              <w:rFonts w:ascii="Times" w:hAnsi="Times"/>
            </w:rPr>
            <w:t xml:space="preserve">     </w:t>
          </w:r>
        </w:sdtContent>
      </w:sdt>
      <w:r w:rsidRPr="00D23BF1">
        <w:rPr>
          <w:rFonts w:ascii="Times" w:eastAsia="Helvetica Neue" w:hAnsi="Times" w:cs="Helvetica Neue"/>
        </w:rPr>
        <w:t xml:space="preserve"> and investigating mechanisms that explain these relationships. </w:t>
      </w:r>
      <w:sdt>
        <w:sdtPr>
          <w:rPr>
            <w:rFonts w:ascii="Times" w:hAnsi="Times"/>
          </w:rPr>
          <w:tag w:val="goog_rdk_106"/>
          <w:id w:val="-172570853"/>
        </w:sdtPr>
        <w:sdtEndPr/>
        <w:sdtContent>
          <w:r w:rsidRPr="00D23BF1">
            <w:rPr>
              <w:rFonts w:ascii="Times" w:eastAsia="Helvetica Neue" w:hAnsi="Times" w:cs="Helvetica Neue"/>
            </w:rPr>
            <w:t>O</w:t>
          </w:r>
        </w:sdtContent>
      </w:sdt>
      <w:r w:rsidRPr="00D23BF1">
        <w:rPr>
          <w:rFonts w:ascii="Times" w:eastAsia="Helvetica Neue" w:hAnsi="Times" w:cs="Helvetica Neue"/>
        </w:rPr>
        <w:t xml:space="preserve">ne obvious area to manipulate is diet. In a recent study, </w:t>
      </w:r>
      <w:proofErr w:type="spellStart"/>
      <w:r w:rsidRPr="00D23BF1">
        <w:rPr>
          <w:rFonts w:ascii="Times" w:eastAsia="Helvetica Neue" w:hAnsi="Times" w:cs="Helvetica Neue"/>
        </w:rPr>
        <w:t>Teyssier</w:t>
      </w:r>
      <w:proofErr w:type="spellEnd"/>
      <w:r w:rsidRPr="00D23BF1">
        <w:rPr>
          <w:rFonts w:ascii="Times" w:eastAsia="Helvetica Neue" w:hAnsi="Times" w:cs="Helvetica Neue"/>
        </w:rPr>
        <w:t xml:space="preserve"> et al. showed that diets mimicking those of urban and rural house sparrows produce different gut bacterial communities, and in some cases higher bacterial diversity can result in higher body mass for the host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{"citationItems":[{"id":"ITEM-1","itemData":{"DOI":"10.1098/rspb.2019.2182","ISSN":"14712954","abstract":"Urban sprawl increasingly affects the ecology of natural populations, including host-microbiota interactions, with observed differences in the gut microbiota between urban and rural hosts. While different mechanisms could explain this pattern, dietary uptake constitutes a likely candidate. To assess the contribution of diet in explaining urban-rural variation in gut microbiota, we performed an aviary experiment in which urban and rural house sparrows were fed with mimics of urban or rural diets. Before the experiment, rural sparrows hosted more diverse gut communities, with a higher relative abundance of Enterococcaceae and Staphylococcaceae and lower abundance of genes involved in xenobiotic degradation and lipid metabolism than their urban counterparts. The experimental diets significantly altered gut microbiota α- and β-diversity and taxonomic composition, with the strongest shifts occurring in individuals exposed to contrasting diets. Overall, diet-induced shifts resembled initial differences between free-ranging urban and rural hosts. Furthermore, rural diet had a positive impact on urban host body mass but only in hosts with the highest initial gut diversity. Overall, our results indicate that diet constitutes an important factor contributing to differences in gut microbiota along the urbanization gradient and provide new insights on possible fitness consequences of a reduced gut diversity in urban settings.","author":[{"dropping-particle":"","family":"Teyssier","given":"Aimeric","non-dropping-particle":"","parse-names":false,"suffix":""},{"dropping-particle":"","family":"Matthysen","given":"Erik","non-dropping-particle":"","parse-names":false,"suffix":""},{"dropping-particle":"","family":"Hudin","given":"Noraine Salleh","non-dropping-particle":"","parse-names":false,"suffix":""},{"dropping-particle":"","family":"Neve","given":"Liesbeth","non-dropping-particle":"de","parse-names":false,"suffix":""},{"dropping-particle":"","family":"White","given":"Joël","non-dropping-particle":"","parse-names":false,"suffix":""},{"dropping-particle":"","family":"Lens","given":"Luc","non-dropping-particle":"","parse-names":false,"suffix":""}],"container-title":"Proceedings. Biological sciences","id":"ITEM-1","issue":"1920","issued":{"date-parts":[["2020"]]},"note":"for birds with significantly different diets this makes sense, I need to find out for sure whether wcsp have different diets, because despite different locations the microhabitat is somewhat similar","page":"20192182","title":"Diet contributes to urban-induced alterations in gut microbiota: experimental evidence from a wild passerine","type":"article-journal","volume":"287"},"uris":["http://www.mendeley.com/documents/?uuid=f5c7c019-3e67-44a3-9903-964c2a58c0d3"]}],"mendeley":{"formattedCitation":"&lt;sup&gt;66&lt;/sup&gt;","plainTextFormattedCitation":"66","previouslyFormattedCitation":"(Teyssier &lt;i&gt;et al.&lt;/i&gt; 2020)"},"properties":{"noteIndex":0},"schema":"https://github.com/citation-style-language/schema/raw/master/csl-citation.json"}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66</w:t>
      </w:r>
      <w:r w:rsidRPr="00D23BF1">
        <w:rPr>
          <w:rFonts w:ascii="Times" w:eastAsia="Helvetica Neue" w:hAnsi="Times" w:cs="Helvetica Neue"/>
        </w:rPr>
        <w:fldChar w:fldCharType="end"/>
      </w:r>
      <w:r w:rsidRPr="00D23BF1">
        <w:rPr>
          <w:rFonts w:ascii="Times" w:eastAsia="Helvetica Neue" w:hAnsi="Times" w:cs="Helvetica Neue"/>
        </w:rPr>
        <w:t xml:space="preserve">. </w:t>
      </w:r>
      <w:proofErr w:type="gramStart"/>
      <w:r w:rsidRPr="00D23BF1">
        <w:rPr>
          <w:rFonts w:ascii="Times" w:eastAsia="Helvetica Neue" w:hAnsi="Times" w:cs="Helvetica Neue"/>
        </w:rPr>
        <w:t>So</w:t>
      </w:r>
      <w:proofErr w:type="gramEnd"/>
      <w:r w:rsidRPr="00D23BF1">
        <w:rPr>
          <w:rFonts w:ascii="Times" w:eastAsia="Helvetica Neue" w:hAnsi="Times" w:cs="Helvetica Neue"/>
        </w:rPr>
        <w:t xml:space="preserve"> differences in diet are clearly one factor associated with urbanization that determines the composition of a bird’s gut bacterial community. However, this experiment also found a significant shift in the composition of the gut microbiome before and after bringing the birds into captivity, even in control groups fed diets from their own habitat type. This is likely because other aspects of a bird’s environment besides food sources can influence a bird’s physiology, thus shaping the gut microbiome. To determine the causes of differences we see in avian gut bacterial communities in different habitats, we need to experimentally isolate other variables associated with those habitats.</w:t>
      </w:r>
    </w:p>
    <w:p w14:paraId="730F55F2"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ab/>
        <w:t xml:space="preserve">Among the variables found to be important for predicting gut bacterial communities in the wild, noise is ecologically relevant and can be manipulated. Noise has an array of behavioral and physiological consequences for birds that may determine the gut microbiome. In captivity, there may be physiological processes that result from the stress of prolonged noise exposure. Stress hormones can influence gut physiology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{"citationItems":[{"id":"ITEM-1","itemData":{"DOI":"10.1111/nmo.12198","ISBN":"1365-2982","ISSN":"13501925","PMID":"23910373","abstract":"There is a growing awareness of the potential for microbiota to influence gut-brain communication in health and disease. A variety of strategies have been used to study the impact of the microbiota on brain function and these include antibiotic use, probiotic treatments, fecal microbiota transplantation, gastrointestinal infection studies, and germ-free studies. All of these approaches provide evidence to support the view that the microbiota can influence brain chemistry and consequently behavior. Efforts are now turning to investigate the role of microbiota in animal models of psychopathology. Animal models of depression are thus essential in studying the complex interplay between the microbiota and brain. Recent studies published in this Journal and elsewhere demonstrate that there is a distinct perturbation of the composition of gut microbiota in animal models of depression and chronic stress. This has direct implications for the development of psychobiotic-based therapeutic strategies for psychiatric disorders. Moreover, given that affective co-morbidities, such as major depression and anxiety states, are common in patients presenting with irritable bowel syndrome (IBS), it may have implications for functional bowel disorders also. Further studies require appropriately phenotyped patients with depression and/or IBS using a judicious use of techniques including functional imaging and in depth microbial pyrosequencing.","author":[{"dropping-particle":"","family":"Dinan","given":"T. G.","non-dropping-particle":"","parse-names":false,"suffix":""},{"dropping-particle":"","family":"Cryan","given":"J. F.","non-dropping-particle":"","parse-names":false,"suffix":""}],"container-title":"Neurogastroenterology and Motility","id":"ITEM-1","issue":"9","issued":{"date-parts":[["2013"]]},"page":"713-719","title":"Melancholic microbes: A link between gut microbiota and depression?","type":"article-journal","volume":"25"},"uris":["http://www.mendeley.com/documents/?uuid=127c601b-38f3-42fe-9960-30c347f0d2da"]},{"id":"ITEM-2","itemData":{"DOI":"10.1152/ajpgi.2001.280.3.G368","ISBN":"0193-1857","ISSN":"0193-1857","PMID":"11171619","abstract":"The effect of an intestinal microflora consisting of selected microbial species on myoelectric activity of small intestine was studied using germ-free rat models, with recording before and after specific intestinal colonization, in the unanesthetized state. Intestinal transit, neuropeptides in blood (RIA), and neuromessengers in the intestinal wall were determined. Clostridium tabificum vp 04 promoted regular spike burst activity, shown by a reduction of the migrating myoelectric complex (MMC) period from 30.5 +/- 3.9 min in the germ-free state to 21.2 +/- 0.14 min (P &lt; 0.01). Lactobacillus acidophilus A10 and Bifidobacterium bifidum B11 reduced the MMC period from 27.9 +/- 4.5 to 21.5 +/- 2.1 min (P &lt; 0.02) and accelerated small intestinal transit (P &lt; 0.05). Micrococcus luteus showed an inhibitory effect, with an MMC period of 35.9 +/- 9.3 min compared with 27.7 +/- 6.3 min in germ-free rats (P &lt; 0.01). Inhibition was indicated also for Escherichia coli X7 gnotobiotic rats. No consistent changes in slow wave frequency were observed. The concentration of neuropeptide Y in blood decreased after introduction of conventional intestinal microflora, suggesting reduced inhibitory control. Intestinal bacteria promote or suppress the initiation and aboral migration of the MMC depending on the species involved. Bacteria with primitive fermenting metabolism (anaerobes) emerge as important promoters of regular spike burst activity in small intestine.","author":[{"dropping-particle":"","family":"Husebye","given":"Einar","non-dropping-particle":"","parse-names":false,"suffix":""},{"dropping-particle":"","family":"Hellström","given":"Per M.","non-dropping-particle":"","parse-names":false,"suffix":""},{"dropping-particle":"","family":"Sundler","given":"Frank","non-dropping-particle":"","parse-names":false,"suffix":""},{"dropping-particle":"","family":"Chen","given":"Jie","non-dropping-particle":"","parse-names":false,"suffix":""},{"dropping-particle":"","family":"Midtvedt","given":"Tore","non-dropping-particle":"","parse-names":false,"suffix":""}],"container-title":"American Journal of Physiology-Gastrointestinal and Liver Physiology","id":"ITEM-2","issue":"3","issued":{"date-parts":[["2001"]]},"page":"G368-G380","title":"Influence of microbial species on small intestinal myoelectric activity and transit in germ-free rats","type":"article-journal","volume":"280"},"uris":["http://www.mendeley.com/documents/?uuid=d7207cda-9e5a-45ed-9876-4190da849ac8"]},{"id":"ITEM-3","itemData":{"DOI":"10.1053/gast.2002.36019","ISBN":"0016-5085 (Print)\\n0016-5085 (Linking)","ISSN":"00165085","PMID":"12360472","abstract":"Background &amp; Aims: Chronic psychological stress is an important factor in relapses of intestinal disorders, but it remains unclear if stress can induce primary gut inflammation in a previously healthy host. Methods: Mast cell-deficient (Ws/Ws) rats and wild-type control (+/+) rats were submitted to water avoidance stress or sham stress (1 h/day) for 10 consecutive days, as a model of ongoing life stress. Results: Both rat groups had similar systemic responses to stress, as assessed by changes in weight, corticosterone levels, and defecation. In +/+ rats, chronic stress induced barrier dysfunction in the ileum and colon (increased macromolecular permeability and depletion of mucus) and ultrastructural changes in epithelial cells (enlarged mitochondria and presence of autophagosomes) associated with bacterial adhesion and penetration into enterocytes. Moreover, hyperplasia and activation of mast cells, infiltration of neutrophils and mononuclear cells, and increased myeloperoxidase (MPO) activity were documented in the mucosa. In intestine of Ws/Ws rats, epithelial function and morphology were unchanged by chronic stress, bacterial-epithelial cell interaction was not demonstrated, and there was no evidence of inflammatory cell infiltration. Conclusions: These findings suggest that chronic psychological stress can be an initiating factor in intestinal inflammation by impairing mucosal defenses against luminal bacteria and highlight the importance of mast cells in this process.","author":[{"dropping-particle":"","family":"Söderholm","given":"Johan D.","non-dropping-particle":"","parse-names":false,"suffix":""},{"dropping-particle":"","family":"Yang","given":"Ping Chang","non-dropping-particle":"","parse-names":false,"suffix":""},{"dropping-particle":"","family":"Ceponis","given":"Peter","non-dropping-particle":"","parse-names":false,"suffix":""},{"dropping-particle":"","family":"Vohra","given":"Angeli","non-dropping-particle":"","parse-names":false,"suffix":""},{"dropping-particle":"","family":"Riddell","given":"Robert","non-dropping-particle":"","parse-names":false,"suffix":""},{"dropping-particle":"","family":"Sherman","given":"Philip M.","non-dropping-particle":"","parse-names":false,"suffix":""},{"dropping-particle":"","family":"Perdue","given":"Mary H.","non-dropping-particle":"","parse-names":false,"suffix":""}],"container-title":"Gastroenterology","id":"ITEM-3","issue":"4","issued":{"date-parts":[["2002"]]},"page":"1099-1108","title":"Chronic stress induces mast cell-dependent bacterial adherence and initiates mucosal inflammation in rat intestine","type":"article-journal","volume":"123"},"uris":["http://www.mendeley.com/documents/?uuid=44fdcdfc-e145-4b17-a6f8-45ce2ba7e358"]}],"mendeley":{"formattedCitation":"&lt;sup&gt;105–107&lt;/sup&gt;","plainTextFormattedCitation":"105–107","previouslyFormattedCitation":"(Husebye &lt;i&gt;et al.&lt;/i&gt; 2001, Söderholm &lt;i&gt;et al.&lt;/i&gt; 2002, Dinan &amp; Cryan 2013)"},"properties":{"noteIndex":0},"schema":"https://github.com/citation-style-language/schema/raw/master/csl-citation.json"}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105–107</w:t>
      </w:r>
      <w:r w:rsidRPr="00D23BF1">
        <w:rPr>
          <w:rFonts w:ascii="Times" w:eastAsia="Helvetica Neue" w:hAnsi="Times" w:cs="Helvetica Neue"/>
        </w:rPr>
        <w:fldChar w:fldCharType="end"/>
      </w:r>
      <w:r w:rsidRPr="00D23BF1">
        <w:rPr>
          <w:rFonts w:ascii="Times" w:eastAsia="Helvetica Neue" w:hAnsi="Times" w:cs="Helvetica Neue"/>
        </w:rPr>
        <w:t xml:space="preserve">, which in turn changes environmental conditions for bacterial communities. Noise can also change the way a bird forages, and changes in diet can shift gut bacterial communities </w:t>
      </w:r>
      <w:r w:rsidRPr="00D23BF1">
        <w:rPr>
          <w:rFonts w:ascii="Times" w:eastAsia="Helvetica Neue" w:hAnsi="Times" w:cs="Helvetica Neue"/>
        </w:rPr>
        <w:fldChar w:fldCharType="begin" w:fldLock="1"/>
      </w:r>
      <w:r w:rsidRPr="00D23BF1">
        <w:rPr>
          <w:rFonts w:ascii="Times" w:eastAsia="Helvetica Neue" w:hAnsi="Times" w:cs="Helvetica Neue"/>
        </w:rPr>
        <w:instrText>ADDIN CSL_CITATION {"citationItems":[{"id":"ITEM-1","itemData":{"DOI":"10.1038/ncomms5500","ISBN":"2041-1723","ISSN":"2041-1723","PMID":"25072318","abstract":"Vertebrates harbour diverse communities of symbiotic gut microbes. Host diet is known to alter microbiota composition, implying that dietary treatments might alleviate diseases arising from altered microbial composition ('dysbiosis'). However, it remains unclear whether diet effects are general or depend on host genotype. Here we show that gut microbiota composition depends on interactions between host diet and sex within populations of wild and laboratory fish, laboratory mice and humans. Within each of two natural fish populations (threespine stickleback and Eurasian perch), among-individual diet variation is correlated with individual differences in gut microbiota. However, these diet-microbiota associations are sex dependent. We document similar sex-specific diet-microbiota correlations in humans. Experimental diet manipulations in laboratory stickleback and mice confirmed that diet affects microbiota differently in males versus females. The prevalence of such genotype by environment (sex by diet) interactions implies that therapies to treat dysbiosis might have sex-specific effects.","author":[{"dropping-particle":"","family":"Bolnick","given":"Daniel I","non-dropping-particle":"","parse-names":false,"suffix":""},{"dropping-particle":"","family":"Snowberg","given":"Lisa K","non-dropping-particle":"","parse-names":false,"suffix":""},{"dropping-particle":"","family":"Hirsch","given":"Philipp E","non-dropping-particle":"","parse-names":false,"suffix":""},{"dropping-particle":"","family":"Lauber","given":"Christian L","non-dropping-particle":"","parse-names":false,"suffix":""},{"dropping-particle":"","family":"Org","given":"Elin","non-dropping-particle":"","parse-names":false,"suffix":""},{"dropping-particle":"","family":"Parks","given":"Brian","non-dropping-particle":"","parse-names":false,"suffix":""},{"dropping-particle":"","family":"Lusis","given":"Aldons J","non-dropping-particle":"","parse-names":false,"suffix":""},{"dropping-particle":"","family":"Knight","given":"Rob","non-dropping-particle":"","parse-names":false,"suffix":""},{"dropping-particle":"","family":"Caporaso","given":"J Gregory","non-dropping-particle":"","parse-names":false,"suffix":""},{"dropping-particle":"","family":"Svanbäck","given":"Richard","non-dropping-particle":"","parse-names":false,"suffix":""}],"container-title":"Nature communications","id":"ITEM-1","issued":{"date-parts":[["2014"]]},"page":"4500","title":"Individual diet has sex-dependent effects on vertebrate gut microbiota.","type":"article-journal","volume":"5"},"uris":["http://www.mendeley.com/documents/?uuid=58b1064e-d405-4033-9f0a-dfa37a654cb7"]},{"id":"ITEM-2","itemData":{"DOI":"10.1098/rspb.2019.2182","ISSN":"14712954","abstract":"Urban sprawl increasingly affects the ecology of natural populations, including host-microbiota interactions, with observed differences in the gut microbiota between urban and rural hosts. While different mechanisms could explain this pattern, dietary uptake constitutes a likely candidate. To assess the contribution of diet in explaining urban-rural variation in gut microbiota, we performed an aviary experiment in which urban and rural house sparrows were fed with mimics of urban or rural diets. Before the experiment, rural sparrows hosted more diverse gut communities, with a higher relative abundance of Enterococcaceae and Staphylococcaceae and lower abundance of genes involved in xenobiotic degradation and lipid metabolism than their urban counterparts. The experimental diets significantly altered gut microbiota α- and β-diversity and taxonomic composition, with the strongest shifts occurring in individuals exposed to contrasting diets. Overall, diet-induced shifts resembled initial differences between free-ranging urban and rural hosts. Furthermore, rural diet had a positive impact on urban host body mass but only in hosts with the highest initial gut diversity. Overall, our results indicate that diet constitutes an important factor contributing to differences in gut microbiota along the urbanization gradient and provide new insights on possible fitness consequences of a reduced gut diversity in urban settings.","author":[{"dropping-particle":"","family":"Teyssier","given":"Aimeric","non-dropping-particle":"","parse-names":false,"suffix":""},{"dropping-particle":"","family":"Matthysen","given":"Erik","non-dropping-particle":"","parse-names":false,"suffix":""},{"dropping-particle":"","family":"Hudin","given":"Noraine Salleh","non-dropping-particle":"","parse-names":false,"suffix":""},{"dropping-particle":"","family":"Neve","given":"Liesbeth","non-dropping-particle":"de","parse-names":false,"suffix":""},{"dropping-particle":"","family":"White","given":"Joël","non-dropping-particle":"","parse-names":false,"suffix":""},{"dropping-particle":"","family":"Lens","given":"Luc","non-dropping-particle":"","parse-names":false,"suffix":""}],"container-title":"Proceedings. Biological sciences","id":"ITEM-2","issue":"1920","issued":{"date-parts":[["2020"]]},"note":"for birds with significantly different diets this makes sense, I need to find out for sure whether wcsp have different diets, because despite different locations the microhabitat is somewhat similar","page":"20192182","title":"Diet contributes to urban-induced alterations in gut microbiota: experimental evidence from a wild passerine","type":"article-journal","volume":"287"},"uris":["http://www.mendeley.com/documents/?uuid=f5c7c019-3e67-44a3-9903-964c2a58c0d3"]},{"id":"ITEM-3","itemData":{"DOI":"10.1126/scitranslmed.3000322","ISBN":"1946-6242 (Electronic)\\n1946-6234 (Linking)","ISSN":"1946-6242","PMID":"20368178","abstract":"Diet and nutritional status are among the most important modifiable determinants of human health. The nutritional value of food is influenced in part by a person's gut microbial community (microbiota) and its component genes (microbiome). Unraveling the interrelations among diet, the structure and operations of the gut microbiota, and nutrient and energy harvest is confounded by variations in human environmental exposures, microbial ecology, and genotype. To help overcome these problems, we created a well-defined, representative animal model of the human gut ecosystem by transplanting fresh or frozen adult human fecal microbial communities into germ-free C57BL/6J mice. Culture-independent metagenomic analysis of the temporal, spatial, and intergenerational patterns of bacterial colonization showed that these humanized mice were stably and heritably colonized and reproduced much of the bacterial diversity of the donor's microbiota. Switching from a low-fat, plant polysaccharide-rich diet to a high-fat, high-sugar \"Western\" diet shifted the structure of the microbiota within a single day, changed the representation of metabolic pathways in the microbiome, and altered microbiome gene expression. Reciprocal transplants involving various combinations of donor and recipient diets revealed that colonization history influences the initial structure of the microbial community but that these effects can be rapidly altered by diet. Humanized mice fed the Western diet have increased adiposity; this trait is transmissible via microbiota transplantation. Humanized gnotobiotic mice will be useful for conducting proof-of-principle \"clinical trials\" that test the effects of environmental and genetic factors on the gut microbiota and host physiology. Nearly full-length 16S rRNA gene sequences are deposited in GenBank under the accession numbers GQ491120 to GQ493997.","author":[{"dropping-particle":"","family":"Turnbaugh","given":"Peter J","non-dropping-particle":"","parse-names":false,"suffix":""},{"dropping-particle":"","family":"Ridaura","given":"Vanessa K","non-dropping-particle":"","parse-names":false,"suffix":""},{"dropping-particle":"","family":"Faith","given":"Jeremiah J","non-dropping-particle":"","parse-names":false,"suffix":""},{"dropping-particle":"","family":"Rey","given":"Federico E","non-dropping-particle":"","parse-names":false,"suffix":""},{"dropping-particle":"","family":"Knight","given":"Rob","non-dropping-particle":"","parse-names":false,"suffix":""},{"dropping-particle":"","family":"Gordon","given":"Jeffrey I","non-dropping-particle":"","parse-names":false,"suffix":""}],"container-title":"Science translational medicine","id":"ITEM-3","issue":"6","issued":{"date-parts":[["2009"]]},"page":"6ra14","title":"The effect of diet on the human gut microbiome: a metagenomic analysis in humanized gnotobiotic mice.","type":"article-journal","volume":"1"},"uris":["http://www.mendeley.com/documents/?uuid=401e77e0-ceb3-4bd2-9a1b-9e01926314c8"]}],"mendeley":{"formattedCitation":"&lt;sup&gt;39,66,108&lt;/sup&gt;","plainTextFormattedCitation":"39,66,108","previouslyFormattedCitation":"(Turnbaugh &lt;i&gt;et al.&lt;/i&gt; 2009, Bolnick &lt;i&gt;et al.&lt;/i&gt; 2014b, Teyssier &lt;i&gt;et al.&lt;/i&gt; 2020)"},"properties":{"noteIndex":0},"schema":"https://github.com/citation-style-language/schema/raw/master/csl-citation.json"}</w:instrText>
      </w:r>
      <w:r w:rsidRPr="00D23BF1">
        <w:rPr>
          <w:rFonts w:ascii="Times" w:eastAsia="Helvetica Neue" w:hAnsi="Times" w:cs="Helvetica Neue"/>
        </w:rPr>
        <w:fldChar w:fldCharType="separate"/>
      </w:r>
      <w:r w:rsidRPr="00D23BF1">
        <w:rPr>
          <w:rFonts w:ascii="Times" w:eastAsia="Helvetica Neue" w:hAnsi="Times" w:cs="Helvetica Neue"/>
          <w:noProof/>
          <w:vertAlign w:val="superscript"/>
        </w:rPr>
        <w:t>39,66,108</w:t>
      </w:r>
      <w:r w:rsidRPr="00D23BF1">
        <w:rPr>
          <w:rFonts w:ascii="Times" w:eastAsia="Helvetica Neue" w:hAnsi="Times" w:cs="Helvetica Neue"/>
        </w:rPr>
        <w:fldChar w:fldCharType="end"/>
      </w:r>
      <w:r w:rsidRPr="00D23BF1">
        <w:rPr>
          <w:rFonts w:ascii="Times" w:eastAsia="Helvetica Neue" w:hAnsi="Times" w:cs="Helvetica Neue"/>
        </w:rPr>
        <w:t xml:space="preserve">. To determine the relative contribution of these two variables (stress hormones and feeding behavior), and the overall impact of noise, I experimentally tested these relationships. I used prolonged exposure to excessive noise as a source of stress due to its prevalence in wild white-crowned sparrow habitats, and measured stress hormones (plasma corticosterone) and feeding behavior as two potential mechanisms mediating the relationship between urban noise and the gut microbiome. In this study I was able to examine multiple potential </w:t>
      </w:r>
      <w:r w:rsidRPr="00D23BF1">
        <w:rPr>
          <w:rFonts w:ascii="Times" w:eastAsia="Helvetica Neue" w:hAnsi="Times" w:cs="Helvetica Neue"/>
        </w:rPr>
        <w:lastRenderedPageBreak/>
        <w:t>consequences of noise exposure on the avian gut microbiome as well as provide a framework for further experimental work in this field.</w:t>
      </w:r>
    </w:p>
    <w:p w14:paraId="2E6107F8" w14:textId="77777777" w:rsidR="00041ADB" w:rsidRPr="00D23BF1" w:rsidRDefault="00041ADB" w:rsidP="00F20BE1">
      <w:pPr>
        <w:rPr>
          <w:rFonts w:ascii="Times" w:eastAsia="Helvetica Neue" w:hAnsi="Times" w:cs="Helvetica Neue"/>
        </w:rPr>
      </w:pPr>
    </w:p>
    <w:p w14:paraId="5B7B9407" w14:textId="77777777" w:rsidR="00041ADB" w:rsidRPr="00D23BF1" w:rsidRDefault="00041ADB" w:rsidP="00F20BE1">
      <w:pPr>
        <w:rPr>
          <w:rFonts w:ascii="Times" w:eastAsia="Helvetica Neue" w:hAnsi="Times" w:cs="Helvetica Neue"/>
        </w:rPr>
      </w:pPr>
    </w:p>
    <w:p w14:paraId="2EEAAFB4" w14:textId="77777777" w:rsidR="00041ADB" w:rsidRPr="00D23BF1" w:rsidRDefault="00041ADB" w:rsidP="00F20BE1">
      <w:pPr>
        <w:pStyle w:val="Heading2"/>
        <w:rPr>
          <w:rFonts w:ascii="Times" w:hAnsi="Times"/>
        </w:rPr>
      </w:pPr>
      <w:bookmarkStart w:id="34" w:name="_Toc69393549"/>
      <w:bookmarkStart w:id="35" w:name="_Toc69396323"/>
      <w:bookmarkStart w:id="36" w:name="_Toc69396358"/>
      <w:bookmarkStart w:id="37" w:name="_Toc69396548"/>
      <w:bookmarkStart w:id="38" w:name="_Toc69972865"/>
      <w:r w:rsidRPr="00D23BF1">
        <w:rPr>
          <w:rFonts w:ascii="Times" w:hAnsi="Times"/>
        </w:rPr>
        <w:t>Intellectual Merit</w:t>
      </w:r>
      <w:bookmarkEnd w:id="34"/>
      <w:bookmarkEnd w:id="35"/>
      <w:bookmarkEnd w:id="36"/>
      <w:bookmarkEnd w:id="37"/>
      <w:bookmarkEnd w:id="38"/>
    </w:p>
    <w:p w14:paraId="7C635A17" w14:textId="77777777" w:rsidR="00041ADB" w:rsidRPr="00D23BF1" w:rsidRDefault="00041ADB" w:rsidP="00F20BE1">
      <w:pPr>
        <w:jc w:val="both"/>
        <w:rPr>
          <w:rFonts w:ascii="Times" w:eastAsia="Helvetica Neue" w:hAnsi="Times" w:cs="Helvetica Neue"/>
        </w:rPr>
      </w:pPr>
    </w:p>
    <w:p w14:paraId="0A840C0F" w14:textId="77777777" w:rsidR="00041ADB" w:rsidRPr="00D23BF1" w:rsidRDefault="00041ADB" w:rsidP="00F20BE1">
      <w:pPr>
        <w:jc w:val="both"/>
        <w:rPr>
          <w:rFonts w:ascii="Times" w:eastAsia="Helvetica Neue" w:hAnsi="Times" w:cs="Helvetica Neue"/>
        </w:rPr>
      </w:pPr>
      <w:r w:rsidRPr="00D23BF1">
        <w:rPr>
          <w:rFonts w:ascii="Times" w:eastAsia="Helvetica Neue" w:hAnsi="Times" w:cs="Helvetica Neue"/>
        </w:rPr>
        <w:t>My dissertation research provides important advances to the fields of microbial and urban ecology. Aim 1 provided the opportunity to implement and refine cutting edge research techniques such as non-lethal sampling of gut microbial communities. This information was needed for the quickly increasing number of studies that are examining avian gut microbial communities using non-lethal sampling techniques.  Aim 2 was the first to examine associations between noise pollution and the avian gut microbiome in wild populations. It also provided significant advances to the sparse literature regarding gut microbiomes of wild birds. Aim 3 was the first experimental test of how a key urban stressor (noise pollution) affects the gut microbial community. It advanced how we think about the impact of urbanization on animal health. Altogether, these studies advance our understanding of how human alterations of the landscape affect avian gut microbial communities and how we conduct research at the interface of gut microbial ecology and urban ecology.</w:t>
      </w:r>
    </w:p>
    <w:p w14:paraId="06CF5DEA" w14:textId="77777777" w:rsidR="00041ADB" w:rsidRPr="00D23BF1" w:rsidRDefault="00041ADB" w:rsidP="00F20BE1">
      <w:pPr>
        <w:jc w:val="both"/>
        <w:rPr>
          <w:rFonts w:ascii="Times" w:eastAsia="Helvetica Neue" w:hAnsi="Times" w:cs="Helvetica Neue"/>
        </w:rPr>
      </w:pPr>
    </w:p>
    <w:p w14:paraId="5C5291E7" w14:textId="77777777" w:rsidR="00041ADB" w:rsidRPr="00D23BF1" w:rsidRDefault="00041ADB" w:rsidP="00F20BE1">
      <w:pPr>
        <w:rPr>
          <w:rFonts w:ascii="Times" w:eastAsia="Helvetica Neue" w:hAnsi="Times" w:cs="Helvetica Neue"/>
        </w:rPr>
      </w:pPr>
      <w:r w:rsidRPr="00D23BF1">
        <w:rPr>
          <w:rFonts w:ascii="Times" w:eastAsia="Helvetica Neue" w:hAnsi="Times" w:cs="Helvetica Neue"/>
        </w:rPr>
        <w:br w:type="page"/>
      </w:r>
    </w:p>
    <w:p w14:paraId="66B43816" w14:textId="77777777" w:rsidR="00041ADB" w:rsidRPr="00D23BF1" w:rsidRDefault="00041ADB" w:rsidP="00F20BE1">
      <w:pPr>
        <w:jc w:val="both"/>
        <w:rPr>
          <w:rFonts w:ascii="Times" w:eastAsia="Helvetica Neue" w:hAnsi="Times" w:cs="Helvetica Neue"/>
        </w:rPr>
      </w:pPr>
    </w:p>
    <w:p w14:paraId="2AD896C9" w14:textId="77777777" w:rsidR="00041ADB" w:rsidRPr="00D23BF1" w:rsidRDefault="00041ADB" w:rsidP="00F20BE1">
      <w:pPr>
        <w:pStyle w:val="Heading2"/>
        <w:jc w:val="center"/>
        <w:rPr>
          <w:rFonts w:ascii="Times" w:hAnsi="Times"/>
          <w:b/>
          <w:bCs/>
          <w:u w:val="none"/>
        </w:rPr>
      </w:pPr>
      <w:bookmarkStart w:id="39" w:name="_Toc69393550"/>
      <w:bookmarkStart w:id="40" w:name="_Toc69396324"/>
      <w:bookmarkStart w:id="41" w:name="_Toc69396359"/>
      <w:bookmarkStart w:id="42" w:name="_Toc69396549"/>
      <w:bookmarkStart w:id="43" w:name="_Toc69397233"/>
      <w:bookmarkStart w:id="44" w:name="_Toc69972866"/>
      <w:r w:rsidRPr="00D23BF1">
        <w:rPr>
          <w:rFonts w:ascii="Times" w:hAnsi="Times"/>
          <w:b/>
          <w:bCs/>
          <w:u w:val="none"/>
        </w:rPr>
        <w:t>References</w:t>
      </w:r>
      <w:bookmarkEnd w:id="39"/>
      <w:bookmarkEnd w:id="40"/>
      <w:bookmarkEnd w:id="41"/>
      <w:bookmarkEnd w:id="42"/>
      <w:bookmarkEnd w:id="43"/>
      <w:bookmarkEnd w:id="44"/>
    </w:p>
    <w:p w14:paraId="521D5AFC" w14:textId="77777777" w:rsidR="00041ADB" w:rsidRPr="00D23BF1" w:rsidRDefault="00041ADB" w:rsidP="00F20BE1">
      <w:pPr>
        <w:widowControl w:val="0"/>
        <w:autoSpaceDE w:val="0"/>
        <w:autoSpaceDN w:val="0"/>
        <w:adjustRightInd w:val="0"/>
        <w:ind w:left="480"/>
        <w:rPr>
          <w:rFonts w:ascii="Times" w:eastAsia="Helvetica Neue" w:hAnsi="Times" w:cs="Helvetica Neue"/>
        </w:rPr>
      </w:pPr>
    </w:p>
    <w:p w14:paraId="4B3857B4"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eastAsia="Helvetica Neue" w:hAnsi="Times" w:cs="Helvetica Neue"/>
        </w:rPr>
        <w:fldChar w:fldCharType="begin" w:fldLock="1"/>
      </w:r>
      <w:r w:rsidRPr="00D23BF1">
        <w:rPr>
          <w:rFonts w:ascii="Times" w:eastAsia="Helvetica Neue" w:hAnsi="Times" w:cs="Helvetica Neue"/>
        </w:rPr>
        <w:instrText xml:space="preserve">ADDIN Mendeley Bibliography CSL_BIBLIOGRAPHY </w:instrText>
      </w:r>
      <w:r w:rsidRPr="00D23BF1">
        <w:rPr>
          <w:rFonts w:ascii="Times" w:eastAsia="Helvetica Neue" w:hAnsi="Times" w:cs="Helvetica Neue"/>
        </w:rPr>
        <w:fldChar w:fldCharType="separate"/>
      </w:r>
      <w:r w:rsidRPr="00D23BF1">
        <w:rPr>
          <w:rFonts w:ascii="Times" w:hAnsi="Times" w:cs="Times New Roman"/>
          <w:noProof/>
        </w:rPr>
        <w:t>1.</w:t>
      </w:r>
      <w:r w:rsidRPr="00D23BF1">
        <w:rPr>
          <w:rFonts w:ascii="Times" w:hAnsi="Times" w:cs="Times New Roman"/>
          <w:noProof/>
        </w:rPr>
        <w:tab/>
        <w:t xml:space="preserve">Grond, K., Sandercock, B. K., Jumpponen, A. &amp; Zeglin, L. H. The avian gut microbiota: community, physiology and function in wild birds. </w:t>
      </w:r>
      <w:r w:rsidRPr="00D23BF1">
        <w:rPr>
          <w:rFonts w:ascii="Times" w:hAnsi="Times" w:cs="Times New Roman"/>
          <w:i/>
          <w:iCs/>
          <w:noProof/>
        </w:rPr>
        <w:t>J. Avian Biol.</w:t>
      </w:r>
      <w:r w:rsidRPr="00D23BF1">
        <w:rPr>
          <w:rFonts w:ascii="Times" w:hAnsi="Times" w:cs="Times New Roman"/>
          <w:noProof/>
        </w:rPr>
        <w:t xml:space="preserve"> </w:t>
      </w:r>
      <w:r w:rsidRPr="00D23BF1">
        <w:rPr>
          <w:rFonts w:ascii="Times" w:hAnsi="Times" w:cs="Times New Roman"/>
          <w:b/>
          <w:bCs/>
          <w:noProof/>
        </w:rPr>
        <w:t>49</w:t>
      </w:r>
      <w:r w:rsidRPr="00D23BF1">
        <w:rPr>
          <w:rFonts w:ascii="Times" w:hAnsi="Times" w:cs="Times New Roman"/>
          <w:noProof/>
        </w:rPr>
        <w:t>, 1–19 (2018).</w:t>
      </w:r>
    </w:p>
    <w:p w14:paraId="4B896C4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w:t>
      </w:r>
      <w:r w:rsidRPr="00D23BF1">
        <w:rPr>
          <w:rFonts w:ascii="Times" w:hAnsi="Times" w:cs="Times New Roman"/>
          <w:noProof/>
        </w:rPr>
        <w:tab/>
        <w:t xml:space="preserve">Lyte, M. The microbial organ in the gut as a driver of homeostasis and disease. </w:t>
      </w:r>
      <w:r w:rsidRPr="00D23BF1">
        <w:rPr>
          <w:rFonts w:ascii="Times" w:hAnsi="Times" w:cs="Times New Roman"/>
          <w:i/>
          <w:iCs/>
          <w:noProof/>
        </w:rPr>
        <w:t>Med. Hypotheses</w:t>
      </w:r>
      <w:r w:rsidRPr="00D23BF1">
        <w:rPr>
          <w:rFonts w:ascii="Times" w:hAnsi="Times" w:cs="Times New Roman"/>
          <w:noProof/>
        </w:rPr>
        <w:t xml:space="preserve"> </w:t>
      </w:r>
      <w:r w:rsidRPr="00D23BF1">
        <w:rPr>
          <w:rFonts w:ascii="Times" w:hAnsi="Times" w:cs="Times New Roman"/>
          <w:b/>
          <w:bCs/>
          <w:noProof/>
        </w:rPr>
        <w:t>74</w:t>
      </w:r>
      <w:r w:rsidRPr="00D23BF1">
        <w:rPr>
          <w:rFonts w:ascii="Times" w:hAnsi="Times" w:cs="Times New Roman"/>
          <w:noProof/>
        </w:rPr>
        <w:t>, 634–638 (2010).</w:t>
      </w:r>
    </w:p>
    <w:p w14:paraId="720BE27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w:t>
      </w:r>
      <w:r w:rsidRPr="00D23BF1">
        <w:rPr>
          <w:rFonts w:ascii="Times" w:hAnsi="Times" w:cs="Times New Roman"/>
          <w:noProof/>
        </w:rPr>
        <w:tab/>
        <w:t xml:space="preserve">Trevelline, B. K., Fontaine, S. S., Hartup, B. K. &amp; Kohl, K. D. Conservation biology needs a microbial renaissance: A call for the consideration of host-associated microbiota in wildlife management practices. </w:t>
      </w:r>
      <w:r w:rsidRPr="00D23BF1">
        <w:rPr>
          <w:rFonts w:ascii="Times" w:hAnsi="Times" w:cs="Times New Roman"/>
          <w:i/>
          <w:iCs/>
          <w:noProof/>
        </w:rPr>
        <w:t>Proc. R. Soc. B Biol. Sci.</w:t>
      </w:r>
      <w:r w:rsidRPr="00D23BF1">
        <w:rPr>
          <w:rFonts w:ascii="Times" w:hAnsi="Times" w:cs="Times New Roman"/>
          <w:noProof/>
        </w:rPr>
        <w:t xml:space="preserve"> </w:t>
      </w:r>
      <w:r w:rsidRPr="00D23BF1">
        <w:rPr>
          <w:rFonts w:ascii="Times" w:hAnsi="Times" w:cs="Times New Roman"/>
          <w:b/>
          <w:bCs/>
          <w:noProof/>
        </w:rPr>
        <w:t>286</w:t>
      </w:r>
      <w:r w:rsidRPr="00D23BF1">
        <w:rPr>
          <w:rFonts w:ascii="Times" w:hAnsi="Times" w:cs="Times New Roman"/>
          <w:noProof/>
        </w:rPr>
        <w:t>, (2019).</w:t>
      </w:r>
    </w:p>
    <w:p w14:paraId="4CFBE70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w:t>
      </w:r>
      <w:r w:rsidRPr="00D23BF1">
        <w:rPr>
          <w:rFonts w:ascii="Times" w:hAnsi="Times" w:cs="Times New Roman"/>
          <w:noProof/>
        </w:rPr>
        <w:tab/>
        <w:t xml:space="preserve">Kurilshikov, A., Wijmenga, C., Fu, J. &amp; Zhernakova, A. Host Genetics and Gut Microbiome: Challenges and Perspectives. </w:t>
      </w:r>
      <w:r w:rsidRPr="00D23BF1">
        <w:rPr>
          <w:rFonts w:ascii="Times" w:hAnsi="Times" w:cs="Times New Roman"/>
          <w:i/>
          <w:iCs/>
          <w:noProof/>
        </w:rPr>
        <w:t>Trends Immunol.</w:t>
      </w:r>
      <w:r w:rsidRPr="00D23BF1">
        <w:rPr>
          <w:rFonts w:ascii="Times" w:hAnsi="Times" w:cs="Times New Roman"/>
          <w:noProof/>
        </w:rPr>
        <w:t xml:space="preserve"> </w:t>
      </w:r>
      <w:r w:rsidRPr="00D23BF1">
        <w:rPr>
          <w:rFonts w:ascii="Times" w:hAnsi="Times" w:cs="Times New Roman"/>
          <w:b/>
          <w:bCs/>
          <w:noProof/>
        </w:rPr>
        <w:t>38</w:t>
      </w:r>
      <w:r w:rsidRPr="00D23BF1">
        <w:rPr>
          <w:rFonts w:ascii="Times" w:hAnsi="Times" w:cs="Times New Roman"/>
          <w:noProof/>
        </w:rPr>
        <w:t>, 633–647 (2017).</w:t>
      </w:r>
    </w:p>
    <w:p w14:paraId="76DB558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w:t>
      </w:r>
      <w:r w:rsidRPr="00D23BF1">
        <w:rPr>
          <w:rFonts w:ascii="Times" w:hAnsi="Times" w:cs="Times New Roman"/>
          <w:noProof/>
        </w:rPr>
        <w:tab/>
        <w:t xml:space="preserve">Vlasova, A. N., Takanashi, S., Miyazaki, A., Rajashekara, G. &amp; Saif, L. J. How the gut microbiome regulates host immune responses to viral vaccines. </w:t>
      </w:r>
      <w:r w:rsidRPr="00D23BF1">
        <w:rPr>
          <w:rFonts w:ascii="Times" w:hAnsi="Times" w:cs="Times New Roman"/>
          <w:i/>
          <w:iCs/>
          <w:noProof/>
        </w:rPr>
        <w:t>Current Opinion in Virology</w:t>
      </w:r>
      <w:r w:rsidRPr="00D23BF1">
        <w:rPr>
          <w:rFonts w:ascii="Times" w:hAnsi="Times" w:cs="Times New Roman"/>
          <w:noProof/>
        </w:rPr>
        <w:t xml:space="preserve"> vol. 37 16–25 (2019).</w:t>
      </w:r>
    </w:p>
    <w:p w14:paraId="576E0A24"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w:t>
      </w:r>
      <w:r w:rsidRPr="00D23BF1">
        <w:rPr>
          <w:rFonts w:ascii="Times" w:hAnsi="Times" w:cs="Times New Roman"/>
          <w:noProof/>
        </w:rPr>
        <w:tab/>
        <w:t xml:space="preserve">Bailey, M. T., Walton, J. C., Dowd, S. E., Weil, Z. M. &amp; Nelson, R. J. Photoperiod modulates gut bacteria composition in male Siberian hamsters (Phodopus sungorus). </w:t>
      </w:r>
      <w:r w:rsidRPr="00D23BF1">
        <w:rPr>
          <w:rFonts w:ascii="Times" w:hAnsi="Times" w:cs="Times New Roman"/>
          <w:i/>
          <w:iCs/>
          <w:noProof/>
        </w:rPr>
        <w:t>Brain. Behav. Immun.</w:t>
      </w:r>
      <w:r w:rsidRPr="00D23BF1">
        <w:rPr>
          <w:rFonts w:ascii="Times" w:hAnsi="Times" w:cs="Times New Roman"/>
          <w:noProof/>
        </w:rPr>
        <w:t xml:space="preserve"> </w:t>
      </w:r>
      <w:r w:rsidRPr="00D23BF1">
        <w:rPr>
          <w:rFonts w:ascii="Times" w:hAnsi="Times" w:cs="Times New Roman"/>
          <w:b/>
          <w:bCs/>
          <w:noProof/>
        </w:rPr>
        <w:t>24</w:t>
      </w:r>
      <w:r w:rsidRPr="00D23BF1">
        <w:rPr>
          <w:rFonts w:ascii="Times" w:hAnsi="Times" w:cs="Times New Roman"/>
          <w:noProof/>
        </w:rPr>
        <w:t>, 577–584 (2010).</w:t>
      </w:r>
    </w:p>
    <w:p w14:paraId="3387F41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w:t>
      </w:r>
      <w:r w:rsidRPr="00D23BF1">
        <w:rPr>
          <w:rFonts w:ascii="Times" w:hAnsi="Times" w:cs="Times New Roman"/>
          <w:noProof/>
        </w:rPr>
        <w:tab/>
        <w:t xml:space="preserve">Forsythe, P., Sudo, N., Dinan, T., Taylor, V. H. &amp; Bienenstock, J. Mood and gut feelings. </w:t>
      </w:r>
      <w:r w:rsidRPr="00D23BF1">
        <w:rPr>
          <w:rFonts w:ascii="Times" w:hAnsi="Times" w:cs="Times New Roman"/>
          <w:i/>
          <w:iCs/>
          <w:noProof/>
        </w:rPr>
        <w:t>Brain. Behav. Immun.</w:t>
      </w:r>
      <w:r w:rsidRPr="00D23BF1">
        <w:rPr>
          <w:rFonts w:ascii="Times" w:hAnsi="Times" w:cs="Times New Roman"/>
          <w:noProof/>
        </w:rPr>
        <w:t xml:space="preserve"> </w:t>
      </w:r>
      <w:r w:rsidRPr="00D23BF1">
        <w:rPr>
          <w:rFonts w:ascii="Times" w:hAnsi="Times" w:cs="Times New Roman"/>
          <w:b/>
          <w:bCs/>
          <w:noProof/>
        </w:rPr>
        <w:t>24</w:t>
      </w:r>
      <w:r w:rsidRPr="00D23BF1">
        <w:rPr>
          <w:rFonts w:ascii="Times" w:hAnsi="Times" w:cs="Times New Roman"/>
          <w:noProof/>
        </w:rPr>
        <w:t>, 9–16 (2010).</w:t>
      </w:r>
    </w:p>
    <w:p w14:paraId="01AC47F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w:t>
      </w:r>
      <w:r w:rsidRPr="00D23BF1">
        <w:rPr>
          <w:rFonts w:ascii="Times" w:hAnsi="Times" w:cs="Times New Roman"/>
          <w:noProof/>
        </w:rPr>
        <w:tab/>
        <w:t xml:space="preserve">Neufeld, K. M., Kang, N., Bienenstock, J. &amp; Foster, J. a. Reduced anxiety-like behavior and central neurochemical change in germ-free mice. </w:t>
      </w:r>
      <w:r w:rsidRPr="00D23BF1">
        <w:rPr>
          <w:rFonts w:ascii="Times" w:hAnsi="Times" w:cs="Times New Roman"/>
          <w:i/>
          <w:iCs/>
          <w:noProof/>
        </w:rPr>
        <w:t>Neurogastroenterol. Motil.</w:t>
      </w:r>
      <w:r w:rsidRPr="00D23BF1">
        <w:rPr>
          <w:rFonts w:ascii="Times" w:hAnsi="Times" w:cs="Times New Roman"/>
          <w:noProof/>
        </w:rPr>
        <w:t xml:space="preserve"> </w:t>
      </w:r>
      <w:r w:rsidRPr="00D23BF1">
        <w:rPr>
          <w:rFonts w:ascii="Times" w:hAnsi="Times" w:cs="Times New Roman"/>
          <w:b/>
          <w:bCs/>
          <w:noProof/>
        </w:rPr>
        <w:t>23</w:t>
      </w:r>
      <w:r w:rsidRPr="00D23BF1">
        <w:rPr>
          <w:rFonts w:ascii="Times" w:hAnsi="Times" w:cs="Times New Roman"/>
          <w:noProof/>
        </w:rPr>
        <w:t>, 255-e119 (2011).</w:t>
      </w:r>
    </w:p>
    <w:p w14:paraId="4950886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w:t>
      </w:r>
      <w:r w:rsidRPr="00D23BF1">
        <w:rPr>
          <w:rFonts w:ascii="Times" w:hAnsi="Times" w:cs="Times New Roman"/>
          <w:noProof/>
        </w:rPr>
        <w:tab/>
        <w:t xml:space="preserve">Sih, A. Understanding variation in behavioural responses to human-induced rapid environmental change: a conceptual overview. </w:t>
      </w:r>
      <w:r w:rsidRPr="00D23BF1">
        <w:rPr>
          <w:rFonts w:ascii="Times" w:hAnsi="Times" w:cs="Times New Roman"/>
          <w:i/>
          <w:iCs/>
          <w:noProof/>
        </w:rPr>
        <w:t>Anim. Behav.</w:t>
      </w:r>
      <w:r w:rsidRPr="00D23BF1">
        <w:rPr>
          <w:rFonts w:ascii="Times" w:hAnsi="Times" w:cs="Times New Roman"/>
          <w:noProof/>
        </w:rPr>
        <w:t xml:space="preserve"> </w:t>
      </w:r>
      <w:r w:rsidRPr="00D23BF1">
        <w:rPr>
          <w:rFonts w:ascii="Times" w:hAnsi="Times" w:cs="Times New Roman"/>
          <w:b/>
          <w:bCs/>
          <w:noProof/>
        </w:rPr>
        <w:t>85</w:t>
      </w:r>
      <w:r w:rsidRPr="00D23BF1">
        <w:rPr>
          <w:rFonts w:ascii="Times" w:hAnsi="Times" w:cs="Times New Roman"/>
          <w:noProof/>
        </w:rPr>
        <w:t>, 1077–1088 (2013).</w:t>
      </w:r>
    </w:p>
    <w:p w14:paraId="318D6C1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10.</w:t>
      </w:r>
      <w:r w:rsidRPr="00D23BF1">
        <w:rPr>
          <w:rFonts w:ascii="Times" w:hAnsi="Times" w:cs="Times New Roman"/>
          <w:noProof/>
        </w:rPr>
        <w:tab/>
        <w:t xml:space="preserve">Ayeni, F. A. </w:t>
      </w:r>
      <w:r w:rsidRPr="00D23BF1">
        <w:rPr>
          <w:rFonts w:ascii="Times" w:hAnsi="Times" w:cs="Times New Roman"/>
          <w:i/>
          <w:iCs/>
          <w:noProof/>
        </w:rPr>
        <w:t>et al.</w:t>
      </w:r>
      <w:r w:rsidRPr="00D23BF1">
        <w:rPr>
          <w:rFonts w:ascii="Times" w:hAnsi="Times" w:cs="Times New Roman"/>
          <w:noProof/>
        </w:rPr>
        <w:t xml:space="preserve"> Infant and Adult Gut Microbiome and Metabolome in Rural Bassa and Urban Settlers from Nigeria. </w:t>
      </w:r>
      <w:r w:rsidRPr="00D23BF1">
        <w:rPr>
          <w:rFonts w:ascii="Times" w:hAnsi="Times" w:cs="Times New Roman"/>
          <w:i/>
          <w:iCs/>
          <w:noProof/>
        </w:rPr>
        <w:t>Cell Rep.</w:t>
      </w:r>
      <w:r w:rsidRPr="00D23BF1">
        <w:rPr>
          <w:rFonts w:ascii="Times" w:hAnsi="Times" w:cs="Times New Roman"/>
          <w:noProof/>
        </w:rPr>
        <w:t xml:space="preserve"> </w:t>
      </w:r>
      <w:r w:rsidRPr="00D23BF1">
        <w:rPr>
          <w:rFonts w:ascii="Times" w:hAnsi="Times" w:cs="Times New Roman"/>
          <w:b/>
          <w:bCs/>
          <w:noProof/>
        </w:rPr>
        <w:t>23</w:t>
      </w:r>
      <w:r w:rsidRPr="00D23BF1">
        <w:rPr>
          <w:rFonts w:ascii="Times" w:hAnsi="Times" w:cs="Times New Roman"/>
          <w:noProof/>
        </w:rPr>
        <w:t>, 3056–3067 (2018).</w:t>
      </w:r>
    </w:p>
    <w:p w14:paraId="1978F106"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11.</w:t>
      </w:r>
      <w:r w:rsidRPr="00D23BF1">
        <w:rPr>
          <w:rFonts w:ascii="Times" w:hAnsi="Times" w:cs="Times New Roman"/>
          <w:noProof/>
        </w:rPr>
        <w:tab/>
        <w:t xml:space="preserve">Berlow, M., Phillips, J. N. &amp; Derryberry, E. P. Effects of Urbanization and Landscape on Gut Microbiomes in White-Crowned Sparrows. </w:t>
      </w:r>
      <w:r w:rsidRPr="00D23BF1">
        <w:rPr>
          <w:rFonts w:ascii="Times" w:hAnsi="Times" w:cs="Times New Roman"/>
          <w:i/>
          <w:iCs/>
          <w:noProof/>
        </w:rPr>
        <w:t>Microb. Ecol.</w:t>
      </w:r>
      <w:r w:rsidRPr="00D23BF1">
        <w:rPr>
          <w:rFonts w:ascii="Times" w:hAnsi="Times" w:cs="Times New Roman"/>
          <w:noProof/>
        </w:rPr>
        <w:t xml:space="preserve"> (2020) doi:10.1007/s00248-020-01569-8.</w:t>
      </w:r>
    </w:p>
    <w:p w14:paraId="4FC322E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12.</w:t>
      </w:r>
      <w:r w:rsidRPr="00D23BF1">
        <w:rPr>
          <w:rFonts w:ascii="Times" w:hAnsi="Times" w:cs="Times New Roman"/>
          <w:noProof/>
        </w:rPr>
        <w:tab/>
        <w:t xml:space="preserve">Drovetski, S. V </w:t>
      </w:r>
      <w:r w:rsidRPr="00D23BF1">
        <w:rPr>
          <w:rFonts w:ascii="Times" w:hAnsi="Times" w:cs="Times New Roman"/>
          <w:i/>
          <w:iCs/>
          <w:noProof/>
        </w:rPr>
        <w:t>et al.</w:t>
      </w:r>
      <w:r w:rsidRPr="00D23BF1">
        <w:rPr>
          <w:rFonts w:ascii="Times" w:hAnsi="Times" w:cs="Times New Roman"/>
          <w:noProof/>
        </w:rPr>
        <w:t xml:space="preserve"> Spatial Organization of the Gastrointestinal Microbiota in Urban Canada Geese. 1–10 (2018) doi:10.1038/s41598-018-21892-y.</w:t>
      </w:r>
    </w:p>
    <w:p w14:paraId="0C1F132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13.</w:t>
      </w:r>
      <w:r w:rsidRPr="00D23BF1">
        <w:rPr>
          <w:rFonts w:ascii="Times" w:hAnsi="Times" w:cs="Times New Roman"/>
          <w:noProof/>
        </w:rPr>
        <w:tab/>
        <w:t xml:space="preserve">Gadau, A. </w:t>
      </w:r>
      <w:r w:rsidRPr="00D23BF1">
        <w:rPr>
          <w:rFonts w:ascii="Times" w:hAnsi="Times" w:cs="Times New Roman"/>
          <w:i/>
          <w:iCs/>
          <w:noProof/>
        </w:rPr>
        <w:t>et al.</w:t>
      </w:r>
      <w:r w:rsidRPr="00D23BF1">
        <w:rPr>
          <w:rFonts w:ascii="Times" w:hAnsi="Times" w:cs="Times New Roman"/>
          <w:noProof/>
        </w:rPr>
        <w:t xml:space="preserve"> A comparison of the nutritional physiology and gut microbiome of urban and rural house sparrows (Passer domesticus). </w:t>
      </w:r>
      <w:r w:rsidRPr="00D23BF1">
        <w:rPr>
          <w:rFonts w:ascii="Times" w:hAnsi="Times" w:cs="Times New Roman"/>
          <w:i/>
          <w:iCs/>
          <w:noProof/>
        </w:rPr>
        <w:t>Comp. Biochem. Physiol. Part B Biochem. Mol. Biol.</w:t>
      </w:r>
      <w:r w:rsidRPr="00D23BF1">
        <w:rPr>
          <w:rFonts w:ascii="Times" w:hAnsi="Times" w:cs="Times New Roman"/>
          <w:noProof/>
        </w:rPr>
        <w:t xml:space="preserve"> </w:t>
      </w:r>
      <w:r w:rsidRPr="00D23BF1">
        <w:rPr>
          <w:rFonts w:ascii="Times" w:hAnsi="Times" w:cs="Times New Roman"/>
          <w:b/>
          <w:bCs/>
          <w:noProof/>
        </w:rPr>
        <w:t>237</w:t>
      </w:r>
      <w:r w:rsidRPr="00D23BF1">
        <w:rPr>
          <w:rFonts w:ascii="Times" w:hAnsi="Times" w:cs="Times New Roman"/>
          <w:noProof/>
        </w:rPr>
        <w:t>, 110332 (2019).</w:t>
      </w:r>
    </w:p>
    <w:p w14:paraId="1F2F404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14.</w:t>
      </w:r>
      <w:r w:rsidRPr="00D23BF1">
        <w:rPr>
          <w:rFonts w:ascii="Times" w:hAnsi="Times" w:cs="Times New Roman"/>
          <w:noProof/>
        </w:rPr>
        <w:tab/>
        <w:t xml:space="preserve">Littleford-Colquhoun, B. L., Weyrich, L. S., Kent, N. &amp; Frere, C. H. City life alters the gut microbiome and stable isotope profiling of the eastern water dragon (Intellagama lesueurii). </w:t>
      </w:r>
      <w:r w:rsidRPr="00D23BF1">
        <w:rPr>
          <w:rFonts w:ascii="Times" w:hAnsi="Times" w:cs="Times New Roman"/>
          <w:i/>
          <w:iCs/>
          <w:noProof/>
        </w:rPr>
        <w:t>Mol. Ecol.</w:t>
      </w:r>
      <w:r w:rsidRPr="00D23BF1">
        <w:rPr>
          <w:rFonts w:ascii="Times" w:hAnsi="Times" w:cs="Times New Roman"/>
          <w:noProof/>
        </w:rPr>
        <w:t xml:space="preserve"> </w:t>
      </w:r>
      <w:r w:rsidRPr="00D23BF1">
        <w:rPr>
          <w:rFonts w:ascii="Times" w:hAnsi="Times" w:cs="Times New Roman"/>
          <w:b/>
          <w:bCs/>
          <w:noProof/>
        </w:rPr>
        <w:t>28</w:t>
      </w:r>
      <w:r w:rsidRPr="00D23BF1">
        <w:rPr>
          <w:rFonts w:ascii="Times" w:hAnsi="Times" w:cs="Times New Roman"/>
          <w:noProof/>
        </w:rPr>
        <w:t>, 4592–4607 (2019).</w:t>
      </w:r>
    </w:p>
    <w:p w14:paraId="72C092B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15.</w:t>
      </w:r>
      <w:r w:rsidRPr="00D23BF1">
        <w:rPr>
          <w:rFonts w:ascii="Times" w:hAnsi="Times" w:cs="Times New Roman"/>
          <w:noProof/>
        </w:rPr>
        <w:tab/>
        <w:t xml:space="preserve">Phillips, J. N., Berlow, M. &amp; Derryberry, E. P. The Effects of Landscape Urbanization on the Gut Microbiome: An Exploration Into the Gut of Urban and Rural White-Crowned Sparrows. </w:t>
      </w:r>
      <w:r w:rsidRPr="00D23BF1">
        <w:rPr>
          <w:rFonts w:ascii="Times" w:hAnsi="Times" w:cs="Times New Roman"/>
          <w:i/>
          <w:iCs/>
          <w:noProof/>
        </w:rPr>
        <w:t>Front. Ecol. Evol.</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(2018).</w:t>
      </w:r>
    </w:p>
    <w:p w14:paraId="60CA656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16.</w:t>
      </w:r>
      <w:r w:rsidRPr="00D23BF1">
        <w:rPr>
          <w:rFonts w:ascii="Times" w:hAnsi="Times" w:cs="Times New Roman"/>
          <w:noProof/>
        </w:rPr>
        <w:tab/>
        <w:t xml:space="preserve">Teyssier, A. </w:t>
      </w:r>
      <w:r w:rsidRPr="00D23BF1">
        <w:rPr>
          <w:rFonts w:ascii="Times" w:hAnsi="Times" w:cs="Times New Roman"/>
          <w:i/>
          <w:iCs/>
          <w:noProof/>
        </w:rPr>
        <w:t>et al.</w:t>
      </w:r>
      <w:r w:rsidRPr="00D23BF1">
        <w:rPr>
          <w:rFonts w:ascii="Times" w:hAnsi="Times" w:cs="Times New Roman"/>
          <w:noProof/>
        </w:rPr>
        <w:t xml:space="preserve"> Inside the guts of the city: Urban-induced alterations of the gut microbiota in a wild passerine. </w:t>
      </w:r>
      <w:r w:rsidRPr="00D23BF1">
        <w:rPr>
          <w:rFonts w:ascii="Times" w:hAnsi="Times" w:cs="Times New Roman"/>
          <w:i/>
          <w:iCs/>
          <w:noProof/>
        </w:rPr>
        <w:t>Sci. Total Environ.</w:t>
      </w:r>
      <w:r w:rsidRPr="00D23BF1">
        <w:rPr>
          <w:rFonts w:ascii="Times" w:hAnsi="Times" w:cs="Times New Roman"/>
          <w:noProof/>
        </w:rPr>
        <w:t xml:space="preserve"> </w:t>
      </w:r>
      <w:r w:rsidRPr="00D23BF1">
        <w:rPr>
          <w:rFonts w:ascii="Times" w:hAnsi="Times" w:cs="Times New Roman"/>
          <w:b/>
          <w:bCs/>
          <w:noProof/>
        </w:rPr>
        <w:t>612</w:t>
      </w:r>
      <w:r w:rsidRPr="00D23BF1">
        <w:rPr>
          <w:rFonts w:ascii="Times" w:hAnsi="Times" w:cs="Times New Roman"/>
          <w:noProof/>
        </w:rPr>
        <w:t>, 1276–1286 (2018).</w:t>
      </w:r>
    </w:p>
    <w:p w14:paraId="4FA10D4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17.</w:t>
      </w:r>
      <w:r w:rsidRPr="00D23BF1">
        <w:rPr>
          <w:rFonts w:ascii="Times" w:hAnsi="Times" w:cs="Times New Roman"/>
          <w:noProof/>
        </w:rPr>
        <w:tab/>
        <w:t xml:space="preserve">Sih, A., Ferrari, M. C. O. &amp; Harris, D. J. Evolution and behavioural responses to human-induced rapid environmental change. </w:t>
      </w:r>
      <w:r w:rsidRPr="00D23BF1">
        <w:rPr>
          <w:rFonts w:ascii="Times" w:hAnsi="Times" w:cs="Times New Roman"/>
          <w:i/>
          <w:iCs/>
          <w:noProof/>
        </w:rPr>
        <w:t>Evol. Appl.</w:t>
      </w:r>
      <w:r w:rsidRPr="00D23BF1">
        <w:rPr>
          <w:rFonts w:ascii="Times" w:hAnsi="Times" w:cs="Times New Roman"/>
          <w:noProof/>
        </w:rPr>
        <w:t xml:space="preserve"> </w:t>
      </w:r>
      <w:r w:rsidRPr="00D23BF1">
        <w:rPr>
          <w:rFonts w:ascii="Times" w:hAnsi="Times" w:cs="Times New Roman"/>
          <w:b/>
          <w:bCs/>
          <w:noProof/>
        </w:rPr>
        <w:t>4</w:t>
      </w:r>
      <w:r w:rsidRPr="00D23BF1">
        <w:rPr>
          <w:rFonts w:ascii="Times" w:hAnsi="Times" w:cs="Times New Roman"/>
          <w:noProof/>
        </w:rPr>
        <w:t>, 367–387 (2011).</w:t>
      </w:r>
    </w:p>
    <w:p w14:paraId="7087A6C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lastRenderedPageBreak/>
        <w:t>18.</w:t>
      </w:r>
      <w:r w:rsidRPr="00D23BF1">
        <w:rPr>
          <w:rFonts w:ascii="Times" w:hAnsi="Times" w:cs="Times New Roman"/>
          <w:noProof/>
        </w:rPr>
        <w:tab/>
        <w:t xml:space="preserve">Swaddle, J. P. </w:t>
      </w:r>
      <w:r w:rsidRPr="00D23BF1">
        <w:rPr>
          <w:rFonts w:ascii="Times" w:hAnsi="Times" w:cs="Times New Roman"/>
          <w:i/>
          <w:iCs/>
          <w:noProof/>
        </w:rPr>
        <w:t>et al.</w:t>
      </w:r>
      <w:r w:rsidRPr="00D23BF1">
        <w:rPr>
          <w:rFonts w:ascii="Times" w:hAnsi="Times" w:cs="Times New Roman"/>
          <w:noProof/>
        </w:rPr>
        <w:t xml:space="preserve"> A framework to assess evolutionary responses to anthropogenic light and sound. </w:t>
      </w:r>
      <w:r w:rsidRPr="00D23BF1">
        <w:rPr>
          <w:rFonts w:ascii="Times" w:hAnsi="Times" w:cs="Times New Roman"/>
          <w:i/>
          <w:iCs/>
          <w:noProof/>
        </w:rPr>
        <w:t>Trends Ecol. Evol.</w:t>
      </w:r>
      <w:r w:rsidRPr="00D23BF1">
        <w:rPr>
          <w:rFonts w:ascii="Times" w:hAnsi="Times" w:cs="Times New Roman"/>
          <w:noProof/>
        </w:rPr>
        <w:t xml:space="preserve"> </w:t>
      </w:r>
      <w:r w:rsidRPr="00D23BF1">
        <w:rPr>
          <w:rFonts w:ascii="Times" w:hAnsi="Times" w:cs="Times New Roman"/>
          <w:b/>
          <w:bCs/>
          <w:noProof/>
        </w:rPr>
        <w:t>30</w:t>
      </w:r>
      <w:r w:rsidRPr="00D23BF1">
        <w:rPr>
          <w:rFonts w:ascii="Times" w:hAnsi="Times" w:cs="Times New Roman"/>
          <w:noProof/>
        </w:rPr>
        <w:t>, 550–560 (2015).</w:t>
      </w:r>
    </w:p>
    <w:p w14:paraId="1F16D4E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19.</w:t>
      </w:r>
      <w:r w:rsidRPr="00D23BF1">
        <w:rPr>
          <w:rFonts w:ascii="Times" w:hAnsi="Times" w:cs="Times New Roman"/>
          <w:noProof/>
        </w:rPr>
        <w:tab/>
        <w:t xml:space="preserve">Lyte, M. Microbial Endocrinology in the Microbiome-Gut-Brain Axis: How Bacterial Production and Utilization of Neurochemicals Influence Behavior. </w:t>
      </w:r>
      <w:r w:rsidRPr="00D23BF1">
        <w:rPr>
          <w:rFonts w:ascii="Times" w:hAnsi="Times" w:cs="Times New Roman"/>
          <w:i/>
          <w:iCs/>
          <w:noProof/>
        </w:rPr>
        <w:t>PLoS Pathog.</w:t>
      </w:r>
      <w:r w:rsidRPr="00D23BF1">
        <w:rPr>
          <w:rFonts w:ascii="Times" w:hAnsi="Times" w:cs="Times New Roman"/>
          <w:noProof/>
        </w:rPr>
        <w:t xml:space="preserve"> </w:t>
      </w:r>
      <w:r w:rsidRPr="00D23BF1">
        <w:rPr>
          <w:rFonts w:ascii="Times" w:hAnsi="Times" w:cs="Times New Roman"/>
          <w:b/>
          <w:bCs/>
          <w:noProof/>
        </w:rPr>
        <w:t>9</w:t>
      </w:r>
      <w:r w:rsidRPr="00D23BF1">
        <w:rPr>
          <w:rFonts w:ascii="Times" w:hAnsi="Times" w:cs="Times New Roman"/>
          <w:noProof/>
        </w:rPr>
        <w:t>, 9–11 (2013).</w:t>
      </w:r>
    </w:p>
    <w:p w14:paraId="49F3427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20.</w:t>
      </w:r>
      <w:r w:rsidRPr="00D23BF1">
        <w:rPr>
          <w:rFonts w:ascii="Times" w:hAnsi="Times" w:cs="Times New Roman"/>
          <w:noProof/>
        </w:rPr>
        <w:tab/>
        <w:t xml:space="preserve">Bailly, J. </w:t>
      </w:r>
      <w:r w:rsidRPr="00D23BF1">
        <w:rPr>
          <w:rFonts w:ascii="Times" w:hAnsi="Times" w:cs="Times New Roman"/>
          <w:i/>
          <w:iCs/>
          <w:noProof/>
        </w:rPr>
        <w:t>et al.</w:t>
      </w:r>
      <w:r w:rsidRPr="00D23BF1">
        <w:rPr>
          <w:rFonts w:ascii="Times" w:hAnsi="Times" w:cs="Times New Roman"/>
          <w:noProof/>
        </w:rPr>
        <w:t xml:space="preserve"> Negative impact of urban habitat on immunity in the great tit Parus major. </w:t>
      </w:r>
      <w:r w:rsidRPr="00D23BF1">
        <w:rPr>
          <w:rFonts w:ascii="Times" w:hAnsi="Times" w:cs="Times New Roman"/>
          <w:i/>
          <w:iCs/>
          <w:noProof/>
        </w:rPr>
        <w:t>Oecologia</w:t>
      </w:r>
      <w:r w:rsidRPr="00D23BF1">
        <w:rPr>
          <w:rFonts w:ascii="Times" w:hAnsi="Times" w:cs="Times New Roman"/>
          <w:noProof/>
        </w:rPr>
        <w:t xml:space="preserve"> </w:t>
      </w:r>
      <w:r w:rsidRPr="00D23BF1">
        <w:rPr>
          <w:rFonts w:ascii="Times" w:hAnsi="Times" w:cs="Times New Roman"/>
          <w:b/>
          <w:bCs/>
          <w:noProof/>
        </w:rPr>
        <w:t>182</w:t>
      </w:r>
      <w:r w:rsidRPr="00D23BF1">
        <w:rPr>
          <w:rFonts w:ascii="Times" w:hAnsi="Times" w:cs="Times New Roman"/>
          <w:noProof/>
        </w:rPr>
        <w:t>, 1053–1062 (2016).</w:t>
      </w:r>
    </w:p>
    <w:p w14:paraId="1449BC2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21.</w:t>
      </w:r>
      <w:r w:rsidRPr="00D23BF1">
        <w:rPr>
          <w:rFonts w:ascii="Times" w:hAnsi="Times" w:cs="Times New Roman"/>
          <w:noProof/>
        </w:rPr>
        <w:tab/>
        <w:t xml:space="preserve">McKinney, M. L. Urbanization, Biodiversity, and Conservation. </w:t>
      </w:r>
      <w:r w:rsidRPr="00D23BF1">
        <w:rPr>
          <w:rFonts w:ascii="Times" w:hAnsi="Times" w:cs="Times New Roman"/>
          <w:i/>
          <w:iCs/>
          <w:noProof/>
        </w:rPr>
        <w:t>Bioscience</w:t>
      </w:r>
      <w:r w:rsidRPr="00D23BF1">
        <w:rPr>
          <w:rFonts w:ascii="Times" w:hAnsi="Times" w:cs="Times New Roman"/>
          <w:noProof/>
        </w:rPr>
        <w:t xml:space="preserve"> </w:t>
      </w:r>
      <w:r w:rsidRPr="00D23BF1">
        <w:rPr>
          <w:rFonts w:ascii="Times" w:hAnsi="Times" w:cs="Times New Roman"/>
          <w:b/>
          <w:bCs/>
          <w:noProof/>
        </w:rPr>
        <w:t>52</w:t>
      </w:r>
      <w:r w:rsidRPr="00D23BF1">
        <w:rPr>
          <w:rFonts w:ascii="Times" w:hAnsi="Times" w:cs="Times New Roman"/>
          <w:noProof/>
        </w:rPr>
        <w:t>, (2002).</w:t>
      </w:r>
    </w:p>
    <w:p w14:paraId="6BC4E83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22.</w:t>
      </w:r>
      <w:r w:rsidRPr="00D23BF1">
        <w:rPr>
          <w:rFonts w:ascii="Times" w:hAnsi="Times" w:cs="Times New Roman"/>
          <w:noProof/>
        </w:rPr>
        <w:tab/>
        <w:t xml:space="preserve">Mirzaei, M. K. &amp; Maurice, C. F. Ménage à trois in the human gut: Interactions between host, bacteria and phages. </w:t>
      </w:r>
      <w:r w:rsidRPr="00D23BF1">
        <w:rPr>
          <w:rFonts w:ascii="Times" w:hAnsi="Times" w:cs="Times New Roman"/>
          <w:i/>
          <w:iCs/>
          <w:noProof/>
        </w:rPr>
        <w:t>Nat. Rev. Microbiol.</w:t>
      </w:r>
      <w:r w:rsidRPr="00D23BF1">
        <w:rPr>
          <w:rFonts w:ascii="Times" w:hAnsi="Times" w:cs="Times New Roman"/>
          <w:noProof/>
        </w:rPr>
        <w:t xml:space="preserve"> </w:t>
      </w:r>
      <w:r w:rsidRPr="00D23BF1">
        <w:rPr>
          <w:rFonts w:ascii="Times" w:hAnsi="Times" w:cs="Times New Roman"/>
          <w:b/>
          <w:bCs/>
          <w:noProof/>
        </w:rPr>
        <w:t>15</w:t>
      </w:r>
      <w:r w:rsidRPr="00D23BF1">
        <w:rPr>
          <w:rFonts w:ascii="Times" w:hAnsi="Times" w:cs="Times New Roman"/>
          <w:noProof/>
        </w:rPr>
        <w:t>, 397–408 (2017).</w:t>
      </w:r>
    </w:p>
    <w:p w14:paraId="7C0E101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23.</w:t>
      </w:r>
      <w:r w:rsidRPr="00D23BF1">
        <w:rPr>
          <w:rFonts w:ascii="Times" w:hAnsi="Times" w:cs="Times New Roman"/>
          <w:noProof/>
        </w:rPr>
        <w:tab/>
        <w:t xml:space="preserve">Huseyin, C. E., O’Toole, P. W., Cotter, P. D. &amp; Scanlan, P. D. Forgotten fungi-the gut mycobiome in human health and disease. </w:t>
      </w:r>
      <w:r w:rsidRPr="00D23BF1">
        <w:rPr>
          <w:rFonts w:ascii="Times" w:hAnsi="Times" w:cs="Times New Roman"/>
          <w:i/>
          <w:iCs/>
          <w:noProof/>
        </w:rPr>
        <w:t>FEMS Microbiol. Rev.</w:t>
      </w:r>
      <w:r w:rsidRPr="00D23BF1">
        <w:rPr>
          <w:rFonts w:ascii="Times" w:hAnsi="Times" w:cs="Times New Roman"/>
          <w:noProof/>
        </w:rPr>
        <w:t xml:space="preserve"> </w:t>
      </w:r>
      <w:r w:rsidRPr="00D23BF1">
        <w:rPr>
          <w:rFonts w:ascii="Times" w:hAnsi="Times" w:cs="Times New Roman"/>
          <w:b/>
          <w:bCs/>
          <w:noProof/>
        </w:rPr>
        <w:t>41</w:t>
      </w:r>
      <w:r w:rsidRPr="00D23BF1">
        <w:rPr>
          <w:rFonts w:ascii="Times" w:hAnsi="Times" w:cs="Times New Roman"/>
          <w:noProof/>
        </w:rPr>
        <w:t>, 479–511 (2017).</w:t>
      </w:r>
    </w:p>
    <w:p w14:paraId="428D7CA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24.</w:t>
      </w:r>
      <w:r w:rsidRPr="00D23BF1">
        <w:rPr>
          <w:rFonts w:ascii="Times" w:hAnsi="Times" w:cs="Times New Roman"/>
          <w:noProof/>
        </w:rPr>
        <w:tab/>
        <w:t xml:space="preserve">Barnes, E. M. &amp; Mead, G. C. The avian intestinal flora with particular reference to the possible ecological significance of the cecal anaerobic bacteria. </w:t>
      </w:r>
      <w:r w:rsidRPr="00D23BF1">
        <w:rPr>
          <w:rFonts w:ascii="Times" w:hAnsi="Times" w:cs="Times New Roman"/>
          <w:i/>
          <w:iCs/>
          <w:noProof/>
        </w:rPr>
        <w:t>Am. J. Clin. Nutr.</w:t>
      </w:r>
      <w:r w:rsidRPr="00D23BF1">
        <w:rPr>
          <w:rFonts w:ascii="Times" w:hAnsi="Times" w:cs="Times New Roman"/>
          <w:noProof/>
        </w:rPr>
        <w:t xml:space="preserve"> </w:t>
      </w:r>
      <w:r w:rsidRPr="00D23BF1">
        <w:rPr>
          <w:rFonts w:ascii="Times" w:hAnsi="Times" w:cs="Times New Roman"/>
          <w:b/>
          <w:bCs/>
          <w:noProof/>
        </w:rPr>
        <w:t>25</w:t>
      </w:r>
      <w:r w:rsidRPr="00D23BF1">
        <w:rPr>
          <w:rFonts w:ascii="Times" w:hAnsi="Times" w:cs="Times New Roman"/>
          <w:noProof/>
        </w:rPr>
        <w:t>, 1475–1479 (1972).</w:t>
      </w:r>
    </w:p>
    <w:p w14:paraId="48F41B9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25.</w:t>
      </w:r>
      <w:r w:rsidRPr="00D23BF1">
        <w:rPr>
          <w:rFonts w:ascii="Times" w:hAnsi="Times" w:cs="Times New Roman"/>
          <w:noProof/>
        </w:rPr>
        <w:tab/>
        <w:t xml:space="preserve">McBee, R. H. Significance of intestinal microflora in herbivory. </w:t>
      </w:r>
      <w:r w:rsidRPr="00D23BF1">
        <w:rPr>
          <w:rFonts w:ascii="Times" w:hAnsi="Times" w:cs="Times New Roman"/>
          <w:i/>
          <w:iCs/>
          <w:noProof/>
        </w:rPr>
        <w:t>Annu. Rev. Ecol. Syst.</w:t>
      </w:r>
      <w:r w:rsidRPr="00D23BF1">
        <w:rPr>
          <w:rFonts w:ascii="Times" w:hAnsi="Times" w:cs="Times New Roman"/>
          <w:noProof/>
        </w:rPr>
        <w:t xml:space="preserve"> 165–176 (1971) doi:10.1146/annurev.es.02.110171.001121.</w:t>
      </w:r>
    </w:p>
    <w:p w14:paraId="57D237A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26.</w:t>
      </w:r>
      <w:r w:rsidRPr="00D23BF1">
        <w:rPr>
          <w:rFonts w:ascii="Times" w:hAnsi="Times" w:cs="Times New Roman"/>
          <w:noProof/>
        </w:rPr>
        <w:tab/>
        <w:t xml:space="preserve">Bergman, E. N. Energy contributions of volatile fatty acids from the gastrointestinal tract in various species. </w:t>
      </w:r>
      <w:r w:rsidRPr="00D23BF1">
        <w:rPr>
          <w:rFonts w:ascii="Times" w:hAnsi="Times" w:cs="Times New Roman"/>
          <w:i/>
          <w:iCs/>
          <w:noProof/>
        </w:rPr>
        <w:t>Physiol. Rev.</w:t>
      </w:r>
      <w:r w:rsidRPr="00D23BF1">
        <w:rPr>
          <w:rFonts w:ascii="Times" w:hAnsi="Times" w:cs="Times New Roman"/>
          <w:noProof/>
        </w:rPr>
        <w:t xml:space="preserve"> </w:t>
      </w:r>
      <w:r w:rsidRPr="00D23BF1">
        <w:rPr>
          <w:rFonts w:ascii="Times" w:hAnsi="Times" w:cs="Times New Roman"/>
          <w:b/>
          <w:bCs/>
          <w:noProof/>
        </w:rPr>
        <w:t>70</w:t>
      </w:r>
      <w:r w:rsidRPr="00D23BF1">
        <w:rPr>
          <w:rFonts w:ascii="Times" w:hAnsi="Times" w:cs="Times New Roman"/>
          <w:noProof/>
        </w:rPr>
        <w:t>, 567–590 (1990).</w:t>
      </w:r>
    </w:p>
    <w:p w14:paraId="36AEFC4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27.</w:t>
      </w:r>
      <w:r w:rsidRPr="00D23BF1">
        <w:rPr>
          <w:rFonts w:ascii="Times" w:hAnsi="Times" w:cs="Times New Roman"/>
          <w:noProof/>
        </w:rPr>
        <w:tab/>
        <w:t xml:space="preserve">Kohl, K. D., Weiss, R. B., Cox, J., Dale, C. &amp; Dearing, M. D. Gut microbes of mammalian herbivores facilitate intake of plant toxins. </w:t>
      </w:r>
      <w:r w:rsidRPr="00D23BF1">
        <w:rPr>
          <w:rFonts w:ascii="Times" w:hAnsi="Times" w:cs="Times New Roman"/>
          <w:i/>
          <w:iCs/>
          <w:noProof/>
        </w:rPr>
        <w:t>Ecol. Lett.</w:t>
      </w:r>
      <w:r w:rsidRPr="00D23BF1">
        <w:rPr>
          <w:rFonts w:ascii="Times" w:hAnsi="Times" w:cs="Times New Roman"/>
          <w:noProof/>
        </w:rPr>
        <w:t xml:space="preserve"> </w:t>
      </w:r>
      <w:r w:rsidRPr="00D23BF1">
        <w:rPr>
          <w:rFonts w:ascii="Times" w:hAnsi="Times" w:cs="Times New Roman"/>
          <w:b/>
          <w:bCs/>
          <w:noProof/>
        </w:rPr>
        <w:t>17</w:t>
      </w:r>
      <w:r w:rsidRPr="00D23BF1">
        <w:rPr>
          <w:rFonts w:ascii="Times" w:hAnsi="Times" w:cs="Times New Roman"/>
          <w:noProof/>
        </w:rPr>
        <w:t>, 1238–1246 (2014).</w:t>
      </w:r>
    </w:p>
    <w:p w14:paraId="7211297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28.</w:t>
      </w:r>
      <w:r w:rsidRPr="00D23BF1">
        <w:rPr>
          <w:rFonts w:ascii="Times" w:hAnsi="Times" w:cs="Times New Roman"/>
          <w:noProof/>
        </w:rPr>
        <w:tab/>
        <w:t xml:space="preserve">Sundset, M. A. </w:t>
      </w:r>
      <w:r w:rsidRPr="00D23BF1">
        <w:rPr>
          <w:rFonts w:ascii="Times" w:hAnsi="Times" w:cs="Times New Roman"/>
          <w:i/>
          <w:iCs/>
          <w:noProof/>
        </w:rPr>
        <w:t>et al.</w:t>
      </w:r>
      <w:r w:rsidRPr="00D23BF1">
        <w:rPr>
          <w:rFonts w:ascii="Times" w:hAnsi="Times" w:cs="Times New Roman"/>
          <w:noProof/>
        </w:rPr>
        <w:t xml:space="preserve"> Microbial degradation of usnic acid in the reindeer rumen. </w:t>
      </w:r>
      <w:r w:rsidRPr="00D23BF1">
        <w:rPr>
          <w:rFonts w:ascii="Times" w:hAnsi="Times" w:cs="Times New Roman"/>
          <w:i/>
          <w:iCs/>
          <w:noProof/>
        </w:rPr>
        <w:t>Naturwissenschaften</w:t>
      </w:r>
      <w:r w:rsidRPr="00D23BF1">
        <w:rPr>
          <w:rFonts w:ascii="Times" w:hAnsi="Times" w:cs="Times New Roman"/>
          <w:noProof/>
        </w:rPr>
        <w:t xml:space="preserve"> </w:t>
      </w:r>
      <w:r w:rsidRPr="00D23BF1">
        <w:rPr>
          <w:rFonts w:ascii="Times" w:hAnsi="Times" w:cs="Times New Roman"/>
          <w:b/>
          <w:bCs/>
          <w:noProof/>
        </w:rPr>
        <w:t>97</w:t>
      </w:r>
      <w:r w:rsidRPr="00D23BF1">
        <w:rPr>
          <w:rFonts w:ascii="Times" w:hAnsi="Times" w:cs="Times New Roman"/>
          <w:noProof/>
        </w:rPr>
        <w:t>, 273–278 (2010).</w:t>
      </w:r>
    </w:p>
    <w:p w14:paraId="1771069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29.</w:t>
      </w:r>
      <w:r w:rsidRPr="00D23BF1">
        <w:rPr>
          <w:rFonts w:ascii="Times" w:hAnsi="Times" w:cs="Times New Roman"/>
          <w:noProof/>
        </w:rPr>
        <w:tab/>
        <w:t xml:space="preserve">Neis, E. P. J. G., Dejong, C. H. C. &amp; Rensen, S. S. The role of microbial amino acid metabolism in host metabolism. </w:t>
      </w:r>
      <w:r w:rsidRPr="00D23BF1">
        <w:rPr>
          <w:rFonts w:ascii="Times" w:hAnsi="Times" w:cs="Times New Roman"/>
          <w:i/>
          <w:iCs/>
          <w:noProof/>
        </w:rPr>
        <w:t>Nutrients</w:t>
      </w:r>
      <w:r w:rsidRPr="00D23BF1">
        <w:rPr>
          <w:rFonts w:ascii="Times" w:hAnsi="Times" w:cs="Times New Roman"/>
          <w:noProof/>
        </w:rPr>
        <w:t xml:space="preserve"> </w:t>
      </w:r>
      <w:r w:rsidRPr="00D23BF1">
        <w:rPr>
          <w:rFonts w:ascii="Times" w:hAnsi="Times" w:cs="Times New Roman"/>
          <w:b/>
          <w:bCs/>
          <w:noProof/>
        </w:rPr>
        <w:t>7</w:t>
      </w:r>
      <w:r w:rsidRPr="00D23BF1">
        <w:rPr>
          <w:rFonts w:ascii="Times" w:hAnsi="Times" w:cs="Times New Roman"/>
          <w:noProof/>
        </w:rPr>
        <w:t>, 2930–2946 (2015).</w:t>
      </w:r>
    </w:p>
    <w:p w14:paraId="661582A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30.</w:t>
      </w:r>
      <w:r w:rsidRPr="00D23BF1">
        <w:rPr>
          <w:rFonts w:ascii="Times" w:hAnsi="Times" w:cs="Times New Roman"/>
          <w:noProof/>
        </w:rPr>
        <w:tab/>
        <w:t xml:space="preserve">Bailey, M. T. </w:t>
      </w:r>
      <w:r w:rsidRPr="00D23BF1">
        <w:rPr>
          <w:rFonts w:ascii="Times" w:hAnsi="Times" w:cs="Times New Roman"/>
          <w:i/>
          <w:iCs/>
          <w:noProof/>
        </w:rPr>
        <w:t>et al.</w:t>
      </w:r>
      <w:r w:rsidRPr="00D23BF1">
        <w:rPr>
          <w:rFonts w:ascii="Times" w:hAnsi="Times" w:cs="Times New Roman"/>
          <w:noProof/>
        </w:rPr>
        <w:t xml:space="preserve"> Stressor exposure disrupts commensal microbial populations in the intestines and leads to increased colonization by Citrobacter rodentium. </w:t>
      </w:r>
      <w:r w:rsidRPr="00D23BF1">
        <w:rPr>
          <w:rFonts w:ascii="Times" w:hAnsi="Times" w:cs="Times New Roman"/>
          <w:i/>
          <w:iCs/>
          <w:noProof/>
        </w:rPr>
        <w:t>Infect. Immun.</w:t>
      </w:r>
      <w:r w:rsidRPr="00D23BF1">
        <w:rPr>
          <w:rFonts w:ascii="Times" w:hAnsi="Times" w:cs="Times New Roman"/>
          <w:noProof/>
        </w:rPr>
        <w:t xml:space="preserve"> </w:t>
      </w:r>
      <w:r w:rsidRPr="00D23BF1">
        <w:rPr>
          <w:rFonts w:ascii="Times" w:hAnsi="Times" w:cs="Times New Roman"/>
          <w:b/>
          <w:bCs/>
          <w:noProof/>
        </w:rPr>
        <w:t>78</w:t>
      </w:r>
      <w:r w:rsidRPr="00D23BF1">
        <w:rPr>
          <w:rFonts w:ascii="Times" w:hAnsi="Times" w:cs="Times New Roman"/>
          <w:noProof/>
        </w:rPr>
        <w:t>, 1509–1519 (2010).</w:t>
      </w:r>
    </w:p>
    <w:p w14:paraId="624301C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31.</w:t>
      </w:r>
      <w:r w:rsidRPr="00D23BF1">
        <w:rPr>
          <w:rFonts w:ascii="Times" w:hAnsi="Times" w:cs="Times New Roman"/>
          <w:noProof/>
        </w:rPr>
        <w:tab/>
        <w:t xml:space="preserve">Umesaki, Y. &amp; Setoyama, H. Structure of the intestinal flora responsible for development of the gut immune system in a rodent model. </w:t>
      </w:r>
      <w:r w:rsidRPr="00D23BF1">
        <w:rPr>
          <w:rFonts w:ascii="Times" w:hAnsi="Times" w:cs="Times New Roman"/>
          <w:i/>
          <w:iCs/>
          <w:noProof/>
        </w:rPr>
        <w:t>Microbes Infect.</w:t>
      </w:r>
      <w:r w:rsidRPr="00D23BF1">
        <w:rPr>
          <w:rFonts w:ascii="Times" w:hAnsi="Times" w:cs="Times New Roman"/>
          <w:noProof/>
        </w:rPr>
        <w:t xml:space="preserve"> </w:t>
      </w:r>
      <w:r w:rsidRPr="00D23BF1">
        <w:rPr>
          <w:rFonts w:ascii="Times" w:hAnsi="Times" w:cs="Times New Roman"/>
          <w:b/>
          <w:bCs/>
          <w:noProof/>
        </w:rPr>
        <w:t>2</w:t>
      </w:r>
      <w:r w:rsidRPr="00D23BF1">
        <w:rPr>
          <w:rFonts w:ascii="Times" w:hAnsi="Times" w:cs="Times New Roman"/>
          <w:noProof/>
        </w:rPr>
        <w:t>, 1343–1351 (2000).</w:t>
      </w:r>
    </w:p>
    <w:p w14:paraId="3FA94FA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32.</w:t>
      </w:r>
      <w:r w:rsidRPr="00D23BF1">
        <w:rPr>
          <w:rFonts w:ascii="Times" w:hAnsi="Times" w:cs="Times New Roman"/>
          <w:noProof/>
        </w:rPr>
        <w:tab/>
        <w:t xml:space="preserve">Bercik, P. </w:t>
      </w:r>
      <w:r w:rsidRPr="00D23BF1">
        <w:rPr>
          <w:rFonts w:ascii="Times" w:hAnsi="Times" w:cs="Times New Roman"/>
          <w:i/>
          <w:iCs/>
          <w:noProof/>
        </w:rPr>
        <w:t>et al.</w:t>
      </w:r>
      <w:r w:rsidRPr="00D23BF1">
        <w:rPr>
          <w:rFonts w:ascii="Times" w:hAnsi="Times" w:cs="Times New Roman"/>
          <w:noProof/>
        </w:rPr>
        <w:t xml:space="preserve"> The Intestinal Microbiota Affect Central Levels of Brain-Derived Neurotropic Factor and Behavior in Mice. </w:t>
      </w:r>
      <w:r w:rsidRPr="00D23BF1">
        <w:rPr>
          <w:rFonts w:ascii="Times" w:hAnsi="Times" w:cs="Times New Roman"/>
          <w:i/>
          <w:iCs/>
          <w:noProof/>
        </w:rPr>
        <w:t>Gastroenterology</w:t>
      </w:r>
      <w:r w:rsidRPr="00D23BF1">
        <w:rPr>
          <w:rFonts w:ascii="Times" w:hAnsi="Times" w:cs="Times New Roman"/>
          <w:noProof/>
        </w:rPr>
        <w:t xml:space="preserve"> </w:t>
      </w:r>
      <w:r w:rsidRPr="00D23BF1">
        <w:rPr>
          <w:rFonts w:ascii="Times" w:hAnsi="Times" w:cs="Times New Roman"/>
          <w:b/>
          <w:bCs/>
          <w:noProof/>
        </w:rPr>
        <w:t>141</w:t>
      </w:r>
      <w:r w:rsidRPr="00D23BF1">
        <w:rPr>
          <w:rFonts w:ascii="Times" w:hAnsi="Times" w:cs="Times New Roman"/>
          <w:noProof/>
        </w:rPr>
        <w:t>, 599-609.e3 (2011).</w:t>
      </w:r>
    </w:p>
    <w:p w14:paraId="5D623B6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33.</w:t>
      </w:r>
      <w:r w:rsidRPr="00D23BF1">
        <w:rPr>
          <w:rFonts w:ascii="Times" w:hAnsi="Times" w:cs="Times New Roman"/>
          <w:noProof/>
        </w:rPr>
        <w:tab/>
        <w:t xml:space="preserve">Bravo, J. A. </w:t>
      </w:r>
      <w:r w:rsidRPr="00D23BF1">
        <w:rPr>
          <w:rFonts w:ascii="Times" w:hAnsi="Times" w:cs="Times New Roman"/>
          <w:i/>
          <w:iCs/>
          <w:noProof/>
        </w:rPr>
        <w:t>et al.</w:t>
      </w:r>
      <w:r w:rsidRPr="00D23BF1">
        <w:rPr>
          <w:rFonts w:ascii="Times" w:hAnsi="Times" w:cs="Times New Roman"/>
          <w:noProof/>
        </w:rPr>
        <w:t xml:space="preserve"> Communication between gastrointestinal bacteria and the nervous system. </w:t>
      </w:r>
      <w:r w:rsidRPr="00D23BF1">
        <w:rPr>
          <w:rFonts w:ascii="Times" w:hAnsi="Times" w:cs="Times New Roman"/>
          <w:i/>
          <w:iCs/>
          <w:noProof/>
        </w:rPr>
        <w:t>Curr. Opin. Pharmacol.</w:t>
      </w:r>
      <w:r w:rsidRPr="00D23BF1">
        <w:rPr>
          <w:rFonts w:ascii="Times" w:hAnsi="Times" w:cs="Times New Roman"/>
          <w:noProof/>
        </w:rPr>
        <w:t xml:space="preserve"> </w:t>
      </w:r>
      <w:r w:rsidRPr="00D23BF1">
        <w:rPr>
          <w:rFonts w:ascii="Times" w:hAnsi="Times" w:cs="Times New Roman"/>
          <w:b/>
          <w:bCs/>
          <w:noProof/>
        </w:rPr>
        <w:t>12</w:t>
      </w:r>
      <w:r w:rsidRPr="00D23BF1">
        <w:rPr>
          <w:rFonts w:ascii="Times" w:hAnsi="Times" w:cs="Times New Roman"/>
          <w:noProof/>
        </w:rPr>
        <w:t>, 667–672 (2012).</w:t>
      </w:r>
    </w:p>
    <w:p w14:paraId="1C8E721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34.</w:t>
      </w:r>
      <w:r w:rsidRPr="00D23BF1">
        <w:rPr>
          <w:rFonts w:ascii="Times" w:hAnsi="Times" w:cs="Times New Roman"/>
          <w:noProof/>
        </w:rPr>
        <w:tab/>
        <w:t xml:space="preserve">Foster, J. a. &amp; McVey Neufeld, K. A. Gut-brain axis: How the microbiome influences anxiety and depression. </w:t>
      </w:r>
      <w:r w:rsidRPr="00D23BF1">
        <w:rPr>
          <w:rFonts w:ascii="Times" w:hAnsi="Times" w:cs="Times New Roman"/>
          <w:i/>
          <w:iCs/>
          <w:noProof/>
        </w:rPr>
        <w:t>Trends Neurosci.</w:t>
      </w:r>
      <w:r w:rsidRPr="00D23BF1">
        <w:rPr>
          <w:rFonts w:ascii="Times" w:hAnsi="Times" w:cs="Times New Roman"/>
          <w:noProof/>
        </w:rPr>
        <w:t xml:space="preserve"> </w:t>
      </w:r>
      <w:r w:rsidRPr="00D23BF1">
        <w:rPr>
          <w:rFonts w:ascii="Times" w:hAnsi="Times" w:cs="Times New Roman"/>
          <w:b/>
          <w:bCs/>
          <w:noProof/>
        </w:rPr>
        <w:t>36</w:t>
      </w:r>
      <w:r w:rsidRPr="00D23BF1">
        <w:rPr>
          <w:rFonts w:ascii="Times" w:hAnsi="Times" w:cs="Times New Roman"/>
          <w:noProof/>
        </w:rPr>
        <w:t>, 305–312 (2013).</w:t>
      </w:r>
    </w:p>
    <w:p w14:paraId="1FBB4CE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35.</w:t>
      </w:r>
      <w:r w:rsidRPr="00D23BF1">
        <w:rPr>
          <w:rFonts w:ascii="Times" w:hAnsi="Times" w:cs="Times New Roman"/>
          <w:noProof/>
        </w:rPr>
        <w:tab/>
        <w:t xml:space="preserve">Sudo, N. </w:t>
      </w:r>
      <w:r w:rsidRPr="00D23BF1">
        <w:rPr>
          <w:rFonts w:ascii="Times" w:hAnsi="Times" w:cs="Times New Roman"/>
          <w:i/>
          <w:iCs/>
          <w:noProof/>
        </w:rPr>
        <w:t>et al.</w:t>
      </w:r>
      <w:r w:rsidRPr="00D23BF1">
        <w:rPr>
          <w:rFonts w:ascii="Times" w:hAnsi="Times" w:cs="Times New Roman"/>
          <w:noProof/>
        </w:rPr>
        <w:t xml:space="preserve"> Postnatal microbial colonization programs the hypothalamic-pituitary-adrenal system for stress response in mice. </w:t>
      </w:r>
      <w:r w:rsidRPr="00D23BF1">
        <w:rPr>
          <w:rFonts w:ascii="Times" w:hAnsi="Times" w:cs="Times New Roman"/>
          <w:i/>
          <w:iCs/>
          <w:noProof/>
        </w:rPr>
        <w:t>J. Physiol.</w:t>
      </w:r>
      <w:r w:rsidRPr="00D23BF1">
        <w:rPr>
          <w:rFonts w:ascii="Times" w:hAnsi="Times" w:cs="Times New Roman"/>
          <w:noProof/>
        </w:rPr>
        <w:t xml:space="preserve"> </w:t>
      </w:r>
      <w:r w:rsidRPr="00D23BF1">
        <w:rPr>
          <w:rFonts w:ascii="Times" w:hAnsi="Times" w:cs="Times New Roman"/>
          <w:b/>
          <w:bCs/>
          <w:noProof/>
        </w:rPr>
        <w:t>558</w:t>
      </w:r>
      <w:r w:rsidRPr="00D23BF1">
        <w:rPr>
          <w:rFonts w:ascii="Times" w:hAnsi="Times" w:cs="Times New Roman"/>
          <w:noProof/>
        </w:rPr>
        <w:t>, 263–275 (2004).</w:t>
      </w:r>
    </w:p>
    <w:p w14:paraId="6F82C38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36.</w:t>
      </w:r>
      <w:r w:rsidRPr="00D23BF1">
        <w:rPr>
          <w:rFonts w:ascii="Times" w:hAnsi="Times" w:cs="Times New Roman"/>
          <w:noProof/>
        </w:rPr>
        <w:tab/>
        <w:t xml:space="preserve">Ezenwa, V. O., Gerardo, N. M., Inouye, D. W., Medina, M. &amp; Xavier, J. B. Animal behavior and the microbiome. </w:t>
      </w:r>
      <w:r w:rsidRPr="00D23BF1">
        <w:rPr>
          <w:rFonts w:ascii="Times" w:hAnsi="Times" w:cs="Times New Roman"/>
          <w:i/>
          <w:iCs/>
          <w:noProof/>
        </w:rPr>
        <w:t>Science (80-. ).</w:t>
      </w:r>
      <w:r w:rsidRPr="00D23BF1">
        <w:rPr>
          <w:rFonts w:ascii="Times" w:hAnsi="Times" w:cs="Times New Roman"/>
          <w:noProof/>
        </w:rPr>
        <w:t xml:space="preserve"> </w:t>
      </w:r>
      <w:r w:rsidRPr="00D23BF1">
        <w:rPr>
          <w:rFonts w:ascii="Times" w:hAnsi="Times" w:cs="Times New Roman"/>
          <w:b/>
          <w:bCs/>
          <w:noProof/>
        </w:rPr>
        <w:t>338</w:t>
      </w:r>
      <w:r w:rsidRPr="00D23BF1">
        <w:rPr>
          <w:rFonts w:ascii="Times" w:hAnsi="Times" w:cs="Times New Roman"/>
          <w:noProof/>
        </w:rPr>
        <w:t>, 198–199 (2012).</w:t>
      </w:r>
    </w:p>
    <w:p w14:paraId="06945BC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37.</w:t>
      </w:r>
      <w:r w:rsidRPr="00D23BF1">
        <w:rPr>
          <w:rFonts w:ascii="Times" w:hAnsi="Times" w:cs="Times New Roman"/>
          <w:noProof/>
        </w:rPr>
        <w:tab/>
        <w:t xml:space="preserve">Li, W., Dowd, S. E., Scurlock, B., Acosta-Martinez, V. &amp; Lyte, M. Memory and learning behavior in mice is temporally associated with diet-induced alterations in gut bacteria. </w:t>
      </w:r>
      <w:r w:rsidRPr="00D23BF1">
        <w:rPr>
          <w:rFonts w:ascii="Times" w:hAnsi="Times" w:cs="Times New Roman"/>
          <w:i/>
          <w:iCs/>
          <w:noProof/>
        </w:rPr>
        <w:t>Physiol. Behav.</w:t>
      </w:r>
      <w:r w:rsidRPr="00D23BF1">
        <w:rPr>
          <w:rFonts w:ascii="Times" w:hAnsi="Times" w:cs="Times New Roman"/>
          <w:noProof/>
        </w:rPr>
        <w:t xml:space="preserve"> </w:t>
      </w:r>
      <w:r w:rsidRPr="00D23BF1">
        <w:rPr>
          <w:rFonts w:ascii="Times" w:hAnsi="Times" w:cs="Times New Roman"/>
          <w:b/>
          <w:bCs/>
          <w:noProof/>
        </w:rPr>
        <w:t>96</w:t>
      </w:r>
      <w:r w:rsidRPr="00D23BF1">
        <w:rPr>
          <w:rFonts w:ascii="Times" w:hAnsi="Times" w:cs="Times New Roman"/>
          <w:noProof/>
        </w:rPr>
        <w:t>, 557–567 (2009).</w:t>
      </w:r>
    </w:p>
    <w:p w14:paraId="0490ADB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lastRenderedPageBreak/>
        <w:t>38.</w:t>
      </w:r>
      <w:r w:rsidRPr="00D23BF1">
        <w:rPr>
          <w:rFonts w:ascii="Times" w:hAnsi="Times" w:cs="Times New Roman"/>
          <w:noProof/>
        </w:rPr>
        <w:tab/>
        <w:t xml:space="preserve">Bolnick, D. I. </w:t>
      </w:r>
      <w:r w:rsidRPr="00D23BF1">
        <w:rPr>
          <w:rFonts w:ascii="Times" w:hAnsi="Times" w:cs="Times New Roman"/>
          <w:i/>
          <w:iCs/>
          <w:noProof/>
        </w:rPr>
        <w:t>et al.</w:t>
      </w:r>
      <w:r w:rsidRPr="00D23BF1">
        <w:rPr>
          <w:rFonts w:ascii="Times" w:hAnsi="Times" w:cs="Times New Roman"/>
          <w:noProof/>
        </w:rPr>
        <w:t xml:space="preserve"> Individuals’ diet diversity influences gut microbial diversity in two freshwater fish (threespine stickleback and Eurasian perch). </w:t>
      </w:r>
      <w:r w:rsidRPr="00D23BF1">
        <w:rPr>
          <w:rFonts w:ascii="Times" w:hAnsi="Times" w:cs="Times New Roman"/>
          <w:i/>
          <w:iCs/>
          <w:noProof/>
        </w:rPr>
        <w:t>Ecol. Lett.</w:t>
      </w:r>
      <w:r w:rsidRPr="00D23BF1">
        <w:rPr>
          <w:rFonts w:ascii="Times" w:hAnsi="Times" w:cs="Times New Roman"/>
          <w:noProof/>
        </w:rPr>
        <w:t xml:space="preserve"> </w:t>
      </w:r>
      <w:r w:rsidRPr="00D23BF1">
        <w:rPr>
          <w:rFonts w:ascii="Times" w:hAnsi="Times" w:cs="Times New Roman"/>
          <w:b/>
          <w:bCs/>
          <w:noProof/>
        </w:rPr>
        <w:t>17</w:t>
      </w:r>
      <w:r w:rsidRPr="00D23BF1">
        <w:rPr>
          <w:rFonts w:ascii="Times" w:hAnsi="Times" w:cs="Times New Roman"/>
          <w:noProof/>
        </w:rPr>
        <w:t>, 979–987 (2014).</w:t>
      </w:r>
    </w:p>
    <w:p w14:paraId="3D642A14"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39.</w:t>
      </w:r>
      <w:r w:rsidRPr="00D23BF1">
        <w:rPr>
          <w:rFonts w:ascii="Times" w:hAnsi="Times" w:cs="Times New Roman"/>
          <w:noProof/>
        </w:rPr>
        <w:tab/>
        <w:t xml:space="preserve">Turnbaugh, P. J. </w:t>
      </w:r>
      <w:r w:rsidRPr="00D23BF1">
        <w:rPr>
          <w:rFonts w:ascii="Times" w:hAnsi="Times" w:cs="Times New Roman"/>
          <w:i/>
          <w:iCs/>
          <w:noProof/>
        </w:rPr>
        <w:t>et al.</w:t>
      </w:r>
      <w:r w:rsidRPr="00D23BF1">
        <w:rPr>
          <w:rFonts w:ascii="Times" w:hAnsi="Times" w:cs="Times New Roman"/>
          <w:noProof/>
        </w:rPr>
        <w:t xml:space="preserve"> The effect of diet on the human gut microbiome: a metagenomic analysis in humanized gnotobiotic mice. </w:t>
      </w:r>
      <w:r w:rsidRPr="00D23BF1">
        <w:rPr>
          <w:rFonts w:ascii="Times" w:hAnsi="Times" w:cs="Times New Roman"/>
          <w:i/>
          <w:iCs/>
          <w:noProof/>
        </w:rPr>
        <w:t>Sci. Transl. Med.</w:t>
      </w:r>
      <w:r w:rsidRPr="00D23BF1">
        <w:rPr>
          <w:rFonts w:ascii="Times" w:hAnsi="Times" w:cs="Times New Roman"/>
          <w:noProof/>
        </w:rPr>
        <w:t xml:space="preserve"> </w:t>
      </w:r>
      <w:r w:rsidRPr="00D23BF1">
        <w:rPr>
          <w:rFonts w:ascii="Times" w:hAnsi="Times" w:cs="Times New Roman"/>
          <w:b/>
          <w:bCs/>
          <w:noProof/>
        </w:rPr>
        <w:t>1</w:t>
      </w:r>
      <w:r w:rsidRPr="00D23BF1">
        <w:rPr>
          <w:rFonts w:ascii="Times" w:hAnsi="Times" w:cs="Times New Roman"/>
          <w:noProof/>
        </w:rPr>
        <w:t>, 6ra14 (2009).</w:t>
      </w:r>
    </w:p>
    <w:p w14:paraId="46AF25B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40.</w:t>
      </w:r>
      <w:r w:rsidRPr="00D23BF1">
        <w:rPr>
          <w:rFonts w:ascii="Times" w:hAnsi="Times" w:cs="Times New Roman"/>
          <w:noProof/>
        </w:rPr>
        <w:tab/>
        <w:t xml:space="preserve">Godon, J. J., Arulazhagan, P., Steyer, J. P. &amp; Hamelin, J. Vertebrate bacterial gut diversity: Size also matters. </w:t>
      </w:r>
      <w:r w:rsidRPr="00D23BF1">
        <w:rPr>
          <w:rFonts w:ascii="Times" w:hAnsi="Times" w:cs="Times New Roman"/>
          <w:i/>
          <w:iCs/>
          <w:noProof/>
        </w:rPr>
        <w:t>BMC Ecol.</w:t>
      </w:r>
      <w:r w:rsidRPr="00D23BF1">
        <w:rPr>
          <w:rFonts w:ascii="Times" w:hAnsi="Times" w:cs="Times New Roman"/>
          <w:noProof/>
        </w:rPr>
        <w:t xml:space="preserve"> </w:t>
      </w:r>
      <w:r w:rsidRPr="00D23BF1">
        <w:rPr>
          <w:rFonts w:ascii="Times" w:hAnsi="Times" w:cs="Times New Roman"/>
          <w:b/>
          <w:bCs/>
          <w:noProof/>
        </w:rPr>
        <w:t>16</w:t>
      </w:r>
      <w:r w:rsidRPr="00D23BF1">
        <w:rPr>
          <w:rFonts w:ascii="Times" w:hAnsi="Times" w:cs="Times New Roman"/>
          <w:noProof/>
        </w:rPr>
        <w:t>, 1–9 (2016).</w:t>
      </w:r>
    </w:p>
    <w:p w14:paraId="4847DA1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41.</w:t>
      </w:r>
      <w:r w:rsidRPr="00D23BF1">
        <w:rPr>
          <w:rFonts w:ascii="Times" w:hAnsi="Times" w:cs="Times New Roman"/>
          <w:noProof/>
        </w:rPr>
        <w:tab/>
        <w:t xml:space="preserve">Marcobal, A., Southwick, A. M., Earle, K. A. &amp; Sonnenburg, J. L. A refined palate: Bacterial consumption of host glycans in the gut. </w:t>
      </w:r>
      <w:r w:rsidRPr="00D23BF1">
        <w:rPr>
          <w:rFonts w:ascii="Times" w:hAnsi="Times" w:cs="Times New Roman"/>
          <w:i/>
          <w:iCs/>
          <w:noProof/>
        </w:rPr>
        <w:t>Glycobiology</w:t>
      </w:r>
      <w:r w:rsidRPr="00D23BF1">
        <w:rPr>
          <w:rFonts w:ascii="Times" w:hAnsi="Times" w:cs="Times New Roman"/>
          <w:noProof/>
        </w:rPr>
        <w:t xml:space="preserve"> </w:t>
      </w:r>
      <w:r w:rsidRPr="00D23BF1">
        <w:rPr>
          <w:rFonts w:ascii="Times" w:hAnsi="Times" w:cs="Times New Roman"/>
          <w:b/>
          <w:bCs/>
          <w:noProof/>
        </w:rPr>
        <w:t>23</w:t>
      </w:r>
      <w:r w:rsidRPr="00D23BF1">
        <w:rPr>
          <w:rFonts w:ascii="Times" w:hAnsi="Times" w:cs="Times New Roman"/>
          <w:noProof/>
        </w:rPr>
        <w:t>, 1038–1046 (2013).</w:t>
      </w:r>
    </w:p>
    <w:p w14:paraId="0787808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42.</w:t>
      </w:r>
      <w:r w:rsidRPr="00D23BF1">
        <w:rPr>
          <w:rFonts w:ascii="Times" w:hAnsi="Times" w:cs="Times New Roman"/>
          <w:noProof/>
        </w:rPr>
        <w:tab/>
        <w:t xml:space="preserve">Lucas, F. S. &amp; Heeb, P. Environmental factors shape cloacal bacterial assemblages in great tit Parus major and blue tit P-caeruleus nestlings. </w:t>
      </w:r>
      <w:r w:rsidRPr="00D23BF1">
        <w:rPr>
          <w:rFonts w:ascii="Times" w:hAnsi="Times" w:cs="Times New Roman"/>
          <w:i/>
          <w:iCs/>
          <w:noProof/>
        </w:rPr>
        <w:t>J. Avian Biol.</w:t>
      </w:r>
      <w:r w:rsidRPr="00D23BF1">
        <w:rPr>
          <w:rFonts w:ascii="Times" w:hAnsi="Times" w:cs="Times New Roman"/>
          <w:noProof/>
        </w:rPr>
        <w:t xml:space="preserve"> </w:t>
      </w:r>
      <w:r w:rsidRPr="00D23BF1">
        <w:rPr>
          <w:rFonts w:ascii="Times" w:hAnsi="Times" w:cs="Times New Roman"/>
          <w:b/>
          <w:bCs/>
          <w:noProof/>
        </w:rPr>
        <w:t>36</w:t>
      </w:r>
      <w:r w:rsidRPr="00D23BF1">
        <w:rPr>
          <w:rFonts w:ascii="Times" w:hAnsi="Times" w:cs="Times New Roman"/>
          <w:noProof/>
        </w:rPr>
        <w:t>, 510–516 (2005).</w:t>
      </w:r>
    </w:p>
    <w:p w14:paraId="745B57E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43.</w:t>
      </w:r>
      <w:r w:rsidRPr="00D23BF1">
        <w:rPr>
          <w:rFonts w:ascii="Times" w:hAnsi="Times" w:cs="Times New Roman"/>
          <w:noProof/>
        </w:rPr>
        <w:tab/>
        <w:t xml:space="preserve">Drovetski, S. V., O’Mahoney, M. J. V., Matterson, K. O., Schmidt, B. K. &amp; Graves, G. R. Distinct microbiotas of anatomical gut regions display idiosyncratic seasonal variation in an avian folivore. </w:t>
      </w:r>
      <w:r w:rsidRPr="00D23BF1">
        <w:rPr>
          <w:rFonts w:ascii="Times" w:hAnsi="Times" w:cs="Times New Roman"/>
          <w:i/>
          <w:iCs/>
          <w:noProof/>
        </w:rPr>
        <w:t>Anim. Microbiome</w:t>
      </w:r>
      <w:r w:rsidRPr="00D23BF1">
        <w:rPr>
          <w:rFonts w:ascii="Times" w:hAnsi="Times" w:cs="Times New Roman"/>
          <w:noProof/>
        </w:rPr>
        <w:t xml:space="preserve"> </w:t>
      </w:r>
      <w:r w:rsidRPr="00D23BF1">
        <w:rPr>
          <w:rFonts w:ascii="Times" w:hAnsi="Times" w:cs="Times New Roman"/>
          <w:b/>
          <w:bCs/>
          <w:noProof/>
        </w:rPr>
        <w:t>1</w:t>
      </w:r>
      <w:r w:rsidRPr="00D23BF1">
        <w:rPr>
          <w:rFonts w:ascii="Times" w:hAnsi="Times" w:cs="Times New Roman"/>
          <w:noProof/>
        </w:rPr>
        <w:t>, 1–11 (2019).</w:t>
      </w:r>
    </w:p>
    <w:p w14:paraId="6F48C32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44.</w:t>
      </w:r>
      <w:r w:rsidRPr="00D23BF1">
        <w:rPr>
          <w:rFonts w:ascii="Times" w:hAnsi="Times" w:cs="Times New Roman"/>
          <w:noProof/>
        </w:rPr>
        <w:tab/>
        <w:t xml:space="preserve">Lagier, J. C. </w:t>
      </w:r>
      <w:r w:rsidRPr="00D23BF1">
        <w:rPr>
          <w:rFonts w:ascii="Times" w:hAnsi="Times" w:cs="Times New Roman"/>
          <w:i/>
          <w:iCs/>
          <w:noProof/>
        </w:rPr>
        <w:t>et al.</w:t>
      </w:r>
      <w:r w:rsidRPr="00D23BF1">
        <w:rPr>
          <w:rFonts w:ascii="Times" w:hAnsi="Times" w:cs="Times New Roman"/>
          <w:noProof/>
        </w:rPr>
        <w:t xml:space="preserve"> Culturing the human microbiota and culturomics. </w:t>
      </w:r>
      <w:r w:rsidRPr="00D23BF1">
        <w:rPr>
          <w:rFonts w:ascii="Times" w:hAnsi="Times" w:cs="Times New Roman"/>
          <w:i/>
          <w:iCs/>
          <w:noProof/>
        </w:rPr>
        <w:t>Nat. Rev. Microbiol.</w:t>
      </w:r>
      <w:r w:rsidRPr="00D23BF1">
        <w:rPr>
          <w:rFonts w:ascii="Times" w:hAnsi="Times" w:cs="Times New Roman"/>
          <w:noProof/>
        </w:rPr>
        <w:t xml:space="preserve"> </w:t>
      </w:r>
      <w:r w:rsidRPr="00D23BF1">
        <w:rPr>
          <w:rFonts w:ascii="Times" w:hAnsi="Times" w:cs="Times New Roman"/>
          <w:b/>
          <w:bCs/>
          <w:noProof/>
        </w:rPr>
        <w:t>16</w:t>
      </w:r>
      <w:r w:rsidRPr="00D23BF1">
        <w:rPr>
          <w:rFonts w:ascii="Times" w:hAnsi="Times" w:cs="Times New Roman"/>
          <w:noProof/>
        </w:rPr>
        <w:t>, 540–550 (2018).</w:t>
      </w:r>
    </w:p>
    <w:p w14:paraId="5572FDC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45.</w:t>
      </w:r>
      <w:r w:rsidRPr="00D23BF1">
        <w:rPr>
          <w:rFonts w:ascii="Times" w:hAnsi="Times" w:cs="Times New Roman"/>
          <w:noProof/>
        </w:rPr>
        <w:tab/>
        <w:t xml:space="preserve">Abdelfattah, A., Malacrinò, A., Wisniewski, M., Cacciola, S. O. &amp; Schena, L. Metabarcoding: A powerful tool to investigate microbial communities and shape future plant protection strategies. </w:t>
      </w:r>
      <w:r w:rsidRPr="00D23BF1">
        <w:rPr>
          <w:rFonts w:ascii="Times" w:hAnsi="Times" w:cs="Times New Roman"/>
          <w:i/>
          <w:iCs/>
          <w:noProof/>
        </w:rPr>
        <w:t>Biol. Control</w:t>
      </w:r>
      <w:r w:rsidRPr="00D23BF1">
        <w:rPr>
          <w:rFonts w:ascii="Times" w:hAnsi="Times" w:cs="Times New Roman"/>
          <w:noProof/>
        </w:rPr>
        <w:t xml:space="preserve"> </w:t>
      </w:r>
      <w:r w:rsidRPr="00D23BF1">
        <w:rPr>
          <w:rFonts w:ascii="Times" w:hAnsi="Times" w:cs="Times New Roman"/>
          <w:b/>
          <w:bCs/>
          <w:noProof/>
        </w:rPr>
        <w:t>120</w:t>
      </w:r>
      <w:r w:rsidRPr="00D23BF1">
        <w:rPr>
          <w:rFonts w:ascii="Times" w:hAnsi="Times" w:cs="Times New Roman"/>
          <w:noProof/>
        </w:rPr>
        <w:t>, 1–10 (2018).</w:t>
      </w:r>
    </w:p>
    <w:p w14:paraId="377F13C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46.</w:t>
      </w:r>
      <w:r w:rsidRPr="00D23BF1">
        <w:rPr>
          <w:rFonts w:ascii="Times" w:hAnsi="Times" w:cs="Times New Roman"/>
          <w:noProof/>
        </w:rPr>
        <w:tab/>
        <w:t xml:space="preserve">Bharti, R. &amp; Grimm, D. G. Current challenges and best-practice protocols for microbiome analysis. </w:t>
      </w:r>
      <w:r w:rsidRPr="00D23BF1">
        <w:rPr>
          <w:rFonts w:ascii="Times" w:hAnsi="Times" w:cs="Times New Roman"/>
          <w:i/>
          <w:iCs/>
          <w:noProof/>
        </w:rPr>
        <w:t>Brief. Bioinform.</w:t>
      </w:r>
      <w:r w:rsidRPr="00D23BF1">
        <w:rPr>
          <w:rFonts w:ascii="Times" w:hAnsi="Times" w:cs="Times New Roman"/>
          <w:noProof/>
        </w:rPr>
        <w:t xml:space="preserve"> </w:t>
      </w:r>
      <w:r w:rsidRPr="00D23BF1">
        <w:rPr>
          <w:rFonts w:ascii="Times" w:hAnsi="Times" w:cs="Times New Roman"/>
          <w:b/>
          <w:bCs/>
          <w:noProof/>
        </w:rPr>
        <w:t>00</w:t>
      </w:r>
      <w:r w:rsidRPr="00D23BF1">
        <w:rPr>
          <w:rFonts w:ascii="Times" w:hAnsi="Times" w:cs="Times New Roman"/>
          <w:noProof/>
        </w:rPr>
        <w:t>, 1–16 (2019).</w:t>
      </w:r>
    </w:p>
    <w:p w14:paraId="2125F07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47.</w:t>
      </w:r>
      <w:r w:rsidRPr="00D23BF1">
        <w:rPr>
          <w:rFonts w:ascii="Times" w:hAnsi="Times" w:cs="Times New Roman"/>
          <w:noProof/>
        </w:rPr>
        <w:tab/>
        <w:t xml:space="preserve">Knight, R. </w:t>
      </w:r>
      <w:r w:rsidRPr="00D23BF1">
        <w:rPr>
          <w:rFonts w:ascii="Times" w:hAnsi="Times" w:cs="Times New Roman"/>
          <w:i/>
          <w:iCs/>
          <w:noProof/>
        </w:rPr>
        <w:t>et al.</w:t>
      </w:r>
      <w:r w:rsidRPr="00D23BF1">
        <w:rPr>
          <w:rFonts w:ascii="Times" w:hAnsi="Times" w:cs="Times New Roman"/>
          <w:noProof/>
        </w:rPr>
        <w:t xml:space="preserve"> Best practices for analysing microbiomes. </w:t>
      </w:r>
      <w:r w:rsidRPr="00D23BF1">
        <w:rPr>
          <w:rFonts w:ascii="Times" w:hAnsi="Times" w:cs="Times New Roman"/>
          <w:i/>
          <w:iCs/>
          <w:noProof/>
        </w:rPr>
        <w:t>Nat. Rev. Microbiol.</w:t>
      </w:r>
      <w:r w:rsidRPr="00D23BF1">
        <w:rPr>
          <w:rFonts w:ascii="Times" w:hAnsi="Times" w:cs="Times New Roman"/>
          <w:noProof/>
        </w:rPr>
        <w:t xml:space="preserve"> </w:t>
      </w:r>
      <w:r w:rsidRPr="00D23BF1">
        <w:rPr>
          <w:rFonts w:ascii="Times" w:hAnsi="Times" w:cs="Times New Roman"/>
          <w:b/>
          <w:bCs/>
          <w:noProof/>
        </w:rPr>
        <w:t>16</w:t>
      </w:r>
      <w:r w:rsidRPr="00D23BF1">
        <w:rPr>
          <w:rFonts w:ascii="Times" w:hAnsi="Times" w:cs="Times New Roman"/>
          <w:noProof/>
        </w:rPr>
        <w:t>, 410–422 (2018).</w:t>
      </w:r>
    </w:p>
    <w:p w14:paraId="4786C9C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48.</w:t>
      </w:r>
      <w:r w:rsidRPr="00D23BF1">
        <w:rPr>
          <w:rFonts w:ascii="Times" w:hAnsi="Times" w:cs="Times New Roman"/>
          <w:noProof/>
        </w:rPr>
        <w:tab/>
        <w:t xml:space="preserve">Langille, M. G. I. </w:t>
      </w:r>
      <w:r w:rsidRPr="00D23BF1">
        <w:rPr>
          <w:rFonts w:ascii="Times" w:hAnsi="Times" w:cs="Times New Roman"/>
          <w:i/>
          <w:iCs/>
          <w:noProof/>
        </w:rPr>
        <w:t>et al.</w:t>
      </w:r>
      <w:r w:rsidRPr="00D23BF1">
        <w:rPr>
          <w:rFonts w:ascii="Times" w:hAnsi="Times" w:cs="Times New Roman"/>
          <w:noProof/>
        </w:rPr>
        <w:t xml:space="preserve"> Predictive functional profiling of microbial communities using 16S rRNA marker gene sequences. </w:t>
      </w:r>
      <w:r w:rsidRPr="00D23BF1">
        <w:rPr>
          <w:rFonts w:ascii="Times" w:hAnsi="Times" w:cs="Times New Roman"/>
          <w:i/>
          <w:iCs/>
          <w:noProof/>
        </w:rPr>
        <w:t>Nat. Biotechnol.</w:t>
      </w:r>
      <w:r w:rsidRPr="00D23BF1">
        <w:rPr>
          <w:rFonts w:ascii="Times" w:hAnsi="Times" w:cs="Times New Roman"/>
          <w:noProof/>
        </w:rPr>
        <w:t xml:space="preserve"> </w:t>
      </w:r>
      <w:r w:rsidRPr="00D23BF1">
        <w:rPr>
          <w:rFonts w:ascii="Times" w:hAnsi="Times" w:cs="Times New Roman"/>
          <w:b/>
          <w:bCs/>
          <w:noProof/>
        </w:rPr>
        <w:t>31</w:t>
      </w:r>
      <w:r w:rsidRPr="00D23BF1">
        <w:rPr>
          <w:rFonts w:ascii="Times" w:hAnsi="Times" w:cs="Times New Roman"/>
          <w:noProof/>
        </w:rPr>
        <w:t>, 814–21 (2013).</w:t>
      </w:r>
    </w:p>
    <w:p w14:paraId="18F82BF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49.</w:t>
      </w:r>
      <w:r w:rsidRPr="00D23BF1">
        <w:rPr>
          <w:rFonts w:ascii="Times" w:hAnsi="Times" w:cs="Times New Roman"/>
          <w:noProof/>
        </w:rPr>
        <w:tab/>
        <w:t xml:space="preserve">Poretsky, R., Rodriguez-R, L. M., Luo, C., Tsementzi, D. &amp; Konstantinidis, K. T. Strengths and limitations of 16S rRNA gene amplicon sequencing in revealing temporal microbial community dynamics. </w:t>
      </w:r>
      <w:r w:rsidRPr="00D23BF1">
        <w:rPr>
          <w:rFonts w:ascii="Times" w:hAnsi="Times" w:cs="Times New Roman"/>
          <w:i/>
          <w:iCs/>
          <w:noProof/>
        </w:rPr>
        <w:t>PLoS One</w:t>
      </w:r>
      <w:r w:rsidRPr="00D23BF1">
        <w:rPr>
          <w:rFonts w:ascii="Times" w:hAnsi="Times" w:cs="Times New Roman"/>
          <w:noProof/>
        </w:rPr>
        <w:t xml:space="preserve"> </w:t>
      </w:r>
      <w:r w:rsidRPr="00D23BF1">
        <w:rPr>
          <w:rFonts w:ascii="Times" w:hAnsi="Times" w:cs="Times New Roman"/>
          <w:b/>
          <w:bCs/>
          <w:noProof/>
        </w:rPr>
        <w:t>9</w:t>
      </w:r>
      <w:r w:rsidRPr="00D23BF1">
        <w:rPr>
          <w:rFonts w:ascii="Times" w:hAnsi="Times" w:cs="Times New Roman"/>
          <w:noProof/>
        </w:rPr>
        <w:t>, (2014).</w:t>
      </w:r>
    </w:p>
    <w:p w14:paraId="03BA831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50.</w:t>
      </w:r>
      <w:r w:rsidRPr="00D23BF1">
        <w:rPr>
          <w:rFonts w:ascii="Times" w:hAnsi="Times" w:cs="Times New Roman"/>
          <w:noProof/>
        </w:rPr>
        <w:tab/>
        <w:t xml:space="preserve">Kohl, K. D. Diversity and function of the avian gut microbiota. </w:t>
      </w:r>
      <w:r w:rsidRPr="00D23BF1">
        <w:rPr>
          <w:rFonts w:ascii="Times" w:hAnsi="Times" w:cs="Times New Roman"/>
          <w:i/>
          <w:iCs/>
          <w:noProof/>
        </w:rPr>
        <w:t>J. Comp. Physiol. B Biochem. Syst. Environ. Physiol.</w:t>
      </w:r>
      <w:r w:rsidRPr="00D23BF1">
        <w:rPr>
          <w:rFonts w:ascii="Times" w:hAnsi="Times" w:cs="Times New Roman"/>
          <w:noProof/>
        </w:rPr>
        <w:t xml:space="preserve"> </w:t>
      </w:r>
      <w:r w:rsidRPr="00D23BF1">
        <w:rPr>
          <w:rFonts w:ascii="Times" w:hAnsi="Times" w:cs="Times New Roman"/>
          <w:b/>
          <w:bCs/>
          <w:noProof/>
        </w:rPr>
        <w:t>182</w:t>
      </w:r>
      <w:r w:rsidRPr="00D23BF1">
        <w:rPr>
          <w:rFonts w:ascii="Times" w:hAnsi="Times" w:cs="Times New Roman"/>
          <w:noProof/>
        </w:rPr>
        <w:t>, 591–602 (2012).</w:t>
      </w:r>
    </w:p>
    <w:p w14:paraId="2542AD5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51.</w:t>
      </w:r>
      <w:r w:rsidRPr="00D23BF1">
        <w:rPr>
          <w:rFonts w:ascii="Times" w:hAnsi="Times" w:cs="Times New Roman"/>
          <w:noProof/>
        </w:rPr>
        <w:tab/>
        <w:t xml:space="preserve">Józefiak, D., Rutkowski, A. &amp; Martin, S. A. Carbohydrate fermentation in the avian ceca: A review. </w:t>
      </w:r>
      <w:r w:rsidRPr="00D23BF1">
        <w:rPr>
          <w:rFonts w:ascii="Times" w:hAnsi="Times" w:cs="Times New Roman"/>
          <w:i/>
          <w:iCs/>
          <w:noProof/>
        </w:rPr>
        <w:t>Anim. Feed Sci. Technol.</w:t>
      </w:r>
      <w:r w:rsidRPr="00D23BF1">
        <w:rPr>
          <w:rFonts w:ascii="Times" w:hAnsi="Times" w:cs="Times New Roman"/>
          <w:noProof/>
        </w:rPr>
        <w:t xml:space="preserve"> </w:t>
      </w:r>
      <w:r w:rsidRPr="00D23BF1">
        <w:rPr>
          <w:rFonts w:ascii="Times" w:hAnsi="Times" w:cs="Times New Roman"/>
          <w:b/>
          <w:bCs/>
          <w:noProof/>
        </w:rPr>
        <w:t>113</w:t>
      </w:r>
      <w:r w:rsidRPr="00D23BF1">
        <w:rPr>
          <w:rFonts w:ascii="Times" w:hAnsi="Times" w:cs="Times New Roman"/>
          <w:noProof/>
        </w:rPr>
        <w:t>, 1–15 (2004).</w:t>
      </w:r>
    </w:p>
    <w:p w14:paraId="0A01BD9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52.</w:t>
      </w:r>
      <w:r w:rsidRPr="00D23BF1">
        <w:rPr>
          <w:rFonts w:ascii="Times" w:hAnsi="Times" w:cs="Times New Roman"/>
          <w:noProof/>
        </w:rPr>
        <w:tab/>
        <w:t xml:space="preserve">Escallón, C. </w:t>
      </w:r>
      <w:r w:rsidRPr="00D23BF1">
        <w:rPr>
          <w:rFonts w:ascii="Times" w:hAnsi="Times" w:cs="Times New Roman"/>
          <w:i/>
          <w:iCs/>
          <w:noProof/>
        </w:rPr>
        <w:t>et al.</w:t>
      </w:r>
      <w:r w:rsidRPr="00D23BF1">
        <w:rPr>
          <w:rFonts w:ascii="Times" w:hAnsi="Times" w:cs="Times New Roman"/>
          <w:noProof/>
        </w:rPr>
        <w:t xml:space="preserve"> Testosterone levels are positively correlated with cloacal bacterial diversity and the relative abundance of Chlamydiae in breeding male rufous-collared sparrows. </w:t>
      </w:r>
      <w:r w:rsidRPr="00D23BF1">
        <w:rPr>
          <w:rFonts w:ascii="Times" w:hAnsi="Times" w:cs="Times New Roman"/>
          <w:i/>
          <w:iCs/>
          <w:noProof/>
        </w:rPr>
        <w:t>Funct. Ecol.</w:t>
      </w:r>
      <w:r w:rsidRPr="00D23BF1">
        <w:rPr>
          <w:rFonts w:ascii="Times" w:hAnsi="Times" w:cs="Times New Roman"/>
          <w:noProof/>
        </w:rPr>
        <w:t xml:space="preserve"> </w:t>
      </w:r>
      <w:r w:rsidRPr="00D23BF1">
        <w:rPr>
          <w:rFonts w:ascii="Times" w:hAnsi="Times" w:cs="Times New Roman"/>
          <w:b/>
          <w:bCs/>
          <w:noProof/>
        </w:rPr>
        <w:t>31</w:t>
      </w:r>
      <w:r w:rsidRPr="00D23BF1">
        <w:rPr>
          <w:rFonts w:ascii="Times" w:hAnsi="Times" w:cs="Times New Roman"/>
          <w:noProof/>
        </w:rPr>
        <w:t>, 192–203 (2017).</w:t>
      </w:r>
    </w:p>
    <w:p w14:paraId="7FD3773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53.</w:t>
      </w:r>
      <w:r w:rsidRPr="00D23BF1">
        <w:rPr>
          <w:rFonts w:ascii="Times" w:hAnsi="Times" w:cs="Times New Roman"/>
          <w:noProof/>
        </w:rPr>
        <w:tab/>
        <w:t xml:space="preserve">Kohl, K. D., Brun, A., Caviedes-Vidal, E. &amp; Karasov, W. H. Age-related changes in the gut microbiota of wild House Sparrow nestlings. </w:t>
      </w:r>
      <w:r w:rsidRPr="00D23BF1">
        <w:rPr>
          <w:rFonts w:ascii="Times" w:hAnsi="Times" w:cs="Times New Roman"/>
          <w:i/>
          <w:iCs/>
          <w:noProof/>
        </w:rPr>
        <w:t>Ibis (Lond. 1859).</w:t>
      </w:r>
      <w:r w:rsidRPr="00D23BF1">
        <w:rPr>
          <w:rFonts w:ascii="Times" w:hAnsi="Times" w:cs="Times New Roman"/>
          <w:noProof/>
        </w:rPr>
        <w:t xml:space="preserve"> (2018) doi:10.1111/ibi.12618.</w:t>
      </w:r>
    </w:p>
    <w:p w14:paraId="6E92452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54.</w:t>
      </w:r>
      <w:r w:rsidRPr="00D23BF1">
        <w:rPr>
          <w:rFonts w:ascii="Times" w:hAnsi="Times" w:cs="Times New Roman"/>
          <w:noProof/>
        </w:rPr>
        <w:tab/>
        <w:t xml:space="preserve">Ambrosini, R. </w:t>
      </w:r>
      <w:r w:rsidRPr="00D23BF1">
        <w:rPr>
          <w:rFonts w:ascii="Times" w:hAnsi="Times" w:cs="Times New Roman"/>
          <w:i/>
          <w:iCs/>
          <w:noProof/>
        </w:rPr>
        <w:t>et al.</w:t>
      </w:r>
      <w:r w:rsidRPr="00D23BF1">
        <w:rPr>
          <w:rFonts w:ascii="Times" w:hAnsi="Times" w:cs="Times New Roman"/>
          <w:noProof/>
        </w:rPr>
        <w:t xml:space="preserve"> Cloacal microbiomes and ecology of individual barn swallows. </w:t>
      </w:r>
      <w:r w:rsidRPr="00D23BF1">
        <w:rPr>
          <w:rFonts w:ascii="Times" w:hAnsi="Times" w:cs="Times New Roman"/>
          <w:i/>
          <w:iCs/>
          <w:noProof/>
        </w:rPr>
        <w:t>FEMS Microbiol. Ecol.</w:t>
      </w:r>
      <w:r w:rsidRPr="00D23BF1">
        <w:rPr>
          <w:rFonts w:ascii="Times" w:hAnsi="Times" w:cs="Times New Roman"/>
          <w:noProof/>
        </w:rPr>
        <w:t xml:space="preserve"> </w:t>
      </w:r>
      <w:r w:rsidRPr="00D23BF1">
        <w:rPr>
          <w:rFonts w:ascii="Times" w:hAnsi="Times" w:cs="Times New Roman"/>
          <w:b/>
          <w:bCs/>
          <w:noProof/>
        </w:rPr>
        <w:t>95</w:t>
      </w:r>
      <w:r w:rsidRPr="00D23BF1">
        <w:rPr>
          <w:rFonts w:ascii="Times" w:hAnsi="Times" w:cs="Times New Roman"/>
          <w:noProof/>
        </w:rPr>
        <w:t>, 1–13 (2019).</w:t>
      </w:r>
    </w:p>
    <w:p w14:paraId="7C7331C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55.</w:t>
      </w:r>
      <w:r w:rsidRPr="00D23BF1">
        <w:rPr>
          <w:rFonts w:ascii="Times" w:hAnsi="Times" w:cs="Times New Roman"/>
          <w:noProof/>
        </w:rPr>
        <w:tab/>
        <w:t xml:space="preserve">Davidson, G. </w:t>
      </w:r>
      <w:r w:rsidRPr="00D23BF1">
        <w:rPr>
          <w:rFonts w:ascii="Times" w:hAnsi="Times" w:cs="Times New Roman"/>
          <w:i/>
          <w:iCs/>
          <w:noProof/>
        </w:rPr>
        <w:t>et al.</w:t>
      </w:r>
      <w:r w:rsidRPr="00D23BF1">
        <w:rPr>
          <w:rFonts w:ascii="Times" w:hAnsi="Times" w:cs="Times New Roman"/>
          <w:noProof/>
        </w:rPr>
        <w:t xml:space="preserve"> Diet-induced changes to host gut microbiota is linked to foraging innovation in a wild bird. </w:t>
      </w:r>
      <w:r w:rsidRPr="00D23BF1">
        <w:rPr>
          <w:rFonts w:ascii="Times" w:hAnsi="Times" w:cs="Times New Roman"/>
          <w:i/>
          <w:iCs/>
          <w:noProof/>
        </w:rPr>
        <w:t>pre-print</w:t>
      </w:r>
      <w:r w:rsidRPr="00D23BF1">
        <w:rPr>
          <w:rFonts w:ascii="Times" w:hAnsi="Times" w:cs="Times New Roman"/>
          <w:noProof/>
        </w:rPr>
        <w:t xml:space="preserve"> 1–18 (2019) doi:10.1101/827741.</w:t>
      </w:r>
    </w:p>
    <w:p w14:paraId="6A4A301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56.</w:t>
      </w:r>
      <w:r w:rsidRPr="00D23BF1">
        <w:rPr>
          <w:rFonts w:ascii="Times" w:hAnsi="Times" w:cs="Times New Roman"/>
          <w:noProof/>
        </w:rPr>
        <w:tab/>
        <w:t xml:space="preserve">Capunitan, D., Johnson, O., Terrill, R. S. &amp; Hird, S. M. </w:t>
      </w:r>
      <w:r w:rsidRPr="00D23BF1">
        <w:rPr>
          <w:rFonts w:ascii="Times" w:hAnsi="Times" w:cs="Times New Roman"/>
          <w:i/>
          <w:iCs/>
          <w:noProof/>
        </w:rPr>
        <w:t>Evolutionary signal in the gut microbiomes of 74 bird species from Equatorial Guinea</w:t>
      </w:r>
      <w:r w:rsidRPr="00D23BF1">
        <w:rPr>
          <w:rFonts w:ascii="Times" w:hAnsi="Times" w:cs="Times New Roman"/>
          <w:noProof/>
        </w:rPr>
        <w:t xml:space="preserve">. (2020). </w:t>
      </w:r>
      <w:r w:rsidRPr="00D23BF1">
        <w:rPr>
          <w:rFonts w:ascii="Times" w:hAnsi="Times" w:cs="Times New Roman"/>
          <w:noProof/>
        </w:rPr>
        <w:lastRenderedPageBreak/>
        <w:t>doi:10.1111/mec.15354.</w:t>
      </w:r>
    </w:p>
    <w:p w14:paraId="3B24634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57.</w:t>
      </w:r>
      <w:r w:rsidRPr="00D23BF1">
        <w:rPr>
          <w:rFonts w:ascii="Times" w:hAnsi="Times" w:cs="Times New Roman"/>
          <w:noProof/>
        </w:rPr>
        <w:tab/>
        <w:t xml:space="preserve">Waite, D. W., Eason, D. K. &amp; Taylor, M. W. Influence of hand rearing and bird age on the fecal microbiota of the critically endangered kakapo. </w:t>
      </w:r>
      <w:r w:rsidRPr="00D23BF1">
        <w:rPr>
          <w:rFonts w:ascii="Times" w:hAnsi="Times" w:cs="Times New Roman"/>
          <w:i/>
          <w:iCs/>
          <w:noProof/>
        </w:rPr>
        <w:t>Appl. Environ. Microbiol.</w:t>
      </w:r>
      <w:r w:rsidRPr="00D23BF1">
        <w:rPr>
          <w:rFonts w:ascii="Times" w:hAnsi="Times" w:cs="Times New Roman"/>
          <w:noProof/>
        </w:rPr>
        <w:t xml:space="preserve"> </w:t>
      </w:r>
      <w:r w:rsidRPr="00D23BF1">
        <w:rPr>
          <w:rFonts w:ascii="Times" w:hAnsi="Times" w:cs="Times New Roman"/>
          <w:b/>
          <w:bCs/>
          <w:noProof/>
        </w:rPr>
        <w:t>80</w:t>
      </w:r>
      <w:r w:rsidRPr="00D23BF1">
        <w:rPr>
          <w:rFonts w:ascii="Times" w:hAnsi="Times" w:cs="Times New Roman"/>
          <w:noProof/>
        </w:rPr>
        <w:t>, (2014).</w:t>
      </w:r>
    </w:p>
    <w:p w14:paraId="7E01BB7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58.</w:t>
      </w:r>
      <w:r w:rsidRPr="00D23BF1">
        <w:rPr>
          <w:rFonts w:ascii="Times" w:hAnsi="Times" w:cs="Times New Roman"/>
          <w:noProof/>
        </w:rPr>
        <w:tab/>
        <w:t xml:space="preserve">Jumpponen, A. &amp; Jones, K. L. Seasonally dynamic fungal communities in the Quercus macrocarpa phyllosphere differ between urban and nonurban environments. </w:t>
      </w:r>
      <w:r w:rsidRPr="00D23BF1">
        <w:rPr>
          <w:rFonts w:ascii="Times" w:hAnsi="Times" w:cs="Times New Roman"/>
          <w:i/>
          <w:iCs/>
          <w:noProof/>
        </w:rPr>
        <w:t>New Phytol.</w:t>
      </w:r>
      <w:r w:rsidRPr="00D23BF1">
        <w:rPr>
          <w:rFonts w:ascii="Times" w:hAnsi="Times" w:cs="Times New Roman"/>
          <w:noProof/>
        </w:rPr>
        <w:t xml:space="preserve"> </w:t>
      </w:r>
      <w:r w:rsidRPr="00D23BF1">
        <w:rPr>
          <w:rFonts w:ascii="Times" w:hAnsi="Times" w:cs="Times New Roman"/>
          <w:b/>
          <w:bCs/>
          <w:noProof/>
        </w:rPr>
        <w:t>186</w:t>
      </w:r>
      <w:r w:rsidRPr="00D23BF1">
        <w:rPr>
          <w:rFonts w:ascii="Times" w:hAnsi="Times" w:cs="Times New Roman"/>
          <w:noProof/>
        </w:rPr>
        <w:t>, 496–513 (2010).</w:t>
      </w:r>
    </w:p>
    <w:p w14:paraId="2380A25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59.</w:t>
      </w:r>
      <w:r w:rsidRPr="00D23BF1">
        <w:rPr>
          <w:rFonts w:ascii="Times" w:hAnsi="Times" w:cs="Times New Roman"/>
          <w:noProof/>
        </w:rPr>
        <w:tab/>
        <w:t xml:space="preserve">Kembel, S. W. </w:t>
      </w:r>
      <w:r w:rsidRPr="00D23BF1">
        <w:rPr>
          <w:rFonts w:ascii="Times" w:hAnsi="Times" w:cs="Times New Roman"/>
          <w:i/>
          <w:iCs/>
          <w:noProof/>
        </w:rPr>
        <w:t>et al.</w:t>
      </w:r>
      <w:r w:rsidRPr="00D23BF1">
        <w:rPr>
          <w:rFonts w:ascii="Times" w:hAnsi="Times" w:cs="Times New Roman"/>
          <w:noProof/>
        </w:rPr>
        <w:t xml:space="preserve"> Architectural design influences the diversity and structure of the built environment microbiome. </w:t>
      </w:r>
      <w:r w:rsidRPr="00D23BF1">
        <w:rPr>
          <w:rFonts w:ascii="Times" w:hAnsi="Times" w:cs="Times New Roman"/>
          <w:i/>
          <w:iCs/>
          <w:noProof/>
        </w:rPr>
        <w:t>ISME J.</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1469–1479 (2012).</w:t>
      </w:r>
    </w:p>
    <w:p w14:paraId="18DF9CD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60.</w:t>
      </w:r>
      <w:r w:rsidRPr="00D23BF1">
        <w:rPr>
          <w:rFonts w:ascii="Times" w:hAnsi="Times" w:cs="Times New Roman"/>
          <w:noProof/>
        </w:rPr>
        <w:tab/>
        <w:t xml:space="preserve">Lehtimäki, J. </w:t>
      </w:r>
      <w:r w:rsidRPr="00D23BF1">
        <w:rPr>
          <w:rFonts w:ascii="Times" w:hAnsi="Times" w:cs="Times New Roman"/>
          <w:i/>
          <w:iCs/>
          <w:noProof/>
        </w:rPr>
        <w:t>et al.</w:t>
      </w:r>
      <w:r w:rsidRPr="00D23BF1">
        <w:rPr>
          <w:rFonts w:ascii="Times" w:hAnsi="Times" w:cs="Times New Roman"/>
          <w:noProof/>
        </w:rPr>
        <w:t xml:space="preserve"> Patterns in the skin microbiota differ in children and teenagers between rural and urban environments. </w:t>
      </w:r>
      <w:r w:rsidRPr="00D23BF1">
        <w:rPr>
          <w:rFonts w:ascii="Times" w:hAnsi="Times" w:cs="Times New Roman"/>
          <w:i/>
          <w:iCs/>
          <w:noProof/>
        </w:rPr>
        <w:t>Sci. Rep.</w:t>
      </w:r>
      <w:r w:rsidRPr="00D23BF1">
        <w:rPr>
          <w:rFonts w:ascii="Times" w:hAnsi="Times" w:cs="Times New Roman"/>
          <w:noProof/>
        </w:rPr>
        <w:t xml:space="preserve"> </w:t>
      </w:r>
      <w:r w:rsidRPr="00D23BF1">
        <w:rPr>
          <w:rFonts w:ascii="Times" w:hAnsi="Times" w:cs="Times New Roman"/>
          <w:b/>
          <w:bCs/>
          <w:noProof/>
        </w:rPr>
        <w:t>7</w:t>
      </w:r>
      <w:r w:rsidRPr="00D23BF1">
        <w:rPr>
          <w:rFonts w:ascii="Times" w:hAnsi="Times" w:cs="Times New Roman"/>
          <w:noProof/>
        </w:rPr>
        <w:t>, 0–11 (2017).</w:t>
      </w:r>
    </w:p>
    <w:p w14:paraId="5590024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61.</w:t>
      </w:r>
      <w:r w:rsidRPr="00D23BF1">
        <w:rPr>
          <w:rFonts w:ascii="Times" w:hAnsi="Times" w:cs="Times New Roman"/>
          <w:noProof/>
        </w:rPr>
        <w:tab/>
        <w:t xml:space="preserve">Leung, M. H. Y., Wilkins, D., Li, E. K. T., Kong, F. K. F. &amp; Lee, P. K. H. Indoor-air microbiome in an urban subway network: Diversity and dynamics. </w:t>
      </w:r>
      <w:r w:rsidRPr="00D23BF1">
        <w:rPr>
          <w:rFonts w:ascii="Times" w:hAnsi="Times" w:cs="Times New Roman"/>
          <w:i/>
          <w:iCs/>
          <w:noProof/>
        </w:rPr>
        <w:t>Appl. Environ. Microbiol.</w:t>
      </w:r>
      <w:r w:rsidRPr="00D23BF1">
        <w:rPr>
          <w:rFonts w:ascii="Times" w:hAnsi="Times" w:cs="Times New Roman"/>
          <w:noProof/>
        </w:rPr>
        <w:t xml:space="preserve"> </w:t>
      </w:r>
      <w:r w:rsidRPr="00D23BF1">
        <w:rPr>
          <w:rFonts w:ascii="Times" w:hAnsi="Times" w:cs="Times New Roman"/>
          <w:b/>
          <w:bCs/>
          <w:noProof/>
        </w:rPr>
        <w:t>80</w:t>
      </w:r>
      <w:r w:rsidRPr="00D23BF1">
        <w:rPr>
          <w:rFonts w:ascii="Times" w:hAnsi="Times" w:cs="Times New Roman"/>
          <w:noProof/>
        </w:rPr>
        <w:t>, 6760–6770 (2014).</w:t>
      </w:r>
    </w:p>
    <w:p w14:paraId="10B3228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62.</w:t>
      </w:r>
      <w:r w:rsidRPr="00D23BF1">
        <w:rPr>
          <w:rFonts w:ascii="Times" w:hAnsi="Times" w:cs="Times New Roman"/>
          <w:noProof/>
        </w:rPr>
        <w:tab/>
        <w:t xml:space="preserve">McLellan, S. L., Fisher, J. C. &amp; Newton, R. J. The microbiome of urban waters. </w:t>
      </w:r>
      <w:r w:rsidRPr="00D23BF1">
        <w:rPr>
          <w:rFonts w:ascii="Times" w:hAnsi="Times" w:cs="Times New Roman"/>
          <w:i/>
          <w:iCs/>
          <w:noProof/>
        </w:rPr>
        <w:t>Int. Microbiol.</w:t>
      </w:r>
      <w:r w:rsidRPr="00D23BF1">
        <w:rPr>
          <w:rFonts w:ascii="Times" w:hAnsi="Times" w:cs="Times New Roman"/>
          <w:noProof/>
        </w:rPr>
        <w:t xml:space="preserve"> </w:t>
      </w:r>
      <w:r w:rsidRPr="00D23BF1">
        <w:rPr>
          <w:rFonts w:ascii="Times" w:hAnsi="Times" w:cs="Times New Roman"/>
          <w:b/>
          <w:bCs/>
          <w:noProof/>
        </w:rPr>
        <w:t>18</w:t>
      </w:r>
      <w:r w:rsidRPr="00D23BF1">
        <w:rPr>
          <w:rFonts w:ascii="Times" w:hAnsi="Times" w:cs="Times New Roman"/>
          <w:noProof/>
        </w:rPr>
        <w:t>, 141–149 (2015).</w:t>
      </w:r>
    </w:p>
    <w:p w14:paraId="434131C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63.</w:t>
      </w:r>
      <w:r w:rsidRPr="00D23BF1">
        <w:rPr>
          <w:rFonts w:ascii="Times" w:hAnsi="Times" w:cs="Times New Roman"/>
          <w:noProof/>
        </w:rPr>
        <w:tab/>
        <w:t xml:space="preserve">Dinan, T. G. &amp; Cryan, J. F. Regulation of the stress response by the gut microbiota: Implications for psychoneuroendocrinology. </w:t>
      </w:r>
      <w:r w:rsidRPr="00D23BF1">
        <w:rPr>
          <w:rFonts w:ascii="Times" w:hAnsi="Times" w:cs="Times New Roman"/>
          <w:i/>
          <w:iCs/>
          <w:noProof/>
        </w:rPr>
        <w:t>Psychoneuroendocrinology</w:t>
      </w:r>
      <w:r w:rsidRPr="00D23BF1">
        <w:rPr>
          <w:rFonts w:ascii="Times" w:hAnsi="Times" w:cs="Times New Roman"/>
          <w:noProof/>
        </w:rPr>
        <w:t xml:space="preserve"> </w:t>
      </w:r>
      <w:r w:rsidRPr="00D23BF1">
        <w:rPr>
          <w:rFonts w:ascii="Times" w:hAnsi="Times" w:cs="Times New Roman"/>
          <w:b/>
          <w:bCs/>
          <w:noProof/>
        </w:rPr>
        <w:t>37</w:t>
      </w:r>
      <w:r w:rsidRPr="00D23BF1">
        <w:rPr>
          <w:rFonts w:ascii="Times" w:hAnsi="Times" w:cs="Times New Roman"/>
          <w:noProof/>
        </w:rPr>
        <w:t>, 1369–1378 (2012).</w:t>
      </w:r>
    </w:p>
    <w:p w14:paraId="371F3566"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64.</w:t>
      </w:r>
      <w:r w:rsidRPr="00D23BF1">
        <w:rPr>
          <w:rFonts w:ascii="Times" w:hAnsi="Times" w:cs="Times New Roman"/>
          <w:noProof/>
        </w:rPr>
        <w:tab/>
        <w:t xml:space="preserve">Mancabelli, L. </w:t>
      </w:r>
      <w:r w:rsidRPr="00D23BF1">
        <w:rPr>
          <w:rFonts w:ascii="Times" w:hAnsi="Times" w:cs="Times New Roman"/>
          <w:i/>
          <w:iCs/>
          <w:noProof/>
        </w:rPr>
        <w:t>et al.</w:t>
      </w:r>
      <w:r w:rsidRPr="00D23BF1">
        <w:rPr>
          <w:rFonts w:ascii="Times" w:hAnsi="Times" w:cs="Times New Roman"/>
          <w:noProof/>
        </w:rPr>
        <w:t xml:space="preserve"> Meta-analysis of the human gut microbiome from urbanized and pre-agricultural populations. </w:t>
      </w:r>
      <w:r w:rsidRPr="00D23BF1">
        <w:rPr>
          <w:rFonts w:ascii="Times" w:hAnsi="Times" w:cs="Times New Roman"/>
          <w:i/>
          <w:iCs/>
          <w:noProof/>
        </w:rPr>
        <w:t>Environ. Microbiol.</w:t>
      </w:r>
      <w:r w:rsidRPr="00D23BF1">
        <w:rPr>
          <w:rFonts w:ascii="Times" w:hAnsi="Times" w:cs="Times New Roman"/>
          <w:noProof/>
        </w:rPr>
        <w:t xml:space="preserve"> </w:t>
      </w:r>
      <w:r w:rsidRPr="00D23BF1">
        <w:rPr>
          <w:rFonts w:ascii="Times" w:hAnsi="Times" w:cs="Times New Roman"/>
          <w:b/>
          <w:bCs/>
          <w:noProof/>
        </w:rPr>
        <w:t>19</w:t>
      </w:r>
      <w:r w:rsidRPr="00D23BF1">
        <w:rPr>
          <w:rFonts w:ascii="Times" w:hAnsi="Times" w:cs="Times New Roman"/>
          <w:noProof/>
        </w:rPr>
        <w:t>, 1379–1390 (2017).</w:t>
      </w:r>
    </w:p>
    <w:p w14:paraId="435053E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65.</w:t>
      </w:r>
      <w:r w:rsidRPr="00D23BF1">
        <w:rPr>
          <w:rFonts w:ascii="Times" w:hAnsi="Times" w:cs="Times New Roman"/>
          <w:noProof/>
        </w:rPr>
        <w:tab/>
        <w:t xml:space="preserve">De Filippo, C. </w:t>
      </w:r>
      <w:r w:rsidRPr="00D23BF1">
        <w:rPr>
          <w:rFonts w:ascii="Times" w:hAnsi="Times" w:cs="Times New Roman"/>
          <w:i/>
          <w:iCs/>
          <w:noProof/>
        </w:rPr>
        <w:t>et al.</w:t>
      </w:r>
      <w:r w:rsidRPr="00D23BF1">
        <w:rPr>
          <w:rFonts w:ascii="Times" w:hAnsi="Times" w:cs="Times New Roman"/>
          <w:noProof/>
        </w:rPr>
        <w:t xml:space="preserve"> Impact of diet in shaping gut microbiota revealed by a comparative study in children from Europe and rural Africa. </w:t>
      </w:r>
      <w:r w:rsidRPr="00D23BF1">
        <w:rPr>
          <w:rFonts w:ascii="Times" w:hAnsi="Times" w:cs="Times New Roman"/>
          <w:i/>
          <w:iCs/>
          <w:noProof/>
        </w:rPr>
        <w:t>Proc. Natl. Acad. Sci.</w:t>
      </w:r>
      <w:r w:rsidRPr="00D23BF1">
        <w:rPr>
          <w:rFonts w:ascii="Times" w:hAnsi="Times" w:cs="Times New Roman"/>
          <w:noProof/>
        </w:rPr>
        <w:t xml:space="preserve"> </w:t>
      </w:r>
      <w:r w:rsidRPr="00D23BF1">
        <w:rPr>
          <w:rFonts w:ascii="Times" w:hAnsi="Times" w:cs="Times New Roman"/>
          <w:b/>
          <w:bCs/>
          <w:noProof/>
        </w:rPr>
        <w:t>107</w:t>
      </w:r>
      <w:r w:rsidRPr="00D23BF1">
        <w:rPr>
          <w:rFonts w:ascii="Times" w:hAnsi="Times" w:cs="Times New Roman"/>
          <w:noProof/>
        </w:rPr>
        <w:t>, 14691–14696 (2010).</w:t>
      </w:r>
    </w:p>
    <w:p w14:paraId="7BB0D56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66.</w:t>
      </w:r>
      <w:r w:rsidRPr="00D23BF1">
        <w:rPr>
          <w:rFonts w:ascii="Times" w:hAnsi="Times" w:cs="Times New Roman"/>
          <w:noProof/>
        </w:rPr>
        <w:tab/>
        <w:t xml:space="preserve">Teyssier, A. </w:t>
      </w:r>
      <w:r w:rsidRPr="00D23BF1">
        <w:rPr>
          <w:rFonts w:ascii="Times" w:hAnsi="Times" w:cs="Times New Roman"/>
          <w:i/>
          <w:iCs/>
          <w:noProof/>
        </w:rPr>
        <w:t>et al.</w:t>
      </w:r>
      <w:r w:rsidRPr="00D23BF1">
        <w:rPr>
          <w:rFonts w:ascii="Times" w:hAnsi="Times" w:cs="Times New Roman"/>
          <w:noProof/>
        </w:rPr>
        <w:t xml:space="preserve"> Diet contributes to urban-induced alterations in gut microbiota: experimental evidence from a wild passerine. </w:t>
      </w:r>
      <w:r w:rsidRPr="00D23BF1">
        <w:rPr>
          <w:rFonts w:ascii="Times" w:hAnsi="Times" w:cs="Times New Roman"/>
          <w:i/>
          <w:iCs/>
          <w:noProof/>
        </w:rPr>
        <w:t>Proceedings. Biol. Sci.</w:t>
      </w:r>
      <w:r w:rsidRPr="00D23BF1">
        <w:rPr>
          <w:rFonts w:ascii="Times" w:hAnsi="Times" w:cs="Times New Roman"/>
          <w:noProof/>
        </w:rPr>
        <w:t xml:space="preserve"> </w:t>
      </w:r>
      <w:r w:rsidRPr="00D23BF1">
        <w:rPr>
          <w:rFonts w:ascii="Times" w:hAnsi="Times" w:cs="Times New Roman"/>
          <w:b/>
          <w:bCs/>
          <w:noProof/>
        </w:rPr>
        <w:t>287</w:t>
      </w:r>
      <w:r w:rsidRPr="00D23BF1">
        <w:rPr>
          <w:rFonts w:ascii="Times" w:hAnsi="Times" w:cs="Times New Roman"/>
          <w:noProof/>
        </w:rPr>
        <w:t>, 20192182 (2020).</w:t>
      </w:r>
    </w:p>
    <w:p w14:paraId="49F7F1F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67.</w:t>
      </w:r>
      <w:r w:rsidRPr="00D23BF1">
        <w:rPr>
          <w:rFonts w:ascii="Times" w:hAnsi="Times" w:cs="Times New Roman"/>
          <w:noProof/>
        </w:rPr>
        <w:tab/>
        <w:t xml:space="preserve">Grossinger, R. M., Striplen, C. J., Askevold, R. A., Brewster, E. &amp; Beller, E. E. Historical landscape ecology of an urbanized California valley: Wetlands and woodlands in the Santa Clara Valley. </w:t>
      </w:r>
      <w:r w:rsidRPr="00D23BF1">
        <w:rPr>
          <w:rFonts w:ascii="Times" w:hAnsi="Times" w:cs="Times New Roman"/>
          <w:i/>
          <w:iCs/>
          <w:noProof/>
        </w:rPr>
        <w:t>Landsc. Ecol.</w:t>
      </w:r>
      <w:r w:rsidRPr="00D23BF1">
        <w:rPr>
          <w:rFonts w:ascii="Times" w:hAnsi="Times" w:cs="Times New Roman"/>
          <w:noProof/>
        </w:rPr>
        <w:t xml:space="preserve"> </w:t>
      </w:r>
      <w:r w:rsidRPr="00D23BF1">
        <w:rPr>
          <w:rFonts w:ascii="Times" w:hAnsi="Times" w:cs="Times New Roman"/>
          <w:b/>
          <w:bCs/>
          <w:noProof/>
        </w:rPr>
        <w:t>22</w:t>
      </w:r>
      <w:r w:rsidRPr="00D23BF1">
        <w:rPr>
          <w:rFonts w:ascii="Times" w:hAnsi="Times" w:cs="Times New Roman"/>
          <w:noProof/>
        </w:rPr>
        <w:t>, 103–120 (2007).</w:t>
      </w:r>
    </w:p>
    <w:p w14:paraId="480A5BE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68.</w:t>
      </w:r>
      <w:r w:rsidRPr="00D23BF1">
        <w:rPr>
          <w:rFonts w:ascii="Times" w:hAnsi="Times" w:cs="Times New Roman"/>
          <w:noProof/>
        </w:rPr>
        <w:tab/>
        <w:t xml:space="preserve">Hird, S. M., Carstens, B. C., Cardiff, S. W., Dittmann, D. L. &amp; Brumfield, R. T. Sampling locality is more detectable than taxonomy or ecology in the gut microbiota of the brood-parasitic Brown-headed Cowbird ( Molothrus ater ). </w:t>
      </w:r>
      <w:r w:rsidRPr="00D23BF1">
        <w:rPr>
          <w:rFonts w:ascii="Times" w:hAnsi="Times" w:cs="Times New Roman"/>
          <w:i/>
          <w:iCs/>
          <w:noProof/>
        </w:rPr>
        <w:t>PeerJ</w:t>
      </w:r>
      <w:r w:rsidRPr="00D23BF1">
        <w:rPr>
          <w:rFonts w:ascii="Times" w:hAnsi="Times" w:cs="Times New Roman"/>
          <w:noProof/>
        </w:rPr>
        <w:t xml:space="preserve"> </w:t>
      </w:r>
      <w:r w:rsidRPr="00D23BF1">
        <w:rPr>
          <w:rFonts w:ascii="Times" w:hAnsi="Times" w:cs="Times New Roman"/>
          <w:b/>
          <w:bCs/>
          <w:noProof/>
        </w:rPr>
        <w:t>2</w:t>
      </w:r>
      <w:r w:rsidRPr="00D23BF1">
        <w:rPr>
          <w:rFonts w:ascii="Times" w:hAnsi="Times" w:cs="Times New Roman"/>
          <w:noProof/>
        </w:rPr>
        <w:t>, e321 (2014).</w:t>
      </w:r>
    </w:p>
    <w:p w14:paraId="5073CE0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69.</w:t>
      </w:r>
      <w:r w:rsidRPr="00D23BF1">
        <w:rPr>
          <w:rFonts w:ascii="Times" w:hAnsi="Times" w:cs="Times New Roman"/>
          <w:noProof/>
        </w:rPr>
        <w:tab/>
        <w:t xml:space="preserve">Suzuki, T. A. &amp; Worobey, M. Geographical variation of human gut microbial composition. </w:t>
      </w:r>
      <w:r w:rsidRPr="00D23BF1">
        <w:rPr>
          <w:rFonts w:ascii="Times" w:hAnsi="Times" w:cs="Times New Roman"/>
          <w:i/>
          <w:iCs/>
          <w:noProof/>
        </w:rPr>
        <w:t>Biol. Lett.</w:t>
      </w:r>
      <w:r w:rsidRPr="00D23BF1">
        <w:rPr>
          <w:rFonts w:ascii="Times" w:hAnsi="Times" w:cs="Times New Roman"/>
          <w:noProof/>
        </w:rPr>
        <w:t xml:space="preserve"> </w:t>
      </w:r>
      <w:r w:rsidRPr="00D23BF1">
        <w:rPr>
          <w:rFonts w:ascii="Times" w:hAnsi="Times" w:cs="Times New Roman"/>
          <w:b/>
          <w:bCs/>
          <w:noProof/>
        </w:rPr>
        <w:t>10</w:t>
      </w:r>
      <w:r w:rsidRPr="00D23BF1">
        <w:rPr>
          <w:rFonts w:ascii="Times" w:hAnsi="Times" w:cs="Times New Roman"/>
          <w:noProof/>
        </w:rPr>
        <w:t>, 20131037–20131037 (2014).</w:t>
      </w:r>
    </w:p>
    <w:p w14:paraId="05B4F0F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70.</w:t>
      </w:r>
      <w:r w:rsidRPr="00D23BF1">
        <w:rPr>
          <w:rFonts w:ascii="Times" w:hAnsi="Times" w:cs="Times New Roman"/>
          <w:noProof/>
        </w:rPr>
        <w:tab/>
        <w:t xml:space="preserve">Shochat, E., Warren, P., Faeth, S., McIntyre, N. &amp; Hope, D. From patterns to emerging processes in mechanistic urban ecology. </w:t>
      </w:r>
      <w:r w:rsidRPr="00D23BF1">
        <w:rPr>
          <w:rFonts w:ascii="Times" w:hAnsi="Times" w:cs="Times New Roman"/>
          <w:i/>
          <w:iCs/>
          <w:noProof/>
        </w:rPr>
        <w:t>Trends Ecol. Evol.</w:t>
      </w:r>
      <w:r w:rsidRPr="00D23BF1">
        <w:rPr>
          <w:rFonts w:ascii="Times" w:hAnsi="Times" w:cs="Times New Roman"/>
          <w:noProof/>
        </w:rPr>
        <w:t xml:space="preserve"> </w:t>
      </w:r>
      <w:r w:rsidRPr="00D23BF1">
        <w:rPr>
          <w:rFonts w:ascii="Times" w:hAnsi="Times" w:cs="Times New Roman"/>
          <w:b/>
          <w:bCs/>
          <w:noProof/>
        </w:rPr>
        <w:t>21</w:t>
      </w:r>
      <w:r w:rsidRPr="00D23BF1">
        <w:rPr>
          <w:rFonts w:ascii="Times" w:hAnsi="Times" w:cs="Times New Roman"/>
          <w:noProof/>
        </w:rPr>
        <w:t>, 186–191 (2006).</w:t>
      </w:r>
    </w:p>
    <w:p w14:paraId="098BF8B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71.</w:t>
      </w:r>
      <w:r w:rsidRPr="00D23BF1">
        <w:rPr>
          <w:rFonts w:ascii="Times" w:hAnsi="Times" w:cs="Times New Roman"/>
          <w:noProof/>
        </w:rPr>
        <w:tab/>
        <w:t>Dominoni, D. M. &amp; Partecke, J. Does light pollution alter daylength</w:t>
      </w:r>
      <w:r w:rsidRPr="00D23BF1">
        <w:rPr>
          <w:rFonts w:ascii="Times New Roman" w:hAnsi="Times New Roman" w:cs="Times New Roman"/>
          <w:noProof/>
        </w:rPr>
        <w:t> </w:t>
      </w:r>
      <w:r w:rsidRPr="00D23BF1">
        <w:rPr>
          <w:rFonts w:ascii="Times" w:hAnsi="Times" w:cs="Times New Roman"/>
          <w:noProof/>
        </w:rPr>
        <w:t>? A test using light loggers on free-ranging European blackbirds ( Turdus merula ) Does light pollution alter daylength</w:t>
      </w:r>
      <w:r w:rsidRPr="00D23BF1">
        <w:rPr>
          <w:rFonts w:ascii="Times New Roman" w:hAnsi="Times New Roman" w:cs="Times New Roman"/>
          <w:noProof/>
        </w:rPr>
        <w:t> </w:t>
      </w:r>
      <w:r w:rsidRPr="00D23BF1">
        <w:rPr>
          <w:rFonts w:ascii="Times" w:hAnsi="Times" w:cs="Times New Roman"/>
          <w:noProof/>
        </w:rPr>
        <w:t xml:space="preserve">? A test using light loggers on free-ranging European blackbirds ( Turdus merula ). </w:t>
      </w:r>
      <w:r w:rsidRPr="00D23BF1">
        <w:rPr>
          <w:rFonts w:ascii="Times" w:hAnsi="Times" w:cs="Times New Roman"/>
          <w:i/>
          <w:iCs/>
          <w:noProof/>
        </w:rPr>
        <w:t>Philos. Trans. R. Soc. Lond. B. Biol. Sci.</w:t>
      </w:r>
      <w:r w:rsidRPr="00D23BF1">
        <w:rPr>
          <w:rFonts w:ascii="Times" w:hAnsi="Times" w:cs="Times New Roman"/>
          <w:noProof/>
        </w:rPr>
        <w:t xml:space="preserve"> </w:t>
      </w:r>
      <w:r w:rsidRPr="00D23BF1">
        <w:rPr>
          <w:rFonts w:ascii="Times" w:hAnsi="Times" w:cs="Times New Roman"/>
          <w:b/>
          <w:bCs/>
          <w:noProof/>
        </w:rPr>
        <w:t>370</w:t>
      </w:r>
      <w:r w:rsidRPr="00D23BF1">
        <w:rPr>
          <w:rFonts w:ascii="Times" w:hAnsi="Times" w:cs="Times New Roman"/>
          <w:noProof/>
        </w:rPr>
        <w:t>, (2015).</w:t>
      </w:r>
    </w:p>
    <w:p w14:paraId="59D1299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72.</w:t>
      </w:r>
      <w:r w:rsidRPr="00D23BF1">
        <w:rPr>
          <w:rFonts w:ascii="Times" w:hAnsi="Times" w:cs="Times New Roman"/>
          <w:noProof/>
        </w:rPr>
        <w:tab/>
        <w:t xml:space="preserve">Barber, J. R., Crooks, K. R. &amp; Fristrup, K. M. The costs of chronic noise exposure for terrestrial organisms. </w:t>
      </w:r>
      <w:r w:rsidRPr="00D23BF1">
        <w:rPr>
          <w:rFonts w:ascii="Times" w:hAnsi="Times" w:cs="Times New Roman"/>
          <w:i/>
          <w:iCs/>
          <w:noProof/>
        </w:rPr>
        <w:t>Trends Ecol. Evol.</w:t>
      </w:r>
      <w:r w:rsidRPr="00D23BF1">
        <w:rPr>
          <w:rFonts w:ascii="Times" w:hAnsi="Times" w:cs="Times New Roman"/>
          <w:noProof/>
        </w:rPr>
        <w:t xml:space="preserve"> </w:t>
      </w:r>
      <w:r w:rsidRPr="00D23BF1">
        <w:rPr>
          <w:rFonts w:ascii="Times" w:hAnsi="Times" w:cs="Times New Roman"/>
          <w:b/>
          <w:bCs/>
          <w:noProof/>
        </w:rPr>
        <w:t>25</w:t>
      </w:r>
      <w:r w:rsidRPr="00D23BF1">
        <w:rPr>
          <w:rFonts w:ascii="Times" w:hAnsi="Times" w:cs="Times New Roman"/>
          <w:noProof/>
        </w:rPr>
        <w:t>, 180–189 (2010).</w:t>
      </w:r>
    </w:p>
    <w:p w14:paraId="48349C8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73.</w:t>
      </w:r>
      <w:r w:rsidRPr="00D23BF1">
        <w:rPr>
          <w:rFonts w:ascii="Times" w:hAnsi="Times" w:cs="Times New Roman"/>
          <w:noProof/>
        </w:rPr>
        <w:tab/>
        <w:t xml:space="preserve">Galley, J. D. </w:t>
      </w:r>
      <w:r w:rsidRPr="00D23BF1">
        <w:rPr>
          <w:rFonts w:ascii="Times" w:hAnsi="Times" w:cs="Times New Roman"/>
          <w:i/>
          <w:iCs/>
          <w:noProof/>
        </w:rPr>
        <w:t>et al.</w:t>
      </w:r>
      <w:r w:rsidRPr="00D23BF1">
        <w:rPr>
          <w:rFonts w:ascii="Times" w:hAnsi="Times" w:cs="Times New Roman"/>
          <w:noProof/>
        </w:rPr>
        <w:t xml:space="preserve"> Exposure to a social stressor disrupts the community structure of the colonic mucosa-associated microbiota. </w:t>
      </w:r>
      <w:r w:rsidRPr="00D23BF1">
        <w:rPr>
          <w:rFonts w:ascii="Times" w:hAnsi="Times" w:cs="Times New Roman"/>
          <w:i/>
          <w:iCs/>
          <w:noProof/>
        </w:rPr>
        <w:t>BMC Microbiol.</w:t>
      </w:r>
      <w:r w:rsidRPr="00D23BF1">
        <w:rPr>
          <w:rFonts w:ascii="Times" w:hAnsi="Times" w:cs="Times New Roman"/>
          <w:noProof/>
        </w:rPr>
        <w:t xml:space="preserve"> </w:t>
      </w:r>
      <w:r w:rsidRPr="00D23BF1">
        <w:rPr>
          <w:rFonts w:ascii="Times" w:hAnsi="Times" w:cs="Times New Roman"/>
          <w:b/>
          <w:bCs/>
          <w:noProof/>
        </w:rPr>
        <w:t>14</w:t>
      </w:r>
      <w:r w:rsidRPr="00D23BF1">
        <w:rPr>
          <w:rFonts w:ascii="Times" w:hAnsi="Times" w:cs="Times New Roman"/>
          <w:noProof/>
        </w:rPr>
        <w:t>, 189 (2014).</w:t>
      </w:r>
    </w:p>
    <w:p w14:paraId="2564F23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74.</w:t>
      </w:r>
      <w:r w:rsidRPr="00D23BF1">
        <w:rPr>
          <w:rFonts w:ascii="Times" w:hAnsi="Times" w:cs="Times New Roman"/>
          <w:noProof/>
        </w:rPr>
        <w:tab/>
        <w:t xml:space="preserve">Kight, C. R. &amp; Swaddle, J. P. How and why environmental noise impacts </w:t>
      </w:r>
      <w:r w:rsidRPr="00D23BF1">
        <w:rPr>
          <w:rFonts w:ascii="Times" w:hAnsi="Times" w:cs="Times New Roman"/>
          <w:noProof/>
        </w:rPr>
        <w:lastRenderedPageBreak/>
        <w:t xml:space="preserve">animals: An integrative, mechanistic review. </w:t>
      </w:r>
      <w:r w:rsidRPr="00D23BF1">
        <w:rPr>
          <w:rFonts w:ascii="Times" w:hAnsi="Times" w:cs="Times New Roman"/>
          <w:i/>
          <w:iCs/>
          <w:noProof/>
        </w:rPr>
        <w:t>Ecol. Lett.</w:t>
      </w:r>
      <w:r w:rsidRPr="00D23BF1">
        <w:rPr>
          <w:rFonts w:ascii="Times" w:hAnsi="Times" w:cs="Times New Roman"/>
          <w:noProof/>
        </w:rPr>
        <w:t xml:space="preserve"> </w:t>
      </w:r>
      <w:r w:rsidRPr="00D23BF1">
        <w:rPr>
          <w:rFonts w:ascii="Times" w:hAnsi="Times" w:cs="Times New Roman"/>
          <w:b/>
          <w:bCs/>
          <w:noProof/>
        </w:rPr>
        <w:t>14</w:t>
      </w:r>
      <w:r w:rsidRPr="00D23BF1">
        <w:rPr>
          <w:rFonts w:ascii="Times" w:hAnsi="Times" w:cs="Times New Roman"/>
          <w:noProof/>
        </w:rPr>
        <w:t>, 1052–1061 (2011).</w:t>
      </w:r>
    </w:p>
    <w:p w14:paraId="2CAD947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75.</w:t>
      </w:r>
      <w:r w:rsidRPr="00D23BF1">
        <w:rPr>
          <w:rFonts w:ascii="Times" w:hAnsi="Times" w:cs="Times New Roman"/>
          <w:noProof/>
        </w:rPr>
        <w:tab/>
        <w:t xml:space="preserve">McClure, C. J. W., Ware, H. E., Carlisle, J. D. &amp; Barber, J. R. Noise from a phantom road experiment alters the age structure of a community of migrating birds. </w:t>
      </w:r>
      <w:r w:rsidRPr="00D23BF1">
        <w:rPr>
          <w:rFonts w:ascii="Times" w:hAnsi="Times" w:cs="Times New Roman"/>
          <w:i/>
          <w:iCs/>
          <w:noProof/>
        </w:rPr>
        <w:t>Anim. Conserv.</w:t>
      </w:r>
      <w:r w:rsidRPr="00D23BF1">
        <w:rPr>
          <w:rFonts w:ascii="Times" w:hAnsi="Times" w:cs="Times New Roman"/>
          <w:noProof/>
        </w:rPr>
        <w:t xml:space="preserve"> </w:t>
      </w:r>
      <w:r w:rsidRPr="00D23BF1">
        <w:rPr>
          <w:rFonts w:ascii="Times" w:hAnsi="Times" w:cs="Times New Roman"/>
          <w:b/>
          <w:bCs/>
          <w:noProof/>
        </w:rPr>
        <w:t>20</w:t>
      </w:r>
      <w:r w:rsidRPr="00D23BF1">
        <w:rPr>
          <w:rFonts w:ascii="Times" w:hAnsi="Times" w:cs="Times New Roman"/>
          <w:noProof/>
        </w:rPr>
        <w:t>, 164–172 (2017).</w:t>
      </w:r>
    </w:p>
    <w:p w14:paraId="1A2509D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76.</w:t>
      </w:r>
      <w:r w:rsidRPr="00D23BF1">
        <w:rPr>
          <w:rFonts w:ascii="Times" w:hAnsi="Times" w:cs="Times New Roman"/>
          <w:noProof/>
        </w:rPr>
        <w:tab/>
        <w:t xml:space="preserve">Brumm, H. The impact of environmental noise on song amplitude in a territorial bird. </w:t>
      </w:r>
      <w:r w:rsidRPr="00D23BF1">
        <w:rPr>
          <w:rFonts w:ascii="Times" w:hAnsi="Times" w:cs="Times New Roman"/>
          <w:i/>
          <w:iCs/>
          <w:noProof/>
        </w:rPr>
        <w:t>J. Anim. Ecol.</w:t>
      </w:r>
      <w:r w:rsidRPr="00D23BF1">
        <w:rPr>
          <w:rFonts w:ascii="Times" w:hAnsi="Times" w:cs="Times New Roman"/>
          <w:noProof/>
        </w:rPr>
        <w:t xml:space="preserve"> </w:t>
      </w:r>
      <w:r w:rsidRPr="00D23BF1">
        <w:rPr>
          <w:rFonts w:ascii="Times" w:hAnsi="Times" w:cs="Times New Roman"/>
          <w:b/>
          <w:bCs/>
          <w:noProof/>
        </w:rPr>
        <w:t>73</w:t>
      </w:r>
      <w:r w:rsidRPr="00D23BF1">
        <w:rPr>
          <w:rFonts w:ascii="Times" w:hAnsi="Times" w:cs="Times New Roman"/>
          <w:noProof/>
        </w:rPr>
        <w:t>, 434–440 (2004).</w:t>
      </w:r>
    </w:p>
    <w:p w14:paraId="19F880C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77.</w:t>
      </w:r>
      <w:r w:rsidRPr="00D23BF1">
        <w:rPr>
          <w:rFonts w:ascii="Times" w:hAnsi="Times" w:cs="Times New Roman"/>
          <w:noProof/>
        </w:rPr>
        <w:tab/>
        <w:t xml:space="preserve">Potvin, D. a. &amp; MacDougall-Shackleton, S. a. Experimental chronic noise exposure affects adult song in zebra finches. </w:t>
      </w:r>
      <w:r w:rsidRPr="00D23BF1">
        <w:rPr>
          <w:rFonts w:ascii="Times" w:hAnsi="Times" w:cs="Times New Roman"/>
          <w:i/>
          <w:iCs/>
          <w:noProof/>
        </w:rPr>
        <w:t>Anim. Behav.</w:t>
      </w:r>
      <w:r w:rsidRPr="00D23BF1">
        <w:rPr>
          <w:rFonts w:ascii="Times" w:hAnsi="Times" w:cs="Times New Roman"/>
          <w:noProof/>
        </w:rPr>
        <w:t xml:space="preserve"> </w:t>
      </w:r>
      <w:r w:rsidRPr="00D23BF1">
        <w:rPr>
          <w:rFonts w:ascii="Times" w:hAnsi="Times" w:cs="Times New Roman"/>
          <w:b/>
          <w:bCs/>
          <w:noProof/>
        </w:rPr>
        <w:t>107</w:t>
      </w:r>
      <w:r w:rsidRPr="00D23BF1">
        <w:rPr>
          <w:rFonts w:ascii="Times" w:hAnsi="Times" w:cs="Times New Roman"/>
          <w:noProof/>
        </w:rPr>
        <w:t>, 201–207 (2015).</w:t>
      </w:r>
    </w:p>
    <w:p w14:paraId="6D71718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78.</w:t>
      </w:r>
      <w:r w:rsidRPr="00D23BF1">
        <w:rPr>
          <w:rFonts w:ascii="Times" w:hAnsi="Times" w:cs="Times New Roman"/>
          <w:noProof/>
        </w:rPr>
        <w:tab/>
        <w:t xml:space="preserve">Vargas-Salinas, F. &amp; Amezquita, A. Traffic noise correlates with calling time but not spatial distribution in the threatened poison frog Andinobates bombetes. </w:t>
      </w:r>
      <w:r w:rsidRPr="00D23BF1">
        <w:rPr>
          <w:rFonts w:ascii="Times" w:hAnsi="Times" w:cs="Times New Roman"/>
          <w:i/>
          <w:iCs/>
          <w:noProof/>
        </w:rPr>
        <w:t>Behaviour</w:t>
      </w:r>
      <w:r w:rsidRPr="00D23BF1">
        <w:rPr>
          <w:rFonts w:ascii="Times" w:hAnsi="Times" w:cs="Times New Roman"/>
          <w:noProof/>
        </w:rPr>
        <w:t xml:space="preserve"> </w:t>
      </w:r>
      <w:r w:rsidRPr="00D23BF1">
        <w:rPr>
          <w:rFonts w:ascii="Times" w:hAnsi="Times" w:cs="Times New Roman"/>
          <w:b/>
          <w:bCs/>
          <w:noProof/>
        </w:rPr>
        <w:t>150</w:t>
      </w:r>
      <w:r w:rsidRPr="00D23BF1">
        <w:rPr>
          <w:rFonts w:ascii="Times" w:hAnsi="Times" w:cs="Times New Roman"/>
          <w:noProof/>
        </w:rPr>
        <w:t>, 569–584 (2013).</w:t>
      </w:r>
    </w:p>
    <w:p w14:paraId="341CAE4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79.</w:t>
      </w:r>
      <w:r w:rsidRPr="00D23BF1">
        <w:rPr>
          <w:rFonts w:ascii="Times" w:hAnsi="Times" w:cs="Times New Roman"/>
          <w:noProof/>
        </w:rPr>
        <w:tab/>
        <w:t xml:space="preserve">Senzaki, M., Yamaura, Y., Francis, C. D. &amp; Nakamura, F. Traffic noise reduces foraging efficiency in wild owls. </w:t>
      </w:r>
      <w:r w:rsidRPr="00D23BF1">
        <w:rPr>
          <w:rFonts w:ascii="Times" w:hAnsi="Times" w:cs="Times New Roman"/>
          <w:i/>
          <w:iCs/>
          <w:noProof/>
        </w:rPr>
        <w:t>Sci. Rep.</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30602 (2016).</w:t>
      </w:r>
    </w:p>
    <w:p w14:paraId="4B56545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80.</w:t>
      </w:r>
      <w:r w:rsidRPr="00D23BF1">
        <w:rPr>
          <w:rFonts w:ascii="Times" w:hAnsi="Times" w:cs="Times New Roman"/>
          <w:noProof/>
        </w:rPr>
        <w:tab/>
        <w:t xml:space="preserve">L. Quinn, J., J. Whittingham, M., J. Butler, S. &amp; Cresswell, W. Noise, predation risk compensation and vigilance in the chaffinch Fringilla coelebs. </w:t>
      </w:r>
      <w:r w:rsidRPr="00D23BF1">
        <w:rPr>
          <w:rFonts w:ascii="Times" w:hAnsi="Times" w:cs="Times New Roman"/>
          <w:i/>
          <w:iCs/>
          <w:noProof/>
        </w:rPr>
        <w:t>J. Avian Biol.</w:t>
      </w:r>
      <w:r w:rsidRPr="00D23BF1">
        <w:rPr>
          <w:rFonts w:ascii="Times" w:hAnsi="Times" w:cs="Times New Roman"/>
          <w:noProof/>
        </w:rPr>
        <w:t xml:space="preserve"> </w:t>
      </w:r>
      <w:r w:rsidRPr="00D23BF1">
        <w:rPr>
          <w:rFonts w:ascii="Times" w:hAnsi="Times" w:cs="Times New Roman"/>
          <w:b/>
          <w:bCs/>
          <w:noProof/>
        </w:rPr>
        <w:t>37</w:t>
      </w:r>
      <w:r w:rsidRPr="00D23BF1">
        <w:rPr>
          <w:rFonts w:ascii="Times" w:hAnsi="Times" w:cs="Times New Roman"/>
          <w:noProof/>
        </w:rPr>
        <w:t>, 601–608 (2006).</w:t>
      </w:r>
    </w:p>
    <w:p w14:paraId="49EDC40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81.</w:t>
      </w:r>
      <w:r w:rsidRPr="00D23BF1">
        <w:rPr>
          <w:rFonts w:ascii="Times" w:hAnsi="Times" w:cs="Times New Roman"/>
          <w:noProof/>
        </w:rPr>
        <w:tab/>
        <w:t xml:space="preserve">Blickley, J. L., Blackwood, D. &amp; Patricelli, G. L. Experimental Evidence for the Effects of Chronic Anthropogenic Noise on Abundance of Greater Sage-Grouse at Leks. </w:t>
      </w:r>
      <w:r w:rsidRPr="00D23BF1">
        <w:rPr>
          <w:rFonts w:ascii="Times" w:hAnsi="Times" w:cs="Times New Roman"/>
          <w:i/>
          <w:iCs/>
          <w:noProof/>
        </w:rPr>
        <w:t>Conserv. Biol.</w:t>
      </w:r>
      <w:r w:rsidRPr="00D23BF1">
        <w:rPr>
          <w:rFonts w:ascii="Times" w:hAnsi="Times" w:cs="Times New Roman"/>
          <w:noProof/>
        </w:rPr>
        <w:t xml:space="preserve"> </w:t>
      </w:r>
      <w:r w:rsidRPr="00D23BF1">
        <w:rPr>
          <w:rFonts w:ascii="Times" w:hAnsi="Times" w:cs="Times New Roman"/>
          <w:b/>
          <w:bCs/>
          <w:noProof/>
        </w:rPr>
        <w:t>26</w:t>
      </w:r>
      <w:r w:rsidRPr="00D23BF1">
        <w:rPr>
          <w:rFonts w:ascii="Times" w:hAnsi="Times" w:cs="Times New Roman"/>
          <w:noProof/>
        </w:rPr>
        <w:t>, 461–471 (2012).</w:t>
      </w:r>
    </w:p>
    <w:p w14:paraId="41860C2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82.</w:t>
      </w:r>
      <w:r w:rsidRPr="00D23BF1">
        <w:rPr>
          <w:rFonts w:ascii="Times" w:hAnsi="Times" w:cs="Times New Roman"/>
          <w:noProof/>
        </w:rPr>
        <w:tab/>
        <w:t xml:space="preserve">Collins, S. M., Kassam, Z. &amp; Bercik, P. The adoptive transfer of behavioral phenotype via the intestinal microbiota: Experimental evidence and clinical implications. </w:t>
      </w:r>
      <w:r w:rsidRPr="00D23BF1">
        <w:rPr>
          <w:rFonts w:ascii="Times" w:hAnsi="Times" w:cs="Times New Roman"/>
          <w:i/>
          <w:iCs/>
          <w:noProof/>
        </w:rPr>
        <w:t>Curr. Opin. Microbiol.</w:t>
      </w:r>
      <w:r w:rsidRPr="00D23BF1">
        <w:rPr>
          <w:rFonts w:ascii="Times" w:hAnsi="Times" w:cs="Times New Roman"/>
          <w:noProof/>
        </w:rPr>
        <w:t xml:space="preserve"> </w:t>
      </w:r>
      <w:r w:rsidRPr="00D23BF1">
        <w:rPr>
          <w:rFonts w:ascii="Times" w:hAnsi="Times" w:cs="Times New Roman"/>
          <w:b/>
          <w:bCs/>
          <w:noProof/>
        </w:rPr>
        <w:t>16</w:t>
      </w:r>
      <w:r w:rsidRPr="00D23BF1">
        <w:rPr>
          <w:rFonts w:ascii="Times" w:hAnsi="Times" w:cs="Times New Roman"/>
          <w:noProof/>
        </w:rPr>
        <w:t>, 240–245 (2013).</w:t>
      </w:r>
    </w:p>
    <w:p w14:paraId="4E8CCBD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83.</w:t>
      </w:r>
      <w:r w:rsidRPr="00D23BF1">
        <w:rPr>
          <w:rFonts w:ascii="Times" w:hAnsi="Times" w:cs="Times New Roman"/>
          <w:noProof/>
        </w:rPr>
        <w:tab/>
        <w:t xml:space="preserve">Nicholson, J. K. </w:t>
      </w:r>
      <w:r w:rsidRPr="00D23BF1">
        <w:rPr>
          <w:rFonts w:ascii="Times" w:hAnsi="Times" w:cs="Times New Roman"/>
          <w:i/>
          <w:iCs/>
          <w:noProof/>
        </w:rPr>
        <w:t>et al.</w:t>
      </w:r>
      <w:r w:rsidRPr="00D23BF1">
        <w:rPr>
          <w:rFonts w:ascii="Times" w:hAnsi="Times" w:cs="Times New Roman"/>
          <w:noProof/>
        </w:rPr>
        <w:t xml:space="preserve"> Host-Gut Microbiota Metabolic Interactions. </w:t>
      </w:r>
      <w:r w:rsidRPr="00D23BF1">
        <w:rPr>
          <w:rFonts w:ascii="Times" w:hAnsi="Times" w:cs="Times New Roman"/>
          <w:b/>
          <w:bCs/>
          <w:noProof/>
        </w:rPr>
        <w:t>108</w:t>
      </w:r>
      <w:r w:rsidRPr="00D23BF1">
        <w:rPr>
          <w:rFonts w:ascii="Times" w:hAnsi="Times" w:cs="Times New Roman"/>
          <w:noProof/>
        </w:rPr>
        <w:t>, 1262–1268 (2012).</w:t>
      </w:r>
    </w:p>
    <w:p w14:paraId="0A75069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84.</w:t>
      </w:r>
      <w:r w:rsidRPr="00D23BF1">
        <w:rPr>
          <w:rFonts w:ascii="Times" w:hAnsi="Times" w:cs="Times New Roman"/>
          <w:noProof/>
        </w:rPr>
        <w:tab/>
        <w:t xml:space="preserve">Tremaroli, V. &amp; Bäckhed, F. Functional interactions between the gut microbiota and host metabolism. </w:t>
      </w:r>
      <w:r w:rsidRPr="00D23BF1">
        <w:rPr>
          <w:rFonts w:ascii="Times" w:hAnsi="Times" w:cs="Times New Roman"/>
          <w:i/>
          <w:iCs/>
          <w:noProof/>
        </w:rPr>
        <w:t>Nature</w:t>
      </w:r>
      <w:r w:rsidRPr="00D23BF1">
        <w:rPr>
          <w:rFonts w:ascii="Times" w:hAnsi="Times" w:cs="Times New Roman"/>
          <w:noProof/>
        </w:rPr>
        <w:t xml:space="preserve"> </w:t>
      </w:r>
      <w:r w:rsidRPr="00D23BF1">
        <w:rPr>
          <w:rFonts w:ascii="Times" w:hAnsi="Times" w:cs="Times New Roman"/>
          <w:b/>
          <w:bCs/>
          <w:noProof/>
        </w:rPr>
        <w:t>489</w:t>
      </w:r>
      <w:r w:rsidRPr="00D23BF1">
        <w:rPr>
          <w:rFonts w:ascii="Times" w:hAnsi="Times" w:cs="Times New Roman"/>
          <w:noProof/>
        </w:rPr>
        <w:t>, 242–249 (2012).</w:t>
      </w:r>
    </w:p>
    <w:p w14:paraId="468AC8F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85.</w:t>
      </w:r>
      <w:r w:rsidRPr="00D23BF1">
        <w:rPr>
          <w:rFonts w:ascii="Times" w:hAnsi="Times" w:cs="Times New Roman"/>
          <w:noProof/>
        </w:rPr>
        <w:tab/>
        <w:t>Davies, S., Haddad, N., Ouyang, J. Q. &amp; Ouyang, J. Q. Stressful city sounds</w:t>
      </w:r>
      <w:r w:rsidRPr="00D23BF1">
        <w:rPr>
          <w:rFonts w:ascii="Times New Roman" w:hAnsi="Times New Roman" w:cs="Times New Roman"/>
          <w:noProof/>
        </w:rPr>
        <w:t> </w:t>
      </w:r>
      <w:r w:rsidRPr="00D23BF1">
        <w:rPr>
          <w:rFonts w:ascii="Times" w:hAnsi="Times" w:cs="Times New Roman"/>
          <w:noProof/>
        </w:rPr>
        <w:t>: glucocorticoid responses to experimental traffic noise are environmentally dependent. (2017).</w:t>
      </w:r>
    </w:p>
    <w:p w14:paraId="554D6E9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86.</w:t>
      </w:r>
      <w:r w:rsidRPr="00D23BF1">
        <w:rPr>
          <w:rFonts w:ascii="Times" w:hAnsi="Times" w:cs="Times New Roman"/>
          <w:noProof/>
        </w:rPr>
        <w:tab/>
        <w:t xml:space="preserve">Kleist, N. J., Guralnick, R. P., Cruz, A., Lowry, C. A. &amp; Francis, C. D. Chronic anthropogenic noise disrupts glucocorticoid signaling and has multiple effects on fitness in an avian community. </w:t>
      </w:r>
      <w:r w:rsidRPr="00D23BF1">
        <w:rPr>
          <w:rFonts w:ascii="Times" w:hAnsi="Times" w:cs="Times New Roman"/>
          <w:i/>
          <w:iCs/>
          <w:noProof/>
        </w:rPr>
        <w:t>Proc. Natl. Acad. Sci.</w:t>
      </w:r>
      <w:r w:rsidRPr="00D23BF1">
        <w:rPr>
          <w:rFonts w:ascii="Times" w:hAnsi="Times" w:cs="Times New Roman"/>
          <w:noProof/>
        </w:rPr>
        <w:t xml:space="preserve"> 201709200 (2018) doi:10.1073/pnas.1709200115.</w:t>
      </w:r>
    </w:p>
    <w:p w14:paraId="1698B18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87.</w:t>
      </w:r>
      <w:r w:rsidRPr="00D23BF1">
        <w:rPr>
          <w:rFonts w:ascii="Times" w:hAnsi="Times" w:cs="Times New Roman"/>
          <w:noProof/>
        </w:rPr>
        <w:tab/>
        <w:t xml:space="preserve">Chloupek, P. </w:t>
      </w:r>
      <w:r w:rsidRPr="00D23BF1">
        <w:rPr>
          <w:rFonts w:ascii="Times" w:hAnsi="Times" w:cs="Times New Roman"/>
          <w:i/>
          <w:iCs/>
          <w:noProof/>
        </w:rPr>
        <w:t>et al.</w:t>
      </w:r>
      <w:r w:rsidRPr="00D23BF1">
        <w:rPr>
          <w:rFonts w:ascii="Times" w:hAnsi="Times" w:cs="Times New Roman"/>
          <w:noProof/>
        </w:rPr>
        <w:t xml:space="preserve"> Stress in broiler chickens due to acute noise exposure. </w:t>
      </w:r>
      <w:r w:rsidRPr="00D23BF1">
        <w:rPr>
          <w:rFonts w:ascii="Times" w:hAnsi="Times" w:cs="Times New Roman"/>
          <w:i/>
          <w:iCs/>
          <w:noProof/>
        </w:rPr>
        <w:t>Acta Vet. Brno</w:t>
      </w:r>
      <w:r w:rsidRPr="00D23BF1">
        <w:rPr>
          <w:rFonts w:ascii="Times" w:hAnsi="Times" w:cs="Times New Roman"/>
          <w:noProof/>
        </w:rPr>
        <w:t xml:space="preserve"> </w:t>
      </w:r>
      <w:r w:rsidRPr="00D23BF1">
        <w:rPr>
          <w:rFonts w:ascii="Times" w:hAnsi="Times" w:cs="Times New Roman"/>
          <w:b/>
          <w:bCs/>
          <w:noProof/>
        </w:rPr>
        <w:t>78</w:t>
      </w:r>
      <w:r w:rsidRPr="00D23BF1">
        <w:rPr>
          <w:rFonts w:ascii="Times" w:hAnsi="Times" w:cs="Times New Roman"/>
          <w:noProof/>
        </w:rPr>
        <w:t>, 93–98 (2009).</w:t>
      </w:r>
    </w:p>
    <w:p w14:paraId="7ADE9E7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88.</w:t>
      </w:r>
      <w:r w:rsidRPr="00D23BF1">
        <w:rPr>
          <w:rFonts w:ascii="Times" w:hAnsi="Times" w:cs="Times New Roman"/>
          <w:noProof/>
        </w:rPr>
        <w:tab/>
        <w:t xml:space="preserve">Crino, O. L., Johnson, E. E., Blickley, J. L., Patricelli, G. L. &amp; Breuner, C. W. Effects of experimentally elevated traffic noise on nestling white-crowned sparrow stress physiology, immune function and life history. </w:t>
      </w:r>
      <w:r w:rsidRPr="00D23BF1">
        <w:rPr>
          <w:rFonts w:ascii="Times" w:hAnsi="Times" w:cs="Times New Roman"/>
          <w:i/>
          <w:iCs/>
          <w:noProof/>
        </w:rPr>
        <w:t>J. Exp. Biol.</w:t>
      </w:r>
      <w:r w:rsidRPr="00D23BF1">
        <w:rPr>
          <w:rFonts w:ascii="Times" w:hAnsi="Times" w:cs="Times New Roman"/>
          <w:noProof/>
        </w:rPr>
        <w:t xml:space="preserve"> </w:t>
      </w:r>
      <w:r w:rsidRPr="00D23BF1">
        <w:rPr>
          <w:rFonts w:ascii="Times" w:hAnsi="Times" w:cs="Times New Roman"/>
          <w:b/>
          <w:bCs/>
          <w:noProof/>
        </w:rPr>
        <w:t>216</w:t>
      </w:r>
      <w:r w:rsidRPr="00D23BF1">
        <w:rPr>
          <w:rFonts w:ascii="Times" w:hAnsi="Times" w:cs="Times New Roman"/>
          <w:noProof/>
        </w:rPr>
        <w:t>, 2055–62 (2013).</w:t>
      </w:r>
    </w:p>
    <w:p w14:paraId="49723E0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89.</w:t>
      </w:r>
      <w:r w:rsidRPr="00D23BF1">
        <w:rPr>
          <w:rFonts w:ascii="Times" w:hAnsi="Times" w:cs="Times New Roman"/>
          <w:noProof/>
        </w:rPr>
        <w:tab/>
        <w:t xml:space="preserve">Nakade, Y. </w:t>
      </w:r>
      <w:r w:rsidRPr="00D23BF1">
        <w:rPr>
          <w:rFonts w:ascii="Times" w:hAnsi="Times" w:cs="Times New Roman"/>
          <w:i/>
          <w:iCs/>
          <w:noProof/>
        </w:rPr>
        <w:t>et al.</w:t>
      </w:r>
      <w:r w:rsidRPr="00D23BF1">
        <w:rPr>
          <w:rFonts w:ascii="Times" w:hAnsi="Times" w:cs="Times New Roman"/>
          <w:noProof/>
        </w:rPr>
        <w:t xml:space="preserve"> Restraint stress stimulates colonic motility via central corticotropin-releasing factor and peripheral 5-HT3 receptors in conscious rats. </w:t>
      </w:r>
      <w:r w:rsidRPr="00D23BF1">
        <w:rPr>
          <w:rFonts w:ascii="Times" w:hAnsi="Times" w:cs="Times New Roman"/>
          <w:i/>
          <w:iCs/>
          <w:noProof/>
        </w:rPr>
        <w:t>Am. J. Physiol. Liver Physiol.</w:t>
      </w:r>
      <w:r w:rsidRPr="00D23BF1">
        <w:rPr>
          <w:rFonts w:ascii="Times" w:hAnsi="Times" w:cs="Times New Roman"/>
          <w:noProof/>
        </w:rPr>
        <w:t xml:space="preserve"> </w:t>
      </w:r>
      <w:r w:rsidRPr="00D23BF1">
        <w:rPr>
          <w:rFonts w:ascii="Times" w:hAnsi="Times" w:cs="Times New Roman"/>
          <w:b/>
          <w:bCs/>
          <w:noProof/>
        </w:rPr>
        <w:t>48</w:t>
      </w:r>
      <w:r w:rsidRPr="00D23BF1">
        <w:rPr>
          <w:rFonts w:ascii="Times" w:hAnsi="Times" w:cs="Times New Roman"/>
          <w:noProof/>
        </w:rPr>
        <w:t>, 1037–1044 (2006).</w:t>
      </w:r>
    </w:p>
    <w:p w14:paraId="3EC37E9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90.</w:t>
      </w:r>
      <w:r w:rsidRPr="00D23BF1">
        <w:rPr>
          <w:rFonts w:ascii="Times" w:hAnsi="Times" w:cs="Times New Roman"/>
          <w:noProof/>
        </w:rPr>
        <w:tab/>
        <w:t xml:space="preserve">Ait-Belgnaoui, A., Bradesi, S., Fioramonti, J., Theodorou, V. &amp; Bueno, L. Acute stress-induced hypersensitivity to colonic distension depends upon increase in paracellular permeability: Role of myosin light chain kinase. </w:t>
      </w:r>
      <w:r w:rsidRPr="00D23BF1">
        <w:rPr>
          <w:rFonts w:ascii="Times" w:hAnsi="Times" w:cs="Times New Roman"/>
          <w:i/>
          <w:iCs/>
          <w:noProof/>
        </w:rPr>
        <w:t>Pain</w:t>
      </w:r>
      <w:r w:rsidRPr="00D23BF1">
        <w:rPr>
          <w:rFonts w:ascii="Times" w:hAnsi="Times" w:cs="Times New Roman"/>
          <w:noProof/>
        </w:rPr>
        <w:t xml:space="preserve"> (2005) doi:10.1016/j.pain.2004.10.002.</w:t>
      </w:r>
    </w:p>
    <w:p w14:paraId="6CDD63F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91.</w:t>
      </w:r>
      <w:r w:rsidRPr="00D23BF1">
        <w:rPr>
          <w:rFonts w:ascii="Times" w:hAnsi="Times" w:cs="Times New Roman"/>
          <w:noProof/>
        </w:rPr>
        <w:tab/>
        <w:t xml:space="preserve">Soderholm, J. D. &amp; Perdue, M. H. Stress and gastrointestinal tract. II. Stress </w:t>
      </w:r>
      <w:r w:rsidRPr="00D23BF1">
        <w:rPr>
          <w:rFonts w:ascii="Times" w:hAnsi="Times" w:cs="Times New Roman"/>
          <w:noProof/>
        </w:rPr>
        <w:lastRenderedPageBreak/>
        <w:t xml:space="preserve">and intestinal barrier function. </w:t>
      </w:r>
      <w:r w:rsidRPr="00D23BF1">
        <w:rPr>
          <w:rFonts w:ascii="Times" w:hAnsi="Times" w:cs="Times New Roman"/>
          <w:i/>
          <w:iCs/>
          <w:noProof/>
        </w:rPr>
        <w:t>Am. J. Physiol. Gastrointest. Liver Physiol.</w:t>
      </w:r>
      <w:r w:rsidRPr="00D23BF1">
        <w:rPr>
          <w:rFonts w:ascii="Times" w:hAnsi="Times" w:cs="Times New Roman"/>
          <w:noProof/>
        </w:rPr>
        <w:t xml:space="preserve"> </w:t>
      </w:r>
      <w:r w:rsidRPr="00D23BF1">
        <w:rPr>
          <w:rFonts w:ascii="Times" w:hAnsi="Times" w:cs="Times New Roman"/>
          <w:b/>
          <w:bCs/>
          <w:noProof/>
        </w:rPr>
        <w:t>280</w:t>
      </w:r>
      <w:r w:rsidRPr="00D23BF1">
        <w:rPr>
          <w:rFonts w:ascii="Times" w:hAnsi="Times" w:cs="Times New Roman"/>
          <w:noProof/>
        </w:rPr>
        <w:t>, G7–G13 (2001).</w:t>
      </w:r>
    </w:p>
    <w:p w14:paraId="044FE7A6"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92.</w:t>
      </w:r>
      <w:r w:rsidRPr="00D23BF1">
        <w:rPr>
          <w:rFonts w:ascii="Times" w:hAnsi="Times" w:cs="Times New Roman"/>
          <w:noProof/>
        </w:rPr>
        <w:tab/>
        <w:t xml:space="preserve">Hart, A. &amp; Kamm, M. A. Review article: mechanisms of initiation and perpetuation of gut inflammation by stress. </w:t>
      </w:r>
      <w:r w:rsidRPr="00D23BF1">
        <w:rPr>
          <w:rFonts w:ascii="Times" w:hAnsi="Times" w:cs="Times New Roman"/>
          <w:i/>
          <w:iCs/>
          <w:noProof/>
        </w:rPr>
        <w:t>Aliment. Pharmacol. Ther.</w:t>
      </w:r>
      <w:r w:rsidRPr="00D23BF1">
        <w:rPr>
          <w:rFonts w:ascii="Times" w:hAnsi="Times" w:cs="Times New Roman"/>
          <w:noProof/>
        </w:rPr>
        <w:t xml:space="preserve"> 2017–2028 (2002) doi:10.1046/j.0269-2813.2002.01359.x.</w:t>
      </w:r>
    </w:p>
    <w:p w14:paraId="08768FB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93.</w:t>
      </w:r>
      <w:r w:rsidRPr="00D23BF1">
        <w:rPr>
          <w:rFonts w:ascii="Times" w:hAnsi="Times" w:cs="Times New Roman"/>
          <w:noProof/>
        </w:rPr>
        <w:tab/>
        <w:t xml:space="preserve">Ware, H. E., McClure, C. J. W., Carlisle, J. D. &amp; Barber, J. R. A phantom road experiment reveals traffic noise is an invisible source of habitat degradation. </w:t>
      </w:r>
      <w:r w:rsidRPr="00D23BF1">
        <w:rPr>
          <w:rFonts w:ascii="Times" w:hAnsi="Times" w:cs="Times New Roman"/>
          <w:i/>
          <w:iCs/>
          <w:noProof/>
        </w:rPr>
        <w:t>Proc. Natl. Acad. Sci.</w:t>
      </w:r>
      <w:r w:rsidRPr="00D23BF1">
        <w:rPr>
          <w:rFonts w:ascii="Times" w:hAnsi="Times" w:cs="Times New Roman"/>
          <w:noProof/>
        </w:rPr>
        <w:t xml:space="preserve"> </w:t>
      </w:r>
      <w:r w:rsidRPr="00D23BF1">
        <w:rPr>
          <w:rFonts w:ascii="Times" w:hAnsi="Times" w:cs="Times New Roman"/>
          <w:b/>
          <w:bCs/>
          <w:noProof/>
        </w:rPr>
        <w:t>112</w:t>
      </w:r>
      <w:r w:rsidRPr="00D23BF1">
        <w:rPr>
          <w:rFonts w:ascii="Times" w:hAnsi="Times" w:cs="Times New Roman"/>
          <w:noProof/>
        </w:rPr>
        <w:t>, 12105–12109 (2015).</w:t>
      </w:r>
    </w:p>
    <w:p w14:paraId="4774331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94.</w:t>
      </w:r>
      <w:r w:rsidRPr="00D23BF1">
        <w:rPr>
          <w:rFonts w:ascii="Times" w:hAnsi="Times" w:cs="Times New Roman"/>
          <w:noProof/>
        </w:rPr>
        <w:tab/>
        <w:t xml:space="preserve">Kohl, K. D., Amaya, J., Passement, C. A., Dearing, M. D. &amp; Mccue, M. D. Unique and shared responses of the gut microbiota to prolonged fasting: A comparative study across five classes of vertebrate hosts. </w:t>
      </w:r>
      <w:r w:rsidRPr="00D23BF1">
        <w:rPr>
          <w:rFonts w:ascii="Times" w:hAnsi="Times" w:cs="Times New Roman"/>
          <w:i/>
          <w:iCs/>
          <w:noProof/>
        </w:rPr>
        <w:t>FEMS Microbiol. Ecol.</w:t>
      </w:r>
      <w:r w:rsidRPr="00D23BF1">
        <w:rPr>
          <w:rFonts w:ascii="Times" w:hAnsi="Times" w:cs="Times New Roman"/>
          <w:noProof/>
        </w:rPr>
        <w:t xml:space="preserve"> </w:t>
      </w:r>
      <w:r w:rsidRPr="00D23BF1">
        <w:rPr>
          <w:rFonts w:ascii="Times" w:hAnsi="Times" w:cs="Times New Roman"/>
          <w:b/>
          <w:bCs/>
          <w:noProof/>
        </w:rPr>
        <w:t>90</w:t>
      </w:r>
      <w:r w:rsidRPr="00D23BF1">
        <w:rPr>
          <w:rFonts w:ascii="Times" w:hAnsi="Times" w:cs="Times New Roman"/>
          <w:noProof/>
        </w:rPr>
        <w:t>, 883–894 (2014).</w:t>
      </w:r>
    </w:p>
    <w:p w14:paraId="4FD93B3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95.</w:t>
      </w:r>
      <w:r w:rsidRPr="00D23BF1">
        <w:rPr>
          <w:rFonts w:ascii="Times" w:hAnsi="Times" w:cs="Times New Roman"/>
          <w:noProof/>
        </w:rPr>
        <w:tab/>
        <w:t xml:space="preserve">David, L. a </w:t>
      </w:r>
      <w:r w:rsidRPr="00D23BF1">
        <w:rPr>
          <w:rFonts w:ascii="Times" w:hAnsi="Times" w:cs="Times New Roman"/>
          <w:i/>
          <w:iCs/>
          <w:noProof/>
        </w:rPr>
        <w:t>et al.</w:t>
      </w:r>
      <w:r w:rsidRPr="00D23BF1">
        <w:rPr>
          <w:rFonts w:ascii="Times" w:hAnsi="Times" w:cs="Times New Roman"/>
          <w:noProof/>
        </w:rPr>
        <w:t xml:space="preserve"> Diet rapidly and reproducibly alters the human gut microbiome. </w:t>
      </w:r>
      <w:r w:rsidRPr="00D23BF1">
        <w:rPr>
          <w:rFonts w:ascii="Times" w:hAnsi="Times" w:cs="Times New Roman"/>
          <w:i/>
          <w:iCs/>
          <w:noProof/>
        </w:rPr>
        <w:t>Nature</w:t>
      </w:r>
      <w:r w:rsidRPr="00D23BF1">
        <w:rPr>
          <w:rFonts w:ascii="Times" w:hAnsi="Times" w:cs="Times New Roman"/>
          <w:noProof/>
        </w:rPr>
        <w:t xml:space="preserve"> </w:t>
      </w:r>
      <w:r w:rsidRPr="00D23BF1">
        <w:rPr>
          <w:rFonts w:ascii="Times" w:hAnsi="Times" w:cs="Times New Roman"/>
          <w:b/>
          <w:bCs/>
          <w:noProof/>
        </w:rPr>
        <w:t>505</w:t>
      </w:r>
      <w:r w:rsidRPr="00D23BF1">
        <w:rPr>
          <w:rFonts w:ascii="Times" w:hAnsi="Times" w:cs="Times New Roman"/>
          <w:noProof/>
        </w:rPr>
        <w:t>, 559–63 (2014).</w:t>
      </w:r>
    </w:p>
    <w:p w14:paraId="5BC0C35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96.</w:t>
      </w:r>
      <w:r w:rsidRPr="00D23BF1">
        <w:rPr>
          <w:rFonts w:ascii="Times" w:hAnsi="Times" w:cs="Times New Roman"/>
          <w:noProof/>
        </w:rPr>
        <w:tab/>
        <w:t xml:space="preserve">Fisinin, V. I. </w:t>
      </w:r>
      <w:r w:rsidRPr="00D23BF1">
        <w:rPr>
          <w:rFonts w:ascii="Times" w:hAnsi="Times" w:cs="Times New Roman"/>
          <w:i/>
          <w:iCs/>
          <w:noProof/>
        </w:rPr>
        <w:t>et al.</w:t>
      </w:r>
      <w:r w:rsidRPr="00D23BF1">
        <w:rPr>
          <w:rFonts w:ascii="Times" w:hAnsi="Times" w:cs="Times New Roman"/>
          <w:noProof/>
        </w:rPr>
        <w:t xml:space="preserve"> Broiler Chicken Cecal Microbiocenoses Depending on Mixed Fodder. </w:t>
      </w:r>
      <w:r w:rsidRPr="00D23BF1">
        <w:rPr>
          <w:rFonts w:ascii="Times" w:hAnsi="Times" w:cs="Times New Roman"/>
          <w:i/>
          <w:iCs/>
          <w:noProof/>
        </w:rPr>
        <w:t>Microbiol. Egorov</w:t>
      </w:r>
      <w:r w:rsidRPr="00D23BF1">
        <w:rPr>
          <w:rFonts w:ascii="Times" w:hAnsi="Times" w:cs="Times New Roman"/>
          <w:noProof/>
        </w:rPr>
        <w:t xml:space="preserve"> </w:t>
      </w:r>
      <w:r w:rsidRPr="00D23BF1">
        <w:rPr>
          <w:rFonts w:ascii="Times" w:hAnsi="Times" w:cs="Times New Roman"/>
          <w:b/>
          <w:bCs/>
          <w:noProof/>
        </w:rPr>
        <w:t>85</w:t>
      </w:r>
      <w:r w:rsidRPr="00D23BF1">
        <w:rPr>
          <w:rFonts w:ascii="Times" w:hAnsi="Times" w:cs="Times New Roman"/>
          <w:noProof/>
        </w:rPr>
        <w:t>, 26–2617 (2016).</w:t>
      </w:r>
    </w:p>
    <w:p w14:paraId="0D12696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97.</w:t>
      </w:r>
      <w:r w:rsidRPr="00D23BF1">
        <w:rPr>
          <w:rFonts w:ascii="Times" w:hAnsi="Times" w:cs="Times New Roman"/>
          <w:noProof/>
        </w:rPr>
        <w:tab/>
        <w:t xml:space="preserve">Suzuki, T. A. &amp; Nachman, M. W. Spatial heterogeneity of gut microbial composition along the gastrointestinal tract in natural populations of house mice. </w:t>
      </w:r>
      <w:r w:rsidRPr="00D23BF1">
        <w:rPr>
          <w:rFonts w:ascii="Times" w:hAnsi="Times" w:cs="Times New Roman"/>
          <w:i/>
          <w:iCs/>
          <w:noProof/>
        </w:rPr>
        <w:t>PLoS One</w:t>
      </w:r>
      <w:r w:rsidRPr="00D23BF1">
        <w:rPr>
          <w:rFonts w:ascii="Times" w:hAnsi="Times" w:cs="Times New Roman"/>
          <w:noProof/>
        </w:rPr>
        <w:t xml:space="preserve"> </w:t>
      </w:r>
      <w:r w:rsidRPr="00D23BF1">
        <w:rPr>
          <w:rFonts w:ascii="Times" w:hAnsi="Times" w:cs="Times New Roman"/>
          <w:b/>
          <w:bCs/>
          <w:noProof/>
        </w:rPr>
        <w:t>11</w:t>
      </w:r>
      <w:r w:rsidRPr="00D23BF1">
        <w:rPr>
          <w:rFonts w:ascii="Times" w:hAnsi="Times" w:cs="Times New Roman"/>
          <w:noProof/>
        </w:rPr>
        <w:t>, 1–15 (2016).</w:t>
      </w:r>
    </w:p>
    <w:p w14:paraId="1661450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98.</w:t>
      </w:r>
      <w:r w:rsidRPr="00D23BF1">
        <w:rPr>
          <w:rFonts w:ascii="Times" w:hAnsi="Times" w:cs="Times New Roman"/>
          <w:noProof/>
        </w:rPr>
        <w:tab/>
        <w:t xml:space="preserve">Kohl, K. D., Luong, K. &amp; Dearing, M. D. Validating the use of trap-collected feces for studying the gut microbiota of a small mammal (Neotoma lepida). </w:t>
      </w:r>
      <w:r w:rsidRPr="00D23BF1">
        <w:rPr>
          <w:rFonts w:ascii="Times" w:hAnsi="Times" w:cs="Times New Roman"/>
          <w:i/>
          <w:iCs/>
          <w:noProof/>
        </w:rPr>
        <w:t>J. Mammal.</w:t>
      </w:r>
      <w:r w:rsidRPr="00D23BF1">
        <w:rPr>
          <w:rFonts w:ascii="Times" w:hAnsi="Times" w:cs="Times New Roman"/>
          <w:noProof/>
        </w:rPr>
        <w:t xml:space="preserve"> </w:t>
      </w:r>
      <w:r w:rsidRPr="00D23BF1">
        <w:rPr>
          <w:rFonts w:ascii="Times" w:hAnsi="Times" w:cs="Times New Roman"/>
          <w:b/>
          <w:bCs/>
          <w:noProof/>
        </w:rPr>
        <w:t>96</w:t>
      </w:r>
      <w:r w:rsidRPr="00D23BF1">
        <w:rPr>
          <w:rFonts w:ascii="Times" w:hAnsi="Times" w:cs="Times New Roman"/>
          <w:noProof/>
        </w:rPr>
        <w:t>, 90–93 (2015).</w:t>
      </w:r>
    </w:p>
    <w:p w14:paraId="2CA18CB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99.</w:t>
      </w:r>
      <w:r w:rsidRPr="00D23BF1">
        <w:rPr>
          <w:rFonts w:ascii="Times" w:hAnsi="Times" w:cs="Times New Roman"/>
          <w:noProof/>
        </w:rPr>
        <w:tab/>
        <w:t xml:space="preserve">Vo,  a.-T. E. &amp; Jedlicka, J. a. Protocols for metagenomic DNA extraction and Illumina amplicon library preparation for faecal and swab samples. </w:t>
      </w:r>
      <w:r w:rsidRPr="00D23BF1">
        <w:rPr>
          <w:rFonts w:ascii="Times" w:hAnsi="Times" w:cs="Times New Roman"/>
          <w:i/>
          <w:iCs/>
          <w:noProof/>
        </w:rPr>
        <w:t>Mol. Ecol. Resour.</w:t>
      </w:r>
      <w:r w:rsidRPr="00D23BF1">
        <w:rPr>
          <w:rFonts w:ascii="Times" w:hAnsi="Times" w:cs="Times New Roman"/>
          <w:noProof/>
        </w:rPr>
        <w:t xml:space="preserve"> </w:t>
      </w:r>
      <w:r w:rsidRPr="00D23BF1">
        <w:rPr>
          <w:rFonts w:ascii="Times" w:hAnsi="Times" w:cs="Times New Roman"/>
          <w:b/>
          <w:bCs/>
          <w:noProof/>
        </w:rPr>
        <w:t>14</w:t>
      </w:r>
      <w:r w:rsidRPr="00D23BF1">
        <w:rPr>
          <w:rFonts w:ascii="Times" w:hAnsi="Times" w:cs="Times New Roman"/>
          <w:noProof/>
        </w:rPr>
        <w:t>, 1183–1197 (2014).</w:t>
      </w:r>
    </w:p>
    <w:p w14:paraId="4C9EF46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100.</w:t>
      </w:r>
      <w:r w:rsidRPr="00D23BF1">
        <w:rPr>
          <w:rFonts w:ascii="Times" w:hAnsi="Times" w:cs="Times New Roman"/>
          <w:noProof/>
        </w:rPr>
        <w:tab/>
        <w:t xml:space="preserve">Gong, J. </w:t>
      </w:r>
      <w:r w:rsidRPr="00D23BF1">
        <w:rPr>
          <w:rFonts w:ascii="Times" w:hAnsi="Times" w:cs="Times New Roman"/>
          <w:i/>
          <w:iCs/>
          <w:noProof/>
        </w:rPr>
        <w:t>et al.</w:t>
      </w:r>
      <w:r w:rsidRPr="00D23BF1">
        <w:rPr>
          <w:rFonts w:ascii="Times" w:hAnsi="Times" w:cs="Times New Roman"/>
          <w:noProof/>
        </w:rPr>
        <w:t xml:space="preserve"> 16S rRNA gene-based analysis of mucosa-associated bacterial community and phylogeny in the chicken gastrointestinal tracts: from crops to ceca. </w:t>
      </w:r>
      <w:r w:rsidRPr="00D23BF1">
        <w:rPr>
          <w:rFonts w:ascii="Times" w:hAnsi="Times" w:cs="Times New Roman"/>
          <w:i/>
          <w:iCs/>
          <w:noProof/>
        </w:rPr>
        <w:t>FEMS Microbiol. Ecol.</w:t>
      </w:r>
      <w:r w:rsidRPr="00D23BF1">
        <w:rPr>
          <w:rFonts w:ascii="Times" w:hAnsi="Times" w:cs="Times New Roman"/>
          <w:noProof/>
        </w:rPr>
        <w:t xml:space="preserve"> </w:t>
      </w:r>
      <w:r w:rsidRPr="00D23BF1">
        <w:rPr>
          <w:rFonts w:ascii="Times" w:hAnsi="Times" w:cs="Times New Roman"/>
          <w:b/>
          <w:bCs/>
          <w:noProof/>
        </w:rPr>
        <w:t>59</w:t>
      </w:r>
      <w:r w:rsidRPr="00D23BF1">
        <w:rPr>
          <w:rFonts w:ascii="Times" w:hAnsi="Times" w:cs="Times New Roman"/>
          <w:noProof/>
        </w:rPr>
        <w:t>, 147–157 (2007).</w:t>
      </w:r>
    </w:p>
    <w:p w14:paraId="09141E8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101.</w:t>
      </w:r>
      <w:r w:rsidRPr="00D23BF1">
        <w:rPr>
          <w:rFonts w:ascii="Times" w:hAnsi="Times" w:cs="Times New Roman"/>
          <w:noProof/>
        </w:rPr>
        <w:tab/>
        <w:t>Videvall, E., Strandh, M., Engelbrecht, A., Cloete, S. &amp; Cornwallis, C. K. Measuring the gut microbiome in birds</w:t>
      </w:r>
      <w:r w:rsidRPr="00D23BF1">
        <w:rPr>
          <w:rFonts w:ascii="Times New Roman" w:hAnsi="Times New Roman" w:cs="Times New Roman"/>
          <w:noProof/>
        </w:rPr>
        <w:t> </w:t>
      </w:r>
      <w:r w:rsidRPr="00D23BF1">
        <w:rPr>
          <w:rFonts w:ascii="Times" w:hAnsi="Times" w:cs="Times New Roman"/>
          <w:noProof/>
        </w:rPr>
        <w:t xml:space="preserve">: comparison of faecal and cloacal sampling. </w:t>
      </w:r>
      <w:r w:rsidRPr="00D23BF1">
        <w:rPr>
          <w:rFonts w:ascii="Times" w:hAnsi="Times" w:cs="Times New Roman"/>
          <w:i/>
          <w:iCs/>
          <w:noProof/>
        </w:rPr>
        <w:t>Preprint</w:t>
      </w:r>
      <w:r w:rsidRPr="00D23BF1">
        <w:rPr>
          <w:rFonts w:ascii="Times" w:hAnsi="Times" w:cs="Times New Roman"/>
          <w:noProof/>
        </w:rPr>
        <w:t xml:space="preserve"> 1–22 (2017).</w:t>
      </w:r>
    </w:p>
    <w:p w14:paraId="63E37FC6"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102.</w:t>
      </w:r>
      <w:r w:rsidRPr="00D23BF1">
        <w:rPr>
          <w:rFonts w:ascii="Times" w:hAnsi="Times" w:cs="Times New Roman"/>
          <w:noProof/>
        </w:rPr>
        <w:tab/>
        <w:t xml:space="preserve">Hsu, T. </w:t>
      </w:r>
      <w:r w:rsidRPr="00D23BF1">
        <w:rPr>
          <w:rFonts w:ascii="Times" w:hAnsi="Times" w:cs="Times New Roman"/>
          <w:i/>
          <w:iCs/>
          <w:noProof/>
        </w:rPr>
        <w:t>et al.</w:t>
      </w:r>
      <w:r w:rsidRPr="00D23BF1">
        <w:rPr>
          <w:rFonts w:ascii="Times" w:hAnsi="Times" w:cs="Times New Roman"/>
          <w:noProof/>
        </w:rPr>
        <w:t xml:space="preserve"> Urban Transit System Microbial Communities Differ by Surface Type and Interaction with Humans and the Environment. </w:t>
      </w:r>
      <w:r w:rsidRPr="00D23BF1">
        <w:rPr>
          <w:rFonts w:ascii="Times" w:hAnsi="Times" w:cs="Times New Roman"/>
          <w:i/>
          <w:iCs/>
          <w:noProof/>
        </w:rPr>
        <w:t>mSystems</w:t>
      </w:r>
      <w:r w:rsidRPr="00D23BF1">
        <w:rPr>
          <w:rFonts w:ascii="Times" w:hAnsi="Times" w:cs="Times New Roman"/>
          <w:noProof/>
        </w:rPr>
        <w:t xml:space="preserve"> </w:t>
      </w:r>
      <w:r w:rsidRPr="00D23BF1">
        <w:rPr>
          <w:rFonts w:ascii="Times" w:hAnsi="Times" w:cs="Times New Roman"/>
          <w:b/>
          <w:bCs/>
          <w:noProof/>
        </w:rPr>
        <w:t>1</w:t>
      </w:r>
      <w:r w:rsidRPr="00D23BF1">
        <w:rPr>
          <w:rFonts w:ascii="Times" w:hAnsi="Times" w:cs="Times New Roman"/>
          <w:noProof/>
        </w:rPr>
        <w:t>, e00018-16 (2016).</w:t>
      </w:r>
    </w:p>
    <w:p w14:paraId="29A9B64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103.</w:t>
      </w:r>
      <w:r w:rsidRPr="00D23BF1">
        <w:rPr>
          <w:rFonts w:ascii="Times" w:hAnsi="Times" w:cs="Times New Roman"/>
          <w:noProof/>
        </w:rPr>
        <w:tab/>
        <w:t xml:space="preserve">McKinney, M. L. Effects of urbanization on species richness: A review of plants and animals. </w:t>
      </w:r>
      <w:r w:rsidRPr="00D23BF1">
        <w:rPr>
          <w:rFonts w:ascii="Times" w:hAnsi="Times" w:cs="Times New Roman"/>
          <w:i/>
          <w:iCs/>
          <w:noProof/>
        </w:rPr>
        <w:t>Urban Ecosyst.</w:t>
      </w:r>
      <w:r w:rsidRPr="00D23BF1">
        <w:rPr>
          <w:rFonts w:ascii="Times" w:hAnsi="Times" w:cs="Times New Roman"/>
          <w:noProof/>
        </w:rPr>
        <w:t xml:space="preserve"> </w:t>
      </w:r>
      <w:r w:rsidRPr="00D23BF1">
        <w:rPr>
          <w:rFonts w:ascii="Times" w:hAnsi="Times" w:cs="Times New Roman"/>
          <w:b/>
          <w:bCs/>
          <w:noProof/>
        </w:rPr>
        <w:t>11</w:t>
      </w:r>
      <w:r w:rsidRPr="00D23BF1">
        <w:rPr>
          <w:rFonts w:ascii="Times" w:hAnsi="Times" w:cs="Times New Roman"/>
          <w:noProof/>
        </w:rPr>
        <w:t>, 161–176 (2008).</w:t>
      </w:r>
    </w:p>
    <w:p w14:paraId="6EC1C7F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104.</w:t>
      </w:r>
      <w:r w:rsidRPr="00D23BF1">
        <w:rPr>
          <w:rFonts w:ascii="Times" w:hAnsi="Times" w:cs="Times New Roman"/>
          <w:noProof/>
        </w:rPr>
        <w:tab/>
        <w:t xml:space="preserve">Bangsgaard Bendtsen, K. M. </w:t>
      </w:r>
      <w:r w:rsidRPr="00D23BF1">
        <w:rPr>
          <w:rFonts w:ascii="Times" w:hAnsi="Times" w:cs="Times New Roman"/>
          <w:i/>
          <w:iCs/>
          <w:noProof/>
        </w:rPr>
        <w:t>et al.</w:t>
      </w:r>
      <w:r w:rsidRPr="00D23BF1">
        <w:rPr>
          <w:rFonts w:ascii="Times" w:hAnsi="Times" w:cs="Times New Roman"/>
          <w:noProof/>
        </w:rPr>
        <w:t xml:space="preserve"> Gut Microbiota Composition Is Correlated to Grid Floor Induced Stress and Behavior in the BALB/c Mouse. </w:t>
      </w:r>
      <w:r w:rsidRPr="00D23BF1">
        <w:rPr>
          <w:rFonts w:ascii="Times" w:hAnsi="Times" w:cs="Times New Roman"/>
          <w:i/>
          <w:iCs/>
          <w:noProof/>
        </w:rPr>
        <w:t>PLoS One</w:t>
      </w:r>
      <w:r w:rsidRPr="00D23BF1">
        <w:rPr>
          <w:rFonts w:ascii="Times" w:hAnsi="Times" w:cs="Times New Roman"/>
          <w:noProof/>
        </w:rPr>
        <w:t xml:space="preserve"> </w:t>
      </w:r>
      <w:r w:rsidRPr="00D23BF1">
        <w:rPr>
          <w:rFonts w:ascii="Times" w:hAnsi="Times" w:cs="Times New Roman"/>
          <w:b/>
          <w:bCs/>
          <w:noProof/>
        </w:rPr>
        <w:t>7</w:t>
      </w:r>
      <w:r w:rsidRPr="00D23BF1">
        <w:rPr>
          <w:rFonts w:ascii="Times" w:hAnsi="Times" w:cs="Times New Roman"/>
          <w:noProof/>
        </w:rPr>
        <w:t>, (2012).</w:t>
      </w:r>
    </w:p>
    <w:p w14:paraId="1B20F4D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105.</w:t>
      </w:r>
      <w:r w:rsidRPr="00D23BF1">
        <w:rPr>
          <w:rFonts w:ascii="Times" w:hAnsi="Times" w:cs="Times New Roman"/>
          <w:noProof/>
        </w:rPr>
        <w:tab/>
        <w:t xml:space="preserve">Dinan, T. G. &amp; Cryan, J. F. Melancholic microbes: A link between gut microbiota and depression? </w:t>
      </w:r>
      <w:r w:rsidRPr="00D23BF1">
        <w:rPr>
          <w:rFonts w:ascii="Times" w:hAnsi="Times" w:cs="Times New Roman"/>
          <w:i/>
          <w:iCs/>
          <w:noProof/>
        </w:rPr>
        <w:t>Neurogastroenterol. Motil.</w:t>
      </w:r>
      <w:r w:rsidRPr="00D23BF1">
        <w:rPr>
          <w:rFonts w:ascii="Times" w:hAnsi="Times" w:cs="Times New Roman"/>
          <w:noProof/>
        </w:rPr>
        <w:t xml:space="preserve"> </w:t>
      </w:r>
      <w:r w:rsidRPr="00D23BF1">
        <w:rPr>
          <w:rFonts w:ascii="Times" w:hAnsi="Times" w:cs="Times New Roman"/>
          <w:b/>
          <w:bCs/>
          <w:noProof/>
        </w:rPr>
        <w:t>25</w:t>
      </w:r>
      <w:r w:rsidRPr="00D23BF1">
        <w:rPr>
          <w:rFonts w:ascii="Times" w:hAnsi="Times" w:cs="Times New Roman"/>
          <w:noProof/>
        </w:rPr>
        <w:t>, 713–719 (2013).</w:t>
      </w:r>
    </w:p>
    <w:p w14:paraId="5A5ED40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106.</w:t>
      </w:r>
      <w:r w:rsidRPr="00D23BF1">
        <w:rPr>
          <w:rFonts w:ascii="Times" w:hAnsi="Times" w:cs="Times New Roman"/>
          <w:noProof/>
        </w:rPr>
        <w:tab/>
        <w:t xml:space="preserve">Husebye, E., Hellström, P. M., Sundler, F., Chen, J. &amp; Midtvedt, T. Influence of microbial species on small intestinal myoelectric activity and transit in germ-free rats. </w:t>
      </w:r>
      <w:r w:rsidRPr="00D23BF1">
        <w:rPr>
          <w:rFonts w:ascii="Times" w:hAnsi="Times" w:cs="Times New Roman"/>
          <w:i/>
          <w:iCs/>
          <w:noProof/>
        </w:rPr>
        <w:t>Am. J. Physiol. Liver Physiol.</w:t>
      </w:r>
      <w:r w:rsidRPr="00D23BF1">
        <w:rPr>
          <w:rFonts w:ascii="Times" w:hAnsi="Times" w:cs="Times New Roman"/>
          <w:noProof/>
        </w:rPr>
        <w:t xml:space="preserve"> </w:t>
      </w:r>
      <w:r w:rsidRPr="00D23BF1">
        <w:rPr>
          <w:rFonts w:ascii="Times" w:hAnsi="Times" w:cs="Times New Roman"/>
          <w:b/>
          <w:bCs/>
          <w:noProof/>
        </w:rPr>
        <w:t>280</w:t>
      </w:r>
      <w:r w:rsidRPr="00D23BF1">
        <w:rPr>
          <w:rFonts w:ascii="Times" w:hAnsi="Times" w:cs="Times New Roman"/>
          <w:noProof/>
        </w:rPr>
        <w:t>, G368–G380 (2001).</w:t>
      </w:r>
    </w:p>
    <w:p w14:paraId="02F8A8D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107.</w:t>
      </w:r>
      <w:r w:rsidRPr="00D23BF1">
        <w:rPr>
          <w:rFonts w:ascii="Times" w:hAnsi="Times" w:cs="Times New Roman"/>
          <w:noProof/>
        </w:rPr>
        <w:tab/>
        <w:t xml:space="preserve">Söderholm, J. D. </w:t>
      </w:r>
      <w:r w:rsidRPr="00D23BF1">
        <w:rPr>
          <w:rFonts w:ascii="Times" w:hAnsi="Times" w:cs="Times New Roman"/>
          <w:i/>
          <w:iCs/>
          <w:noProof/>
        </w:rPr>
        <w:t>et al.</w:t>
      </w:r>
      <w:r w:rsidRPr="00D23BF1">
        <w:rPr>
          <w:rFonts w:ascii="Times" w:hAnsi="Times" w:cs="Times New Roman"/>
          <w:noProof/>
        </w:rPr>
        <w:t xml:space="preserve"> Chronic stress induces mast cell-dependent bacterial adherence and initiates mucosal inflammation in rat intestine. </w:t>
      </w:r>
      <w:r w:rsidRPr="00D23BF1">
        <w:rPr>
          <w:rFonts w:ascii="Times" w:hAnsi="Times" w:cs="Times New Roman"/>
          <w:i/>
          <w:iCs/>
          <w:noProof/>
        </w:rPr>
        <w:t>Gastroenterology</w:t>
      </w:r>
      <w:r w:rsidRPr="00D23BF1">
        <w:rPr>
          <w:rFonts w:ascii="Times" w:hAnsi="Times" w:cs="Times New Roman"/>
          <w:noProof/>
        </w:rPr>
        <w:t xml:space="preserve"> </w:t>
      </w:r>
      <w:r w:rsidRPr="00D23BF1">
        <w:rPr>
          <w:rFonts w:ascii="Times" w:hAnsi="Times" w:cs="Times New Roman"/>
          <w:b/>
          <w:bCs/>
          <w:noProof/>
        </w:rPr>
        <w:t>123</w:t>
      </w:r>
      <w:r w:rsidRPr="00D23BF1">
        <w:rPr>
          <w:rFonts w:ascii="Times" w:hAnsi="Times" w:cs="Times New Roman"/>
          <w:noProof/>
        </w:rPr>
        <w:t>, 1099–1108 (2002).</w:t>
      </w:r>
    </w:p>
    <w:p w14:paraId="18715470" w14:textId="77777777" w:rsidR="00041ADB" w:rsidRPr="00D23BF1" w:rsidRDefault="00041ADB" w:rsidP="00F20BE1">
      <w:pPr>
        <w:widowControl w:val="0"/>
        <w:autoSpaceDE w:val="0"/>
        <w:autoSpaceDN w:val="0"/>
        <w:adjustRightInd w:val="0"/>
        <w:ind w:left="640"/>
        <w:rPr>
          <w:rFonts w:ascii="Times" w:hAnsi="Times"/>
          <w:noProof/>
        </w:rPr>
      </w:pPr>
      <w:r w:rsidRPr="00D23BF1">
        <w:rPr>
          <w:rFonts w:ascii="Times" w:hAnsi="Times" w:cs="Times New Roman"/>
          <w:noProof/>
        </w:rPr>
        <w:t>108.</w:t>
      </w:r>
      <w:r w:rsidRPr="00D23BF1">
        <w:rPr>
          <w:rFonts w:ascii="Times" w:hAnsi="Times" w:cs="Times New Roman"/>
          <w:noProof/>
        </w:rPr>
        <w:tab/>
        <w:t xml:space="preserve">Bolnick, D. I. </w:t>
      </w:r>
      <w:r w:rsidRPr="00D23BF1">
        <w:rPr>
          <w:rFonts w:ascii="Times" w:hAnsi="Times" w:cs="Times New Roman"/>
          <w:i/>
          <w:iCs/>
          <w:noProof/>
        </w:rPr>
        <w:t>et al.</w:t>
      </w:r>
      <w:r w:rsidRPr="00D23BF1">
        <w:rPr>
          <w:rFonts w:ascii="Times" w:hAnsi="Times" w:cs="Times New Roman"/>
          <w:noProof/>
        </w:rPr>
        <w:t xml:space="preserve"> Individual diet has sex-dependent effects on vertebrate gut microbiota. </w:t>
      </w:r>
      <w:r w:rsidRPr="00D23BF1">
        <w:rPr>
          <w:rFonts w:ascii="Times" w:hAnsi="Times" w:cs="Times New Roman"/>
          <w:i/>
          <w:iCs/>
          <w:noProof/>
        </w:rPr>
        <w:t>Nat. Commun.</w:t>
      </w:r>
      <w:r w:rsidRPr="00D23BF1">
        <w:rPr>
          <w:rFonts w:ascii="Times" w:hAnsi="Times" w:cs="Times New Roman"/>
          <w:noProof/>
        </w:rPr>
        <w:t xml:space="preserve"> </w:t>
      </w:r>
      <w:r w:rsidRPr="00D23BF1">
        <w:rPr>
          <w:rFonts w:ascii="Times" w:hAnsi="Times" w:cs="Times New Roman"/>
          <w:b/>
          <w:bCs/>
          <w:noProof/>
        </w:rPr>
        <w:t>5</w:t>
      </w:r>
      <w:r w:rsidRPr="00D23BF1">
        <w:rPr>
          <w:rFonts w:ascii="Times" w:hAnsi="Times" w:cs="Times New Roman"/>
          <w:noProof/>
        </w:rPr>
        <w:t>, 4500 (2014).</w:t>
      </w:r>
    </w:p>
    <w:p w14:paraId="355A1430" w14:textId="7C57CF03" w:rsidR="00041ADB" w:rsidRPr="00B36955" w:rsidRDefault="00041ADB" w:rsidP="00B36955">
      <w:pPr>
        <w:widowControl w:val="0"/>
        <w:autoSpaceDE w:val="0"/>
        <w:autoSpaceDN w:val="0"/>
        <w:adjustRightInd w:val="0"/>
        <w:rPr>
          <w:rFonts w:ascii="Times" w:eastAsia="Helvetica Neue" w:hAnsi="Times" w:cs="Helvetica Neue"/>
        </w:rPr>
      </w:pPr>
      <w:r w:rsidRPr="00D23BF1">
        <w:rPr>
          <w:rFonts w:ascii="Times" w:eastAsia="Helvetica Neue" w:hAnsi="Times" w:cs="Helvetica Neue"/>
        </w:rPr>
        <w:lastRenderedPageBreak/>
        <w:fldChar w:fldCharType="end"/>
      </w:r>
    </w:p>
    <w:p w14:paraId="03D2DF98" w14:textId="77777777" w:rsidR="00041ADB" w:rsidRPr="00D23BF1" w:rsidRDefault="00041ADB" w:rsidP="00F20BE1">
      <w:pPr>
        <w:pStyle w:val="Heading1"/>
      </w:pPr>
      <w:bookmarkStart w:id="45" w:name="_Toc69393551"/>
      <w:bookmarkStart w:id="46" w:name="_Toc69396325"/>
      <w:bookmarkStart w:id="47" w:name="_Toc69396360"/>
      <w:bookmarkStart w:id="48" w:name="_Toc69396550"/>
      <w:bookmarkStart w:id="49" w:name="_Toc69397234"/>
    </w:p>
    <w:p w14:paraId="4BD871B5" w14:textId="77777777" w:rsidR="00041ADB" w:rsidRPr="00D23BF1" w:rsidRDefault="00041ADB" w:rsidP="00F20BE1">
      <w:pPr>
        <w:pStyle w:val="Heading1"/>
      </w:pPr>
    </w:p>
    <w:p w14:paraId="498EFC07" w14:textId="77777777" w:rsidR="00041ADB" w:rsidRPr="00D23BF1" w:rsidRDefault="00041ADB" w:rsidP="00F20BE1">
      <w:pPr>
        <w:pStyle w:val="Heading1"/>
      </w:pPr>
    </w:p>
    <w:p w14:paraId="0D677921" w14:textId="77777777" w:rsidR="00041ADB" w:rsidRPr="00D23BF1" w:rsidRDefault="00041ADB" w:rsidP="00F20BE1">
      <w:pPr>
        <w:pStyle w:val="Heading1"/>
      </w:pPr>
    </w:p>
    <w:p w14:paraId="559E9FA2" w14:textId="77777777" w:rsidR="00041ADB" w:rsidRPr="00D23BF1" w:rsidRDefault="00041ADB" w:rsidP="00F20BE1">
      <w:pPr>
        <w:pStyle w:val="Heading1"/>
      </w:pPr>
    </w:p>
    <w:p w14:paraId="415EEFFB" w14:textId="77777777" w:rsidR="00041ADB" w:rsidRPr="00D23BF1" w:rsidRDefault="00041ADB" w:rsidP="00F20BE1">
      <w:pPr>
        <w:pStyle w:val="Heading1"/>
      </w:pPr>
    </w:p>
    <w:p w14:paraId="722939C3" w14:textId="77777777" w:rsidR="00041ADB" w:rsidRPr="00D23BF1" w:rsidRDefault="00041ADB" w:rsidP="00F20BE1">
      <w:pPr>
        <w:pStyle w:val="Heading1"/>
      </w:pPr>
    </w:p>
    <w:p w14:paraId="3299D5EB" w14:textId="77777777" w:rsidR="00041ADB" w:rsidRPr="00D23BF1" w:rsidRDefault="00041ADB" w:rsidP="00F20BE1">
      <w:pPr>
        <w:pStyle w:val="Heading1"/>
      </w:pPr>
    </w:p>
    <w:p w14:paraId="52B05763" w14:textId="77777777" w:rsidR="00041ADB" w:rsidRPr="00D23BF1" w:rsidRDefault="00041ADB" w:rsidP="00F20BE1">
      <w:pPr>
        <w:pStyle w:val="Heading1"/>
      </w:pPr>
    </w:p>
    <w:p w14:paraId="52154196" w14:textId="77777777" w:rsidR="00041ADB" w:rsidRPr="00D23BF1" w:rsidRDefault="00041ADB" w:rsidP="00F20BE1">
      <w:pPr>
        <w:pStyle w:val="Heading1"/>
      </w:pPr>
    </w:p>
    <w:p w14:paraId="1482026B" w14:textId="77777777" w:rsidR="00041ADB" w:rsidRPr="00D23BF1" w:rsidRDefault="00041ADB" w:rsidP="00F20BE1">
      <w:pPr>
        <w:pStyle w:val="Heading1"/>
      </w:pPr>
    </w:p>
    <w:p w14:paraId="5AA37E10" w14:textId="77777777" w:rsidR="00041ADB" w:rsidRPr="00D23BF1" w:rsidRDefault="00041ADB" w:rsidP="00F20BE1">
      <w:pPr>
        <w:pStyle w:val="Heading1"/>
      </w:pPr>
    </w:p>
    <w:p w14:paraId="4D2818AF" w14:textId="77777777" w:rsidR="00041ADB" w:rsidRPr="00D23BF1" w:rsidRDefault="00041ADB" w:rsidP="00F20BE1">
      <w:pPr>
        <w:pStyle w:val="Heading1"/>
      </w:pPr>
    </w:p>
    <w:p w14:paraId="1647C87E" w14:textId="77777777" w:rsidR="00041ADB" w:rsidRPr="00D23BF1" w:rsidRDefault="00041ADB" w:rsidP="00F20BE1">
      <w:pPr>
        <w:pStyle w:val="Heading1"/>
      </w:pPr>
    </w:p>
    <w:p w14:paraId="5AE35839" w14:textId="77777777" w:rsidR="00041ADB" w:rsidRPr="00D23BF1" w:rsidRDefault="00041ADB" w:rsidP="00F20BE1">
      <w:pPr>
        <w:pStyle w:val="Heading1"/>
      </w:pPr>
    </w:p>
    <w:p w14:paraId="5EBC635D" w14:textId="77777777" w:rsidR="00041ADB" w:rsidRPr="00D23BF1" w:rsidRDefault="00041ADB" w:rsidP="00F20BE1">
      <w:pPr>
        <w:pStyle w:val="Heading1"/>
      </w:pPr>
    </w:p>
    <w:p w14:paraId="7C3CCCC2" w14:textId="77777777" w:rsidR="00041ADB" w:rsidRPr="00D23BF1" w:rsidRDefault="00041ADB" w:rsidP="00F20BE1">
      <w:pPr>
        <w:pStyle w:val="Heading1"/>
      </w:pPr>
    </w:p>
    <w:p w14:paraId="438836D9" w14:textId="77777777" w:rsidR="00041ADB" w:rsidRPr="00D23BF1" w:rsidRDefault="00041ADB" w:rsidP="00F20BE1">
      <w:pPr>
        <w:pStyle w:val="Heading1"/>
      </w:pPr>
    </w:p>
    <w:p w14:paraId="5BACECC9" w14:textId="77777777" w:rsidR="00041ADB" w:rsidRPr="00D23BF1" w:rsidRDefault="00041ADB" w:rsidP="00F20BE1">
      <w:pPr>
        <w:pStyle w:val="Heading1"/>
      </w:pPr>
    </w:p>
    <w:p w14:paraId="1404BF94" w14:textId="77777777" w:rsidR="00041ADB" w:rsidRPr="00D23BF1" w:rsidRDefault="00041ADB" w:rsidP="00F20BE1">
      <w:pPr>
        <w:pStyle w:val="Heading1"/>
      </w:pPr>
      <w:bookmarkStart w:id="50" w:name="_Toc69972867"/>
      <w:r w:rsidRPr="00D23BF1">
        <w:t>Chapter 1 - Evaluation of non-lethal gut microbiome sampling methods in a passerine bird</w:t>
      </w:r>
      <w:bookmarkEnd w:id="45"/>
      <w:bookmarkEnd w:id="46"/>
      <w:bookmarkEnd w:id="47"/>
      <w:bookmarkEnd w:id="48"/>
      <w:bookmarkEnd w:id="49"/>
      <w:bookmarkEnd w:id="50"/>
    </w:p>
    <w:p w14:paraId="15363B1A" w14:textId="77777777" w:rsidR="00041ADB" w:rsidRPr="00D23BF1" w:rsidRDefault="00041ADB" w:rsidP="00F20BE1">
      <w:pPr>
        <w:rPr>
          <w:rFonts w:ascii="Times" w:hAnsi="Times"/>
        </w:rPr>
      </w:pPr>
    </w:p>
    <w:p w14:paraId="5C861FF9" w14:textId="77777777" w:rsidR="00041ADB" w:rsidRPr="00D23BF1" w:rsidRDefault="00041ADB" w:rsidP="00F20BE1">
      <w:pPr>
        <w:jc w:val="center"/>
        <w:rPr>
          <w:rFonts w:ascii="Times" w:hAnsi="Times"/>
          <w:i/>
          <w:iCs/>
        </w:rPr>
      </w:pPr>
      <w:r w:rsidRPr="00D23BF1">
        <w:rPr>
          <w:rFonts w:ascii="Times" w:hAnsi="Times"/>
          <w:i/>
          <w:iCs/>
        </w:rPr>
        <w:t>The materials in this chapter were published in Ibis is 2020</w:t>
      </w:r>
    </w:p>
    <w:p w14:paraId="208570E5" w14:textId="77777777" w:rsidR="00041ADB" w:rsidRPr="00D23BF1" w:rsidRDefault="00041ADB" w:rsidP="00F20BE1">
      <w:pPr>
        <w:rPr>
          <w:rFonts w:ascii="Times" w:hAnsi="Times"/>
        </w:rPr>
      </w:pPr>
      <w:r w:rsidRPr="00D23BF1">
        <w:rPr>
          <w:rFonts w:ascii="Times" w:hAnsi="Times"/>
        </w:rPr>
        <w:br w:type="page"/>
      </w:r>
    </w:p>
    <w:p w14:paraId="3A48C813" w14:textId="77777777" w:rsidR="00041ADB" w:rsidRPr="00D23BF1" w:rsidRDefault="00041ADB" w:rsidP="00F20BE1">
      <w:pPr>
        <w:pStyle w:val="Heading2"/>
        <w:rPr>
          <w:rFonts w:ascii="Times" w:hAnsi="Times"/>
        </w:rPr>
      </w:pPr>
      <w:bookmarkStart w:id="51" w:name="_Toc69972868"/>
      <w:r w:rsidRPr="00D23BF1">
        <w:rPr>
          <w:rFonts w:ascii="Times" w:hAnsi="Times"/>
        </w:rPr>
        <w:lastRenderedPageBreak/>
        <w:t>Abstract</w:t>
      </w:r>
      <w:bookmarkEnd w:id="51"/>
    </w:p>
    <w:p w14:paraId="1530544D" w14:textId="77777777" w:rsidR="00041ADB" w:rsidRPr="00D23BF1" w:rsidRDefault="00041ADB" w:rsidP="00F20BE1">
      <w:pPr>
        <w:rPr>
          <w:rFonts w:ascii="Times" w:hAnsi="Times"/>
        </w:rPr>
      </w:pPr>
      <w:r w:rsidRPr="00D23BF1">
        <w:rPr>
          <w:rFonts w:ascii="Times" w:hAnsi="Times"/>
        </w:rPr>
        <w:t xml:space="preserve">Gut microbial communities play critical roles in the biological functions of their host, such as mediating nutrient absorption, digesting food components the host cannot, and offering protection against enteric pathogens. Extensive research on gut microbial communities has been conducted on mammals, including humans and rodents, but much less work has been done in birds. Furthermore, much of the research on host-microbe interactions make use of </w:t>
      </w:r>
      <w:proofErr w:type="spellStart"/>
      <w:r w:rsidRPr="00D23BF1">
        <w:rPr>
          <w:rFonts w:ascii="Times" w:hAnsi="Times"/>
        </w:rPr>
        <w:t>faecal</w:t>
      </w:r>
      <w:proofErr w:type="spellEnd"/>
      <w:r w:rsidRPr="00D23BF1">
        <w:rPr>
          <w:rFonts w:ascii="Times" w:hAnsi="Times"/>
        </w:rPr>
        <w:t xml:space="preserve"> samples and rectal/cloacal swabs as a proxy for intestinal samples, which can be difficult to obtain directly. However, little is known about the overlap between the microbial communities of the gut, </w:t>
      </w:r>
      <w:proofErr w:type="spellStart"/>
      <w:r w:rsidRPr="00D23BF1">
        <w:rPr>
          <w:rFonts w:ascii="Times" w:hAnsi="Times"/>
        </w:rPr>
        <w:t>faeces</w:t>
      </w:r>
      <w:proofErr w:type="spellEnd"/>
      <w:r w:rsidRPr="00D23BF1">
        <w:rPr>
          <w:rFonts w:ascii="Times" w:hAnsi="Times"/>
        </w:rPr>
        <w:t xml:space="preserve">, and swabs, which limits interpretability of results based on </w:t>
      </w:r>
      <w:proofErr w:type="spellStart"/>
      <w:r w:rsidRPr="00D23BF1">
        <w:rPr>
          <w:rFonts w:ascii="Times" w:hAnsi="Times"/>
        </w:rPr>
        <w:t>faecal</w:t>
      </w:r>
      <w:proofErr w:type="spellEnd"/>
      <w:r w:rsidRPr="00D23BF1">
        <w:rPr>
          <w:rFonts w:ascii="Times" w:hAnsi="Times"/>
        </w:rPr>
        <w:t xml:space="preserve"> samples and swabs. To address this gap in knowledge, we compared the microbiome from five sample types – proventriculus, small intestine, large intestine, cloacal swabs, and </w:t>
      </w:r>
      <w:proofErr w:type="spellStart"/>
      <w:r w:rsidRPr="00D23BF1">
        <w:rPr>
          <w:rFonts w:ascii="Times" w:hAnsi="Times"/>
        </w:rPr>
        <w:t>faeces</w:t>
      </w:r>
      <w:proofErr w:type="spellEnd"/>
      <w:r w:rsidRPr="00D23BF1">
        <w:rPr>
          <w:rFonts w:ascii="Times" w:hAnsi="Times"/>
        </w:rPr>
        <w:t xml:space="preserve"> – across individual Zebra Finches </w:t>
      </w:r>
      <w:proofErr w:type="spellStart"/>
      <w:r w:rsidRPr="00D23BF1">
        <w:rPr>
          <w:rFonts w:ascii="Times" w:hAnsi="Times"/>
          <w:i/>
        </w:rPr>
        <w:t>Taeniopygia</w:t>
      </w:r>
      <w:proofErr w:type="spellEnd"/>
      <w:r w:rsidRPr="00D23BF1">
        <w:rPr>
          <w:rFonts w:ascii="Times" w:hAnsi="Times"/>
          <w:i/>
        </w:rPr>
        <w:t xml:space="preserve"> </w:t>
      </w:r>
      <w:proofErr w:type="spellStart"/>
      <w:r w:rsidRPr="00D23BF1">
        <w:rPr>
          <w:rFonts w:ascii="Times" w:hAnsi="Times"/>
          <w:i/>
        </w:rPr>
        <w:t>guttata</w:t>
      </w:r>
      <w:proofErr w:type="spellEnd"/>
      <w:r w:rsidRPr="00D23BF1">
        <w:rPr>
          <w:rFonts w:ascii="Times" w:hAnsi="Times"/>
        </w:rPr>
        <w:t xml:space="preserve"> housed in constant conditions with a </w:t>
      </w:r>
      <w:proofErr w:type="spellStart"/>
      <w:r w:rsidRPr="00D23BF1">
        <w:rPr>
          <w:rFonts w:ascii="Times" w:hAnsi="Times"/>
        </w:rPr>
        <w:t>standardised</w:t>
      </w:r>
      <w:proofErr w:type="spellEnd"/>
      <w:r w:rsidRPr="00D23BF1">
        <w:rPr>
          <w:rFonts w:ascii="Times" w:hAnsi="Times"/>
        </w:rPr>
        <w:t xml:space="preserve"> diet. We compared diversity and community composition through 16S rRNA sequencing. Our results show that microbial communities from both cloacal swabs and </w:t>
      </w:r>
      <w:proofErr w:type="spellStart"/>
      <w:r w:rsidRPr="00D23BF1">
        <w:rPr>
          <w:rFonts w:ascii="Times" w:hAnsi="Times"/>
        </w:rPr>
        <w:t>faeces</w:t>
      </w:r>
      <w:proofErr w:type="spellEnd"/>
      <w:r w:rsidRPr="00D23BF1">
        <w:rPr>
          <w:rFonts w:ascii="Times" w:hAnsi="Times"/>
        </w:rPr>
        <w:t xml:space="preserve"> were distinct from proventriculus and small intestinal samples, but indistinguishable from large intestinal samples, indicating that these non-lethal samples may be useful proxies for large intestinal bacterial communities. Gaining insight into noninvasive sampling techniques for passerines has implications for studies of gut microbial diversity and abundance in wild bird populations. Further, reliable non-lethal sampling is necessary for experiments where repeated sampling is required. </w:t>
      </w:r>
    </w:p>
    <w:p w14:paraId="7A1EC7D0" w14:textId="77777777" w:rsidR="00041ADB" w:rsidRPr="00D23BF1" w:rsidRDefault="00041ADB" w:rsidP="00F20BE1">
      <w:pPr>
        <w:rPr>
          <w:rFonts w:ascii="Times" w:hAnsi="Times"/>
        </w:rPr>
      </w:pPr>
    </w:p>
    <w:p w14:paraId="09E47F76" w14:textId="77777777" w:rsidR="00041ADB" w:rsidRPr="00D23BF1" w:rsidRDefault="00041ADB" w:rsidP="00F20BE1">
      <w:pPr>
        <w:rPr>
          <w:rFonts w:ascii="Times" w:hAnsi="Times"/>
        </w:rPr>
      </w:pPr>
    </w:p>
    <w:p w14:paraId="1DFA7FF3" w14:textId="77777777" w:rsidR="00041ADB" w:rsidRPr="00D23BF1" w:rsidRDefault="00041ADB" w:rsidP="00F20BE1">
      <w:pPr>
        <w:pStyle w:val="Heading2"/>
        <w:rPr>
          <w:rFonts w:ascii="Times" w:hAnsi="Times"/>
        </w:rPr>
      </w:pPr>
      <w:bookmarkStart w:id="52" w:name="_Toc69972869"/>
      <w:r w:rsidRPr="00D23BF1">
        <w:rPr>
          <w:rFonts w:ascii="Times" w:hAnsi="Times"/>
        </w:rPr>
        <w:t>Introduction</w:t>
      </w:r>
      <w:bookmarkEnd w:id="52"/>
    </w:p>
    <w:p w14:paraId="2E0B5BF4" w14:textId="77777777" w:rsidR="00041ADB" w:rsidRPr="00D23BF1" w:rsidRDefault="00041ADB" w:rsidP="00F20BE1">
      <w:pPr>
        <w:rPr>
          <w:rFonts w:ascii="Times" w:hAnsi="Times"/>
        </w:rPr>
      </w:pPr>
    </w:p>
    <w:p w14:paraId="04D36ED8" w14:textId="77777777" w:rsidR="00041ADB" w:rsidRPr="00D23BF1" w:rsidRDefault="00041ADB" w:rsidP="00F20BE1">
      <w:pPr>
        <w:pStyle w:val="Normal1"/>
        <w:rPr>
          <w:rFonts w:ascii="Times" w:eastAsia="Times New Roman" w:hAnsi="Times" w:cs="Times New Roman"/>
        </w:rPr>
      </w:pPr>
      <w:r w:rsidRPr="00D23BF1">
        <w:rPr>
          <w:rFonts w:ascii="Times" w:eastAsia="Times New Roman" w:hAnsi="Times" w:cs="Times New Roman"/>
        </w:rPr>
        <w:t xml:space="preserve">Gut microbial communities play critical roles in the biological functions of their host, such as mediating nutrient absorption, digesting food components the host cannot, and offering protection against enteric pathogens. Extensive research on gut microbial communities has been conducted on mammals, including humans and rodents, but much less work has been done in birds. Furthermore, much of the research on host-microbe interactions make use of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and rectal/cloacal swabs as a proxy for intestinal samples, which can be difficult to obtain directly. However, little is known about the overlap between the microbial communities of the gut, </w:t>
      </w:r>
      <w:proofErr w:type="spellStart"/>
      <w:r w:rsidRPr="00D23BF1">
        <w:rPr>
          <w:rFonts w:ascii="Times" w:eastAsia="Times New Roman" w:hAnsi="Times" w:cs="Times New Roman"/>
        </w:rPr>
        <w:t>faeces</w:t>
      </w:r>
      <w:proofErr w:type="spellEnd"/>
      <w:r w:rsidRPr="00D23BF1">
        <w:rPr>
          <w:rFonts w:ascii="Times" w:eastAsia="Times New Roman" w:hAnsi="Times" w:cs="Times New Roman"/>
        </w:rPr>
        <w:t xml:space="preserve">, and swabs, which limits interpretability of results based on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and swabs. To address this gap in knowledge, we compared the microbiome from five sample types – proventriculus, small intestine, large intestine, cloacal swabs, and </w:t>
      </w:r>
      <w:proofErr w:type="spellStart"/>
      <w:r w:rsidRPr="00D23BF1">
        <w:rPr>
          <w:rFonts w:ascii="Times" w:eastAsia="Times New Roman" w:hAnsi="Times" w:cs="Times New Roman"/>
        </w:rPr>
        <w:t>faeces</w:t>
      </w:r>
      <w:proofErr w:type="spellEnd"/>
      <w:r w:rsidRPr="00D23BF1">
        <w:rPr>
          <w:rFonts w:ascii="Times" w:eastAsia="Times New Roman" w:hAnsi="Times" w:cs="Times New Roman"/>
        </w:rPr>
        <w:t xml:space="preserve"> – across individual Zebra Finches </w:t>
      </w:r>
      <w:proofErr w:type="spellStart"/>
      <w:r w:rsidRPr="00D23BF1">
        <w:rPr>
          <w:rFonts w:ascii="Times" w:eastAsia="Times New Roman" w:hAnsi="Times" w:cs="Times New Roman"/>
          <w:i/>
        </w:rPr>
        <w:t>Taeniopygia</w:t>
      </w:r>
      <w:proofErr w:type="spellEnd"/>
      <w:r w:rsidRPr="00D23BF1">
        <w:rPr>
          <w:rFonts w:ascii="Times" w:eastAsia="Times New Roman" w:hAnsi="Times" w:cs="Times New Roman"/>
          <w:i/>
        </w:rPr>
        <w:t xml:space="preserve"> </w:t>
      </w:r>
      <w:proofErr w:type="spellStart"/>
      <w:r w:rsidRPr="00D23BF1">
        <w:rPr>
          <w:rFonts w:ascii="Times" w:eastAsia="Times New Roman" w:hAnsi="Times" w:cs="Times New Roman"/>
          <w:i/>
        </w:rPr>
        <w:t>guttata</w:t>
      </w:r>
      <w:proofErr w:type="spellEnd"/>
      <w:r w:rsidRPr="00D23BF1">
        <w:rPr>
          <w:rFonts w:ascii="Times" w:eastAsia="Times New Roman" w:hAnsi="Times"/>
        </w:rPr>
        <w:t xml:space="preserve"> </w:t>
      </w:r>
      <w:r w:rsidRPr="00D23BF1">
        <w:rPr>
          <w:rFonts w:ascii="Times" w:eastAsia="Times New Roman" w:hAnsi="Times" w:cs="Times New Roman"/>
        </w:rPr>
        <w:t xml:space="preserve">housed in constant conditions with a </w:t>
      </w:r>
      <w:proofErr w:type="spellStart"/>
      <w:r w:rsidRPr="00D23BF1">
        <w:rPr>
          <w:rFonts w:ascii="Times" w:eastAsia="Times New Roman" w:hAnsi="Times" w:cs="Times New Roman"/>
        </w:rPr>
        <w:t>standardised</w:t>
      </w:r>
      <w:proofErr w:type="spellEnd"/>
      <w:r w:rsidRPr="00D23BF1">
        <w:rPr>
          <w:rFonts w:ascii="Times" w:eastAsia="Times New Roman" w:hAnsi="Times" w:cs="Times New Roman"/>
        </w:rPr>
        <w:t xml:space="preserve"> diet. We compared diversity and community composition through 16S rRNA sequencing. Our results show that microbial communities from both cloacal swabs and </w:t>
      </w:r>
      <w:proofErr w:type="spellStart"/>
      <w:r w:rsidRPr="00D23BF1">
        <w:rPr>
          <w:rFonts w:ascii="Times" w:eastAsia="Times New Roman" w:hAnsi="Times" w:cs="Times New Roman"/>
        </w:rPr>
        <w:t>faeces</w:t>
      </w:r>
      <w:proofErr w:type="spellEnd"/>
      <w:r w:rsidRPr="00D23BF1">
        <w:rPr>
          <w:rFonts w:ascii="Times" w:eastAsia="Times New Roman" w:hAnsi="Times" w:cs="Times New Roman"/>
        </w:rPr>
        <w:t xml:space="preserve"> were distinct from proventriculus and small intestinal samples, but indistinguishable from large intestinal samples, indicating that these non-lethal samples may be useful proxies for large intestinal bacterial communities. Gaining insight into noninvasive sampling techniques for passerines has implications for studies of gut microbial diversity and abundance in wild bird populations. Further, reliable non-lethal sampling is necessary for experiments where repeated sampling is required. </w:t>
      </w:r>
    </w:p>
    <w:p w14:paraId="3E5007B8" w14:textId="77777777" w:rsidR="00041ADB" w:rsidRPr="00D23BF1" w:rsidRDefault="00041ADB" w:rsidP="00F20BE1">
      <w:pPr>
        <w:pStyle w:val="Normal1"/>
        <w:rPr>
          <w:rFonts w:ascii="Times" w:hAnsi="Times" w:cs="Times New Roman"/>
        </w:rPr>
      </w:pPr>
      <w:bookmarkStart w:id="53" w:name="_gjdgxs" w:colFirst="0" w:colLast="0"/>
      <w:bookmarkEnd w:id="53"/>
      <w:r w:rsidRPr="00D23BF1">
        <w:rPr>
          <w:rFonts w:ascii="Times" w:eastAsia="Times New Roman" w:hAnsi="Times" w:cs="Times New Roman"/>
        </w:rPr>
        <w:t>The importance of the gut microbiome to host biology is an area of research that is rapidly growing.</w:t>
      </w:r>
      <w:r w:rsidRPr="00D23BF1">
        <w:rPr>
          <w:rFonts w:ascii="Times" w:hAnsi="Times" w:cs="Times New Roman"/>
          <w:iCs/>
        </w:rPr>
        <w:t xml:space="preserve"> </w:t>
      </w:r>
      <w:r w:rsidRPr="00D23BF1">
        <w:rPr>
          <w:rFonts w:ascii="Times" w:hAnsi="Times" w:cs="Times New Roman"/>
          <w:bCs/>
          <w:iCs/>
        </w:rPr>
        <w:t xml:space="preserve">Gut microbiota can facilitate use of new ecological niches by breaking down food sources not otherwise digestible by the host </w:t>
      </w:r>
      <w:r w:rsidRPr="00D23BF1">
        <w:rPr>
          <w:rFonts w:ascii="Times" w:hAnsi="Times" w:cs="Times New Roman"/>
          <w:bCs/>
          <w:iCs/>
        </w:rPr>
        <w:fldChar w:fldCharType="begin" w:fldLock="1"/>
      </w:r>
      <w:r w:rsidRPr="00D23BF1">
        <w:rPr>
          <w:rFonts w:ascii="Times" w:hAnsi="Times" w:cs="Times New Roman"/>
          <w:bCs/>
          <w:iCs/>
        </w:rPr>
        <w:instrText>ADDIN CSL_CITATION {"citationItems":[{"id":"ITEM-1","itemData":{"DOI":"10.1038/sj.embor.7400731","ISBN":"1469-221X","ISSN":"1469-221X","PMID":"16819463","abstract":"The intestinal microflora is a positive health asset that crucially influences the normal structural and functional development of the mucosal immune system. Mucosal immune responses to resident intestinal microflora require precise control and an immunosensory capacity for distinguishing commensal from pathogenic bacteria. In genetically susceptible individuals, some components of the flora can become a liability and contribute to the pathogenesis of various intestinal disorders, including inflammatory bowel diseases. It follows that manipulation of the flora to enhance the beneficial components represents a promising therapeutic strategy. The flora has a collective metabolic activity equal to a virtual organ within an organ, and the mechanisms underlying the conditioning influence of the bacteria on mucosal homeostasis and immune responses are beginning to be unravelled. An improved understanding of this hidden organ will reveal secrets that are relevant to human health and to several infectious, inflammatory and neoplastic disease processes.","author":[{"dropping-particle":"","family":"O'Hara","given":"Ann M","non-dropping-particle":"","parse-names":false,"suffix":""},{"dropping-particle":"","family":"Shanahan","given":"Fergus","non-dropping-particle":"","parse-names":false,"suffix":""}],"container-title":"EMBO reports","id":"ITEM-1","issue":"7","issued":{"date-parts":[["2006"]]},"page":"688-693","title":"The gut flora as a forgotten organ","type":"article-journal","volume":"7"},"uris":["http://www.mendeley.com/documents/?uuid=45a11edc-2465-40c3-8dfd-0d38d9702147"]}],"mendeley":{"formattedCitation":"&lt;sup&gt;1&lt;/sup&gt;","plainTextFormattedCitation":"1","previouslyFormattedCitation":"(O’Hara &amp; Shanahan 2006)"},"properties":{"noteIndex":0},"schema":"https://github.com/citation-style-language/schema/raw/master/csl-citation.json"}</w:instrText>
      </w:r>
      <w:r w:rsidRPr="00D23BF1">
        <w:rPr>
          <w:rFonts w:ascii="Times" w:hAnsi="Times" w:cs="Times New Roman"/>
          <w:bCs/>
          <w:iCs/>
        </w:rPr>
        <w:fldChar w:fldCharType="separate"/>
      </w:r>
      <w:r w:rsidRPr="00D23BF1">
        <w:rPr>
          <w:rFonts w:ascii="Times" w:hAnsi="Times" w:cs="Times New Roman"/>
          <w:bCs/>
          <w:iCs/>
          <w:noProof/>
          <w:vertAlign w:val="superscript"/>
        </w:rPr>
        <w:t>1</w:t>
      </w:r>
      <w:r w:rsidRPr="00D23BF1">
        <w:rPr>
          <w:rFonts w:ascii="Times" w:hAnsi="Times" w:cs="Times New Roman"/>
          <w:bCs/>
          <w:iCs/>
        </w:rPr>
        <w:fldChar w:fldCharType="end"/>
      </w:r>
      <w:r w:rsidRPr="00D23BF1">
        <w:rPr>
          <w:rFonts w:ascii="Times" w:hAnsi="Times" w:cs="Times New Roman"/>
          <w:bCs/>
          <w:iCs/>
        </w:rPr>
        <w:t xml:space="preserve">, thereby affecting host nutrition, immunity, and </w:t>
      </w:r>
      <w:proofErr w:type="spellStart"/>
      <w:r w:rsidRPr="00D23BF1">
        <w:rPr>
          <w:rFonts w:ascii="Times" w:hAnsi="Times" w:cs="Times New Roman"/>
          <w:bCs/>
          <w:iCs/>
        </w:rPr>
        <w:lastRenderedPageBreak/>
        <w:t>behaviour</w:t>
      </w:r>
      <w:proofErr w:type="spellEnd"/>
      <w:r w:rsidRPr="00D23BF1">
        <w:rPr>
          <w:rFonts w:ascii="Times" w:hAnsi="Times" w:cs="Times New Roman"/>
          <w:bCs/>
          <w:iCs/>
        </w:rPr>
        <w:t xml:space="preserve"> </w:t>
      </w:r>
      <w:r w:rsidRPr="00D23BF1">
        <w:rPr>
          <w:rFonts w:ascii="Times" w:hAnsi="Times" w:cs="Times New Roman"/>
          <w:bCs/>
          <w:iCs/>
        </w:rPr>
        <w:fldChar w:fldCharType="begin" w:fldLock="1"/>
      </w:r>
      <w:r w:rsidRPr="00D23BF1">
        <w:rPr>
          <w:rFonts w:ascii="Times" w:hAnsi="Times" w:cs="Times New Roman"/>
          <w:bCs/>
          <w:iCs/>
        </w:rPr>
        <w:instrText>ADDIN CSL_CITATION {"citationItems":[{"id":"ITEM-1","itemData":{"DOI":"10.1038/ni0111-5","ISBN":"1529-2916 (Electronic)\\r1529-2908 (Linking)","ISSN":"15292908","PMID":"21169997","abstract":"The fields of immunology, microbiology, nutrition and metabolism are rapidly converging. Here we expand on a diet-microbiota model as the basis for the greater incidence of asthma and autoimmunity in developed countries.","author":[{"dropping-particle":"","family":"Maslowski","given":"Kendle M.","non-dropping-particle":"","parse-names":false,"suffix":""},{"dropping-particle":"","family":"MacKay","given":"Charles R.","non-dropping-particle":"","parse-names":false,"suffix":""}],"container-title":"Nature Immunology","id":"ITEM-1","issue":"1","issued":{"date-parts":[["2011"]]},"page":"5-9","publisher":"Nature Publishing Group","title":"Diet, gut microbiota and immune responses","type":"article-journal","volume":"12"},"uris":["http://www.mendeley.com/documents/?uuid=1c6da0bc-70af-4ec1-9458-11b6fbea9a6a"]},{"id":"ITEM-2","itemData":{"ISBN":"0031-9333","ISSN":"0031-9333","PMID":"9562034","abstract":"The vertebrate gastrointestinal tract is populated by bacteria and, in some species, protozoa and fungi that can convert dietary and endogenous substrates into absorbable nutrients. Because of a neutral pH and longer digesta retention time, the largest bacterial populations are found in the hindgut or large intestine of mammals, birds, reptiles, and adult amphibians and in the foregut of a few mammals and at least one species of bird. Bacteria ferment carbohydrates into short-chain fatty acids (SCFA), convert dietary and endogenous nitrogenous compounds into ammonia and microbial protein, and synthesize B vitamins. Absorption of SCFA provides energy for the gut epithelial cells and plays an important role in the absorption of Na and water. Ammonia absorption aids in the conservation of nitrogen and water. A larger gut capacity and longer digesta retention time provide herbivores with additional SCFA for maintenance energy and foregut-fermenting and copoprophagic hindgut-fermenting species with access to microbially synthesized protein and B vitamins. Protozoa and fungi also contribute nutrients to the host. This review discusses the contributions of gut microorganisms common to all vertebrates, the numerous digestive strategies that allow herbivores to maximize these contributions, and the effects of low-fiber diets and discontinuous feeding schedules on these microbial digestive processes.","author":[{"dropping-particle":"","family":"Stevens","given":"C Edward","non-dropping-particle":"","parse-names":false,"suffix":""},{"dropping-particle":"","family":"Hume","given":"I D","non-dropping-particle":"","parse-names":false,"suffix":""}],"container-title":"Physiological reviews","id":"ITEM-2","issue":"2","issued":{"date-parts":[["1998"]]},"page":"393-427","title":"Contributions of microbes in vertebrate gastrointestinal tract to production and conservation of nutrients.","type":"article-journal","volume":"78"},"uris":["http://www.mendeley.com/documents/?uuid=7ee1e00f-54df-4cbe-97cf-41a26437d9d7"]},{"id":"ITEM-3","itemData":{"DOI":"10.1038/s41579-018-0014-3","ISSN":"1740-1534","PMID":"29691482","author":[{"dropping-particle":"V","family":"Johnson","given":"Katerina","non-dropping-particle":"","parse-names":false,"suffix":""},{"dropping-particle":"","family":"Foster","given":"Kevin R","non-dropping-particle":"","parse-names":false,"suffix":""}],"container-title":"Nature Reviews Microbiology","id":"ITEM-3","issue":"16","issued":{"date-parts":[["2018"]]},"page":"647–655","publisher":"Springer US","title":"Why does the microbiome affect behaviour?","type":"article-journal"},"uris":["http://www.mendeley.com/documents/?uuid=8998c514-1d4d-4e0c-9379-517d75b0d684"]}],"mendeley":{"formattedCitation":"&lt;sup&gt;2–4&lt;/sup&gt;","plainTextFormattedCitation":"2–4","previouslyFormattedCitation":"(Stevens &amp; Hume 1998, Maslowski &amp; MacKay 2011, Johnson &amp; Foster 2018)"},"properties":{"noteIndex":0},"schema":"https://github.com/citation-style-language/schema/raw/master/csl-citation.json"}</w:instrText>
      </w:r>
      <w:r w:rsidRPr="00D23BF1">
        <w:rPr>
          <w:rFonts w:ascii="Times" w:hAnsi="Times" w:cs="Times New Roman"/>
          <w:bCs/>
          <w:iCs/>
        </w:rPr>
        <w:fldChar w:fldCharType="separate"/>
      </w:r>
      <w:r w:rsidRPr="00D23BF1">
        <w:rPr>
          <w:rFonts w:ascii="Times" w:hAnsi="Times" w:cs="Times New Roman"/>
          <w:bCs/>
          <w:iCs/>
          <w:noProof/>
          <w:vertAlign w:val="superscript"/>
        </w:rPr>
        <w:t>2–4</w:t>
      </w:r>
      <w:r w:rsidRPr="00D23BF1">
        <w:rPr>
          <w:rFonts w:ascii="Times" w:hAnsi="Times" w:cs="Times New Roman"/>
          <w:bCs/>
          <w:iCs/>
        </w:rPr>
        <w:fldChar w:fldCharType="end"/>
      </w:r>
      <w:r w:rsidRPr="00D23BF1">
        <w:rPr>
          <w:rFonts w:ascii="Times" w:hAnsi="Times" w:cs="Times New Roman"/>
          <w:bCs/>
          <w:iCs/>
        </w:rPr>
        <w:t xml:space="preserve">. For example, in Japanese Quails </w:t>
      </w:r>
      <w:r w:rsidRPr="00D23BF1">
        <w:rPr>
          <w:rFonts w:ascii="Times" w:hAnsi="Times" w:cs="Times New Roman"/>
          <w:bCs/>
          <w:i/>
          <w:iCs/>
        </w:rPr>
        <w:t>Coturnix japonica</w:t>
      </w:r>
      <w:r w:rsidRPr="00D23BF1">
        <w:rPr>
          <w:rFonts w:ascii="Times" w:hAnsi="Times" w:cs="Times New Roman"/>
          <w:bCs/>
          <w:iCs/>
        </w:rPr>
        <w:t xml:space="preserve"> the microbiome influences fear reactivity </w:t>
      </w:r>
      <w:r w:rsidRPr="00D23BF1">
        <w:rPr>
          <w:rFonts w:ascii="Times" w:hAnsi="Times" w:cs="Times New Roman"/>
          <w:bCs/>
          <w:iCs/>
        </w:rPr>
        <w:fldChar w:fldCharType="begin" w:fldLock="1"/>
      </w:r>
      <w:r w:rsidRPr="00D23BF1">
        <w:rPr>
          <w:rFonts w:ascii="Times" w:hAnsi="Times" w:cs="Times New Roman"/>
          <w:bCs/>
          <w:iCs/>
        </w:rPr>
        <w:instrText>ADDIN CSL_CITATION {"citationItems":[{"id":"ITEM-1","itemData":{"DOI":"10.3389/fphys.2018.00603","author":[{"dropping-particle":"","family":"Kraimi","given":"Narjis","non-dropping-particle":"","parse-names":false,"suffix":""},{"dropping-particle":"","family":"Calandreau","given":"Ludovic","non-dropping-particle":"","parse-names":false,"suffix":""},{"dropping-particle":"","family":"Biesse","given":"Manon","non-dropping-particle":"","parse-names":false,"suffix":""},{"dropping-particle":"","family":"Rabot","given":"Sylvie","non-dropping-particle":"","parse-names":false,"suffix":""},{"dropping-particle":"","family":"Guitton","given":"Edouard","non-dropping-particle":"","parse-names":false,"suffix":""}],"id":"ITEM-1","issue":"May","issued":{"date-parts":[["2018"]]},"page":"1-9","title":"Absence of Gut Microbiota Reduces Emotional Reactivity in Japanese Quails ( Coturnix japonica )","type":"article-journal","volume":"9"},"uris":["http://www.mendeley.com/documents/?uuid=e11f6b0e-6437-46ce-b896-80cec30845e9"]}],"mendeley":{"formattedCitation":"&lt;sup&gt;5&lt;/sup&gt;","plainTextFormattedCitation":"5","previouslyFormattedCitation":"(Kraimi &lt;i&gt;et al.&lt;/i&gt; 2018)"},"properties":{"noteIndex":0},"schema":"https://github.com/citation-style-language/schema/raw/master/csl-citation.json"}</w:instrText>
      </w:r>
      <w:r w:rsidRPr="00D23BF1">
        <w:rPr>
          <w:rFonts w:ascii="Times" w:hAnsi="Times" w:cs="Times New Roman"/>
          <w:bCs/>
          <w:iCs/>
        </w:rPr>
        <w:fldChar w:fldCharType="separate"/>
      </w:r>
      <w:r w:rsidRPr="00D23BF1">
        <w:rPr>
          <w:rFonts w:ascii="Times" w:hAnsi="Times" w:cs="Times New Roman"/>
          <w:bCs/>
          <w:iCs/>
          <w:noProof/>
          <w:vertAlign w:val="superscript"/>
        </w:rPr>
        <w:t>5</w:t>
      </w:r>
      <w:r w:rsidRPr="00D23BF1">
        <w:rPr>
          <w:rFonts w:ascii="Times" w:hAnsi="Times" w:cs="Times New Roman"/>
          <w:bCs/>
          <w:iCs/>
        </w:rPr>
        <w:fldChar w:fldCharType="end"/>
      </w:r>
      <w:r w:rsidRPr="00D23BF1">
        <w:rPr>
          <w:rFonts w:ascii="Times" w:hAnsi="Times" w:cs="Times New Roman"/>
          <w:bCs/>
          <w:iCs/>
        </w:rPr>
        <w:t xml:space="preserve">, and in the Zebra Finch </w:t>
      </w:r>
      <w:proofErr w:type="spellStart"/>
      <w:r w:rsidRPr="00D23BF1">
        <w:rPr>
          <w:rFonts w:ascii="Times" w:hAnsi="Times" w:cs="Times New Roman"/>
          <w:bCs/>
          <w:i/>
          <w:iCs/>
        </w:rPr>
        <w:t>Taeniopygia</w:t>
      </w:r>
      <w:proofErr w:type="spellEnd"/>
      <w:r w:rsidRPr="00D23BF1">
        <w:rPr>
          <w:rFonts w:ascii="Times" w:hAnsi="Times" w:cs="Times New Roman"/>
          <w:bCs/>
          <w:i/>
          <w:iCs/>
        </w:rPr>
        <w:t xml:space="preserve"> </w:t>
      </w:r>
      <w:proofErr w:type="spellStart"/>
      <w:r w:rsidRPr="00D23BF1">
        <w:rPr>
          <w:rFonts w:ascii="Times" w:hAnsi="Times" w:cs="Times New Roman"/>
          <w:bCs/>
          <w:i/>
          <w:iCs/>
          <w:lang w:val="en-GB"/>
        </w:rPr>
        <w:t>guttata</w:t>
      </w:r>
      <w:proofErr w:type="spellEnd"/>
      <w:r w:rsidRPr="00D23BF1">
        <w:rPr>
          <w:rFonts w:ascii="Times" w:hAnsi="Times" w:cs="Times New Roman"/>
          <w:bCs/>
          <w:iCs/>
        </w:rPr>
        <w:t xml:space="preserve"> sexual </w:t>
      </w:r>
      <w:proofErr w:type="spellStart"/>
      <w:r w:rsidRPr="00D23BF1">
        <w:rPr>
          <w:rFonts w:ascii="Times" w:hAnsi="Times" w:cs="Times New Roman"/>
          <w:bCs/>
          <w:iCs/>
        </w:rPr>
        <w:t>behaviour</w:t>
      </w:r>
      <w:proofErr w:type="spellEnd"/>
      <w:r w:rsidRPr="00D23BF1">
        <w:rPr>
          <w:rFonts w:ascii="Times" w:hAnsi="Times" w:cs="Times New Roman"/>
          <w:bCs/>
          <w:iCs/>
        </w:rPr>
        <w:t xml:space="preserve"> transmits and alters gut bacteria </w:t>
      </w:r>
      <w:r w:rsidRPr="00D23BF1">
        <w:rPr>
          <w:rFonts w:ascii="Times" w:hAnsi="Times" w:cs="Times New Roman"/>
          <w:bCs/>
          <w:iCs/>
        </w:rPr>
        <w:fldChar w:fldCharType="begin" w:fldLock="1"/>
      </w:r>
      <w:r w:rsidRPr="00D23BF1">
        <w:rPr>
          <w:rFonts w:ascii="Times" w:hAnsi="Times" w:cs="Times New Roman"/>
          <w:bCs/>
          <w:iCs/>
        </w:rPr>
        <w:instrText>ADDIN CSL_CITATION {"citationItems":[{"id":"ITEM-1","itemData":{"DOI":"10.1016/j.beproc.2006.10.005","ISSN":"03766357","abstract":"Understanding the behavioural mechanisms that mediate pathogen transmission in social hosts like birds could provide the empirical bases for explaining the epidemiological dynamics of zoonotic infections in vertebrates. By experimentally infecting the feathers and cloaca of captive zebra finches (Taeniopygia guttata), with the bacterium Bacillus licheniformis PWD1 (BL), we examined the self-contamination and horizontal transmission of birds sharing the same environment. We also examined whether sexual transmission of bacteria is gender biased. Our results show that bacteria placed on the plumage of the birds lead to self and allo-infections of the bird guts, possibly through preening behaviours and bacterial ingestion. Furthermore, we found that sexual transmission of the bacteria was asymmetrical, being higher when males are the transmitting sex. Our results suggest the existence of an oral-faecal-genital route of bacterial transmission for avian hosts, wherein bacteria present on feathers infect their host guts through self and allo-preening and bacterial ingestion. Gut bacteria can then be transmitted sexually with transmission rate being higher when males are the infected sex. © 2006 Elsevier B.V. All rights reserved.","author":[{"dropping-particle":"","family":"Kulkarni","given":"Subhash","non-dropping-particle":"","parse-names":false,"suffix":""},{"dropping-particle":"","family":"Heeb","given":"Philipp","non-dropping-particle":"","parse-names":false,"suffix":""}],"container-title":"Behavioural Processes","id":"ITEM-1","issue":"1","issued":{"date-parts":[["2007"]]},"page":"88-92","title":"Social and sexual behaviours aid transmission of bacteria in birds","type":"article-journal","volume":"74"},"uris":["http://www.mendeley.com/documents/?uuid=cab5560c-4203-416f-b0db-e91b28ae231a"]}],"mendeley":{"formattedCitation":"&lt;sup&gt;6&lt;/sup&gt;","plainTextFormattedCitation":"6","previouslyFormattedCitation":"(Kulkarni &amp; Heeb 2007)"},"properties":{"noteIndex":0},"schema":"https://github.com/citation-style-language/schema/raw/master/csl-citation.json"}</w:instrText>
      </w:r>
      <w:r w:rsidRPr="00D23BF1">
        <w:rPr>
          <w:rFonts w:ascii="Times" w:hAnsi="Times" w:cs="Times New Roman"/>
          <w:bCs/>
          <w:iCs/>
        </w:rPr>
        <w:fldChar w:fldCharType="separate"/>
      </w:r>
      <w:r w:rsidRPr="00D23BF1">
        <w:rPr>
          <w:rFonts w:ascii="Times" w:hAnsi="Times" w:cs="Times New Roman"/>
          <w:bCs/>
          <w:iCs/>
          <w:noProof/>
          <w:vertAlign w:val="superscript"/>
        </w:rPr>
        <w:t>6</w:t>
      </w:r>
      <w:r w:rsidRPr="00D23BF1">
        <w:rPr>
          <w:rFonts w:ascii="Times" w:hAnsi="Times" w:cs="Times New Roman"/>
          <w:bCs/>
          <w:iCs/>
        </w:rPr>
        <w:fldChar w:fldCharType="end"/>
      </w:r>
      <w:r w:rsidRPr="00D23BF1">
        <w:rPr>
          <w:rFonts w:ascii="Times" w:hAnsi="Times" w:cs="Times New Roman"/>
          <w:bCs/>
          <w:iCs/>
        </w:rPr>
        <w:t>.</w:t>
      </w:r>
      <w:r w:rsidRPr="00D23BF1">
        <w:rPr>
          <w:rFonts w:ascii="Times" w:hAnsi="Times" w:cs="Times New Roman"/>
          <w:b/>
          <w:bCs/>
          <w:i/>
          <w:iCs/>
        </w:rPr>
        <w:t xml:space="preserve"> </w:t>
      </w:r>
      <w:r w:rsidRPr="00D23BF1">
        <w:rPr>
          <w:rFonts w:ascii="Times" w:eastAsia="Times New Roman" w:hAnsi="Times" w:cs="Times New Roman"/>
        </w:rPr>
        <w:t xml:space="preserve">The fields of medicine, ecology and </w:t>
      </w:r>
      <w:proofErr w:type="spellStart"/>
      <w:r w:rsidRPr="00D23BF1">
        <w:rPr>
          <w:rFonts w:ascii="Times" w:eastAsia="Times New Roman" w:hAnsi="Times" w:cs="Times New Roman"/>
        </w:rPr>
        <w:t>behaviour</w:t>
      </w:r>
      <w:proofErr w:type="spellEnd"/>
      <w:r w:rsidRPr="00D23BF1">
        <w:rPr>
          <w:rFonts w:ascii="Times" w:eastAsia="Times New Roman" w:hAnsi="Times" w:cs="Times New Roman"/>
        </w:rPr>
        <w:t xml:space="preserve"> in particular are quickly expanding their research scope to include measurements of the diversity, structure, and function of the gut microbiome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{"citationItems":[{"id":"ITEM-1","itemData":{"DOI":"10.1146/annurev-ecolsys-110617-062453","ISSN":"1543-592X","abstract":"Animals are distinguished by having guts—organs that must extract nutrients from food and also bar invasion by pathogens. Most guts are colonized by nonpathogenic microorganisms, but the functions of these microbes, or even the reasons why they occur in the gut, vary widely among animals. Sometimes these microorganisms have codiversified with hosts; sometimes they live mostly elsewhere in the environment. Either way, gut microorganisms often benefit hosts. Benefits may reflect evolutionary addiction, whereby hosts incorporate gut microorganisms into normal developmental processes. But benefits often include novel ecological capabilities; for example, many metazoan clades exist by virtue of gut communities enabling new dietary niches. Animals vary immensely in their dependence on gut microorganisms, from lacking them entirely to using them as food or to obligate dependence for development, nutrition, or protection. Many consequences of gut microorganisms for hosts can be ascribed to microbial community processes and the host's ability to shape these processes.Expected final online publication date for the Annual Review of Ecology, Evolution, and Systematics, Volume 50 is November 4, 2019. Please see http://www.annualreviews.org/page/journal/pubdates for revised estimates.","author":[{"dropping-particle":"","family":"Moran","given":"Nancy A.","non-dropping-particle":"","parse-names":false,"suffix":""},{"dropping-particle":"","family":"Ochman","given":"Howard","non-dropping-particle":"","parse-names":false,"suffix":""},{"dropping-particle":"","family":"Hammer","given":"Tobin J.","non-dropping-particle":"","parse-names":false,"suffix":""}],"container-title":"Annual Review of Ecology, Evolution, and Systematics","id":"ITEM-1","issued":{"date-parts":[["2019"]]},"title":"Evolutionary and Ecological Consequences of Gut Microbial Communities","type":"article-journal"},"uris":["http://www.mendeley.com/documents/?uuid=642b3297-6844-4813-9de8-786ffce8de6c"]}],"mendeley":{"formattedCitation":"&lt;sup&gt;7&lt;/sup&gt;","plainTextFormattedCitation":"7","previouslyFormattedCitation":"(Moran &lt;i&gt;et al.&lt;/i&gt; 2019)"},"properties":{"noteIndex":0},"schema":"https://github.com/citation-style-language/schema/raw/master/csl-citation.json"}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7</w:t>
      </w:r>
      <w:r w:rsidRPr="00D23BF1">
        <w:rPr>
          <w:rFonts w:ascii="Times" w:eastAsia="Times New Roman" w:hAnsi="Times" w:cs="Times New Roman"/>
        </w:rPr>
        <w:fldChar w:fldCharType="end"/>
      </w:r>
      <w:r w:rsidRPr="00D23BF1">
        <w:rPr>
          <w:rFonts w:ascii="Times" w:eastAsia="Times New Roman" w:hAnsi="Times" w:cs="Times New Roman"/>
        </w:rPr>
        <w:t>.</w:t>
      </w:r>
    </w:p>
    <w:p w14:paraId="1F4500FA" w14:textId="77777777" w:rsidR="00041ADB" w:rsidRPr="00D23BF1" w:rsidRDefault="00041ADB" w:rsidP="00F20BE1">
      <w:pPr>
        <w:pStyle w:val="Normal1"/>
        <w:rPr>
          <w:rFonts w:ascii="Times" w:eastAsia="Times New Roman" w:hAnsi="Times" w:cs="Times New Roman"/>
        </w:rPr>
      </w:pPr>
      <w:r w:rsidRPr="00D23BF1">
        <w:rPr>
          <w:rFonts w:ascii="Times" w:eastAsia="Times New Roman" w:hAnsi="Times" w:cs="Times New Roman"/>
        </w:rPr>
        <w:t xml:space="preserve">One outcome of this recent focus on the gut microbiome is an appreciation of the heterogeneity in the diversity, structure and function of the gut microbiota across the host gastrointestinal (GI) tract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{"citationItems":[{"id":"ITEM-1","itemData":{"DOI":"10.1371/journal.pone.0163720","ISSN":"19326203","PMID":"27669007","abstract":"There is a growing appreciation of the role of gut microbial communities in host biology. However, the nature of variation in microbial communities among different segments of the gastrointestinal (GI) tract is not well understood. Here, we describe microbial communities from ten different segments of the GI tract (mouth, esophagus, stomach, duodenum, ileum, proximal cecum, distal cecum, colon, rectum, and feces) in wild house mice using 16S rRNA gene amplicon sequencing. We also measured carbon and nitrogen stable isotopic ratios from hair samples of individual mice as a proxy for diet. We identified factors that may explain differences in microbial composition among gut segments, and we tested for differ-ences among individual mice in the composition of the microbiota. Consistent with previous studies, the lower GI tract was characterized by a greater relative abundance of anaerobic bacteria and greater microbial diversity relative to the upper GI tract. The upper and lower GI tracts also differed in the relative abundances of predicted microbial gene functions, including those involved in metabolic pathways. However, when the upper and lower GI tracts were considered separately, gut microbial composition was associated with individ-ual mice. Finally, microbial communities derived from fecal samples were similar to those derived from the lower GI tract of their respective hosts, supporting the utility of fecal sam-pling for studying the gut microbiota of mice. These results show that while there is substan-tial heterogeneity among segments of the GI tract, individual hosts play a significant role in structuring microbial communities within particular segments of the GI tract.","author":[{"dropping-particle":"","family":"Suzuki","given":"Taichi A.","non-dropping-particle":"","parse-names":false,"suffix":""},{"dropping-particle":"","family":"Nachman","given":"Michael W.","non-dropping-particle":"","parse-names":false,"suffix":""}],"container-title":"PLoS ONE","id":"ITEM-1","issue":"9","issued":{"date-parts":[["2016"]]},"page":"1-15","title":"Spatial heterogeneity of gut microbial composition along the gastrointestinal tract in natural populations of house mice","type":"article-journal","volume":"11"},"uris":["http://www.mendeley.com/documents/?uuid=fe6e11f2-c4f0-4562-84e3-e6f6d4f0464c"]},{"id":"ITEM-2","itemData":{"DOI":"10.1111/mec.13921","ISSN":"09621083","author":[{"dropping-particle":"","family":"Kohl","given":"Kevin D.","non-dropping-particle":"","parse-names":false,"suffix":""},{"dropping-particle":"","family":"Brun","given":"Antonio","non-dropping-particle":"","parse-names":false,"suffix":""},{"dropping-particle":"","family":"Magallanes","given":"Melisa","non-dropping-particle":"","parse-names":false,"suffix":""},{"dropping-particle":"","family":"Brinkerhoff","given":"Joshua","non-dropping-particle":"","parse-names":false,"suffix":""},{"dropping-particle":"","family":"Laspiur","given":"Alejandro","non-dropping-particle":"","parse-names":false,"suffix":""},{"dropping-particle":"","family":"Acosta","given":"Juan Carlos","non-dropping-particle":"","parse-names":false,"suffix":""},{"dropping-particle":"","family":"Caviedes-Vidal","given":"Enrique","non-dropping-particle":"","parse-names":false,"suffix":""},{"dropping-particle":"","family":"Bordenstein","given":"Seth R.","non-dropping-particle":"","parse-names":false,"suffix":""}],"container-title":"Molecular Ecology","id":"ITEM-2","issued":{"date-parts":[["2016"]]},"note":"feces community membership was similar to that of the hindgut for three species\ncomunity structure showed this same trend in two of the three species.","title":"Gut microbial ecology of lizards: insights into diversity in the wild, effects of captivity, variation across gut regions, and transmission","type":"article-journal"},"uris":["http://www.mendeley.com/documents/?uuid=817fd8c4-4359-4d6b-bc35-0c58ba44eac8"]}],"mendeley":{"formattedCitation":"&lt;sup&gt;8,9&lt;/sup&gt;","plainTextFormattedCitation":"8,9","previouslyFormattedCitation":"(Kohl &lt;i&gt;et al.&lt;/i&gt; 2016, Suzuki &amp; Nachman 2016)"},"properties":{"noteIndex":0},"schema":"https://github.com/citation-style-language/schema/raw/master/csl-citation.json"}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8,9</w:t>
      </w:r>
      <w:r w:rsidRPr="00D23BF1">
        <w:rPr>
          <w:rFonts w:ascii="Times" w:eastAsia="Times New Roman" w:hAnsi="Times" w:cs="Times New Roman"/>
        </w:rPr>
        <w:fldChar w:fldCharType="end"/>
      </w:r>
      <w:r w:rsidRPr="00D23BF1">
        <w:rPr>
          <w:rFonts w:ascii="Times" w:eastAsia="Times New Roman" w:hAnsi="Times" w:cs="Times New Roman"/>
        </w:rPr>
        <w:t xml:space="preserve">. This spatial heterogeneity affects sampling design depending on the systems or questions being addressed. The most direct way to sample the gut microbial community is through lethal sampling of intestinal contents that represent both mucosal (i.e. associated with the mucous layer of the intestine) and luminal (i.e. associated with the internal space and bolus) microbial communities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{"citationItems":[{"id":"ITEM-1","itemData":{"DOI":"10.1038/sj.embor.7400731","ISBN":"1469-221X","ISSN":"1469-221X","PMID":"16819463","abstract":"The intestinal microflora is a positive health asset that crucially influences the normal structural and functional development of the mucosal immune system. Mucosal immune responses to resident intestinal microflora require precise control and an immunosensory capacity for distinguishing commensal from pathogenic bacteria. In genetically susceptible individuals, some components of the flora can become a liability and contribute to the pathogenesis of various intestinal disorders, including inflammatory bowel diseases. It follows that manipulation of the flora to enhance the beneficial components represents a promising therapeutic strategy. The flora has a collective metabolic activity equal to a virtual organ within an organ, and the mechanisms underlying the conditioning influence of the bacteria on mucosal homeostasis and immune responses are beginning to be unravelled. An improved understanding of this hidden organ will reveal secrets that are relevant to human health and to several infectious, inflammatory and neoplastic disease processes.","author":[{"dropping-particle":"","family":"O'Hara","given":"Ann M","non-dropping-particle":"","parse-names":false,"suffix":""},{"dropping-particle":"","family":"Shanahan","given":"Fergus","non-dropping-particle":"","parse-names":false,"suffix":""}],"container-title":"EMBO reports","id":"ITEM-1","issue":"7","issued":{"date-parts":[["2006"]]},"page":"688-693","title":"The gut flora as a forgotten organ","type":"article-journal","volume":"7"},"uris":["http://www.mendeley.com/documents/?uuid=45a11edc-2465-40c3-8dfd-0d38d9702147"]}],"mendeley":{"formattedCitation":"&lt;sup&gt;1&lt;/sup&gt;","plainTextFormattedCitation":"1","previouslyFormattedCitation":"(O’Hara &amp; Shanahan 2006)"},"properties":{"noteIndex":0},"schema":"https://github.com/citation-style-language/schema/raw/master/csl-citation.json"}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1</w:t>
      </w:r>
      <w:r w:rsidRPr="00D23BF1">
        <w:rPr>
          <w:rFonts w:ascii="Times" w:eastAsia="Times New Roman" w:hAnsi="Times" w:cs="Times New Roman"/>
        </w:rPr>
        <w:fldChar w:fldCharType="end"/>
      </w:r>
      <w:r w:rsidRPr="00D23BF1">
        <w:rPr>
          <w:rFonts w:ascii="Times" w:eastAsia="Times New Roman" w:hAnsi="Times" w:cs="Times New Roman"/>
        </w:rPr>
        <w:t xml:space="preserve">. For example, studying foregut fermentation requires sampling microbial communities directly from the foregut, while questions regarding hindgut fermentation may be addressed by collecting gut samples from the cecum or colon. Therefore, a key component of microbiome research is consistency in sampling methodology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{"citationItems":[{"id":"ITEM-1","itemData":{"DOI":"10.1016/j.cell.2014.06.037","ISBN":"1097-4172 (Electronic)\r0092-8674 (Linking)","ISSN":"0092-8674","PMID":"25036628","abstract":"Human microbiome research is an actively developing area of inquiry, with ramifications for our lifestyles, our interactions with microbes, and how we treat disease. Advances depend on carefully executed, controlled, and reproducible studies. Here, we provide a Primer for researchers from diverse disciplines interested in conducting microbiome research. We discuss factors to be considered in the design, execution, and data analysis of microbiome studies. These recommendations should help researchers to enter and contribute to this rapidly developing field.","author":[{"dropping-particle":"","family":"Goodrich","given":"Julia K.","non-dropping-particle":"","parse-names":false,"suffix":""},{"dropping-particle":"","family":"Di~Rienzi","given":"Sara C","non-dropping-particle":"","parse-names":false,"suffix":""},{"dropping-particle":"","family":"Poole","given":"Angela C.","non-dropping-particle":"","parse-names":false,"suffix":""},{"dropping-particle":"","family":"Koren","given":"Omry","non-dropping-particle":"","parse-names":false,"suffix":""},{"dropping-particle":"","family":"Walters","given":"William a.","non-dropping-particle":"","parse-names":false,"suffix":""},{"dropping-particle":"","family":"Caporaso","given":"Gregory J","non-dropping-particle":"","parse-names":false,"suffix":""},{"dropping-particle":"","family":"Knight","given":"Rob","non-dropping-particle":"","parse-names":false,"suffix":""},{"dropping-particle":"","family":"Ley","given":"Ruth E.","non-dropping-particle":"","parse-names":false,"suffix":""},{"dropping-particle":"","family":"Rienzi","given":"Sara C.","non-dropping-particle":"Di","parse-names":false,"suffix":""},{"dropping-particle":"","family":"Poole","given":"Angela C.","non-dropping-particle":"","parse-names":false,"suffix":""},{"dropping-particle":"","family":"Koren","given":"Omry","non-dropping-particle":"","parse-names":false,"suffix":""},{"dropping-particle":"","family":"Walters","given":"William a.","non-dropping-particle":"","parse-names":false,"suffix":""},{"dropping-particle":"","family":"Caporaso","given":"J. Gregory","non-dropping-particle":"","parse-names":false,"suffix":""},{"dropping-particle":"","family":"Knight","given":"Rob","non-dropping-particle":"","parse-names":false,"suffix":""},{"dropping-particle":"","family":"Ley","given":"Ruth E.","non-dropping-particle":"","parse-names":false,"suffix":""}],"container-title":"Cell","id":"ITEM-1","issue":"2","issued":{"date-parts":[["2014"]]},"page":"250-262","title":"Conducting a Microbiome Study","type":"article-journal","volume":"158"},"uris":["http://www.mendeley.com/documents/?uuid=14afcfd7-dfb5-47a2-a5bf-2498a0c9341c"]},{"id":"ITEM-2","itemData":{"DOI":"10.1093/icb/icx013","ISBN":"1557-7023 (Electronic)\r1540-7063 (Linking)","ISSN":"15577023","PMID":"28985331","abstract":"Research on host-associated microbial communities has grown rapidly. Despite the great body of work, inclusion of microbiota-related questions into integrative and comparative biology is still lagging behind other disciplines. The purpose of this paper is to offer an introduction into the basic tools and techniques of host-microbe research. Specifically, what considerations should be made before embarking on such projects (types of samples, types of controls)? How is microbiome data analyzed and integrated with data measured from the hosts? How can researchers experimentally manipulate the microbiome? With this information, integrative and comparative biologists should be able to include host-microbe studies into their research and push the boundaries of both fields.","author":[{"dropping-particle":"","family":"Kohl","given":"Kevin D.","non-dropping-particle":"","parse-names":false,"suffix":""}],"container-title":"Integrative and Comparative Biology","id":"ITEM-2","issue":"4","issued":{"date-parts":[["2017"]]},"page":"674-681","title":"An introductory \"how-to\" guide for incorporating microbiome research into integrative and comparative biology","type":"article-journal","volume":"57"},"uris":["http://www.mendeley.com/documents/?uuid=dd92ac4a-7061-4486-924f-30e91e9e36d3"]}],"mendeley":{"formattedCitation":"&lt;sup&gt;10,11&lt;/sup&gt;","plainTextFormattedCitation":"10,11","previouslyFormattedCitation":"(Goodrich &lt;i&gt;et al.&lt;/i&gt; 2014, Kohl 2017)"},"properties":{"noteIndex":0},"schema":"https://github.com/citation-style-language/schema/raw/master/csl-citation.json"}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10,11</w:t>
      </w:r>
      <w:r w:rsidRPr="00D23BF1">
        <w:rPr>
          <w:rFonts w:ascii="Times" w:eastAsia="Times New Roman" w:hAnsi="Times" w:cs="Times New Roman"/>
        </w:rPr>
        <w:fldChar w:fldCharType="end"/>
      </w:r>
      <w:r w:rsidRPr="00D23BF1">
        <w:rPr>
          <w:rFonts w:ascii="Times" w:eastAsia="Times New Roman" w:hAnsi="Times" w:cs="Times New Roman"/>
        </w:rPr>
        <w:t>.</w:t>
      </w:r>
    </w:p>
    <w:p w14:paraId="35433636" w14:textId="77777777" w:rsidR="00041ADB" w:rsidRPr="00D23BF1" w:rsidRDefault="00041ADB" w:rsidP="00F20BE1">
      <w:pPr>
        <w:pStyle w:val="Normal1"/>
        <w:rPr>
          <w:rFonts w:ascii="Times" w:eastAsia="Times New Roman" w:hAnsi="Times" w:cs="Times New Roman"/>
        </w:rPr>
      </w:pPr>
      <w:r w:rsidRPr="00D23BF1">
        <w:rPr>
          <w:rFonts w:ascii="Times" w:eastAsia="Times New Roman" w:hAnsi="Times" w:cs="Times New Roman"/>
        </w:rPr>
        <w:t xml:space="preserve"> </w:t>
      </w:r>
      <w:r w:rsidRPr="00D23BF1">
        <w:rPr>
          <w:rFonts w:ascii="Times" w:eastAsia="Times New Roman" w:hAnsi="Times" w:cs="Times New Roman"/>
        </w:rPr>
        <w:tab/>
        <w:t xml:space="preserve">One aspect of experimental design that may influence sampling methodology is whether animals are able to be sacrificed or must remain alive. For instance, in </w:t>
      </w:r>
      <w:proofErr w:type="spellStart"/>
      <w:r w:rsidRPr="00D23BF1">
        <w:rPr>
          <w:rFonts w:ascii="Times" w:eastAsia="Times New Roman" w:hAnsi="Times" w:cs="Times New Roman"/>
        </w:rPr>
        <w:t>behavioural</w:t>
      </w:r>
      <w:proofErr w:type="spellEnd"/>
      <w:r w:rsidRPr="00D23BF1">
        <w:rPr>
          <w:rFonts w:ascii="Times" w:eastAsia="Times New Roman" w:hAnsi="Times" w:cs="Times New Roman"/>
        </w:rPr>
        <w:t xml:space="preserve"> experiments it is often required that we sample the same individual repeatedly over time to measure changes within that individual. When studying animals of conservation concern, or sampling very large numbers of animals we may be limited in how many can be sacrificed. Thus, it may not be possible to collect samples from the gut directly in all studies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{"citationItems":[{"id":"ITEM-1","itemData":{"DOI":"10.1038/mp.2016.44","ISBN":"0003771129000","ISSN":"14765578","PMID":"27067014","abstract":"Major depressive disorder (MDD) is the result of complex gene-environment interactions. According to the World Health Organization, MDD is the leading cause of disability worldwide, and it is a major contributor to the overall global burden of disease. However, the definitive environmental mechanisms underlying the pathophysiology of MDD remain elusive. The gut microbiome is an increasingly recognized environmental factor that can shape the brain through the microbiota-gut-brain axis. We show here that the absence of gut microbiota in germ-free (GF) mice resulted in decreased immobility time in the forced swimming test relative to conventionally raised healthy control mice. Moreover, from clinical sampling, the gut microbiotic compositions of MDD patients and healthy controls were significantly different with MDD patients characterized by significant changes in the relative abundance of Firmicutes, Actinobacteria and Bacteroidetes. Fecal microbiota transplantation of GF mice with 'depression microbiota' derived from MDD patients resulted in depression-like behaviors compared with colonization with 'healthy microbiota' derived from healthy control individuals. Mice harboring 'depression microbiota' primarily exhibited disturbances of microbial genes and host metabolites involved in carbohydrate and amino acid metabolism. This study demonstrates that dysbiosis of the gut microbiome may have a causal role in the development of depressive-like behaviors, in a pathway that is mediated through the host's metabolism.Molecular Psychiatry advance online publication, 12 April 2016; doi:10.1038/mp.2016.44.","author":[{"dropping-particle":"","family":"Zheng","given":"P.","non-dropping-particle":"","parse-names":false,"suffix":""},{"dropping-particle":"","family":"Zeng","given":"B.","non-dropping-particle":"","parse-names":false,"suffix":""},{"dropping-particle":"","family":"Zhou","given":"C.","non-dropping-particle":"","parse-names":false,"suffix":""},{"dropping-particle":"","family":"Liu","given":"M.","non-dropping-particle":"","parse-names":false,"suffix":""},{"dropping-particle":"","family":"Fang","given":"Z.","non-dropping-particle":"","parse-names":false,"suffix":""},{"dropping-particle":"","family":"Xu","given":"X.","non-dropping-particle":"","parse-names":false,"suffix":""},{"dropping-particle":"","family":"Zeng","given":"L.","non-dropping-particle":"","parse-names":false,"suffix":""},{"dropping-particle":"","family":"Chen","given":"J.","non-dropping-particle":"","parse-names":false,"suffix":""},{"dropping-particle":"","family":"Fan","given":"S.","non-dropping-particle":"","parse-names":false,"suffix":""},{"dropping-particle":"","family":"Du","given":"X.","non-dropping-particle":"","parse-names":false,"suffix":""},{"dropping-particle":"","family":"Zhang","given":"X.","non-dropping-particle":"","parse-names":false,"suffix":""},{"dropping-particle":"","family":"Yang","given":"D.","non-dropping-particle":"","parse-names":false,"suffix":""},{"dropping-particle":"","family":"Yang","given":"Y.","non-dropping-particle":"","parse-names":false,"suffix":""},{"dropping-particle":"","family":"Meng","given":"H.","non-dropping-particle":"","parse-names":false,"suffix":""},{"dropping-particle":"","family":"Li","given":"W.","non-dropping-particle":"","parse-names":false,"suffix":""},{"dropping-particle":"","family":"Melgiri","given":"N. D.","non-dropping-particle":"","parse-names":false,"suffix":""},{"dropping-particle":"","family":"Licinio","given":"J.","non-dropping-particle":"","parse-names":false,"suffix":""},{"dropping-particle":"","family":"Wei","given":"H.","non-dropping-particle":"","parse-names":false,"suffix":""},{"dropping-particle":"","family":"Xie","given":"P.","non-dropping-particle":"","parse-names":false,"suffix":""}],"container-title":"Molecular Psychiatry","id":"ITEM-1","issue":"6","issued":{"date-parts":[["2016"]]},"page":"786-796","title":"Gut microbiome remodeling induces depressive-like behaviors through a pathway mediated by the host's metabolism","type":"article-journal","volume":"21"},"uris":["http://www.mendeley.com/documents/?uuid=648f4b36-c247-4ee0-9223-fb8fb8ebfacd"]},{"id":"ITEM-2","itemData":{"DOI":"10.1111/1365-2435.12696","ISSN":"13652435","abstract":"Testosterone mediates several key aspects of male reproduction, but maintaining high testosterone levels can reduce long-term survival. One of the proposed pathways by which testosterone can influence survival is through increased risk of parasite infection. The hormone has the potential to affect the transmission of sexually transmitted infections by promoting behaviors that increase sexual contact rates and/or by decreasing immune function. We hypothesized that males with high concentrations of testosterone would increase their chances of being infected with sexually transmitted bacteria, which would manifest as increased diversity of cloacal bacteria. To test this hypothesis, we measured circulating testosterone concentrations in breeding male rufous-collared sparrows (Zonotrichia capensis) and collected cloacal swabs to quantify bacterial diversity using 16S rRNA gene amplicon sequencing. There was a positive correlation between testosterone concentrations and the phylogenetic diversity of cloacal bacteria. In addition, individuals with high and medium testosterone concentrations had cloacal bacterial communities that were more similar to each other than to those of low testosterone individuals. Finally, when considering bacterial taxa that are potential avian pathogens, we found that the relative abundance of Chlamydiae, a class of obligate intracellular parasites, was positively correlated with testosterone concentrations. Two nonexclusive explanations for these results are that testosterone affects behaviors that lead to increased sexual contacts and thus the exposure and acquisition of additional phylogenetically diverse bacteria, and/or that testosterone is altering the immune system or the cloacal environment, thus making it easier for bacteria to colonize. Either way, these data suggest that increased exposure to sexually transmitted pathogens in the form of cloacal bacteria could be a cost of maintaining high testosterone levels. This article is protected by copyright. All rights reserved.","author":[{"dropping-particle":"","family":"Escallón","given":"Camilo","non-dropping-particle":"","parse-names":false,"suffix":""},{"dropping-particle":"","family":"Becker","given":"Matthew H.","non-dropping-particle":"","parse-names":false,"suffix":""},{"dropping-particle":"","family":"Walke","given":"Jenifer B.","non-dropping-particle":"","parse-names":false,"suffix":""},{"dropping-particle":"V.","family":"Jensen","given":"Roderick","non-dropping-particle":"","parse-names":false,"suffix":""},{"dropping-particle":"","family":"Cormier","given":"Guy","non-dropping-particle":"","parse-names":false,"suffix":""},{"dropping-particle":"","family":"Belden","given":"Lisa K.","non-dropping-particle":"","parse-names":false,"suffix":""},{"dropping-particle":"","family":"Moore","given":"Ignacio T.","non-dropping-particle":"","parse-names":false,"suffix":""}],"container-title":"Functional Ecology","id":"ITEM-2","issue":"1","issued":{"date-parts":[["2017"]]},"page":"192-203","title":"Testosterone levels are positively correlated with cloacal bacterial diversity and the relative abundance of Chlamydiae in breeding male rufous-collared sparrows","type":"article-journal","volume":"31"},"uris":["http://www.mendeley.com/documents/?uuid=410b2afe-0ad7-4368-a555-b172faa7702e"]},{"id":"ITEM-3","itemData":{"ISBN":"1466-531X (Print)","ISSN":"1466-531X","PMID":"16875421","abstract":"\"Segregated early weaning\" (SEW) of pigs reduces exposure to pathogenic bacteria, but upon arrival at grower facilities pigs may be co-mingled regardless of farm of origin. The present study was designed to examine the effect of mixing (social) stress on populations of Salmonella enterica Typhimurium in SEW pigs. Piglets (7 days old; n = 28 in each of 2 replicates) were separated into 2 treatments (control and mixed groups) of 2 pens per treatment (7 piglets/pen). One (n = 1) \"seeder\" pig/pen was inoculated with 10(9) CFU of S. Typhimurium. Each seeder was placed with non-inoculated \"contact\" piglets (n = 6). A\"contact\" piglet was swapped each day between the \"mixed\" pens for 5 days; pigs in control pens were not exchanged. On day 5, the incidence of fecal Salmonella shedding was higher in the mixed contact pigs (P &lt; 0.05). Rectal Salmonella and cecal coliform populations in mixed pigs were significantly (P &lt; 0.05) greater than in control pigs but cecal Salmonella populations were not different. Mixed pigs were more susceptible to tissue invasiveness (i.e., Salmonella-positive tonsils and lymph nodes) than control pigs. These results indicate that social stress of weaned pigs may increase susceptibility to and/or fecal shedding of Salmonella. Food-borne Salmonella infections in the United States are estimated to cost the economy dollar 2.4 billion annually (ERS/USDA, 2001). Approximately 6-9% of human salmonellosis is associated with the consumption of pork products (Frenzen et al., 1999). Salmonella is relatively common on swine farms and has been isolated from all stages of the pork production chain (Davies et al., 1999; Fedorka-Cray et al., 1997b; Rostagno et al., 2003). Salmonella is a threat to the pork industry not only from a food-safety perspective as a public health concern, but some Salmonella serotypes can cause clinical illnesses in swine, negatively impacting production efficiency and profitability (Schwartz, 1991).","author":[{"dropping-particle":"","family":"Callaway","given":"T R","non-dropping-particle":"","parse-names":false,"suffix":""},{"dropping-particle":"","family":"Morrow","given":"J L","non-dropping-particle":"","parse-names":false,"suffix":""},{"dropping-particle":"","family":"Edrington","given":"T S","non-dropping-particle":"","parse-names":false,"suffix":""},{"dropping-particle":"","family":"Genovese","given":"K J","non-dropping-particle":"","parse-names":false,"suffix":""},{"dropping-particle":"","family":"Dowd","given":"S","non-dropping-particle":"","parse-names":false,"suffix":""},{"dropping-particle":"","family":"Carroll","given":"J","non-dropping-particle":"","parse-names":false,"suffix":""},{"dropping-particle":"","family":"Dailey","given":"J W","non-dropping-particle":"","parse-names":false,"suffix":""},{"dropping-particle":"","family":"Harvey","given":"R B","non-dropping-particle":"","parse-names":false,"suffix":""},{"dropping-particle":"","family":"Poole","given":"T L","non-dropping-particle":"","parse-names":false,"suffix":""},{"dropping-particle":"","family":"Anderson","given":"R C","non-dropping-particle":"","parse-names":false,"suffix":""},{"dropping-particle":"","family":"Nisbet","given":"D J","non-dropping-particle":"","parse-names":false,"suffix":""}],"container-title":"Curr Issues Intest Microbiol","id":"ITEM-3","issued":{"date-parts":[["2006"]]},"page":"65-71","title":"Social stress increases fecal shedding of Salmonella typhimurium by early weaned piglets","type":"article-journal","volume":"7"},"uris":["http://www.mendeley.com/documents/?uuid=fe7a306a-ed69-4645-829b-6d2660397ed5"]}],"mendeley":{"formattedCitation":"&lt;sup&gt;12–14&lt;/sup&gt;","manualFormatting":"(e.g. Callaway et al. 2006, Zheng et al. 2016, Escallón et al. 2017)","plainTextFormattedCitation":"12–14","previouslyFormattedCitation":"(Callaway &lt;i&gt;et al.&lt;/i&gt; 2006, Zheng &lt;i&gt;et al.&lt;/i&gt; 2016, Escallón &lt;i&gt;et al.&lt;/i&gt; 2017)"},"properties":{"noteIndex":0},"schema":"https://github.com/citation-style-language/schema/raw/master/csl-citation.json"}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rPr>
        <w:t xml:space="preserve">(e.g. Callaway </w:t>
      </w:r>
      <w:r w:rsidRPr="00D23BF1">
        <w:rPr>
          <w:rFonts w:ascii="Times" w:eastAsia="Times New Roman" w:hAnsi="Times" w:cs="Times New Roman"/>
          <w:i/>
          <w:noProof/>
        </w:rPr>
        <w:t>et al</w:t>
      </w:r>
      <w:r w:rsidRPr="00D23BF1">
        <w:rPr>
          <w:rFonts w:ascii="Times" w:eastAsia="Times New Roman" w:hAnsi="Times" w:cs="Times New Roman"/>
          <w:noProof/>
        </w:rPr>
        <w:t xml:space="preserve">. 2006, Zheng </w:t>
      </w:r>
      <w:r w:rsidRPr="00D23BF1">
        <w:rPr>
          <w:rFonts w:ascii="Times" w:eastAsia="Times New Roman" w:hAnsi="Times" w:cs="Times New Roman"/>
          <w:i/>
          <w:noProof/>
        </w:rPr>
        <w:t>et al</w:t>
      </w:r>
      <w:r w:rsidRPr="00D23BF1">
        <w:rPr>
          <w:rFonts w:ascii="Times" w:eastAsia="Times New Roman" w:hAnsi="Times" w:cs="Times New Roman"/>
          <w:noProof/>
        </w:rPr>
        <w:t xml:space="preserve">. 2016, Escallón </w:t>
      </w:r>
      <w:r w:rsidRPr="00D23BF1">
        <w:rPr>
          <w:rFonts w:ascii="Times" w:eastAsia="Times New Roman" w:hAnsi="Times" w:cs="Times New Roman"/>
          <w:i/>
          <w:noProof/>
        </w:rPr>
        <w:t>et al</w:t>
      </w:r>
      <w:r w:rsidRPr="00D23BF1">
        <w:rPr>
          <w:rFonts w:ascii="Times" w:eastAsia="Times New Roman" w:hAnsi="Times" w:cs="Times New Roman"/>
          <w:noProof/>
        </w:rPr>
        <w:t>. 2017)</w:t>
      </w:r>
      <w:r w:rsidRPr="00D23BF1">
        <w:rPr>
          <w:rFonts w:ascii="Times" w:eastAsia="Times New Roman" w:hAnsi="Times" w:cs="Times New Roman"/>
        </w:rPr>
        <w:fldChar w:fldCharType="end"/>
      </w:r>
      <w:r w:rsidRPr="00D23BF1">
        <w:rPr>
          <w:rFonts w:ascii="Times" w:eastAsia="Times New Roman" w:hAnsi="Times" w:cs="Times New Roman"/>
        </w:rPr>
        <w:t xml:space="preserve">. Therefore, identifying sampling protocols that are feasible, repeatable, but still informative and relevant is imperative for advancing the field of host-microbe interactions. </w:t>
      </w:r>
    </w:p>
    <w:p w14:paraId="6E8382B7" w14:textId="77777777" w:rsidR="00041ADB" w:rsidRPr="00D23BF1" w:rsidRDefault="00041ADB" w:rsidP="00F20BE1">
      <w:pPr>
        <w:pStyle w:val="Normal1"/>
        <w:rPr>
          <w:rFonts w:ascii="Times" w:eastAsia="Times New Roman" w:hAnsi="Times" w:cs="Times New Roman"/>
        </w:rPr>
      </w:pP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and rectal/cloacal swabs are two common, non-lethal sampling methods, chosen due to their physical proximity to the gastro-intestinal tract and their ease of collection (Fig. 1)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{"citationItems":[{"id":"ITEM-1","itemData":{"DOI":"10.1007/978-1-4612-4862-0","ISBN":"0127476059","ISSN":"00063568","PMID":"2476","abstract":"Since the publication of earlier editions, there has been The new edition has a number of new contributors, a considerable increase in research activity ina number who have written on the nervous system, sense organs, of areas, with each succeeding edition including new muscle, endocrines, reproduction, digestion and immu chapters and an expansion of knowledge in older chap nophysiology. Contributors from previous editions ters. have expanded their offerings considerably. The fourth edition contains two new chapters, on The authors are indebted to various investigators, muscle and immunophysiology, the latter an area journals and books for the many illustrations used. Indi where research on Aves has contributed significantly vidual acknowledgement is made in the legends and to our general knowledge of the subject. references. Preface to the 'Third Edition Since the publication of the first and second editions, pathways of birds and mammals. New contributors in there has been a considerable increase of research activ clude M. R. Fedde and T. B. Bolton, who have com ity in avian physiology in a number of areas, including pletely revised and expanded the chapters on respira endocrinology and reproduction, heart and circulation, tion and the nervous system, respectively, and J. G. respiration, temperature regulation, and to a lesser ex Rogers, Jr. , W. J. Mueller, H. Opel, and D. e. Meyer, who have made contributions to Chapters 2,16, 17, tent in some other areas. There appeared in 1972-1974 a four volume treatise and 19, respectively.","author":[{"dropping-particle":"","family":"Sturkie","given":"PD","non-dropping-particle":"","parse-names":false,"suffix":""}],"container-title":"Chemical Senses","id":"ITEM-1","issued":{"date-parts":[["1999"]]},"title":"Avian physiology","type":"book"},"uris":["http://www.mendeley.com/documents/?uuid=99c7fdbf-f6c4-4e14-b759-fceca7627e9a"]}],"mendeley":{"formattedCitation":"&lt;sup&gt;15&lt;/sup&gt;","plainTextFormattedCitation":"15","previouslyFormattedCitation":"(Sturkie 1999)"},"properties":{"noteIndex":0},"schema":"https://github.com/citation-style-language/schema/raw/master/csl-citation.json"}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15</w:t>
      </w:r>
      <w:r w:rsidRPr="00D23BF1">
        <w:rPr>
          <w:rFonts w:ascii="Times" w:eastAsia="Times New Roman" w:hAnsi="Times" w:cs="Times New Roman"/>
        </w:rPr>
        <w:fldChar w:fldCharType="end"/>
      </w:r>
      <w:r w:rsidRPr="00D23BF1">
        <w:rPr>
          <w:rFonts w:ascii="Times" w:eastAsia="Times New Roman" w:hAnsi="Times" w:cs="Times New Roman"/>
        </w:rPr>
        <w:t xml:space="preserve">. However, these samples may not accurately capture the profile of gut microbial communities. When investigating the microbial communities of </w:t>
      </w:r>
      <w:proofErr w:type="spellStart"/>
      <w:r w:rsidRPr="00D23BF1">
        <w:rPr>
          <w:rFonts w:ascii="Times" w:eastAsia="Times New Roman" w:hAnsi="Times" w:cs="Times New Roman"/>
        </w:rPr>
        <w:t>faeces</w:t>
      </w:r>
      <w:proofErr w:type="spellEnd"/>
      <w:r w:rsidRPr="00D23BF1">
        <w:rPr>
          <w:rFonts w:ascii="Times" w:eastAsia="Times New Roman" w:hAnsi="Times" w:cs="Times New Roman"/>
        </w:rPr>
        <w:t xml:space="preserve">, the relative abundances of particular microbes may differ from intestinal communities depending on their generation time, depth in the intestinal mucous layer, or other factors that impact rates of bacterial sloughing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{"citationItems":[{"id":"ITEM-1","itemData":{"DOI":"10.1371/journal.pone.0016952","ISBN":"1932-6203 (Electronic) 1932-6203 (Linking)","ISSN":"19326203","PMID":"21347324","abstract":"BACKGROUND: The characterization of the human intestinal microflora and their interactions with the host have been identified as key components in the study of intestinal disorders such as inflammatory bowel diseases. High-throughput sequencing has enabled culture-independent studies to deeply analyze bacteria in the gut. It is possible with this technology to systematically analyze links between microbes and the genetic constitution of the host, such as DNA polymorphisms and methylation, and gene expression.\\n\\nMETHODS AND FINDINGS: In this study the V2 region of the bacterial 16S ribosomal RNA (rRNA) gene using 454 pyrosequencing from seven anatomic regions of human colon and two types of stool specimens were analyzed. The study examined the number of reads needed to ascertain differences between samples, the effect of DNA extraction procedures and PCR reproducibility, and differences between biopsies and stools in order to design a large scale systematic analysis of gut microbes. It was shown (1) that sequence coverage lower than 1,000 reads influenced quantitative and qualitative differences between samples measured by UniFrac distances. Distances between samples became stable after 1,000 reads. (2) Difference of extracted bacteria was observed between the two DNA extraction methods. In particular, Firmicutes Bacilli were not extracted well by one method. (3) Quantitative and qualitative difference in bacteria from ileum to rectum colon were not observed, but there was a significant positive trend between distances within colon and quantitative differences. Between sample type, biopsies or stools, quantitative and qualitative differences were observed.\\n\\nCONCLUSIONS: Results of human colonic bacteria analyzed using high-throughput sequencing were highly dependent on the experimental design, especially the number of sequence reads, DNA extraction method, and sample type.","author":[{"dropping-particle":"","family":"Momozawa","given":"Yukihide","non-dropping-particle":"","parse-names":false,"suffix":""},{"dropping-particle":"","family":"Deffontaine","given":"Valérie","non-dropping-particle":"","parse-names":false,"suffix":""},{"dropping-particle":"","family":"Louis","given":"Edouard","non-dropping-particle":"","parse-names":false,"suffix":""},{"dropping-particle":"","family":"Medrano","given":"Juan F.","non-dropping-particle":"","parse-names":false,"suffix":""}],"container-title":"PLoS ONE","id":"ITEM-1","issue":"2","issued":{"date-parts":[["2011"]]},"note":"1000 reads stable enough for reliable unifrac distances","title":"Characterization of bacteria in biopsies of colon and stools by high throughput sequencing of the V2 region of bacterial 16s rRNA gene in human","type":"article-journal","volume":"6"},"uris":["http://www.mendeley.com/documents/?uuid=a651509a-8245-41db-b80a-af92f8cf60b9"]}],"mendeley":{"formattedCitation":"&lt;sup&gt;16&lt;/sup&gt;","plainTextFormattedCitation":"16","previouslyFormattedCitation":"(Momozawa &lt;i&gt;et al.&lt;/i&gt; 2011)"},"properties":{"noteIndex":0},"schema":"https://github.com/citation-style-language/schema/raw/master/csl-citation.json"}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16</w:t>
      </w:r>
      <w:r w:rsidRPr="00D23BF1">
        <w:rPr>
          <w:rFonts w:ascii="Times" w:eastAsia="Times New Roman" w:hAnsi="Times" w:cs="Times New Roman"/>
        </w:rPr>
        <w:fldChar w:fldCharType="end"/>
      </w:r>
      <w:r w:rsidRPr="00D23BF1">
        <w:rPr>
          <w:rFonts w:ascii="Times" w:eastAsia="Times New Roman" w:hAnsi="Times" w:cs="Times New Roman"/>
        </w:rPr>
        <w:t xml:space="preserve">. In birds, amphibians and reptiles, researchers can collect information about gut microbial communities from swabs of the cloaca (analogous to the mammalian rectum), the single orifice for both reproductive and excretory products. Although swabbing of the cloaca is a convenient method of sample collection, the cloaca is an aerobic environment, which may create different conditions for bacteria than the anaerobic conditions of the intestines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{"citationItems":[{"id":"ITEM-1","itemData":{"ISSN":"0032-5791","PMID":"10685882","abstract":"Lactobacilli in the cloaca and vagina of 40 normal laying hens were investigated quantitatively and qualitatively, and their ability to inhibit growth of Salmonella enteritidis (SE) was examined using a spot-the-lawn technique. All samples of cloacal contents and half the samples of vaginal mucus were positive for lactobacilli. The means +/- SD of total Lactobacillus counts in the cloaca and those in the vagina were log10 5.5 +/- 1.1 and 2.5 +/- 2.6 cfu/g, respectively. In the cloaca, Lactobacillus acidophilus was isolated from 92.5% of hens, and Lactobacillus salivarius was isolated from 85.0% of hens, whereas Lactobacillus fermentum was isolated from only one hen. In the vagina, L. acidophilus and L. salivarius were isolated from 42.5% of hens. In the inhibition assay in vitro, all strains of Lactobacillus from cloacal contents and vaginal mucus inhibited growth of SE. There was a wide range of the inhibitory activity even in the same species. No difference of the growth inhibition zone was observed between lactobacilli from cloaca and those from vagina. The present study suggested that lactobacilli in the cloaca and vagina of hens might have a protective effect against SE colonization.","author":[{"dropping-particle":"","family":"Miyamoto","given":"T","non-dropping-particle":"","parse-names":false,"suffix":""},{"dropping-particle":"","family":"Horie","given":"T","non-dropping-particle":"","parse-names":false,"suffix":""},{"dropping-particle":"","family":"Fujiwara","given":"T","non-dropping-particle":"","parse-names":false,"suffix":""},{"dropping-particle":"","family":"Fukata","given":"T","non-dropping-particle":"","parse-names":false,"suffix":""},{"dropping-particle":"","family":"Sasai","given":"K","non-dropping-particle":"","parse-names":false,"suffix":""},{"dropping-particle":"","family":"Baba","given":"E","non-dropping-particle":"","parse-names":false,"suffix":""}],"container-title":"Poultry science","id":"ITEM-1","issue":"1","issued":{"date-parts":[["2000"]]},"page":"7-11","title":"Lactobacillus flora in the cloaca and vagina of hens and its inhibitory activity against Salmonella enteritidis in vitro.","type":"article-journal","volume":"79"},"uris":["http://www.mendeley.com/documents/?uuid=e302ec80-81ad-48f7-962d-a507b7b4a816"]}],"mendeley":{"formattedCitation":"&lt;sup&gt;17&lt;/sup&gt;","plainTextFormattedCitation":"17","previouslyFormattedCitation":"(Miyamoto &lt;i&gt;et al.&lt;/i&gt; 2000)"},"properties":{"noteIndex":0},"schema":"https://github.com/citation-style-language/schema/raw/master/csl-citation.json"}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17</w:t>
      </w:r>
      <w:r w:rsidRPr="00D23BF1">
        <w:rPr>
          <w:rFonts w:ascii="Times" w:eastAsia="Times New Roman" w:hAnsi="Times" w:cs="Times New Roman"/>
        </w:rPr>
        <w:fldChar w:fldCharType="end"/>
      </w:r>
      <w:r w:rsidRPr="00D23BF1">
        <w:rPr>
          <w:rFonts w:ascii="Times" w:eastAsia="Times New Roman" w:hAnsi="Times" w:cs="Times New Roman"/>
        </w:rPr>
        <w:t xml:space="preserve">. Therefore, a critical step in the use of non-lethal sampling is to quantify the extent to which different non-lethal sampling methods capture information about gut microbial communities of interest. </w:t>
      </w:r>
    </w:p>
    <w:p w14:paraId="463AA329" w14:textId="77777777" w:rsidR="00041ADB" w:rsidRPr="00D23BF1" w:rsidRDefault="00041ADB" w:rsidP="00F20BE1">
      <w:pPr>
        <w:pStyle w:val="Normal1"/>
        <w:rPr>
          <w:rFonts w:ascii="Times" w:eastAsia="Times New Roman" w:hAnsi="Times" w:cs="Times New Roman"/>
          <w:i/>
        </w:rPr>
      </w:pPr>
      <w:r w:rsidRPr="00D23BF1">
        <w:rPr>
          <w:rFonts w:ascii="Times" w:eastAsia="Times New Roman" w:hAnsi="Times" w:cs="Times New Roman"/>
        </w:rPr>
        <w:t xml:space="preserve">Several comprehensive studies in various host species have demonstrated that non-lethal sampling is possible, though it is unclear whether their results are widely applicable across other host species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{"citationItems":[{"id":"ITEM-1","itemData":{"DOI":"10.1371/journal.pone.0163720","ISSN":"19326203","PMID":"27669007","abstract":"There is a growing appreciation of the role of gut microbial communities in host biology. However, the nature of variation in microbial communities among different segments of the gastrointestinal (GI) tract is not well understood. Here, we describe microbial communities from ten different segments of the GI tract (mouth, esophagus, stomach, duodenum, ileum, proximal cecum, distal cecum, colon, rectum, and feces) in wild house mice using 16S rRNA gene amplicon sequencing. We also measured carbon and nitrogen stable isotopic ratios from hair samples of individual mice as a proxy for diet. We identified factors that may explain differences in microbial composition among gut segments, and we tested for differ-ences among individual mice in the composition of the microbiota. Consistent with previous studies, the lower GI tract was characterized by a greater relative abundance of anaerobic bacteria and greater microbial diversity relative to the upper GI tract. The upper and lower GI tracts also differed in the relative abundances of predicted microbial gene functions, including those involved in metabolic pathways. However, when the upper and lower GI tracts were considered separately, gut microbial composition was associated with individ-ual mice. Finally, microbial communities derived from fecal samples were similar to those derived from the lower GI tract of their respective hosts, supporting the utility of fecal sam-pling for studying the gut microbiota of mice. These results show that while there is substan-tial heterogeneity among segments of the GI tract, individual hosts play a significant role in structuring microbial communities within particular segments of the GI tract.","author":[{"dropping-particle":"","family":"Suzuki","given":"Taichi A.","non-dropping-particle":"","parse-names":false,"suffix":""},{"dropping-particle":"","family":"Nachman","given":"Michael W.","non-dropping-particle":"","parse-names":false,"suffix":""}],"container-title":"PLoS ONE","id":"ITEM-1","issue":"9","issued":{"date-parts":[["2016"]]},"page":"1-15","title":"Spatial heterogeneity of gut microbial composition along the gastrointestinal tract in natural populations of house mice","type":"article-journal","volume":"11"},"uris":["http://www.mendeley.com/documents/?uuid=fe6e11f2-c4f0-4562-84e3-e6f6d4f0464c"]},{"id":"ITEM-2","itemData":{"DOI":"10.1111/mec.13921","ISSN":"09621083","author":[{"dropping-particle":"","family":"Kohl","given":"Kevin D.","non-dropping-particle":"","parse-names":false,"suffix":""},{"dropping-particle":"","family":"Brun","given":"Antonio","non-dropping-particle":"","parse-names":false,"suffix":""},{"dropping-particle":"","family":"Magallanes","given":"Melisa","non-dropping-particle":"","parse-names":false,"suffix":""},{"dropping-particle":"","family":"Brinkerhoff","given":"Joshua","non-dropping-particle":"","parse-names":false,"suffix":""},{"dropping-particle":"","family":"Laspiur","given":"Alejandro","non-dropping-particle":"","parse-names":false,"suffix":""},{"dropping-particle":"","family":"Acosta","given":"Juan Carlos","non-dropping-particle":"","parse-names":false,"suffix":""},{"dropping-particle":"","family":"Caviedes-Vidal","given":"Enrique","non-dropping-particle":"","parse-names":false,"suffix":""},{"dropping-particle":"","family":"Bordenstein","given":"Seth R.","non-dropping-particle":"","parse-names":false,"suffix":""}],"container-title":"Molecular Ecology","id":"ITEM-2","issued":{"date-parts":[["2016"]]},"note":"feces community membership was similar to that of the hindgut for three species\ncomunity structure showed this same trend in two of the three species.","title":"Gut microbial ecology of lizards: insights into diversity in the wild, effects of captivity, variation across gut regions, and transmission","type":"article-journal"},"uris":["http://www.mendeley.com/documents/?uuid=817fd8c4-4359-4d6b-bc35-0c58ba44eac8"]},{"id":"ITEM-3","itemData":{"author":[{"dropping-particle":"","family":"Videvall","given":"Elin","non-dropping-particle":"","parse-names":false,"suffix":""},{"dropping-particle":"","family":"Strandh","given":"Maria","non-dropping-particle":"","parse-names":false,"suffix":""},{"dropping-particle":"","family":"Engelbrecht","given":"Anel","non-dropping-particle":"","parse-names":false,"suffix":""},{"dropping-particle":"","family":"Cloete","given":"Schalk","non-dropping-particle":"","parse-names":false,"suffix":""},{"dropping-particle":"","family":"Cornwallis","given":"Charlie K.","non-dropping-particle":"","parse-names":false,"suffix":""}],"container-title":"Preprint","id":"ITEM-3","issued":{"date-parts":[["2017"]]},"note":"&amp;quot;The two most similar sample types were the faeces and colon, which resulted in a low R2 (0.069), whereas the cloaca and colon were more dissimilar (R2 = 0.099).&amp;quot;\n(from results, based on bray curtis)","page":"1-22","title":"Measuring the gut microbiome in birds : comparison of faecal and cloacal sampling","type":"article-journal"},"uris":["http://www.mendeley.com/documents/?uuid=03f68f00-2e6e-40c2-89b7-77fe2cfd8dc5"]}],"mendeley":{"formattedCitation":"&lt;sup&gt;8,9,18&lt;/sup&gt;","plainTextFormattedCitation":"8,9,18","previouslyFormattedCitation":"(Kohl &lt;i&gt;et al.&lt;/i&gt; 2016, Suzuki &amp; Nachman 2016, Videvall &lt;i&gt;et al.&lt;/i&gt; 2017)"},"properties":{"noteIndex":0},"schema":"https://github.com/citation-style-language/schema/raw/master/csl-citation.json"}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8,9,18</w:t>
      </w:r>
      <w:r w:rsidRPr="00D23BF1">
        <w:rPr>
          <w:rFonts w:ascii="Times" w:eastAsia="Times New Roman" w:hAnsi="Times" w:cs="Times New Roman"/>
        </w:rPr>
        <w:fldChar w:fldCharType="end"/>
      </w:r>
      <w:r w:rsidRPr="00D23BF1">
        <w:rPr>
          <w:rFonts w:ascii="Times" w:eastAsia="Times New Roman" w:hAnsi="Times" w:cs="Times New Roman"/>
        </w:rPr>
        <w:t xml:space="preserve"> Recent studies conducted in House Mice </w:t>
      </w:r>
      <w:r w:rsidRPr="00D23BF1">
        <w:rPr>
          <w:rFonts w:ascii="Times" w:eastAsia="Times New Roman" w:hAnsi="Times" w:cs="Times New Roman"/>
          <w:i/>
        </w:rPr>
        <w:t>Mus musculus</w:t>
      </w:r>
      <w:r w:rsidRPr="00D23BF1">
        <w:rPr>
          <w:rFonts w:ascii="Times" w:eastAsia="Times New Roman" w:hAnsi="Times" w:cs="Times New Roman"/>
        </w:rPr>
        <w:t xml:space="preserve">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{"citationItems":[{"id":"ITEM-1","itemData":{"DOI":"10.1371/journal.pone.0163720","ISSN":"19326203","PMID":"27669007","abstract":"There is a growing appreciation of the role of gut microbial communities in host biology. However, the nature of variation in microbial communities among different segments of the gastrointestinal (GI) tract is not well understood. Here, we describe microbial communities from ten different segments of the GI tract (mouth, esophagus, stomach, duodenum, ileum, proximal cecum, distal cecum, colon, rectum, and feces) in wild house mice using 16S rRNA gene amplicon sequencing. We also measured carbon and nitrogen stable isotopic ratios from hair samples of individual mice as a proxy for diet. We identified factors that may explain differences in microbial composition among gut segments, and we tested for differ-ences among individual mice in the composition of the microbiota. Consistent with previous studies, the lower GI tract was characterized by a greater relative abundance of anaerobic bacteria and greater microbial diversity relative to the upper GI tract. The upper and lower GI tracts also differed in the relative abundances of predicted microbial gene functions, including those involved in metabolic pathways. However, when the upper and lower GI tracts were considered separately, gut microbial composition was associated with individ-ual mice. Finally, microbial communities derived from fecal samples were similar to those derived from the lower GI tract of their respective hosts, supporting the utility of fecal sam-pling for studying the gut microbiota of mice. These results show that while there is substan-tial heterogeneity among segments of the GI tract, individual hosts play a significant role in structuring microbial communities within particular segments of the GI tract.","author":[{"dropping-particle":"","family":"Suzuki","given":"Taichi A.","non-dropping-particle":"","parse-names":false,"suffix":""},{"dropping-particle":"","family":"Nachman","given":"Michael W.","non-dropping-particle":"","parse-names":false,"suffix":""}],"container-title":"PLoS ONE","id":"ITEM-1","issue":"9","issued":{"date-parts":[["2016"]]},"page":"1-15","title":"Spatial heterogeneity of gut microbial composition along the gastrointestinal tract in natural populations of house mice","type":"article-journal","volume":"11"},"uris":["http://www.mendeley.com/documents/?uuid=fe6e11f2-c4f0-4562-84e3-e6f6d4f0464c"]}],"mendeley":{"formattedCitation":"&lt;sup&gt;8&lt;/sup&gt;","plainTextFormattedCitation":"8","previouslyFormattedCitation":"(Suzuki &amp; Nachman 2016)"},"properties":{"noteIndex":0},"schema":"https://github.com/citation-style-language/schema/raw/master/csl-citation.json"}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8</w:t>
      </w:r>
      <w:r w:rsidRPr="00D23BF1">
        <w:rPr>
          <w:rFonts w:ascii="Times" w:eastAsia="Times New Roman" w:hAnsi="Times" w:cs="Times New Roman"/>
        </w:rPr>
        <w:fldChar w:fldCharType="end"/>
      </w:r>
      <w:r w:rsidRPr="00D23BF1">
        <w:rPr>
          <w:rFonts w:ascii="Times" w:eastAsia="Times New Roman" w:hAnsi="Times" w:cs="Times New Roman"/>
        </w:rPr>
        <w:t>, lizards (</w:t>
      </w:r>
      <w:proofErr w:type="spellStart"/>
      <w:r w:rsidRPr="00D23BF1">
        <w:rPr>
          <w:rFonts w:ascii="Times" w:eastAsia="Times New Roman" w:hAnsi="Times" w:cs="Times New Roman"/>
          <w:i/>
        </w:rPr>
        <w:t>Liolaemus</w:t>
      </w:r>
      <w:proofErr w:type="spellEnd"/>
      <w:r w:rsidRPr="00D23BF1">
        <w:rPr>
          <w:rFonts w:ascii="Times" w:eastAsia="Times New Roman" w:hAnsi="Times" w:cs="Times New Roman"/>
          <w:i/>
        </w:rPr>
        <w:t xml:space="preserve"> </w:t>
      </w:r>
      <w:proofErr w:type="spellStart"/>
      <w:r w:rsidRPr="00D23BF1">
        <w:rPr>
          <w:rFonts w:ascii="Times" w:eastAsia="Times New Roman" w:hAnsi="Times" w:cs="Times New Roman"/>
          <w:i/>
        </w:rPr>
        <w:t>parvus</w:t>
      </w:r>
      <w:proofErr w:type="spellEnd"/>
      <w:r w:rsidRPr="00D23BF1">
        <w:rPr>
          <w:rFonts w:ascii="Times" w:eastAsia="Times New Roman" w:hAnsi="Times" w:cs="Times New Roman"/>
          <w:i/>
        </w:rPr>
        <w:t xml:space="preserve">, </w:t>
      </w:r>
      <w:proofErr w:type="spellStart"/>
      <w:r w:rsidRPr="00D23BF1">
        <w:rPr>
          <w:rFonts w:ascii="Times" w:eastAsia="Times New Roman" w:hAnsi="Times" w:cs="Times New Roman"/>
          <w:i/>
        </w:rPr>
        <w:t>Liolaemus</w:t>
      </w:r>
      <w:proofErr w:type="spellEnd"/>
      <w:r w:rsidRPr="00D23BF1">
        <w:rPr>
          <w:rFonts w:ascii="Times" w:eastAsia="Times New Roman" w:hAnsi="Times" w:cs="Times New Roman"/>
          <w:i/>
        </w:rPr>
        <w:t xml:space="preserve"> </w:t>
      </w:r>
      <w:proofErr w:type="spellStart"/>
      <w:r w:rsidRPr="00D23BF1">
        <w:rPr>
          <w:rFonts w:ascii="Times" w:eastAsia="Times New Roman" w:hAnsi="Times" w:cs="Times New Roman"/>
          <w:i/>
        </w:rPr>
        <w:t>ruibale</w:t>
      </w:r>
      <w:proofErr w:type="spellEnd"/>
      <w:r w:rsidRPr="00D23BF1">
        <w:rPr>
          <w:rFonts w:ascii="Times" w:eastAsia="Times New Roman" w:hAnsi="Times" w:cs="Times New Roman"/>
          <w:i/>
        </w:rPr>
        <w:t xml:space="preserve">, </w:t>
      </w:r>
      <w:r w:rsidRPr="00D23BF1">
        <w:rPr>
          <w:rFonts w:ascii="Times" w:eastAsia="Times New Roman" w:hAnsi="Times" w:cs="Times New Roman"/>
        </w:rPr>
        <w:t>and</w:t>
      </w:r>
      <w:r w:rsidRPr="00D23BF1">
        <w:rPr>
          <w:rFonts w:ascii="Times" w:eastAsia="Times New Roman" w:hAnsi="Times" w:cs="Times New Roman"/>
          <w:i/>
        </w:rPr>
        <w:t xml:space="preserve"> </w:t>
      </w:r>
      <w:proofErr w:type="spellStart"/>
      <w:r w:rsidRPr="00D23BF1">
        <w:rPr>
          <w:rFonts w:ascii="Times" w:eastAsia="Times New Roman" w:hAnsi="Times" w:cs="Times New Roman"/>
          <w:i/>
        </w:rPr>
        <w:t>Phymaturus</w:t>
      </w:r>
      <w:proofErr w:type="spellEnd"/>
      <w:r w:rsidRPr="00D23BF1">
        <w:rPr>
          <w:rFonts w:ascii="Times" w:eastAsia="Times New Roman" w:hAnsi="Times" w:cs="Times New Roman"/>
          <w:i/>
        </w:rPr>
        <w:t xml:space="preserve"> </w:t>
      </w:r>
      <w:proofErr w:type="spellStart"/>
      <w:r w:rsidRPr="00D23BF1">
        <w:rPr>
          <w:rFonts w:ascii="Times" w:eastAsia="Times New Roman" w:hAnsi="Times" w:cs="Times New Roman"/>
          <w:i/>
        </w:rPr>
        <w:t>williamsi</w:t>
      </w:r>
      <w:proofErr w:type="spellEnd"/>
      <w:r w:rsidRPr="00D23BF1">
        <w:rPr>
          <w:rFonts w:ascii="Times" w:eastAsia="Times New Roman" w:hAnsi="Times" w:cs="Times New Roman"/>
        </w:rPr>
        <w:t xml:space="preserve">;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{"citationItems":[{"id":"ITEM-1","itemData":{"DOI":"10.1111/mec.13921","ISSN":"09621083","author":[{"dropping-particle":"","family":"Kohl","given":"Kevin D.","non-dropping-particle":"","parse-names":false,"suffix":""},{"dropping-particle":"","family":"Brun","given":"Antonio","non-dropping-particle":"","parse-names":false,"suffix":""},{"dropping-particle":"","family":"Magallanes","given":"Melisa","non-dropping-particle":"","parse-names":false,"suffix":""},{"dropping-particle":"","family":"Brinkerhoff","given":"Joshua","non-dropping-particle":"","parse-names":false,"suffix":""},{"dropping-particle":"","family":"Laspiur","given":"Alejandro","non-dropping-particle":"","parse-names":false,"suffix":""},{"dropping-particle":"","family":"Acosta","given":"Juan Carlos","non-dropping-particle":"","parse-names":false,"suffix":""},{"dropping-particle":"","family":"Caviedes-Vidal","given":"Enrique","non-dropping-particle":"","parse-names":false,"suffix":""},{"dropping-particle":"","family":"Bordenstein","given":"Seth R.","non-dropping-particle":"","parse-names":false,"suffix":""}],"container-title":"Molecular Ecology","id":"ITEM-1","issued":{"date-parts":[["2016"]]},"note":"feces community membership was similar to that of the hindgut for three species\ncomunity structure showed this same trend in two of the three species.","title":"Gut microbial ecology of lizards: insights into diversity in the wild, effects of captivity, variation across gut regions, and transmission","type":"article-journal"},"uris":["http://www.mendeley.com/documents/?uuid=817fd8c4-4359-4d6b-bc35-0c58ba44eac8"]}],"mendeley":{"formattedCitation":"&lt;sup&gt;9&lt;/sup&gt;","manualFormatting":"Kohl et al. 2016)","plainTextFormattedCitation":"9","previouslyFormattedCitation":"(Kohl &lt;i&gt;et al.&lt;/i&gt; 2016)"},"properties":{"noteIndex":0},"schema":"https://github.com/citation-style-language/schema/raw/master/csl-citation.json"}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rPr>
        <w:t xml:space="preserve">Kohl </w:t>
      </w:r>
      <w:r w:rsidRPr="00D23BF1">
        <w:rPr>
          <w:rFonts w:ascii="Times" w:eastAsia="Times New Roman" w:hAnsi="Times" w:cs="Times New Roman"/>
          <w:i/>
          <w:noProof/>
        </w:rPr>
        <w:t>et al.</w:t>
      </w:r>
      <w:r w:rsidRPr="00D23BF1">
        <w:rPr>
          <w:rFonts w:ascii="Times" w:eastAsia="Times New Roman" w:hAnsi="Times" w:cs="Times New Roman"/>
          <w:noProof/>
        </w:rPr>
        <w:t xml:space="preserve"> 2016)</w:t>
      </w:r>
      <w:r w:rsidRPr="00D23BF1">
        <w:rPr>
          <w:rFonts w:ascii="Times" w:eastAsia="Times New Roman" w:hAnsi="Times" w:cs="Times New Roman"/>
        </w:rPr>
        <w:fldChar w:fldCharType="end"/>
      </w:r>
      <w:r w:rsidRPr="00D23BF1">
        <w:rPr>
          <w:rFonts w:ascii="Times" w:eastAsia="Times New Roman" w:hAnsi="Times" w:cs="Times New Roman"/>
        </w:rPr>
        <w:t xml:space="preserve">, and Ostriches </w:t>
      </w:r>
      <w:r w:rsidRPr="00D23BF1">
        <w:rPr>
          <w:rFonts w:ascii="Times" w:eastAsia="Times New Roman" w:hAnsi="Times" w:cs="Times New Roman"/>
          <w:i/>
        </w:rPr>
        <w:t>Struthio camelus</w:t>
      </w:r>
      <w:r w:rsidRPr="00D23BF1">
        <w:rPr>
          <w:rFonts w:ascii="Times" w:eastAsia="Times New Roman" w:hAnsi="Times" w:cs="Times New Roman"/>
        </w:rPr>
        <w:t xml:space="preserve">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author":[{"dropping-particle":"","family":"Videvall","given":"Elin","non-dropping-particle":"","parse-names":false,"suffix":""},{"dropping-particle":"","family":"Strandh","given":"Maria","non-dropping-particle":"","parse-names":false,"suffix":""},{"dropping-particle":"","family":"Engelbrecht","given":"Anel","non-dropping-particle":"","parse-names":false,"suffix":""},{"dropping-particle":"","family":"Cloete","given":"Schalk","non-dropping-particle":"","parse-names":false,"suffix":""},{"dropping-particle":"","family":"Cornwallis","given":"Charlie K.","non-dropping-particle":"","parse-names":false,"suffix":""}],"container-title":"Preprint","id":"ITEM-1","issued":{"date-parts":[["2017"]]},"note":"&amp;quot;The two most similar sample types were the faeces and colon, which resulted in a low R2 (0.069), whereas the cloaca and colon were more dissimilar (R2 = 0.099).&amp;quot;\n(from results, based on bray curtis)","page":"1-22","title":"Measuring the gut microbiome in birds : comparison of faecal and cloacal sampling","type":"article-journal"},"uris":["http://www.mendeley.com/documents/?uuid=03f68f00-2e6e-40c2-89b7-77fe2cfd8dc5"]}],"mendeley":{"formattedCitation":"&lt;sup&gt;18&lt;/sup&gt;","plainTextFormattedCitation":"18","previouslyFormattedCitation":"(Videvall &lt;i&gt;et al.&lt;/i&gt; 2017)"},"properties":{"noteIndex":0},"schema":"https://github.com/citation-style-language/schema/raw/master/csl-citation.json"}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18</w:t>
      </w:r>
      <w:r w:rsidRPr="00D23BF1">
        <w:rPr>
          <w:rFonts w:ascii="Times" w:eastAsia="Times New Roman" w:hAnsi="Times" w:cs="Times New Roman"/>
        </w:rPr>
        <w:fldChar w:fldCharType="end"/>
      </w:r>
      <w:r w:rsidRPr="00D23BF1">
        <w:rPr>
          <w:rFonts w:ascii="Times" w:eastAsia="Times New Roman" w:hAnsi="Times" w:cs="Times New Roman"/>
        </w:rPr>
        <w:t xml:space="preserve"> have compared non-lethal samples to direct sampling of the gastro-intestinal tract. These studies have shown that non-lethal samples such as </w:t>
      </w:r>
      <w:proofErr w:type="spellStart"/>
      <w:r w:rsidRPr="00D23BF1">
        <w:rPr>
          <w:rFonts w:ascii="Times" w:eastAsia="Times New Roman" w:hAnsi="Times" w:cs="Times New Roman"/>
        </w:rPr>
        <w:t>faeces</w:t>
      </w:r>
      <w:proofErr w:type="spellEnd"/>
      <w:r w:rsidRPr="00D23BF1">
        <w:rPr>
          <w:rFonts w:ascii="Times" w:eastAsia="Times New Roman" w:hAnsi="Times" w:cs="Times New Roman"/>
        </w:rPr>
        <w:t xml:space="preserve"> accurately represent large intestinal communities, but do not capture the bacterial communities of the foregut, small intestine or cecal chambers. To date, the only avian species with studies of non-lethal sampling techniques have been Ostriches and Chickens </w:t>
      </w:r>
      <w:r w:rsidRPr="00D23BF1">
        <w:rPr>
          <w:rFonts w:ascii="Times" w:eastAsia="Times New Roman" w:hAnsi="Times" w:cs="Times New Roman"/>
          <w:i/>
        </w:rPr>
        <w:t xml:space="preserve">Gallus </w:t>
      </w:r>
      <w:proofErr w:type="spellStart"/>
      <w:r w:rsidRPr="00D23BF1">
        <w:rPr>
          <w:rFonts w:ascii="Times" w:eastAsia="Times New Roman" w:hAnsi="Times" w:cs="Times New Roman"/>
          <w:i/>
        </w:rPr>
        <w:t>gallus</w:t>
      </w:r>
      <w:proofErr w:type="spellEnd"/>
      <w:r w:rsidRPr="00D23BF1">
        <w:rPr>
          <w:rFonts w:ascii="Times" w:eastAsia="Times New Roman" w:hAnsi="Times" w:cs="Times New Roman"/>
        </w:rPr>
        <w:t xml:space="preserve">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author":[{"dropping-particle":"","family":"Videvall","given":"Elin","non-dropping-particle":"","parse-names":false,"suffix":""},{"dropping-particle":"","family":"Strandh","given":"Maria","non-dropping-particle":"","parse-names":false,"suffix":""},{"dropping-particle":"","family":"Engelbrecht","given":"Anel","non-dropping-particle":"","parse-names":false,"suffix":""},{"dropping-particle":"","family":"Cloete","given":"Schalk","non-dropping-particle":"","parse-names":false,"suffix":""},{"dropping-particle":"","family":"Cornwallis","given":"Charlie K.","non-dropping-particle":"","parse-names":false,"suffix":""}],"container-title":"Preprint","id":"ITEM-1","issued":{"date-parts":[["2017"]]},"note":"&amp;quot;The two most similar sample types were the faeces and colon, which resulted in a low R2 (0.069), whereas the cloaca and colon were more dissimilar (R2 = 0.099).&amp;quot;\n(from results, based on bray curtis)","page":"1-22","title":"Measuring the gut microbiome in birds : comparison of faecal and cloacal sampling","type":"article-journal"},"uris":["http://www.mendeley.com/documents/?uuid=03f68f00-2e6e-40c2-89b7-77fe2cfd8dc5"]},{"id":"ITEM-2","itemData":{"DOI":"10.1101/313577","author":[{"dropping-particle":"","family":"Yan","given":"Wei","non-dropping-particle":"","parse-names":false,"suffix":""},{"dropping-particle":"","family":"Zheng","given":"Jiangxia","non-dropping-particle":"","parse-names":false,"suffix":""},{"dropping-particle":"","family":"Wen","given":"Chaoliang","non-dropping-particle":"","parse-names":false,"suffix":""},{"dropping-particle":"","family":"Ji","given":"Congliang","non-dropping-particle":"","parse-names":false,"suffix":""},{"dropping-particle":"","family":"Zhang","given":"Dexiang","non-dropping-particle":"","parse-names":false,"suffix":""},{"dropping-particle":"","family":"Chen","given":"Yonghua","non-dropping-particle":"","parse-names":false,"suffix":""},{"dropping-particle":"","family":"Sun","given":"Congjiao","non-dropping-particle":"","parse-names":false,"suffix":""},{"dropping-particle":"","family":"Yang","given":"Ning","non-dropping-particle":"","parse-names":false,"suffix":""}],"id":"ITEM-2","issued":{"date-parts":[["2018"]]},"title":"Efficacy of fecal sampling as a gut proxy in the study of chicken gut microbiota","type":"article-journal"},"uris":["http://www.mendeley.com/documents/?uuid=e8b20ac5-7de7-49ec-a27f-65a4a604aede"]}],"mendeley":{"formattedCitation":"&lt;sup&gt;18,19&lt;/sup&gt;","plainTextFormattedCitation":"18,19","previouslyFormattedCitation":"(Videvall &lt;i&gt;et al.&lt;/i&gt; 2017, Yan &lt;i&gt;et al.&lt;/i&gt; 2018)"},"properties":{"noteIndex":0},"schema":"https://github.com/citation-style-language/schema/raw/master/csl-citation.json"}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18,19</w:t>
      </w:r>
      <w:r w:rsidRPr="00D23BF1">
        <w:rPr>
          <w:rFonts w:ascii="Times" w:eastAsia="Times New Roman" w:hAnsi="Times" w:cs="Times New Roman"/>
        </w:rPr>
        <w:fldChar w:fldCharType="end"/>
      </w:r>
      <w:r w:rsidRPr="00D23BF1">
        <w:rPr>
          <w:rFonts w:ascii="Times" w:eastAsia="Times New Roman" w:hAnsi="Times" w:cs="Times New Roman"/>
        </w:rPr>
        <w:t xml:space="preserve">. However, differences in </w:t>
      </w:r>
      <w:r w:rsidRPr="00D23BF1">
        <w:rPr>
          <w:rFonts w:ascii="Times" w:eastAsia="Times New Roman" w:hAnsi="Times" w:cs="Times New Roman"/>
        </w:rPr>
        <w:lastRenderedPageBreak/>
        <w:t>digestive anatomy and physiology across host species may make it difficult to extrapolate these findings to other species</w:t>
      </w:r>
      <w:r w:rsidRPr="00D23BF1">
        <w:rPr>
          <w:rFonts w:ascii="Times" w:eastAsia="Times New Roman" w:hAnsi="Times" w:cs="Times New Roman"/>
          <w:i/>
        </w:rPr>
        <w:t xml:space="preserve">. </w:t>
      </w:r>
    </w:p>
    <w:p w14:paraId="52923F53" w14:textId="77777777" w:rsidR="00041ADB" w:rsidRPr="00D23BF1" w:rsidRDefault="00041ADB" w:rsidP="00F20BE1">
      <w:pPr>
        <w:pStyle w:val="Normal1"/>
        <w:rPr>
          <w:rFonts w:ascii="Times" w:eastAsia="Times New Roman" w:hAnsi="Times" w:cs="Times New Roman"/>
        </w:rPr>
      </w:pPr>
      <w:r w:rsidRPr="00D23BF1">
        <w:rPr>
          <w:rFonts w:ascii="Times" w:eastAsia="Times New Roman" w:hAnsi="Times" w:cs="Times New Roman"/>
        </w:rPr>
        <w:t>Avian diets vary widely, including nectivorous hummingbirds (Apodiformes), herbivorous Ostriches (Struthioniformes), carnivorous birds of prey (</w:t>
      </w:r>
      <w:proofErr w:type="spellStart"/>
      <w:r w:rsidRPr="00D23BF1">
        <w:rPr>
          <w:rFonts w:ascii="Times" w:eastAsia="Times New Roman" w:hAnsi="Times" w:cs="Times New Roman"/>
        </w:rPr>
        <w:t>Accipitriformes</w:t>
      </w:r>
      <w:proofErr w:type="spellEnd"/>
      <w:r w:rsidRPr="00D23BF1">
        <w:rPr>
          <w:rFonts w:ascii="Times" w:eastAsia="Times New Roman" w:hAnsi="Times" w:cs="Times New Roman"/>
        </w:rPr>
        <w:t xml:space="preserve">, Falconiformes etc.), and a wide variety of diets across passerines (Passeriformes)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{"citationItems":[{"id":"ITEM-1","itemData":{"DOI":"10.1647/1082-6742(2000)014[0085:TNMAPB]2.0.CO;2","ISBN":"1082-6742","ISSN":"1082-6742","abstract":"Nectarivorous birds are those that rely predominantly on the products of flowering trees and shrubs for food. Australian avian nectarivores include honeyeaters of the family Meliphagidae and lorikeets and swift parrots (Lathamus discolor) of the family Psittacidae. Nectar is a sugar-rich, liquid food source that provides abundant amounts of energy for birds that are able to harvest it. However, it contains very low levels of amino acids, vitamins, and trace minerals necessary for avian maintenance, growth, and reproduction. Therefore, birds classified as nectarivores need to forage for other food resources. Manna, honeydew, and lerp are common food sources for a variety of honeyeaters and nectarivorous parrots; these foods are high in carbohydrates and low in protein, similar to nectar. Pollen protoplasm is composed of highly digestible protein and contains a diverse amino acid profile; however, only 3 Australian species of psittacine birds have been recorded en- gaging in active pollen harvesting. Insects are thought to be the main source of protein for nectar- ivores. Nectarivorous birds have developed a variety of morphologic and physiologic adaptations. Morphologic adaptations to nectarivory include changes in body size, plumage, beak and tongue structure, and the alimentary organs. The physiology of nectarivory is still poorly understood, but there are indications that adaptations may include lowered metabolic rates, lowered protein require- ments, and changes in digestive and renal physiology. Considerable work is needed to illuminate the specific nutritional requirements of nectarivores for maintenance, growth, and reproduction.","author":[{"dropping-particle":"","family":"Gartrell","given":"Brett D","non-dropping-particle":"","parse-names":false,"suffix":""}],"container-title":"Journal of Avian Medicine and Surgery","id":"ITEM-1","issue":"2","issued":{"date-parts":[["2000"]]},"page":"85-94","title":"The Nutritional, Morphologic, and Physiologic Bases of Nectarivory in Australian Birds","type":"article-journal","volume":"14"},"uris":["http://www.mendeley.com/documents/?uuid=52e385ac-a193-47e9-bd31-53431f6b589a"]},{"id":"ITEM-2","itemData":{"ISSN":"0004-8038","author":[{"dropping-particle":"","family":"Levey","given":"Douglas J","non-dropping-particle":"","parse-names":false,"suffix":""},{"dropping-particle":"","family":"Karasov","given":"William H","non-dropping-particle":"","parse-names":false,"suffix":""}],"container-title":"The Auk","id":"ITEM-2","issue":"2","issued":{"date-parts":[["1994"]]},"page":"478-481","title":"Gut passage of insects by European Starlings and comparison with other species","type":"article-journal","volume":"111"},"uris":["http://www.mendeley.com/documents/?uuid=6a167bbc-fa6f-469e-9570-0e4845566496"]},{"id":"ITEM-3","itemData":{"author":[{"dropping-particle":"","family":"Videvall","given":"Elin","non-dropping-particle":"","parse-names":false,"suffix":""},{"dropping-particle":"","family":"Strandh","given":"Maria","non-dropping-particle":"","parse-names":false,"suffix":""},{"dropping-particle":"","family":"Engelbrecht","given":"Anel","non-dropping-particle":"","parse-names":false,"suffix":""},{"dropping-particle":"","family":"Cloete","given":"Schalk","non-dropping-particle":"","parse-names":false,"suffix":""},{"dropping-particle":"","family":"Cornwallis","given":"Charlie K.","non-dropping-particle":"","parse-names":false,"suffix":""}],"container-title":"Preprint","id":"ITEM-3","issued":{"date-parts":[["2017"]]},"note":"&amp;quot;The two most similar sample types were the faeces and colon, which resulted in a low R2 (0.069), whereas the cloaca and colon were more dissimilar (R2 = 0.099).&amp;quot;\n(from results, based on bray curtis)","page":"1-22","title":"Measuring the gut microbiome in birds : comparison of faecal and cloacal sampling","type":"article-journal"},"uris":["http://www.mendeley.com/documents/?uuid=03f68f00-2e6e-40c2-89b7-77fe2cfd8dc5"]}],"mendeley":{"formattedCitation":"&lt;sup&gt;18,20,21&lt;/sup&gt;","plainTextFormattedCitation":"18,20,21","previouslyFormattedCitation":"(Levey &amp; Karasov 1994, Gartrell 2000, Videvall &lt;i&gt;et al.&lt;/i&gt; 2017)"},"properties":{"noteIndex":0},"schema":"https://github.com/citation-style-language/schema/raw/master/csl-citation.json"}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18,20,21</w:t>
      </w:r>
      <w:r w:rsidRPr="00D23BF1">
        <w:rPr>
          <w:rFonts w:ascii="Times" w:eastAsia="Times New Roman" w:hAnsi="Times" w:cs="Times New Roman"/>
        </w:rPr>
        <w:fldChar w:fldCharType="end"/>
      </w:r>
      <w:r w:rsidRPr="00D23BF1">
        <w:rPr>
          <w:rFonts w:ascii="Times" w:eastAsia="Times New Roman" w:hAnsi="Times" w:cs="Times New Roman"/>
        </w:rPr>
        <w:t xml:space="preserve">. Further, digestive anatomy varies dramatically among species. For example, cecal chambers (paired, sacculated diverticula that host gut microbial communities) vary across avian species in their anatomy, presence and number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{"citationItems":[{"id":"ITEM-1","itemData":{"DOI":"10.1016/S1055-937X(99)80036-X","ISBN":"1055-937X","ISSN":"1055937X","abstract":"A bird's gastrointestinal (GI) tract morphology, digestive strategy, and metabolic capability have been intimately intertwined during evolution to match the nutrient content and physical attributes of foods available in its natural habitat. The most commonly kept companion species are granivorous with a tendency toward omnivory. The beak, oral cavity and tongue of granivorous birds have anatomic adaptations for shelling seeds, including ridges in the tomia of their beak for slicing the hull and a dexterous tongue for manipulating the seed and disposing the hull. Granivorous species possess a sizeable crop or an expandable esophageal pouch for storing food so that large meals can be consumed. Their proventriculus is somewhat small, and their gizzard is large, muscular, and possesses a thick cuticle relative to carnivores or frugivores. A vestigial ceca and short rectum provide little area for use of symbiotic bacteria to aid in the digestion of the fibrous components of food.","author":[{"dropping-particle":"","family":"Klasing","given":"Kirk C.","non-dropping-particle":"","parse-names":false,"suffix":""}],"container-title":"Seminars in Avian and Exotic Pet Medicine","id":"ITEM-1","issued":{"date-parts":[["1999"]]},"title":"Avian gastrointestinal anatomy and physiology","type":"article-journal"},"uris":["http://www.mendeley.com/documents/?uuid=7a9b1336-b8c4-4a83-b410-a33092d38578"]}],"mendeley":{"formattedCitation":"&lt;sup&gt;22&lt;/sup&gt;","plainTextFormattedCitation":"22","previouslyFormattedCitation":"(Klasing 1999)"},"properties":{"noteIndex":0},"schema":"https://github.com/citation-style-language/schema/raw/master/csl-citation.json"}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22</w:t>
      </w:r>
      <w:r w:rsidRPr="00D23BF1">
        <w:rPr>
          <w:rFonts w:ascii="Times" w:eastAsia="Times New Roman" w:hAnsi="Times" w:cs="Times New Roman"/>
        </w:rPr>
        <w:fldChar w:fldCharType="end"/>
      </w:r>
      <w:r w:rsidRPr="00D23BF1">
        <w:rPr>
          <w:rFonts w:ascii="Times" w:eastAsia="Times New Roman" w:hAnsi="Times" w:cs="Times New Roman"/>
        </w:rPr>
        <w:t xml:space="preserve">. Both Chickens and Ostriches consume large amounts of fibrous plant material and thus rely on a community of fermenters in their ceca for digestion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{"citationItems":[{"id":"ITEM-1","itemData":{"DOI":"10.1016/S1055-937X(99)80036-X","ISBN":"1055-937X","ISSN":"1055937X","abstract":"A bird's gastrointestinal (GI) tract morphology, digestive strategy, and metabolic capability have been intimately intertwined during evolution to match the nutrient content and physical attributes of foods available in its natural habitat. The most commonly kept companion species are granivorous with a tendency toward omnivory. The beak, oral cavity and tongue of granivorous birds have anatomic adaptations for shelling seeds, including ridges in the tomia of their beak for slicing the hull and a dexterous tongue for manipulating the seed and disposing the hull. Granivorous species possess a sizeable crop or an expandable esophageal pouch for storing food so that large meals can be consumed. Their proventriculus is somewhat small, and their gizzard is large, muscular, and possesses a thick cuticle relative to carnivores or frugivores. A vestigial ceca and short rectum provide little area for use of symbiotic bacteria to aid in the digestion of the fibrous components of food.","author":[{"dropping-particle":"","family":"Klasing","given":"Kirk C.","non-dropping-particle":"","parse-names":false,"suffix":""}],"container-title":"Seminars in Avian and Exotic Pet Medicine","id":"ITEM-1","issued":{"date-parts":[["1999"]]},"title":"Avian gastrointestinal anatomy and physiology","type":"article-journal"},"uris":["http://www.mendeley.com/documents/?uuid=7a9b1336-b8c4-4a83-b410-a33092d38578"]}],"mendeley":{"formattedCitation":"&lt;sup&gt;22&lt;/sup&gt;","plainTextFormattedCitation":"22","previouslyFormattedCitation":"(Klasing 1999)"},"properties":{"noteIndex":0},"schema":"https://github.com/citation-style-language/schema/raw/master/csl-citation.json"}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22</w:t>
      </w:r>
      <w:r w:rsidRPr="00D23BF1">
        <w:rPr>
          <w:rFonts w:ascii="Times" w:eastAsia="Times New Roman" w:hAnsi="Times" w:cs="Times New Roman"/>
        </w:rPr>
        <w:fldChar w:fldCharType="end"/>
      </w:r>
      <w:r w:rsidRPr="00D23BF1">
        <w:rPr>
          <w:rFonts w:ascii="Times" w:eastAsia="Times New Roman" w:hAnsi="Times" w:cs="Times New Roman"/>
        </w:rPr>
        <w:t xml:space="preserve">. In contrast, fermentative processes are largely absent in passerines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{"citationItems":[{"id":"ITEM-1","itemData":{"DOI":"10.1016/j.anifeedsci.2003.09.007","ISBN":"0377-8401","ISSN":"03778401","abstract":"Poultry diets are primarily based on plant proteins, with carbohydrates serving as the principal source of energy. There is usually no problem digesting most of the sugars as well as starch in the poultry gastrointestinal tract (GIT). However, some carbohydrate fractions, such as dietary fibre (DF), are not hydrolyzed by avian gastrointestinal enzymes but are fermented by the resident anaerobic microflora. Unfortunately, problems can occur with the feeding of dietary fibre due to the physicochemical properties (i.e. viscosity) of the non-starch polysaccharides (NSPs). It has been shown that components of NSPs, including pentosans (arabinoxylans), pectins, and β-glucans have negative effects in the poultry gastrointestinal tract. The anti-nutritive nature of NSPs in poultry diets has been well documented, but data regarding the fermentation of these and other carbohydrates by cecal microorganisms are limited. Concentrations of short-chain fatty acids (SCFA) are highest in the cecum compared with other areas of the avian gastrointestinal tract. It has been suggested that the short-chain fatty acids may inhibit the growth of pathogenic bacteria whilst in addition providing some energy-yielding substrates to the host animal after absorption. The objective of the current paper is to provide an overview of carbohydrate fermentation in the avian ceca as well as to focus on some potential advantages to the bird of this fermentation. © 2003 Elsevier B.V. All rights reserved.","author":[{"dropping-particle":"","family":"Józefiak","given":"D.","non-dropping-particle":"","parse-names":false,"suffix":""},{"dropping-particle":"","family":"Rutkowski","given":"A.","non-dropping-particle":"","parse-names":false,"suffix":""},{"dropping-particle":"","family":"Martin","given":"S. A.","non-dropping-particle":"","parse-names":false,"suffix":""}],"container-title":"Animal Feed Science and Technology","id":"ITEM-1","issue":"1-4","issued":{"date-parts":[["2004"]]},"page":"1-15","title":"Carbohydrate fermentation in the avian ceca: A review","type":"article-journal","volume":"113"},"uris":["http://www.mendeley.com/documents/?uuid=18ea4a09-491a-4b6b-a205-f6f5d77b4422"]}],"mendeley":{"formattedCitation":"&lt;sup&gt;23&lt;/sup&gt;","plainTextFormattedCitation":"23","previouslyFormattedCitation":"(Józefiak &lt;i&gt;et al.&lt;/i&gt; 2004)"},"properties":{"noteIndex":0},"schema":"https://github.com/citation-style-language/schema/raw/master/csl-citation.json"}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23</w:t>
      </w:r>
      <w:r w:rsidRPr="00D23BF1">
        <w:rPr>
          <w:rFonts w:ascii="Times" w:eastAsia="Times New Roman" w:hAnsi="Times" w:cs="Times New Roman"/>
        </w:rPr>
        <w:fldChar w:fldCharType="end"/>
      </w:r>
      <w:r w:rsidRPr="00D23BF1">
        <w:rPr>
          <w:rFonts w:ascii="Times" w:eastAsia="Times New Roman" w:hAnsi="Times" w:cs="Times New Roman"/>
        </w:rPr>
        <w:t xml:space="preserve"> and passerine ceca are largely vestigial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{"citationItems":[{"id":"ITEM-1","itemData":{"DOI":"10.1016/S1055-937X(99)80036-X","ISBN":"1055-937X","ISSN":"1055937X","abstract":"A bird's gastrointestinal (GI) tract morphology, digestive strategy, and metabolic capability have been intimately intertwined during evolution to match the nutrient content and physical attributes of foods available in its natural habitat. The most commonly kept companion species are granivorous with a tendency toward omnivory. The beak, oral cavity and tongue of granivorous birds have anatomic adaptations for shelling seeds, including ridges in the tomia of their beak for slicing the hull and a dexterous tongue for manipulating the seed and disposing the hull. Granivorous species possess a sizeable crop or an expandable esophageal pouch for storing food so that large meals can be consumed. Their proventriculus is somewhat small, and their gizzard is large, muscular, and possesses a thick cuticle relative to carnivores or frugivores. A vestigial ceca and short rectum provide little area for use of symbiotic bacteria to aid in the digestion of the fibrous components of food.","author":[{"dropping-particle":"","family":"Klasing","given":"Kirk C.","non-dropping-particle":"","parse-names":false,"suffix":""}],"container-title":"Seminars in Avian and Exotic Pet Medicine","id":"ITEM-1","issued":{"date-parts":[["1999"]]},"title":"Avian gastrointestinal anatomy and physiology","type":"article-journal"},"uris":["http://www.mendeley.com/documents/?uuid=7a9b1336-b8c4-4a83-b410-a33092d38578"]}],"mendeley":{"formattedCitation":"&lt;sup&gt;22&lt;/sup&gt;","plainTextFormattedCitation":"22","previouslyFormattedCitation":"(Klasing 1999)"},"properties":{"noteIndex":0},"schema":"https://github.com/citation-style-language/schema/raw/master/csl-citation.json"}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22</w:t>
      </w:r>
      <w:r w:rsidRPr="00D23BF1">
        <w:rPr>
          <w:rFonts w:ascii="Times" w:eastAsia="Times New Roman" w:hAnsi="Times" w:cs="Times New Roman"/>
        </w:rPr>
        <w:fldChar w:fldCharType="end"/>
      </w:r>
      <w:r w:rsidRPr="00D23BF1">
        <w:rPr>
          <w:rFonts w:ascii="Times" w:eastAsia="Times New Roman" w:hAnsi="Times" w:cs="Times New Roman"/>
        </w:rPr>
        <w:t>. Because of these differences in digestive anatomy, studies comparing non-lethal sampling techniques need to be replicated in various species.</w:t>
      </w:r>
    </w:p>
    <w:p w14:paraId="4F942E6A" w14:textId="77777777" w:rsidR="00041ADB" w:rsidRPr="00D23BF1" w:rsidRDefault="00041ADB" w:rsidP="00F20BE1">
      <w:pPr>
        <w:pStyle w:val="Normal1"/>
        <w:rPr>
          <w:rFonts w:ascii="Times" w:eastAsia="Times New Roman" w:hAnsi="Times" w:cs="Times New Roman"/>
        </w:rPr>
      </w:pPr>
      <w:r w:rsidRPr="00D23BF1">
        <w:rPr>
          <w:rFonts w:ascii="Times" w:eastAsia="Times New Roman" w:hAnsi="Times" w:cs="Times New Roman"/>
        </w:rPr>
        <w:t xml:space="preserve">Passerines, or perching birds, are the largest avian radiation and one of the most widely studied taxonomic groups </w:t>
      </w:r>
      <w:r w:rsidRPr="00D23BF1">
        <w:rPr>
          <w:rFonts w:ascii="Times" w:eastAsia="Times New Roman" w:hAnsi="Times" w:cs="Times New Roman"/>
        </w:rPr>
        <w:fldChar w:fldCharType="begin" w:fldLock="1"/>
      </w:r>
      <w:r w:rsidRPr="00D23BF1">
        <w:rPr>
          <w:rFonts w:ascii="Times" w:eastAsia="Times New Roman" w:hAnsi="Times" w:cs="Times New Roman"/>
        </w:rPr>
        <w:instrText xml:space="preserve">ADDIN CSL_CITATION {"citationItems":[{"id":"ITEM-1","itemData":{"DOI":"10.1073/pnas.1813206116","ISSN":"10916490","abstract":"Avian diversification has been influenced by global climate change, plate tectonic movements, and mass extinction events. However, the impact of these factors on the diversification of the hyperdiverse perching birds (passerines) is unclear because family level relationships are unresolved and the timing of splitting events among lineages is uncertain. We analyzed DNA data from 4,060 nuclear loci and 137 passerine families using concatenation and coalescent approaches to infer a comprehensive phylogenetic hypothesis that clarifies relationships among all passerine families. Then, we calibrated this phylogeny using 13 fossils to examine the effects of different events in Earth history on the timing and rate of passerine diversification. Our analyses reconcile passerine diversification with the fossil and geological records; suggest that passerines originated on the Australian landmass </w:instrText>
      </w:r>
      <w:r w:rsidRPr="00D23BF1">
        <w:rPr>
          <w:rFonts w:ascii="Cambria Math" w:eastAsia="Times New Roman" w:hAnsi="Cambria Math" w:cs="Cambria Math"/>
        </w:rPr>
        <w:instrText>∼</w:instrText>
      </w:r>
      <w:r w:rsidRPr="00D23BF1">
        <w:rPr>
          <w:rFonts w:ascii="Times" w:eastAsia="Times New Roman" w:hAnsi="Times" w:cs="Times New Roman"/>
        </w:rPr>
        <w:instrText>47 Ma; and show that subsequent dispersal and diversification of passerines was affected by a number of climatological and geological events, such as Oligocene glaciation and inundation of the New Zealand landmass. Although passerine diversification rates fluctuated throughout the Cenozoic, we find no link between the rate of passerine diversification and Cenozoic global temperature, and our analyses show that the increases in passerine diversification rate we observe are disconnected from the colonization of new continents. Taken together, these results suggest more complex mechanisms than temperature change or ecological opportunity have controlled macroscale patterns of passerine speciation.","author":[{"dropping-particle":"","family":"Oliveros","given":"Carl H.","non-dropping-particle":"","parse-names":false,"suffix":""},{"dropping-particle":"","family":"Field","given":"Daniel J.","non-dropping-particle":"","parse-names":false,"suffix":""},{"dropping-particle":"","family":"Ksepka","given":"Daniel T.","non-dropping-particle":"","parse-names":false,"suffix":""},{"dropping-particle":"","family":"Keith Barker","given":"F.","non-dropping-particle":"","parse-names":false,"suffix":""},{"dropping-particle":"","family":"Aleixo","given":"Alexandre","non-dropping-particle":"","parse-names":false,"suffix":""},{"dropping-particle":"","family":"Andersen","given":"Michael J.","non-dropping-particle":"","parse-names":false,"suffix":""},{"dropping-particle":"","family":"Alström","given":"Per","non-dropping-particle":"","parse-names":false,"suffix":""},{"dropping-particle":"","family":"Benz","given":"Brett W.","non-dropping-particle":"","parse-names":false,"suffix":""},{"dropping-particle":"","family":"Braun","given":"Edward L.","non-dropping-particle":"","parse-names":false,"suffix":""},{"dropping-particle":"","family":"Braun","given":"Michael J.","non-dropping-particle":"","parse-names":false,"suffix":""},{"dropping-particle":"","family":"Bravo","given":"Gustavo A.","non-dropping-particle":"","parse-names":false,"suffix":""},{"dropping-particle":"","family":"Brumfield","given":"Robb T.","non-dropping-particle":"","parse-names":false,"suffix":""},{"dropping-particle":"","family":"Terry Chesser","given":"R.","non-dropping-particle":"","parse-names":false,"suffix":""},{"dropping-particle":"","family":"Claramunt","given":"Santiago","non-dropping-particle":"","parse-names":false,"suffix":""},{"dropping-particle":"","family":"Cracraft","given":"Joel","non-dropping-particle":"","parse-names":false,"suffix":""},{"dropping-particle":"","family":"Cuervo","given":"Andrés M.","non-dropping-particle":"","parse-names":false,"suffix":""},{"dropping-particle":"","family":"Derryberry","given":"Elizabeth P.","non-dropping-particle":"","parse-names":false,"suffix":""},{"dropping-particle":"","family":"Glenn","given":"Travis C.","non-dropping-particle":"","parse-names":false,"suffix":""},{"dropping-particle":"","family":"Harvey","given":"Michael G.","non-dropping-particle":"","parse-names":false,"suffix":""},{"dropping-particle":"","family":"Hosner","given":"Peter A.","non-dropping-particle":"","parse-names":false,"suffix":""},{"dropping-particle":"","family":"Joseph","given":"Leo","non-dropping-particle":"","parse-names":false,"suffix":""},{"dropping-particle":"","family":"Kimball","given":"Rebecca T.","non-dropping-particle":"","parse-names":false,"suffix":""},{"dropping-particle":"","family":"Mack","given":"Andrew L.","non-dropping-particle":"","parse-names":false,"suffix":""},{"dropping-particle":"","family":"Miskelly","given":"Colin M.","non-dropping-particle":"","parse-names":false,"suffix":""},{"dropping-particle":"","family":"Townsend Peterson","given":"A.","non-dropping-particle":"","parse-names":false,"suffix":""},{"dropping-particle":"","family":"Robbins","given":"Mark B.","non-dropping-particle":"","parse-names":false,"suffix":""},{"dropping-particle":"","family":"Sheldon","given":"Frederick H.","non-dropping-particle":"","parse-names":false,"suffix":""},{"dropping-particle":"","family":"Silveira","given":"Luís Fábio","non-dropping-particle":"","parse-names":false,"suffix":""},{"dropping-particle":"","family":"Smith","given":"Brian Tilston","non-dropping-particle":"","parse-names":false,"suffix":""},{"dropping-particle":"","family":"White","given":"Noor D.","non-dropping-particle":"","parse-names":false,"suffix":""},{"dropping-particle":"","family":"Moyle","given":"Robert G.","non-dropping-particle":"","parse-names":false,"suffix":""},{"dropping-particle":"","family":"Faircloth","given":"Brant C.","non-dropping-particle":"","parse-names":false,"suffix":""}],"container-title":"Proceedings of the National Academy of Sciences of the United States of America","id":"ITEM-1","issue":"16","issued":{"date-parts":[["2019"]]},"page":"7916-7925","title":"Earth history and the passerine superradiation","type":"article-journal","volume":"116"},"uris":["http://www.mendeley.com/documents/?uuid=7a2a8a1f-08c4-4541-bca9-2ea4772089f8"]}],"mendeley":{"formattedCitation":"&lt;sup&gt;24&lt;/sup&gt;","plainTextFormattedCitation":"24","previouslyFormattedCitation":"(Oliveros &lt;i&gt;et al.&lt;/i&gt; 2019)"},"properties":{"noteIndex":0},"schema":"https://github.com/citation-style-language/schema/raw/master/csl-citation.json"}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24</w:t>
      </w:r>
      <w:r w:rsidRPr="00D23BF1">
        <w:rPr>
          <w:rFonts w:ascii="Times" w:eastAsia="Times New Roman" w:hAnsi="Times" w:cs="Times New Roman"/>
        </w:rPr>
        <w:fldChar w:fldCharType="end"/>
      </w:r>
      <w:r w:rsidRPr="00D23BF1">
        <w:rPr>
          <w:rFonts w:ascii="Times" w:eastAsia="Times New Roman" w:hAnsi="Times" w:cs="Times New Roman"/>
        </w:rPr>
        <w:t xml:space="preserve">. Therefore, establishing adequate non-lethal methodology to collect gut bacteria in this group is a pressing issue. Passerines rely on the action of multiple gut regions for food processing. Their stomachs are split into two parts: the proventriculus, which is comparable to mammalian stomachs in that it is acidic, and the gizzard, which is muscular and carries out mechanical breakdown of food using small stones and hard keratinized plates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{"citationItems":[{"id":"ITEM-1","itemData":{"DOI":"10.1016/S1055-937X(99)80036-X","ISBN":"1055-937X","ISSN":"1055937X","abstract":"A bird's gastrointestinal (GI) tract morphology, digestive strategy, and metabolic capability have been intimately intertwined during evolution to match the nutrient content and physical attributes of foods available in its natural habitat. The most commonly kept companion species are granivorous with a tendency toward omnivory. The beak, oral cavity and tongue of granivorous birds have anatomic adaptations for shelling seeds, including ridges in the tomia of their beak for slicing the hull and a dexterous tongue for manipulating the seed and disposing the hull. Granivorous species possess a sizeable crop or an expandable esophageal pouch for storing food so that large meals can be consumed. Their proventriculus is somewhat small, and their gizzard is large, muscular, and possesses a thick cuticle relative to carnivores or frugivores. A vestigial ceca and short rectum provide little area for use of symbiotic bacteria to aid in the digestion of the fibrous components of food.","author":[{"dropping-particle":"","family":"Klasing","given":"Kirk C.","non-dropping-particle":"","parse-names":false,"suffix":""}],"container-title":"Seminars in Avian and Exotic Pet Medicine","id":"ITEM-1","issued":{"date-parts":[["1999"]]},"title":"Avian gastrointestinal anatomy and physiology","type":"article-journal"},"uris":["http://www.mendeley.com/documents/?uuid=7a9b1336-b8c4-4a83-b410-a33092d38578"]}],"mendeley":{"formattedCitation":"&lt;sup&gt;22&lt;/sup&gt;","plainTextFormattedCitation":"22","previouslyFormattedCitation":"(Klasing 1999)"},"properties":{"noteIndex":0},"schema":"https://github.com/citation-style-language/schema/raw/master/csl-citation.json"}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22</w:t>
      </w:r>
      <w:r w:rsidRPr="00D23BF1">
        <w:rPr>
          <w:rFonts w:ascii="Times" w:eastAsia="Times New Roman" w:hAnsi="Times" w:cs="Times New Roman"/>
        </w:rPr>
        <w:fldChar w:fldCharType="end"/>
      </w:r>
      <w:r w:rsidRPr="00D23BF1">
        <w:rPr>
          <w:rFonts w:ascii="Times" w:eastAsia="Times New Roman" w:hAnsi="Times" w:cs="Times New Roman"/>
        </w:rPr>
        <w:t xml:space="preserve">. Enzymatic digestion as well as some nutrient absorption takes place in the small intestine, while the large intestine is thought to be the primary site for microbial break down of food, as well as nutrient and water absorption by the bird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{"citationItems":[{"id":"ITEM-1","itemData":{"ISBN":"0031-9333","ISSN":"0031-9333","PMID":"9562034","abstract":"The vertebrate gastrointestinal tract is populated by bacteria and, in some species, protozoa and fungi that can convert dietary and endogenous substrates into absorbable nutrients. Because of a neutral pH and longer digesta retention time, the largest bacterial populations are found in the hindgut or large intestine of mammals, birds, reptiles, and adult amphibians and in the foregut of a few mammals and at least one species of bird. Bacteria ferment carbohydrates into short-chain fatty acids (SCFA), convert dietary and endogenous nitrogenous compounds into ammonia and microbial protein, and synthesize B vitamins. Absorption of SCFA provides energy for the gut epithelial cells and plays an important role in the absorption of Na and water. Ammonia absorption aids in the conservation of nitrogen and water. A larger gut capacity and longer digesta retention time provide herbivores with additional SCFA for maintenance energy and foregut-fermenting and copoprophagic hindgut-fermenting species with access to microbially synthesized protein and B vitamins. Protozoa and fungi also contribute nutrients to the host. This review discusses the contributions of gut microorganisms common to all vertebrates, the numerous digestive strategies that allow herbivores to maximize these contributions, and the effects of low-fiber diets and discontinuous feeding schedules on these microbial digestive processes.","author":[{"dropping-particle":"","family":"Stevens","given":"C Edward","non-dropping-particle":"","parse-names":false,"suffix":""},{"dropping-particle":"","family":"Hume","given":"I D","non-dropping-particle":"","parse-names":false,"suffix":""}],"container-title":"Physiological reviews","id":"ITEM-1","issue":"2","issued":{"date-parts":[["1998"]]},"page":"393-427","title":"Contributions of microbes in vertebrate gastrointestinal tract to production and conservation of nutrients.","type":"article-journal","volume":"78"},"uris":["http://www.mendeley.com/documents/?uuid=7ee1e00f-54df-4cbe-97cf-41a26437d9d7"]},{"id":"ITEM-2","itemData":{"DOI":"10.1111/j.1574-6941.2006.00193.x","ISSN":"01686496","author":[{"dropping-particle":"","family":"Gong","given":"Jianhua","non-dropping-particle":"","parse-names":false,"suffix":""},{"dropping-particle":"","family":"Si","given":"Weiduo","non-dropping-particle":"","parse-names":false,"suffix":""},{"dropping-particle":"","family":"Forster","given":"Robert J.","non-dropping-particle":"","parse-names":false,"suffix":""},{"dropping-particle":"","family":"Huang","given":"Ruilin","non-dropping-particle":"","parse-names":false,"suffix":""},{"dropping-particle":"","family":"Yu","given":"Hai","non-dropping-particle":"","parse-names":false,"suffix":""},{"dropping-particle":"","family":"Yin","given":"Yulong","non-dropping-particle":"","parse-names":false,"suffix":""},{"dropping-particle":"","family":"Yang","given":"Chengbo","non-dropping-particle":"","parse-names":false,"suffix":""},{"dropping-particle":"","family":"Han","given":"Yanming","non-dropping-particle":"","parse-names":false,"suffix":""}],"container-title":"FEMS Microbiology Ecology","id":"ITEM-2","issue":"1","issued":{"date-parts":[["2007"]]},"page":"147-157","title":"16S rRNA gene-based analysis of mucosa-associated bacterial community and phylogeny in the chicken gastrointestinal tracts: from crops to ceca","type":"article-journal","volume":"59"},"uris":["http://www.mendeley.com/documents/?uuid=b26906f8-3de2-4aa1-86fe-4d27073351af"]}],"mendeley":{"formattedCitation":"&lt;sup&gt;3,25&lt;/sup&gt;","plainTextFormattedCitation":"3,25","previouslyFormattedCitation":"(Stevens &amp; Hume 1998, Gong &lt;i&gt;et al.&lt;/i&gt; 2007)"},"properties":{"noteIndex":0},"schema":"https://github.com/citation-style-language/schema/raw/master/csl-citation.json"}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3,25</w:t>
      </w:r>
      <w:r w:rsidRPr="00D23BF1">
        <w:rPr>
          <w:rFonts w:ascii="Times" w:eastAsia="Times New Roman" w:hAnsi="Times" w:cs="Times New Roman"/>
        </w:rPr>
        <w:fldChar w:fldCharType="end"/>
      </w:r>
      <w:r w:rsidRPr="00D23BF1">
        <w:rPr>
          <w:rFonts w:ascii="Times" w:eastAsia="Times New Roman" w:hAnsi="Times" w:cs="Times New Roman"/>
        </w:rPr>
        <w:t xml:space="preserve">. Thus, when investigating bacterial communities of the gut as they relate to host nutrition in passerines, most research studies focus on the large intestinal community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{"citationItems":[{"id":"ITEM-1","itemData":{"DOI":"10.1016/S1055-937X(99)80036-X","ISBN":"1055-937X","ISSN":"1055937X","abstract":"A bird's gastrointestinal (GI) tract morphology, digestive strategy, and metabolic capability have been intimately intertwined during evolution to match the nutrient content and physical attributes of foods available in its natural habitat. The most commonly kept companion species are granivorous with a tendency toward omnivory. The beak, oral cavity and tongue of granivorous birds have anatomic adaptations for shelling seeds, including ridges in the tomia of their beak for slicing the hull and a dexterous tongue for manipulating the seed and disposing the hull. Granivorous species possess a sizeable crop or an expandable esophageal pouch for storing food so that large meals can be consumed. Their proventriculus is somewhat small, and their gizzard is large, muscular, and possesses a thick cuticle relative to carnivores or frugivores. A vestigial ceca and short rectum provide little area for use of symbiotic bacteria to aid in the digestion of the fibrous components of food.","author":[{"dropping-particle":"","family":"Klasing","given":"Kirk C.","non-dropping-particle":"","parse-names":false,"suffix":""}],"container-title":"Seminars in Avian and Exotic Pet Medicine","id":"ITEM-1","issued":{"date-parts":[["1999"]]},"title":"Avian gastrointestinal anatomy and physiology","type":"article-journal"},"uris":["http://www.mendeley.com/documents/?uuid=7a9b1336-b8c4-4a83-b410-a33092d38578"]}],"mendeley":{"formattedCitation":"&lt;sup&gt;22&lt;/sup&gt;","plainTextFormattedCitation":"22","previouslyFormattedCitation":"(Klasing 1999)"},"properties":{"noteIndex":0},"schema":"https://github.com/citation-style-language/schema/raw/master/csl-citation.json"}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22</w:t>
      </w:r>
      <w:r w:rsidRPr="00D23BF1">
        <w:rPr>
          <w:rFonts w:ascii="Times" w:eastAsia="Times New Roman" w:hAnsi="Times" w:cs="Times New Roman"/>
        </w:rPr>
        <w:fldChar w:fldCharType="end"/>
      </w:r>
      <w:r w:rsidRPr="00D23BF1">
        <w:rPr>
          <w:rFonts w:ascii="Times" w:eastAsia="Times New Roman" w:hAnsi="Times" w:cs="Times New Roman"/>
        </w:rPr>
        <w:t>.</w:t>
      </w:r>
    </w:p>
    <w:p w14:paraId="02C57B7E" w14:textId="77777777" w:rsidR="00041ADB" w:rsidRPr="00D23BF1" w:rsidRDefault="00041ADB" w:rsidP="00F20BE1">
      <w:pPr>
        <w:rPr>
          <w:rFonts w:ascii="Times" w:hAnsi="Times"/>
        </w:rPr>
      </w:pPr>
      <w:r w:rsidRPr="00D23BF1">
        <w:rPr>
          <w:rFonts w:ascii="Times" w:hAnsi="Times"/>
        </w:rPr>
        <w:t xml:space="preserve">The present study tests the scope of non-lethal microbiome sampling techniques in passerine birds. We compare the microbial communities of </w:t>
      </w:r>
      <w:proofErr w:type="spellStart"/>
      <w:r w:rsidRPr="00D23BF1">
        <w:rPr>
          <w:rFonts w:ascii="Times" w:hAnsi="Times"/>
        </w:rPr>
        <w:t>faeces</w:t>
      </w:r>
      <w:proofErr w:type="spellEnd"/>
      <w:r w:rsidRPr="00D23BF1">
        <w:rPr>
          <w:rFonts w:ascii="Times" w:hAnsi="Times"/>
        </w:rPr>
        <w:t xml:space="preserve"> and cloacal swabs, two common non-lethal sampling methods in birds, to the nutritionally relevant large and small intestinal samples, as well as the more physiologically distinct proventriculus as a point of contrast. We assess which, if any, internal gut communities are best represented by non-lethal samples. We predict that inventories of cloacal swabs and </w:t>
      </w:r>
      <w:proofErr w:type="spellStart"/>
      <w:r w:rsidRPr="00D23BF1">
        <w:rPr>
          <w:rFonts w:ascii="Times" w:hAnsi="Times"/>
        </w:rPr>
        <w:t>faeces</w:t>
      </w:r>
      <w:proofErr w:type="spellEnd"/>
      <w:r w:rsidRPr="00D23BF1">
        <w:rPr>
          <w:rFonts w:ascii="Times" w:hAnsi="Times"/>
        </w:rPr>
        <w:t xml:space="preserve"> will be more representative of large intestinal communities than those of other gut regions, due to the proximity and physiological similarity to the large intestine. We also assess which non-lethal sampling technique (cloacal swabs or </w:t>
      </w:r>
      <w:proofErr w:type="spellStart"/>
      <w:r w:rsidRPr="00D23BF1">
        <w:rPr>
          <w:rFonts w:ascii="Times" w:hAnsi="Times"/>
        </w:rPr>
        <w:t>faecal</w:t>
      </w:r>
      <w:proofErr w:type="spellEnd"/>
      <w:r w:rsidRPr="00D23BF1">
        <w:rPr>
          <w:rFonts w:ascii="Times" w:hAnsi="Times"/>
        </w:rPr>
        <w:t xml:space="preserve"> samples) better captures the diversity of the large intestinal community. Previous work in Ostriches </w:t>
      </w:r>
      <w:r w:rsidRPr="00D23BF1">
        <w:rPr>
          <w:rFonts w:ascii="Times" w:hAnsi="Times"/>
        </w:rPr>
        <w:fldChar w:fldCharType="begin" w:fldLock="1"/>
      </w:r>
      <w:r w:rsidRPr="00D23BF1">
        <w:rPr>
          <w:rFonts w:ascii="Times" w:hAnsi="Times"/>
        </w:rPr>
        <w:instrText>ADDIN CSL_CITATION {"citationItems":[{"id":"ITEM-1","itemData":{"author":[{"dropping-particle":"","family":"Videvall","given":"Elin","non-dropping-particle":"","parse-names":false,"suffix":""},{"dropping-particle":"","family":"Strandh","given":"Maria","non-dropping-particle":"","parse-names":false,"suffix":""},{"dropping-particle":"","family":"Engelbrecht","given":"Anel","non-dropping-particle":"","parse-names":false,"suffix":""},{"dropping-particle":"","family":"Cloete","given":"Schalk","non-dropping-particle":"","parse-names":false,"suffix":""},{"dropping-particle":"","family":"Cornwallis","given":"Charlie K.","non-dropping-particle":"","parse-names":false,"suffix":""}],"container-title":"Preprint","id":"ITEM-1","issued":{"date-parts":[["2017"]]},"note":"&amp;quot;The two most similar sample types were the faeces and colon, which resulted in a low R2 (0.069), whereas the cloaca and colon were more dissimilar (R2 = 0.099).&amp;quot;\n(from results, based on bray curtis)","page":"1-22","title":"Measuring the gut microbiome in birds : comparison of faecal and cloacal sampling","type":"article-journal"},"uris":["http://www.mendeley.com/documents/?uuid=03f68f00-2e6e-40c2-89b7-77fe2cfd8dc5"]}],"mendeley":{"formattedCitation":"&lt;sup&gt;18&lt;/sup&gt;","plainTextFormattedCitation":"18","previouslyFormattedCitation":"(Videvall &lt;i&gt;et al.&lt;/i&gt; 2017)"},"properties":{"noteIndex":0},"schema":"https://github.com/citation-style-language/schema/raw/master/csl-citation.json"}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18</w:t>
      </w:r>
      <w:r w:rsidRPr="00D23BF1">
        <w:rPr>
          <w:rFonts w:ascii="Times" w:hAnsi="Times"/>
        </w:rPr>
        <w:fldChar w:fldCharType="end"/>
      </w:r>
      <w:r w:rsidRPr="00D23BF1">
        <w:rPr>
          <w:rFonts w:ascii="Times" w:hAnsi="Times"/>
        </w:rPr>
        <w:t xml:space="preserve"> suggests that </w:t>
      </w:r>
      <w:proofErr w:type="spellStart"/>
      <w:r w:rsidRPr="00D23BF1">
        <w:rPr>
          <w:rFonts w:ascii="Times" w:hAnsi="Times"/>
        </w:rPr>
        <w:t>faecal</w:t>
      </w:r>
      <w:proofErr w:type="spellEnd"/>
      <w:r w:rsidRPr="00D23BF1">
        <w:rPr>
          <w:rFonts w:ascii="Times" w:hAnsi="Times"/>
        </w:rPr>
        <w:t xml:space="preserve"> samples will be more representative of the large intestinal bacterial community than are cloacal swabs </w:t>
      </w:r>
      <w:r w:rsidRPr="00D23BF1">
        <w:rPr>
          <w:rFonts w:ascii="Times" w:hAnsi="Times"/>
        </w:rPr>
        <w:fldChar w:fldCharType="begin" w:fldLock="1"/>
      </w:r>
      <w:r w:rsidRPr="00D23BF1">
        <w:rPr>
          <w:rFonts w:ascii="Times" w:hAnsi="Times"/>
        </w:rPr>
        <w:instrText>ADDIN CSL_CITATION {"citationItems":[{"id":"ITEM-1","itemData":{"author":[{"dropping-particle":"","family":"Videvall","given":"Elin","non-dropping-particle":"","parse-names":false,"suffix":""},{"dropping-particle":"","family":"Strandh","given":"Maria","non-dropping-particle":"","parse-names":false,"suffix":""},{"dropping-particle":"","family":"Engelbrecht","given":"Anel","non-dropping-particle":"","parse-names":false,"suffix":""},{"dropping-particle":"","family":"Cloete","given":"Schalk","non-dropping-particle":"","parse-names":false,"suffix":""},{"dropping-particle":"","family":"Cornwallis","given":"Charlie K.","non-dropping-particle":"","parse-names":false,"suffix":""}],"container-title":"Preprint","id":"ITEM-1","issued":{"date-parts":[["2017"]]},"note":"&amp;quot;The two most similar sample types were the faeces and colon, which resulted in a low R2 (0.069), whereas the cloaca and colon were more dissimilar (R2 = 0.099).&amp;quot;\n(from results, based on bray curtis)","page":"1-22","title":"Measuring the gut microbiome in birds : comparison of faecal and cloacal sampling","type":"article-journal"},"uris":["http://www.mendeley.com/documents/?uuid=03f68f00-2e6e-40c2-89b7-77fe2cfd8dc5"]}],"mendeley":{"formattedCitation":"&lt;sup&gt;18&lt;/sup&gt;","plainTextFormattedCitation":"18","previouslyFormattedCitation":"(Videvall &lt;i&gt;et al.&lt;/i&gt; 2017)"},"properties":{"noteIndex":0},"schema":"https://github.com/citation-style-language/schema/raw/master/csl-citation.json"}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18</w:t>
      </w:r>
      <w:r w:rsidRPr="00D23BF1">
        <w:rPr>
          <w:rFonts w:ascii="Times" w:hAnsi="Times"/>
        </w:rPr>
        <w:fldChar w:fldCharType="end"/>
      </w:r>
      <w:r w:rsidRPr="00D23BF1">
        <w:rPr>
          <w:rFonts w:ascii="Times" w:hAnsi="Times"/>
        </w:rPr>
        <w:t xml:space="preserve">, and we test that prediction here in a passerine. Last, we test which non-lethal samples best </w:t>
      </w:r>
      <w:r w:rsidRPr="00D23BF1">
        <w:rPr>
          <w:rFonts w:ascii="Times" w:hAnsi="Times"/>
          <w:i/>
          <w:iCs/>
        </w:rPr>
        <w:t>capture</w:t>
      </w:r>
      <w:r w:rsidRPr="00D23BF1">
        <w:rPr>
          <w:rFonts w:ascii="Times" w:hAnsi="Times"/>
        </w:rPr>
        <w:t xml:space="preserve"> individual variability in gut microbial community composition, which may be important for experiments involving repeated sampling.</w:t>
      </w:r>
    </w:p>
    <w:p w14:paraId="6D1F4239" w14:textId="77777777" w:rsidR="00041ADB" w:rsidRPr="00D23BF1" w:rsidRDefault="00041ADB" w:rsidP="00F20BE1">
      <w:pPr>
        <w:rPr>
          <w:rFonts w:ascii="Times" w:hAnsi="Times"/>
        </w:rPr>
      </w:pPr>
    </w:p>
    <w:p w14:paraId="633C806A" w14:textId="77777777" w:rsidR="00041ADB" w:rsidRPr="00D23BF1" w:rsidRDefault="00041ADB" w:rsidP="00F20BE1">
      <w:pPr>
        <w:pStyle w:val="Heading2"/>
        <w:rPr>
          <w:rFonts w:ascii="Times" w:hAnsi="Times"/>
        </w:rPr>
      </w:pPr>
      <w:bookmarkStart w:id="54" w:name="_Toc69972870"/>
      <w:r w:rsidRPr="00D23BF1">
        <w:rPr>
          <w:rFonts w:ascii="Times" w:hAnsi="Times"/>
        </w:rPr>
        <w:t>Methods</w:t>
      </w:r>
      <w:bookmarkEnd w:id="54"/>
    </w:p>
    <w:p w14:paraId="23174F15" w14:textId="77777777" w:rsidR="00041ADB" w:rsidRPr="00D23BF1" w:rsidRDefault="00041ADB" w:rsidP="00F20BE1">
      <w:pPr>
        <w:rPr>
          <w:rFonts w:ascii="Times" w:hAnsi="Times"/>
        </w:rPr>
      </w:pPr>
    </w:p>
    <w:p w14:paraId="504193AC" w14:textId="77777777" w:rsidR="00041ADB" w:rsidRPr="00D23BF1" w:rsidRDefault="00041ADB" w:rsidP="00F20BE1">
      <w:pPr>
        <w:rPr>
          <w:rFonts w:ascii="Times" w:hAnsi="Times"/>
          <w:b/>
          <w:bCs/>
        </w:rPr>
      </w:pPr>
      <w:bookmarkStart w:id="55" w:name="_Toc69393553"/>
      <w:r w:rsidRPr="00D23BF1">
        <w:rPr>
          <w:rFonts w:ascii="Times" w:hAnsi="Times"/>
          <w:b/>
          <w:bCs/>
        </w:rPr>
        <w:t xml:space="preserve">Housing conditions </w:t>
      </w:r>
    </w:p>
    <w:p w14:paraId="7ECB0C6A" w14:textId="77777777" w:rsidR="00041ADB" w:rsidRPr="00D23BF1" w:rsidRDefault="00041ADB" w:rsidP="00F20BE1">
      <w:pPr>
        <w:rPr>
          <w:rFonts w:ascii="Times" w:hAnsi="Times"/>
        </w:rPr>
      </w:pPr>
      <w:r w:rsidRPr="00D23BF1">
        <w:rPr>
          <w:rFonts w:ascii="Times" w:hAnsi="Times"/>
        </w:rPr>
        <w:t xml:space="preserve">We conducted our study in captive Zebra Finches, a passerine widely used as a study organism in the fields of medicine, neuroscience and </w:t>
      </w:r>
      <w:proofErr w:type="spellStart"/>
      <w:r w:rsidRPr="00D23BF1">
        <w:rPr>
          <w:rFonts w:ascii="Times" w:hAnsi="Times"/>
        </w:rPr>
        <w:t>behaviour</w:t>
      </w:r>
      <w:proofErr w:type="spellEnd"/>
      <w:r w:rsidRPr="00D23BF1">
        <w:rPr>
          <w:rFonts w:ascii="Times" w:hAnsi="Times"/>
        </w:rPr>
        <w:t xml:space="preserve"> </w:t>
      </w:r>
      <w:r w:rsidRPr="00D23BF1">
        <w:rPr>
          <w:rFonts w:ascii="Times" w:hAnsi="Times"/>
        </w:rPr>
        <w:fldChar w:fldCharType="begin" w:fldLock="1"/>
      </w:r>
      <w:r w:rsidRPr="00D23BF1">
        <w:rPr>
          <w:rFonts w:ascii="Times" w:hAnsi="Times"/>
        </w:rPr>
        <w:instrText>ADDIN CSL_CITATION {"citationItems":[{"id":"ITEM-1","itemData":{"ISBN":"0198540795","abstract":"The Australian Zebra Finch is widely used by researchers and teachers in many scientific disciplines where it is the preferred subject for investigations ranging from anatomy and physiology to behavioural development and evolutionary ecology. This monograph is the first to synthesize the information on this colourful species that has accumulated during the past thirty years. It summarizes and integrates much of the laboratory work and places it in the context of the biology of the animals in the wild, with an emphasis on behaviour and ecology. This leads to a detailed understanding of Zebra Finch adaptations and life history that will further enhance the value of the species for researchers and students in behaviour, ecology, and other fields. Aviculturists who keep these attractive birds will also find much of interest in this book.","author":[{"dropping-particle":"","family":"Zann","given":"R A","non-dropping-particle":"","parse-names":false,"suffix":""}],"container-title":"New York","id":"ITEM-1","issued":{"date-parts":[["1996"]]},"title":"The zebra finch: a synthesis of field and laboratory studies","type":"book"},"uris":["http://www.mendeley.com/documents/?uuid=f595c8a0-0420-4961-98ff-f21819a16e41"]}],"mendeley":{"formattedCitation":"&lt;sup&gt;26&lt;/sup&gt;","plainTextFormattedCitation":"26","previouslyFormattedCitation":"(Zann 1996)"},"properties":{"noteIndex":0},"schema":"https://github.com/citation-style-language/schema/raw/master/csl-citation.json"}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26</w:t>
      </w:r>
      <w:r w:rsidRPr="00D23BF1">
        <w:rPr>
          <w:rFonts w:ascii="Times" w:hAnsi="Times"/>
        </w:rPr>
        <w:fldChar w:fldCharType="end"/>
      </w:r>
      <w:r w:rsidRPr="00D23BF1">
        <w:rPr>
          <w:rFonts w:ascii="Times" w:hAnsi="Times"/>
        </w:rPr>
        <w:t xml:space="preserve">. There is evidence in other systems for sex-dependent variation in gut microbial communities </w:t>
      </w:r>
      <w:r w:rsidRPr="00D23BF1">
        <w:rPr>
          <w:rFonts w:ascii="Times" w:hAnsi="Times"/>
        </w:rPr>
        <w:fldChar w:fldCharType="begin" w:fldLock="1"/>
      </w:r>
      <w:r w:rsidRPr="00D23BF1">
        <w:rPr>
          <w:rFonts w:ascii="Times" w:hAnsi="Times"/>
        </w:rPr>
        <w:instrText>ADDIN CSL_CITATION {"citationItems":[{"id":"ITEM-1","itemData":{"abstract":"Microbial exposures and sex hormones exert potent effects on autoimmune diseases, many of which are more prevalent in women. We demonstrate that early-life microbial exposures determine sex hormone levels and modify progression to autoimmunity in the nonobese diabetic (NOD) mouse model of type 1 diabetes (T1D). Colonization by commensal microbes elevated serum testosterone and protected NOD males from T1D. Transfer of gut microbiota from adult males to immature females altered the recipient’s microbiota, resulting in elevated testosterone and metabolomic changes, reduced islet inflammation and autoantibody production, and robust T1D protection. These effects were dependent on androgen receptor activity. Thus, the commensal microbial community alters sex hormone levels and regulates autoimmune disease fate in individuals with high genetic risk.","author":[{"dropping-particle":"","family":"Markle","given":"Janet G M","non-dropping-particle":"","parse-names":false,"suffix":""},{"dropping-particle":"","family":"Frank","given":"Daniel N","non-dropping-particle":"","parse-names":false,"suffix":""},{"dropping-particle":"","family":"Mortin-toth","given":"Steven","non-dropping-particle":"","parse-names":false,"suffix":""},{"dropping-particle":"","family":"Robertson","given":"Charles E","non-dropping-particle":"","parse-names":false,"suffix":""},{"dropping-particle":"","family":"Feazel","given":"Leah M","non-dropping-particle":"","parse-names":false,"suffix":""},{"dropping-particle":"","family":"Rolle-kampczyk","given":"Ulrike","non-dropping-particle":"","parse-names":false,"suffix":""},{"dropping-particle":"Von","family":"Bergen","given":"Martin","non-dropping-particle":"","parse-names":false,"suffix":""},{"dropping-particle":"","family":"Mccoy","given":"Kathy D","non-dropping-particle":"","parse-names":false,"suffix":""},{"dropping-particle":"","family":"Macpherson","given":"Andrew J","non-dropping-particle":"","parse-names":false,"suffix":""},{"dropping-particle":"","family":"Danska","given":"Jayne S","non-dropping-particle":"","parse-names":false,"suffix":""}],"container-title":"Science","id":"ITEM-1","issue":"March","issued":{"date-parts":[["2013"]]},"page":"1084-1088","title":"Sex Differences in the Gut Microbiome Drive Hormone-Dependent Regulation of Autoimmunity","type":"article-journal","volume":"339"},"uris":["http://www.mendeley.com/documents/?uuid=ed4cc5dc-af8f-467e-8923-6bf357e99ef4"]},{"id":"ITEM-2","itemData":{"DOI":"10.1038/ncomms5500","ISBN":"2041-1723","ISSN":"2041-1723","PMID":"25072318","abstract":"Vertebrates harbour diverse communities of symbiotic gut microbes. Host diet is known to alter microbiota composition, implying that dietary treatments might alleviate diseases arising from altered microbial composition ('dysbiosis'). However, it remains unclear whether diet effects are general or depend on host genotype. Here we show that gut microbiota composition depends on interactions between host diet and sex within populations of wild and laboratory fish, laboratory mice and humans. Within each of two natural fish populations (threespine stickleback and Eurasian perch), among-individual diet variation is correlated with individual differences in gut microbiota. However, these diet-microbiota associations are sex dependent. We document similar sex-specific diet-microbiota correlations in humans. Experimental diet manipulations in laboratory stickleback and mice confirmed that diet affects microbiota differently in males versus females. The prevalence of such genotype by environment (sex by diet) interactions implies that therapies to treat dysbiosis might have sex-specific effects.","author":[{"dropping-particle":"","family":"Bolnick","given":"Daniel I","non-dropping-particle":"","parse-names":false,"suffix":""},{"dropping-particle":"","family":"Snowberg","given":"Lisa K","non-dropping-particle":"","parse-names":false,"suffix":""},{"dropping-particle":"","family":"Hirsch","given":"Philipp E","non-dropping-particle":"","parse-names":false,"suffix":""},{"dropping-particle":"","family":"Lauber","given":"Christian L","non-dropping-particle":"","parse-names":false,"suffix":""},{"dropping-particle":"","family":"Org","given":"Elin","non-dropping-particle":"","parse-names":false,"suffix":""},{"dropping-particle":"","family":"Parks","given":"Brian","non-dropping-particle":"","parse-names":false,"suffix":""},{"dropping-particle":"","family":"Lusis","given":"Aldons J","non-dropping-particle":"","parse-names":false,"suffix":""},{"dropping-particle":"","family":"Knight","given":"Rob","non-dropping-particle":"","parse-names":false,"suffix":""},{"dropping-particle":"","family":"Caporaso","given":"J Gregory","non-dropping-particle":"","parse-names":false,"suffix":""},{"dropping-particle":"","family":"Svanbäck","given":"Richard","non-dropping-particle":"","parse-names":false,"suffix":""}],"container-title":"Nature communications","id":"ITEM-2","issued":{"date-parts":[["2014"]]},"page":"4500","title":"Individual diet has sex-dependent effects on vertebrate gut microbiota.","type":"article-journal","volume":"5"},"uris":["http://www.mendeley.com/documents/?uuid=58b1064e-d405-4033-9f0a-dfa37a654cb7"]}],"mendeley":{"formattedCitation":"&lt;sup&gt;27,28&lt;/sup&gt;","plainTextFormattedCitation":"27,28","previouslyFormattedCitation":"(Markle &lt;i&gt;et al.&lt;/i&gt; 2013, Bolnick &lt;i&gt;et al.&lt;/i&gt; 2014)"},"properties":{"noteIndex":0},"schema":"https://github.com/citation-style-language/schema/raw/master/csl-citation.json"}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27,28</w:t>
      </w:r>
      <w:r w:rsidRPr="00D23BF1">
        <w:rPr>
          <w:rFonts w:ascii="Times" w:hAnsi="Times"/>
        </w:rPr>
        <w:fldChar w:fldCharType="end"/>
      </w:r>
      <w:r w:rsidRPr="00D23BF1">
        <w:rPr>
          <w:rFonts w:ascii="Times" w:hAnsi="Times"/>
        </w:rPr>
        <w:t xml:space="preserve">. To reduce this variation, our study focused only on female Zebra Finches. Ten female Zebra Finches were housed in individual cages in controlled conditions (22-23 °C, 13:11 </w:t>
      </w:r>
      <w:proofErr w:type="spellStart"/>
      <w:r w:rsidRPr="00D23BF1">
        <w:rPr>
          <w:rFonts w:ascii="Times" w:hAnsi="Times"/>
        </w:rPr>
        <w:t>hr</w:t>
      </w:r>
      <w:proofErr w:type="spellEnd"/>
      <w:r w:rsidRPr="00D23BF1">
        <w:rPr>
          <w:rFonts w:ascii="Times" w:hAnsi="Times"/>
        </w:rPr>
        <w:t xml:space="preserve"> light/dark photoperiod) at the Tulane vivarium facility for three months prior to sample collection. All birds received </w:t>
      </w:r>
      <w:proofErr w:type="spellStart"/>
      <w:r w:rsidRPr="00D23BF1">
        <w:rPr>
          <w:rFonts w:ascii="Times" w:hAnsi="Times"/>
        </w:rPr>
        <w:t>Kaytee</w:t>
      </w:r>
      <w:proofErr w:type="spellEnd"/>
      <w:r w:rsidRPr="00D23BF1">
        <w:rPr>
          <w:rFonts w:ascii="Times" w:hAnsi="Times"/>
        </w:rPr>
        <w:t xml:space="preserve"> Forti-Diet Finch </w:t>
      </w:r>
      <w:r w:rsidRPr="00D23BF1">
        <w:rPr>
          <w:rFonts w:ascii="Times" w:hAnsi="Times"/>
        </w:rPr>
        <w:lastRenderedPageBreak/>
        <w:t xml:space="preserve">seed, grit, cuttlebone and water </w:t>
      </w:r>
      <w:r w:rsidRPr="00D23BF1">
        <w:rPr>
          <w:rFonts w:ascii="Times" w:hAnsi="Times"/>
          <w:i/>
        </w:rPr>
        <w:t>ad libitum</w:t>
      </w:r>
      <w:r w:rsidRPr="00D23BF1">
        <w:rPr>
          <w:rFonts w:ascii="Times" w:hAnsi="Times"/>
        </w:rPr>
        <w:t>. All care and research protocols were conducted in compliance with Tulane University’s Institutional Animal Care and Use Committee (IACUC Protocol #0427R).</w:t>
      </w:r>
      <w:bookmarkEnd w:id="55"/>
    </w:p>
    <w:p w14:paraId="4EA84408" w14:textId="77777777" w:rsidR="00041ADB" w:rsidRPr="00D23BF1" w:rsidRDefault="00041ADB" w:rsidP="00F20BE1">
      <w:pPr>
        <w:rPr>
          <w:rFonts w:ascii="Times" w:hAnsi="Times"/>
        </w:rPr>
      </w:pPr>
    </w:p>
    <w:p w14:paraId="2846B4C2" w14:textId="77777777" w:rsidR="00041ADB" w:rsidRPr="00D23BF1" w:rsidRDefault="00041ADB" w:rsidP="00F20BE1">
      <w:pPr>
        <w:rPr>
          <w:rFonts w:ascii="Times" w:hAnsi="Times"/>
          <w:b/>
          <w:bCs/>
        </w:rPr>
      </w:pPr>
      <w:bookmarkStart w:id="56" w:name="_Toc69393554"/>
      <w:bookmarkStart w:id="57" w:name="_Toc69396327"/>
      <w:bookmarkStart w:id="58" w:name="_Toc69396362"/>
      <w:r w:rsidRPr="00D23BF1">
        <w:rPr>
          <w:rFonts w:ascii="Times" w:hAnsi="Times"/>
          <w:b/>
          <w:bCs/>
        </w:rPr>
        <w:t xml:space="preserve">Sample collection </w:t>
      </w:r>
    </w:p>
    <w:p w14:paraId="3B9145C0" w14:textId="77777777" w:rsidR="00041ADB" w:rsidRPr="00D23BF1" w:rsidRDefault="00041ADB" w:rsidP="00F20BE1">
      <w:pPr>
        <w:rPr>
          <w:rFonts w:ascii="Times" w:hAnsi="Times"/>
        </w:rPr>
      </w:pPr>
      <w:r w:rsidRPr="00D23BF1">
        <w:rPr>
          <w:rFonts w:ascii="Times" w:hAnsi="Times"/>
        </w:rPr>
        <w:t xml:space="preserve">In this study, we compared three samples that require sacrificing the animal (contents from the proventriculus, small intestine, and large intestine) and two non-lethal sampling techniques (collecting </w:t>
      </w:r>
      <w:proofErr w:type="spellStart"/>
      <w:r w:rsidRPr="00D23BF1">
        <w:rPr>
          <w:rFonts w:ascii="Times" w:hAnsi="Times"/>
        </w:rPr>
        <w:t>faeces</w:t>
      </w:r>
      <w:proofErr w:type="spellEnd"/>
      <w:r w:rsidRPr="00D23BF1">
        <w:rPr>
          <w:rFonts w:ascii="Times" w:hAnsi="Times"/>
        </w:rPr>
        <w:t xml:space="preserve"> and cloacal swabs). To collect </w:t>
      </w:r>
      <w:proofErr w:type="spellStart"/>
      <w:r w:rsidRPr="00D23BF1">
        <w:rPr>
          <w:rFonts w:ascii="Times" w:hAnsi="Times"/>
        </w:rPr>
        <w:t>faecal</w:t>
      </w:r>
      <w:proofErr w:type="spellEnd"/>
      <w:r w:rsidRPr="00D23BF1">
        <w:rPr>
          <w:rFonts w:ascii="Times" w:hAnsi="Times"/>
        </w:rPr>
        <w:t xml:space="preserve"> samples, we placed birds individually in a cage inside an aseptic biosafety cabinet. Cages were sterilized with a 5% bleach solution, rinsed with sterile water and finally rinsed with 75% ethanol and dried before housing a new bird. An autoclaved foil bottom was then placed on the bottom of the cage for ease of collection. Birds remained in the cage until two droppings were collected, or up to ten minutes. If ten minutes elapsed without sufficient sample collection, we returned birds to their regular enclosure and collection was attempted the next day. </w:t>
      </w:r>
      <w:proofErr w:type="spellStart"/>
      <w:r w:rsidRPr="00D23BF1">
        <w:rPr>
          <w:rFonts w:ascii="Times" w:hAnsi="Times"/>
        </w:rPr>
        <w:t>Faeces</w:t>
      </w:r>
      <w:proofErr w:type="spellEnd"/>
      <w:r w:rsidRPr="00D23BF1">
        <w:rPr>
          <w:rFonts w:ascii="Times" w:hAnsi="Times"/>
        </w:rPr>
        <w:t xml:space="preserve"> were stored in </w:t>
      </w:r>
      <w:proofErr w:type="spellStart"/>
      <w:r w:rsidRPr="00D23BF1">
        <w:rPr>
          <w:rFonts w:ascii="Times" w:hAnsi="Times"/>
        </w:rPr>
        <w:t>RNAlater</w:t>
      </w:r>
      <w:proofErr w:type="spellEnd"/>
      <w:r w:rsidRPr="00D23BF1">
        <w:rPr>
          <w:rFonts w:ascii="Times" w:hAnsi="Times"/>
        </w:rPr>
        <w:t xml:space="preserve"> (Qiagen, U.S.A.), immediately frozen on dry ice, and stored at -80°C. We collected </w:t>
      </w:r>
      <w:proofErr w:type="spellStart"/>
      <w:r w:rsidRPr="00D23BF1">
        <w:rPr>
          <w:rFonts w:ascii="Times" w:hAnsi="Times"/>
        </w:rPr>
        <w:t>faecal</w:t>
      </w:r>
      <w:proofErr w:type="spellEnd"/>
      <w:r w:rsidRPr="00D23BF1">
        <w:rPr>
          <w:rFonts w:ascii="Times" w:hAnsi="Times"/>
        </w:rPr>
        <w:t xml:space="preserve"> samples within four days prior to sacrifice </w:t>
      </w:r>
      <w:r w:rsidRPr="00D23BF1">
        <w:rPr>
          <w:rFonts w:ascii="Times" w:hAnsi="Times"/>
        </w:rPr>
        <w:fldChar w:fldCharType="begin" w:fldLock="1"/>
      </w:r>
      <w:r w:rsidRPr="00D23BF1">
        <w:rPr>
          <w:rFonts w:ascii="Times" w:hAnsi="Times"/>
        </w:rPr>
        <w:instrText>ADDIN CSL_CITATION {"citationItems":[{"id":"ITEM-1","itemData":{"DOI":"10.1111/j.1365-294X.2010.04892.x","ISBN":"1524593192","ISSN":"09621083","author":[{"dropping-particle":"","family":"Benskin","given":"Clare McW. H.","non-dropping-particle":"","parse-names":false,"suffix":""},{"dropping-particle":"","family":"Rhodes","given":"Glenn","non-dropping-particle":"","parse-names":false,"suffix":""},{"dropping-particle":"","family":"Pickup","given":"Roger W.","non-dropping-particle":"","parse-names":false,"suffix":""},{"dropping-particle":"","family":"Wilson","given":"Kenneth","non-dropping-particle":"","parse-names":false,"suffix":""},{"dropping-particle":"","family":"Hartley","given":"Ian R.","non-dropping-particle":"","parse-names":false,"suffix":""}],"container-title":"Molecular Ecology","id":"ITEM-1","issue":"24","issued":{"date-parts":[["2010"]]},"note":"ZEBRA FINCH GMB\nCULTURED\nONE COLONY, VARIATION AMONG INDIVIDUALS\nCONSISTANT OVER TIME (10 weeks)\n\n\n*review sources","page":"5531-5544","title":"Diversity and temporal stability of bacterial communities in a model passerine bird, the zebra finch","type":"article-journal","volume":"19"},"uris":["http://www.mendeley.com/documents/?uuid=0bb92b74-74d2-495e-97a3-31100a40cfee"]}],"mendeley":{"formattedCitation":"&lt;sup&gt;29&lt;/sup&gt;","plainTextFormattedCitation":"29","previouslyFormattedCitation":"(Benskin &lt;i&gt;et al.&lt;/i&gt; 2010)"},"properties":{"noteIndex":0},"schema":"https://github.com/citation-style-language/schema/raw/master/csl-citation.json"}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29</w:t>
      </w:r>
      <w:r w:rsidRPr="00D23BF1">
        <w:rPr>
          <w:rFonts w:ascii="Times" w:hAnsi="Times"/>
        </w:rPr>
        <w:fldChar w:fldCharType="end"/>
      </w:r>
      <w:r w:rsidRPr="00D23BF1">
        <w:rPr>
          <w:rFonts w:ascii="Times" w:hAnsi="Times"/>
        </w:rPr>
        <w:t>.</w:t>
      </w:r>
      <w:bookmarkEnd w:id="56"/>
      <w:bookmarkEnd w:id="57"/>
      <w:bookmarkEnd w:id="58"/>
    </w:p>
    <w:p w14:paraId="4F2DB755" w14:textId="77777777" w:rsidR="00041ADB" w:rsidRPr="00D23BF1" w:rsidRDefault="00041ADB" w:rsidP="00F20BE1">
      <w:pPr>
        <w:rPr>
          <w:rFonts w:ascii="Times" w:hAnsi="Times"/>
        </w:rPr>
      </w:pPr>
      <w:r w:rsidRPr="00D23BF1">
        <w:rPr>
          <w:rFonts w:ascii="Times" w:hAnsi="Times"/>
        </w:rPr>
        <w:tab/>
        <w:t xml:space="preserve">To collect cloacal swabs, we cleaned the outside of the cloaca with an alcohol pad, inserted a sterile swab (Puritan 25-3316-U Ultra Flocked Swab, U.S.A.) fully into the cloaca, turned for 3-5 seconds, and preserved them in </w:t>
      </w:r>
      <w:proofErr w:type="spellStart"/>
      <w:r w:rsidRPr="00D23BF1">
        <w:rPr>
          <w:rFonts w:ascii="Times" w:hAnsi="Times"/>
        </w:rPr>
        <w:t>RNAlater</w:t>
      </w:r>
      <w:proofErr w:type="spellEnd"/>
      <w:r w:rsidRPr="00D23BF1">
        <w:rPr>
          <w:rFonts w:ascii="Times" w:hAnsi="Times"/>
        </w:rPr>
        <w:t xml:space="preserve">. Less than 5 minutes after swabs were collected, birds were </w:t>
      </w:r>
      <w:proofErr w:type="spellStart"/>
      <w:r w:rsidRPr="00D23BF1">
        <w:rPr>
          <w:rFonts w:ascii="Times" w:hAnsi="Times"/>
        </w:rPr>
        <w:t>euthanised</w:t>
      </w:r>
      <w:proofErr w:type="spellEnd"/>
      <w:r w:rsidRPr="00D23BF1">
        <w:rPr>
          <w:rFonts w:ascii="Times" w:hAnsi="Times"/>
        </w:rPr>
        <w:t xml:space="preserve"> using isoflurane as a primary method of euthanasia and decapitation as a secondary method. Immediately after euthanasia, we de-feathered the belly and transported the carcass to an aseptic biosafety cabinet. We dissected birds using sterile tools and collected approximately 6 mm segments from the proventriculus, small intestine, and large intestine (Fig. 1). Gut content samples were stored in </w:t>
      </w:r>
      <w:proofErr w:type="spellStart"/>
      <w:r w:rsidRPr="00D23BF1">
        <w:rPr>
          <w:rFonts w:ascii="Times" w:hAnsi="Times"/>
        </w:rPr>
        <w:t>RNAlater</w:t>
      </w:r>
      <w:proofErr w:type="spellEnd"/>
      <w:r w:rsidRPr="00D23BF1">
        <w:rPr>
          <w:rFonts w:ascii="Times" w:hAnsi="Times"/>
        </w:rPr>
        <w:t>, immediately frozen on dry ice, and stored at -80°C.</w:t>
      </w:r>
    </w:p>
    <w:p w14:paraId="27DF16E4" w14:textId="77777777" w:rsidR="00041ADB" w:rsidRPr="00D23BF1" w:rsidRDefault="00041ADB" w:rsidP="00F20BE1">
      <w:pPr>
        <w:rPr>
          <w:rFonts w:ascii="Times" w:hAnsi="Times"/>
        </w:rPr>
      </w:pPr>
    </w:p>
    <w:p w14:paraId="347DE898" w14:textId="77777777" w:rsidR="00041ADB" w:rsidRPr="00D23BF1" w:rsidRDefault="00041ADB" w:rsidP="00F20BE1">
      <w:pPr>
        <w:rPr>
          <w:rFonts w:ascii="Times" w:hAnsi="Times"/>
          <w:i/>
          <w:iCs/>
        </w:rPr>
      </w:pPr>
      <w:bookmarkStart w:id="59" w:name="_Toc69393555"/>
      <w:bookmarkStart w:id="60" w:name="_Toc69396328"/>
      <w:bookmarkStart w:id="61" w:name="_Toc69396363"/>
      <w:bookmarkStart w:id="62" w:name="_Toc69396552"/>
      <w:r w:rsidRPr="00D23BF1">
        <w:rPr>
          <w:rFonts w:ascii="Times" w:hAnsi="Times"/>
          <w:i/>
          <w:iCs/>
        </w:rPr>
        <w:t xml:space="preserve">Sample processing </w:t>
      </w:r>
    </w:p>
    <w:p w14:paraId="5D50D8CC" w14:textId="77777777" w:rsidR="00041ADB" w:rsidRPr="00D23BF1" w:rsidRDefault="00041ADB" w:rsidP="00F20BE1">
      <w:pPr>
        <w:rPr>
          <w:rFonts w:ascii="Times" w:hAnsi="Times"/>
        </w:rPr>
      </w:pPr>
      <w:r w:rsidRPr="00D23BF1">
        <w:rPr>
          <w:rFonts w:ascii="Times" w:hAnsi="Times"/>
        </w:rPr>
        <w:t xml:space="preserve">We extracted DNA from all samples using the </w:t>
      </w:r>
      <w:proofErr w:type="spellStart"/>
      <w:r w:rsidRPr="00D23BF1">
        <w:rPr>
          <w:rFonts w:ascii="Times" w:hAnsi="Times"/>
        </w:rPr>
        <w:t>MoBio</w:t>
      </w:r>
      <w:proofErr w:type="spellEnd"/>
      <w:r w:rsidRPr="00D23BF1">
        <w:rPr>
          <w:rFonts w:ascii="Times" w:hAnsi="Times"/>
        </w:rPr>
        <w:t xml:space="preserve"> </w:t>
      </w:r>
      <w:proofErr w:type="spellStart"/>
      <w:r w:rsidRPr="00D23BF1">
        <w:rPr>
          <w:rFonts w:ascii="Times" w:hAnsi="Times"/>
        </w:rPr>
        <w:t>Powersoil</w:t>
      </w:r>
      <w:proofErr w:type="spellEnd"/>
      <w:r w:rsidRPr="00D23BF1">
        <w:rPr>
          <w:rFonts w:ascii="Times" w:hAnsi="Times"/>
        </w:rPr>
        <w:t xml:space="preserve"> extraction kit (Mo Bio Laboratories, Inc., Canada), with some modifications to the standard protocol as recommended by Vo and </w:t>
      </w:r>
      <w:proofErr w:type="spellStart"/>
      <w:r w:rsidRPr="00D23BF1">
        <w:rPr>
          <w:rFonts w:ascii="Times" w:hAnsi="Times"/>
        </w:rPr>
        <w:t>Jedlicka</w:t>
      </w:r>
      <w:proofErr w:type="spellEnd"/>
      <w:r w:rsidRPr="00D23BF1">
        <w:rPr>
          <w:rFonts w:ascii="Times" w:hAnsi="Times"/>
        </w:rPr>
        <w:t xml:space="preserve"> </w:t>
      </w:r>
      <w:r w:rsidRPr="00D23BF1">
        <w:rPr>
          <w:rFonts w:ascii="Times" w:hAnsi="Times"/>
        </w:rPr>
        <w:fldChar w:fldCharType="begin" w:fldLock="1"/>
      </w:r>
      <w:r w:rsidRPr="00D23BF1">
        <w:rPr>
          <w:rFonts w:ascii="Times" w:hAnsi="Times"/>
        </w:rPr>
        <w:instrText>ADDIN CSL_CITATION {"citationItems":[{"id":"ITEM-1","itemData":{"DOI":"10.1111/1755-0998.12269","ISSN":"1755098X","author":[{"dropping-particle":"","family":"Vo","given":"a.-T. E.","non-dropping-particle":"","parse-names":false,"suffix":""},{"dropping-particle":"","family":"Jedlicka","given":"J. a.","non-dropping-particle":"","parse-names":false,"suffix":""}],"container-title":"Molecular Ecology Resources","id":"ITEM-1","issue":"6","issued":{"date-parts":[["2014"]]},"note":"Methods for faecal swab\ncomparison to other GMB seque","page":"1183-1197","title":"Protocols for metagenomic DNA extraction and Illumina amplicon library preparation for faecal and swab samples","type":"article-journal","volume":"14"},"uris":["http://www.mendeley.com/documents/?uuid=c6baf98d-7dd9-4d28-9b5b-38b5d4998e58"]}],"mendeley":{"formattedCitation":"&lt;sup&gt;30&lt;/sup&gt;","manualFormatting":"(2014)","plainTextFormattedCitation":"30","previouslyFormattedCitation":"(Vo &amp; Jedlicka 2014)"},"properties":{"noteIndex":0},"schema":"https://github.com/citation-style-language/schema/raw/master/csl-citation.json"}</w:instrText>
      </w:r>
      <w:r w:rsidRPr="00D23BF1">
        <w:rPr>
          <w:rFonts w:ascii="Times" w:hAnsi="Times"/>
        </w:rPr>
        <w:fldChar w:fldCharType="separate"/>
      </w:r>
      <w:r w:rsidRPr="00D23BF1">
        <w:rPr>
          <w:rFonts w:ascii="Times" w:hAnsi="Times"/>
          <w:noProof/>
        </w:rPr>
        <w:t>(2014)</w:t>
      </w:r>
      <w:r w:rsidRPr="00D23BF1">
        <w:rPr>
          <w:rFonts w:ascii="Times" w:hAnsi="Times"/>
        </w:rPr>
        <w:fldChar w:fldCharType="end"/>
      </w:r>
      <w:r w:rsidRPr="00D23BF1">
        <w:rPr>
          <w:rFonts w:ascii="Times" w:hAnsi="Times"/>
        </w:rPr>
        <w:t xml:space="preserve">. DNA was extracted from whole gut segments to ensure all bacteria contained therein was captured. Swab handle and head were removed from the extraction process after the cell lysing step. Additionally, to further increase DNA yield, solutions C2 and C3 were combined when precipitating non-DNA substances from the spin column at the recommendation of a </w:t>
      </w:r>
      <w:proofErr w:type="spellStart"/>
      <w:r w:rsidRPr="00D23BF1">
        <w:rPr>
          <w:rFonts w:ascii="Times" w:hAnsi="Times"/>
        </w:rPr>
        <w:t>MoBio</w:t>
      </w:r>
      <w:proofErr w:type="spellEnd"/>
      <w:r w:rsidRPr="00D23BF1">
        <w:rPr>
          <w:rFonts w:ascii="Times" w:hAnsi="Times"/>
        </w:rPr>
        <w:t xml:space="preserve"> technician (personal communication).</w:t>
      </w:r>
      <w:bookmarkEnd w:id="59"/>
      <w:bookmarkEnd w:id="60"/>
      <w:bookmarkEnd w:id="61"/>
      <w:bookmarkEnd w:id="62"/>
    </w:p>
    <w:p w14:paraId="0199F230" w14:textId="77777777" w:rsidR="00041ADB" w:rsidRPr="00D23BF1" w:rsidRDefault="00041ADB" w:rsidP="00F20BE1">
      <w:pPr>
        <w:rPr>
          <w:rFonts w:ascii="Times" w:hAnsi="Times"/>
        </w:rPr>
      </w:pPr>
      <w:r w:rsidRPr="00D23BF1">
        <w:rPr>
          <w:rFonts w:ascii="Times" w:hAnsi="Times"/>
        </w:rPr>
        <w:tab/>
        <w:t xml:space="preserve">We amplified the V4 region of the 16S rRNA gene using 515F/806R (resulting in ~292 bp amplicon) universal primers in a 25 µL final volume (Integrated DNA Technologies, USA) </w:t>
      </w:r>
      <w:r w:rsidRPr="00D23BF1">
        <w:rPr>
          <w:rFonts w:ascii="Times" w:hAnsi="Times"/>
        </w:rPr>
        <w:fldChar w:fldCharType="begin" w:fldLock="1"/>
      </w:r>
      <w:r w:rsidRPr="00D23BF1">
        <w:rPr>
          <w:rFonts w:ascii="Times" w:hAnsi="Times"/>
        </w:rPr>
        <w:instrText>ADDIN CSL_CITATION {"citationItems":[{"id":"ITEM-1","itemData":{"DOI":"10.1038/ismej.2012.8","ISSN":"17517362","abstract":"DNA sequencing continues to decrease in cost with the Illumina HiSeq2000 generating up to 600</w:instrText>
      </w:r>
      <w:r w:rsidRPr="00D23BF1">
        <w:rPr>
          <w:rFonts w:ascii="Times New Roman" w:hAnsi="Times New Roman" w:cs="Times New Roman"/>
        </w:rPr>
        <w:instrText> </w:instrText>
      </w:r>
      <w:r w:rsidRPr="00D23BF1">
        <w:rPr>
          <w:rFonts w:ascii="Times" w:hAnsi="Times"/>
        </w:rPr>
        <w:instrText>Gb of paired-end 100 base reads in a ten-day run. Here we present a protocol for community amplicon sequencing on the HiSeq2000 and MiSeq Illumina platforms, and apply that protocol to sequence 24 microbial communities from host-associated and free-living environments. A critical question as more sequencing platforms become available is whether biological conclusions derived on one platform are consistent with what would be derived on a different platform. We show that the protocol developed for these instruments successfully recaptures known biological results, and additionally that biological conclusions are consistent across sequencing platforms (the HiSeq2000 versus the MiSeq) and across the sequenced regions of amplicons.","author":[{"dropping-particle":"","family":"Caporaso","given":"J. Gregory","non-dropping-particle":"","parse-names":false,"suffix":""},{"dropping-particle":"","family":"Lauber","given":"Christian L.","non-dropping-particle":"","parse-names":false,"suffix":""},{"dropping-particle":"","family":"Walters","given":"William A.","non-dropping-particle":"","parse-names":false,"suffix":""},{"dropping-particle":"","family":"Berg-Lyons","given":"Donna","non-dropping-particle":"","parse-names":false,"suffix":""},{"dropping-particle":"","family":"Huntley","given":"James","non-dropping-particle":"","parse-names":false,"suffix":""},{"dropping-particle":"","family":"Fierer","given":"Noah","non-dropping-particle":"","parse-names":false,"suffix":""},{"dropping-particle":"","family":"Owens","given":"Sarah M.","non-dropping-particle":"","parse-names":false,"suffix":""},{"dropping-particle":"","family":"Betley","given":"Jason","non-dropping-particle":"","parse-names":false,"suffix":""},{"dropping-particle":"","family":"Fraser","given":"Louise","non-dropping-particle":"","parse-names":false,"suffix":""},{"dropping-particle":"","family":"Bauer","given":"Markus","non-dropping-particle":"","parse-names":false,"suffix":""},{"dropping-particle":"","family":"Gormley","given":"Niall","non-dropping-particle":"","parse-names":false,"suffix":""},{"dropping-particle":"","family":"Gilbert","given":"Jack A.","non-dropping-particle":"","parse-names":false,"suffix":""},{"dropping-particle":"","family":"Smith","given":"Geoff","non-dropping-particle":"","parse-names":false,"suffix":""},{"dropping-particle":"","family":"Knight","given":"Rob","non-dropping-particle":"","parse-names":false,"suffix":""}],"container-title":"ISME Journal","id":"ITEM-1","issue":"8","issued":{"date-parts":[["2012"]]},"page":"1621-1624","publisher":"Nature Publishing Group","title":"Ultra-high-throughput microbial community analysis on the Illumina HiSeq and MiSeq platforms","type":"article-journal","volume":"6"},"uris":["http://www.mendeley.com/documents/?uuid=22dedc49-6502-4e71-a0db-2f7dd7229486"]}],"mendeley":{"formattedCitation":"&lt;sup&gt;31&lt;/sup&gt;","plainTextFormattedCitation":"31","previouslyFormattedCitation":"(Caporaso &lt;i&gt;et al.&lt;/i&gt; 2012)"},"properties":{"noteIndex":0},"schema":"https://github.com/citation-style-language/schema/raw/master/csl-citation.json"}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31</w:t>
      </w:r>
      <w:r w:rsidRPr="00D23BF1">
        <w:rPr>
          <w:rFonts w:ascii="Times" w:hAnsi="Times"/>
        </w:rPr>
        <w:fldChar w:fldCharType="end"/>
      </w:r>
      <w:r w:rsidRPr="00D23BF1">
        <w:rPr>
          <w:rFonts w:ascii="Times" w:hAnsi="Times"/>
        </w:rPr>
        <w:t xml:space="preserve">. Each reaction contained: 12 µL sterile, molecular grade water, 1 µL bovine serum albumin, 10 µL 5’ hot </w:t>
      </w:r>
      <w:proofErr w:type="spellStart"/>
      <w:r w:rsidRPr="00D23BF1">
        <w:rPr>
          <w:rFonts w:ascii="Times" w:hAnsi="Times"/>
        </w:rPr>
        <w:t>Mastermix</w:t>
      </w:r>
      <w:proofErr w:type="spellEnd"/>
      <w:r w:rsidRPr="00D23BF1">
        <w:rPr>
          <w:rFonts w:ascii="Times" w:hAnsi="Times"/>
        </w:rPr>
        <w:t xml:space="preserve"> (Thermo Fisher, U.S.A.), 0.5 µL of each primer (at 100µM concentration), and 2 µL of DNA template. Each reaction was performed in triplicate to reduce PCR bias. Water was used as a negative control for each set of reactions. Denaturation of DNA was initially performed at 94°C for 2 minutes, then cycling was carried out as follows: 94°C for 8 seconds, annealing at 50°C for 20 seconds, extension at 72°C for 30 seconds; for 35 cycles. A final elongation was performed at 72°C for 10 minutes. PCR success was verified with gel electrophoresis.</w:t>
      </w:r>
    </w:p>
    <w:p w14:paraId="09ECDA62"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 xml:space="preserve">Samples with fewer than two successful amplifications were re-amplified, and two or three successful reactions of each sample were pooled in preparation for addition of Illumina tags. </w:t>
      </w:r>
      <w:r w:rsidRPr="00D23BF1">
        <w:rPr>
          <w:rFonts w:ascii="Times" w:eastAsia="Times New Roman" w:hAnsi="Times" w:cs="Times New Roman"/>
        </w:rPr>
        <w:lastRenderedPageBreak/>
        <w:t xml:space="preserve">Samples that did not have at least two successful amplifications from the six attempted were not included in sequencing and are not reflected in our results. In total we had 42 samples successfully amplify from 10 birds (8 proventriculus, 10 small intestine, 9 large intestine, 5 cloacal swabs, 10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Dual-end barcodes modelled after </w:t>
      </w:r>
      <w:proofErr w:type="spellStart"/>
      <w:r w:rsidRPr="00D23BF1">
        <w:rPr>
          <w:rFonts w:ascii="Times" w:hAnsi="Times" w:cs="Times New Roman"/>
        </w:rPr>
        <w:t>TruSeq</w:t>
      </w:r>
      <w:proofErr w:type="spellEnd"/>
      <w:r w:rsidRPr="00D23BF1">
        <w:rPr>
          <w:rFonts w:ascii="Times" w:hAnsi="Times" w:cs="Times New Roman"/>
        </w:rPr>
        <w:t xml:space="preserve"> HT primers</w:t>
      </w:r>
      <w:r w:rsidRPr="00D23BF1">
        <w:rPr>
          <w:rFonts w:ascii="Times" w:eastAsia="Times New Roman" w:hAnsi="Times" w:cs="Times New Roman"/>
        </w:rPr>
        <w:t xml:space="preserve"> were used to provide a unique combination for each sample (Integrated DNA Technologies, U.S.A.). Successful tag addition was confirmed with gel electrophoresis by comparing size fragment with untagged PCR products. After tag addition, concentrations of all samples were </w:t>
      </w:r>
      <w:proofErr w:type="spellStart"/>
      <w:r w:rsidRPr="00D23BF1">
        <w:rPr>
          <w:rFonts w:ascii="Times" w:eastAsia="Times New Roman" w:hAnsi="Times" w:cs="Times New Roman"/>
        </w:rPr>
        <w:t>normalised</w:t>
      </w:r>
      <w:proofErr w:type="spellEnd"/>
      <w:r w:rsidRPr="00D23BF1">
        <w:rPr>
          <w:rFonts w:ascii="Times" w:eastAsia="Times New Roman" w:hAnsi="Times" w:cs="Times New Roman"/>
        </w:rPr>
        <w:t xml:space="preserve"> using a </w:t>
      </w:r>
      <w:proofErr w:type="spellStart"/>
      <w:r w:rsidRPr="00D23BF1">
        <w:rPr>
          <w:rFonts w:ascii="Times" w:eastAsia="Times New Roman" w:hAnsi="Times" w:cs="Times New Roman"/>
        </w:rPr>
        <w:t>SequalPrep</w:t>
      </w:r>
      <w:proofErr w:type="spellEnd"/>
      <w:r w:rsidRPr="00D23BF1">
        <w:rPr>
          <w:rFonts w:ascii="Times" w:eastAsia="Times New Roman" w:hAnsi="Times" w:cs="Times New Roman"/>
        </w:rPr>
        <w:t xml:space="preserve"> </w:t>
      </w:r>
      <w:proofErr w:type="spellStart"/>
      <w:r w:rsidRPr="00D23BF1">
        <w:rPr>
          <w:rFonts w:ascii="Times" w:eastAsia="Times New Roman" w:hAnsi="Times" w:cs="Times New Roman"/>
        </w:rPr>
        <w:t>normalisation</w:t>
      </w:r>
      <w:proofErr w:type="spellEnd"/>
      <w:r w:rsidRPr="00D23BF1">
        <w:rPr>
          <w:rFonts w:ascii="Times" w:eastAsia="Times New Roman" w:hAnsi="Times" w:cs="Times New Roman"/>
        </w:rPr>
        <w:t xml:space="preserve"> kit (Thermo Fisher</w:t>
      </w:r>
      <w:r w:rsidRPr="00D23BF1">
        <w:rPr>
          <w:rFonts w:ascii="Times" w:hAnsi="Times" w:cs="Times New Roman"/>
        </w:rPr>
        <w:t>, U.S.A.</w:t>
      </w:r>
      <w:r w:rsidRPr="00D23BF1">
        <w:rPr>
          <w:rFonts w:ascii="Times" w:eastAsia="Times New Roman" w:hAnsi="Times" w:cs="Times New Roman"/>
        </w:rPr>
        <w:t xml:space="preserve">). The resulting PCR product was pooled and purified using </w:t>
      </w:r>
      <w:proofErr w:type="spellStart"/>
      <w:r w:rsidRPr="00D23BF1">
        <w:rPr>
          <w:rFonts w:ascii="Times" w:eastAsia="Times New Roman" w:hAnsi="Times" w:cs="Times New Roman"/>
        </w:rPr>
        <w:t>Agencort</w:t>
      </w:r>
      <w:proofErr w:type="spellEnd"/>
      <w:r w:rsidRPr="00D23BF1">
        <w:rPr>
          <w:rFonts w:ascii="Times" w:eastAsia="Times New Roman" w:hAnsi="Times" w:cs="Times New Roman"/>
        </w:rPr>
        <w:t xml:space="preserve"> </w:t>
      </w:r>
      <w:proofErr w:type="spellStart"/>
      <w:r w:rsidRPr="00D23BF1">
        <w:rPr>
          <w:rFonts w:ascii="Times" w:eastAsia="Times New Roman" w:hAnsi="Times" w:cs="Times New Roman"/>
        </w:rPr>
        <w:t>AmPure</w:t>
      </w:r>
      <w:proofErr w:type="spellEnd"/>
      <w:r w:rsidRPr="00D23BF1">
        <w:rPr>
          <w:rFonts w:ascii="Times" w:eastAsia="Times New Roman" w:hAnsi="Times" w:cs="Times New Roman"/>
        </w:rPr>
        <w:t xml:space="preserve"> beads (Beckman Coulter</w:t>
      </w:r>
      <w:r w:rsidRPr="00D23BF1">
        <w:rPr>
          <w:rFonts w:ascii="Times" w:hAnsi="Times" w:cs="Times New Roman"/>
        </w:rPr>
        <w:t>, U.S.A.</w:t>
      </w:r>
      <w:r w:rsidRPr="00D23BF1">
        <w:rPr>
          <w:rFonts w:ascii="Times" w:eastAsia="Times New Roman" w:hAnsi="Times" w:cs="Times New Roman"/>
        </w:rPr>
        <w:t xml:space="preserve">), then sent to </w:t>
      </w:r>
      <w:proofErr w:type="spellStart"/>
      <w:r w:rsidRPr="00D23BF1">
        <w:rPr>
          <w:rFonts w:ascii="Times" w:eastAsia="Times New Roman" w:hAnsi="Times" w:cs="Times New Roman"/>
        </w:rPr>
        <w:t>GeneWiz</w:t>
      </w:r>
      <w:proofErr w:type="spellEnd"/>
      <w:r w:rsidRPr="00D23BF1">
        <w:rPr>
          <w:rFonts w:ascii="Times" w:eastAsia="Times New Roman" w:hAnsi="Times" w:cs="Times New Roman"/>
        </w:rPr>
        <w:t xml:space="preserve">, LLC (U.S.A.) for sequencing on an Illumina </w:t>
      </w:r>
      <w:proofErr w:type="spellStart"/>
      <w:r w:rsidRPr="00D23BF1">
        <w:rPr>
          <w:rFonts w:ascii="Times" w:eastAsia="Times New Roman" w:hAnsi="Times" w:cs="Times New Roman"/>
        </w:rPr>
        <w:t>MiSeq</w:t>
      </w:r>
      <w:proofErr w:type="spellEnd"/>
      <w:r w:rsidRPr="00D23BF1">
        <w:rPr>
          <w:rFonts w:ascii="Times" w:eastAsia="Times New Roman" w:hAnsi="Times" w:cs="Times New Roman"/>
        </w:rPr>
        <w:t xml:space="preserve"> platform with v2 reagent kit and paired-end 250 bp protocol.</w:t>
      </w:r>
    </w:p>
    <w:p w14:paraId="5E8284E4"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ab/>
      </w:r>
    </w:p>
    <w:p w14:paraId="5031195F" w14:textId="77777777" w:rsidR="00041ADB" w:rsidRPr="00D23BF1" w:rsidRDefault="00041ADB" w:rsidP="00F20BE1">
      <w:pPr>
        <w:rPr>
          <w:rFonts w:ascii="Times" w:hAnsi="Times"/>
          <w:b/>
          <w:bCs/>
        </w:rPr>
      </w:pPr>
      <w:bookmarkStart w:id="63" w:name="_Toc69393556"/>
      <w:bookmarkStart w:id="64" w:name="_Toc69396329"/>
      <w:bookmarkStart w:id="65" w:name="_Toc69396364"/>
      <w:bookmarkStart w:id="66" w:name="_Toc69396553"/>
      <w:r w:rsidRPr="00D23BF1">
        <w:rPr>
          <w:rFonts w:ascii="Times" w:hAnsi="Times"/>
          <w:b/>
          <w:bCs/>
        </w:rPr>
        <w:t xml:space="preserve">Sequence Processing </w:t>
      </w:r>
    </w:p>
    <w:p w14:paraId="06A7414F"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 xml:space="preserve"> All sequence processing was completed using QIIME2 version 2019.7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10.1038/s41587-019-0209-9","ISSN":"1546-1696","author":[{"dropping-particle":"","family":"Bolyen","given":"Evan","non-dropping-particle":"","parse-names":false,"suffix":""},{"dropping-particle":"","family":"Rideout","given":"Jai Ram","non-dropping-particle":"","parse-names":false,"suffix":""},{"dropping-particle":"","family":"Dillon","given":"Matthew R.","non-dropping-particle":"","parse-names":false,"suffix":""},{"dropping-particle":"","family":"Bokulich","given":"Nicholas A.","non-dropping-particle":"","parse-names":false,"suffix":""},{"dropping-particle":"","family":"Chase","given":"John","non-dropping-particle":"","parse-names":false,"suffix":""},{"dropping-particle":"","family":"Cope","given":"Emily K.","non-dropping-particle":"","parse-names":false,"suffix":""},{"dropping-particle":"","family":"Gorlick","given":"Kestrel","non-dropping-particle":"","parse-names":false,"suffix":""},{"dropping-particle":"","family":"Keefe","given":"Christopher R.","non-dropping-particle":"","parse-names":false,"suffix":""},{"dropping-particle":"","family":"Keim","given":"Paul","non-dropping-particle":"","parse-names":false,"suffix":""},{"dropping-particle":"","family":"Kreps","given":"Jorden","non-dropping-particle":"","parse-names":false,"suffix":""},{"dropping-particle":"","family":"Naimey","given":"Ahmad Turan","non-dropping-particle":"","parse-names":false,"suffix":""},{"dropping-particle":"","family":"Pearson","given":"Talima","non-dropping-particle":"","parse-names":false,"suffix":""},{"dropping-particle":"","family":"Shiffer","given":"Arron","non-dropping-particle":"","parse-names":false,"suffix":""},{"dropping-particle":"","family":"Caporaso","given":"J. Gregory","non-dropping-particle":"","parse-names":false,"suffix":""},{"dropping-particle":"","family":"Abnet","given":"Christian C.","non-dropping-particle":"","parse-names":false,"suffix":""},{"dropping-particle":"","family":"Loftfield","given":"Erikka","non-dropping-particle":"","parse-names":false,"suffix":""},{"dropping-particle":"","family":"Sinha","given":"Rashmi","non-dropping-particle":"","parse-names":false,"suffix":""},{"dropping-particle":"","family":"Vogtmann","given":"Emily","non-dropping-particle":"","parse-names":false,"suffix":""},{"dropping-particle":"","family":"Wan","given":"Yunhu","non-dropping-particle":"","parse-names":false,"suffix":""},{"dropping-particle":"","family":"Al-Ghalith","given":"Gabriel A.","non-dropping-particle":"","parse-names":false,"suffix":""},{"dropping-particle":"","family":"Alexander","given":"Harriet","non-dropping-particle":"","parse-names":false,"suffix":""},{"dropping-particle":"","family":"Brown","given":"C. Titus","non-dropping-particle":"","parse-names":false,"suffix":""},{"dropping-particle":"","family":"Alm","given":"Eric J.","non-dropping-particle":"","parse-names":false,"suffix":""},{"dropping-particle":"","family":"Duvallet","given":"Claire","non-dropping-particle":"","parse-names":false,"suffix":""},{"dropping-particle":"","family":"Alm","given":"Eric J.","non-dropping-particle":"","parse-names":false,"suffix":""},{"dropping-particle":"","family":"Arumugam","given":"Manimozhiyan","non-dropping-particle":"","parse-names":false,"suffix":""},{"dropping-particle":"","family":"Brejnrod","given":"Asker","non-dropping-particle":"","parse-names":false,"suffix":""},{"dropping-particle":"","family":"Rasmussen","given":"Lasse Buur","non-dropping-particle":"","parse-names":false,"suffix":""},{"dropping-particle":"","family":"Asnicar","given":"Francesco","non-dropping-particle":"","parse-names":false,"suffix":""},{"dropping-particle":"","family":"Segata","given":"Nicola","non-dropping-particle":"","parse-names":false,"suffix":""},{"dropping-particle":"","family":"Bai","given":"Yang","non-dropping-particle":"","parse-names":false,"suffix":""},{"dropping-particle":"","family":"Liu","given":"Yong Xin","non-dropping-particle":"","parse-names":false,"suffix":""},{"dropping-particle":"","family":"Bai","given":"Yang","non-dropping-particle":"","parse-names":false,"suffix":""},{"dropping-particle":"","family":"Liu","given":"Yong Xin","non-dropping-particle":"","parse-names":false,"suffix":""},{"dropping-particle":"","family":"Bisanz","given":"Jordan E.","non-dropping-particle":"","parse-names":false,"suffix":""},{"dropping-particle":"","family":"Bittinger","given":"Kyle","non-dropping-particle":"","parse-names":false,"suffix":""},{"dropping-particle":"","family":"Brislawn","given":"Colin J.","non-dropping-particle":"","parse-names":false,"suffix":""},{"dropping-particle":"","family":"Callahan","given":"Benjamin J.","non-dropping-particle":"","parse-names":false,"suffix":""},{"dropping-particle":"","family":"Callahan","given":"Benjamin J.","non-dropping-particle":"","parse-names":false,"suffix":""},{"dropping-particle":"","family":"Caraballo-Rodríguez","given":"Andrés Mauricio","non-dropping-particle":"","parse-names":false,"suffix":""},{"dropping-particle":"","family":"Silva","given":"Ricardo","non-dropping-particle":"Da","parse-names":false,"suffix":""},{"dropping-particle":"","family":"Dorrestein","given":"Pieter C.","non-dropping-particle":"","parse-names":false,"suffix":""},{"dropping-particle":"","family":"Ernst","given":"Madeleine","non-dropping-particle":"","parse-names":false,"suffix":""},{"dropping-particle":"","family":"Gauglitz","given":"Julia M.","non-dropping-particle":"","parse-names":false,"suffix":""},{"dropping-particle":"","family":"Jarmusch","given":"Alan K.","non-dropping-particle":"","parse-names":false,"suffix":""},{"dropping-particle":"Bin","family":"Kang","given":"Kyo","non-dropping-particle":"","parse-names":false,"suffix":""},{"dropping-particle":"","family":"Koester","given":"Irina","non-dropping-particle":"","parse-names":false,"suffix":""},{"dropping-particle":"V.","family":"Melnik","given":"Alexey","non-dropping-particle":"","parse-names":false,"suffix":""},{"dropping-particle":"","family":"Nothias","given":"Louis Felix","non-dropping-particle":"","parse-names":false,"suffix":""},{"dropping-particle":"","family":"Petras","given":"Daniel","non-dropping-particle":"","parse-names":false,"suffix":""},{"dropping-particle":"","family":"Tripathi","given":"Anupriya","non-dropping-particle":"","parse-names":false,"suffix":""},{"dropping-particle":"","family":"Wang","given":"Mingxun","non-dropping-particle":"","parse-names":false,"suffix":""},{"dropping-particle":"","family":"Caporaso","given":"J. Gregory","non-dropping-particle":"","parse-names":false,"suffix":""},{"dropping-particle":"","family":"Diener","given":"Christian","non-dropping-particle":"","parse-names":false,"suffix":""},{"dropping-particle":"","family":"Gibbons","given":"Sean M.","non-dropping-particle":"","parse-names":false,"suffix":""},{"dropping-particle":"","family":"Douglas","given":"Gavin M.","non-dropping-particle":"","parse-names":false,"suffix":""},{"dropping-particle":"","family":"Durall","given":"Daniel M.","non-dropping-particle":"","parse-names":false,"suffix":""},{"dropping-particle":"","family":"Edwardson","given":"Christian F.","non-dropping-particle":"","parse-names":false,"suffix":""},{"dropping-particle":"","family":"Estaki","given":"Mehrbod","non-dropping-particle":"","parse-names":false,"suffix":""},{"dropping-particle":"","family":"Fouquier","given":"Jennifer","non-dropping-particle":"","parse-names":false,"suffix":""},{"dropping-particle":"","family":"Shaffer","given":"Michael","non-dropping-particle":"","parse-names":false,"suffix":""},{"dropping-particle":"","family":"Fouquier","given":"Jennifer","non-dropping-particle":"","parse-names":false,"suffix":""},{"dropping-particle":"","family":"Lozupone","given":"Catherine","non-dropping-particle":"","parse-names":false,"suffix":""},{"dropping-particle":"","family":"Pruesse","given":"Elmar","non-dropping-particle":"","parse-names":false,"suffix":""},{"dropping-particle":"","family":"Gibbons","given":"Sean M.","non-dropping-particle":"","parse-names":false,"suffix":""},{"dropping-particle":"","family":"Gibson","given":"Deanna L.","non-dropping-particle":"","parse-names":false,"suffix":""},{"dropping-particle":"","family":"Gonzalez","given":"Antonio","non-dropping-particle":"","parse-names":false,"suffix":""},{"dropping-particle":"","family":"Holste","given":"Hannes","non-dropping-particle":"","parse-names":false,"suffix":""},{"dropping-particle":"","family":"Marotz","given":"Clarisse","non-dropping-particle":"","parse-names":false,"suffix":""},{"dropping-particle":"","family":"McDonald","given":"Daniel","non-dropping-particle":"","parse-names":false,"suffix":""},{"dropping-particle":"","family":"Morton","given":"Jamie T.","non-dropping-particle":"","parse-names":false,"suffix":""},{"dropping-particle":"","family":"Navas-Molina","given":"Jose A.","non-dropping-particle":"","parse-names":false,"suffix":""},{"dropping-particle":"","family":"Song","given":"Se Jin","non-dropping-particle":"","parse-names":false,"suffix":""},{"dropping-particle":"","family":"Vázquez-Baeza","given":"Yoshiki","non-dropping-particle":"","parse-names":false,"suffix":""},{"dropping-particle":"","family":"Xu","given":"Zhenjiang Zech","non-dropping-particle":"","parse-names":false,"suffix":""},{"dropping-particle":"","family":"Zhu","given":"Qiyun","non-dropping-particle":"","parse-names":false,"suffix":""},{"dropping-particle":"","family":"Knight","given":"Rob","non-dropping-particle":"","parse-names":false,"suffix":""},{"dropping-particle":"","family":"Guo","given":"Jiarong","non-dropping-particle":"","parse-names":false,"suffix":""},{"dropping-particle":"","family":"Hillmann","given":"Benjamin","non-dropping-particle":"","parse-names":false,"suffix":""},{"dropping-particle":"","family":"Knights","given":"Dan","non-dropping-particle":"","parse-names":false,"suffix":""},{"dropping-particle":"","family":"Holmes","given":"Susan","non-dropping-particle":"","parse-names":false,"suffix":""},{"dropping-particle":"","family":"Holste","given":"Hannes","non-dropping-particle":"","parse-names":false,"suffix":""},{"dropping-particle":"","family":"Huttenhower","given":"Curtis","non-dropping-particle":"","parse-names":false,"suffix":""},{"dropping-particle":"","family":"McIver","given":"Lauren J.","non-dropping-particle":"","parse-names":false,"suffix":""},{"dropping-particle":"","family":"Huttenhower","given":"Curtis","non-dropping-particle":"","parse-names":false,"suffix":""},{"dropping-particle":"","family":"Huttley","given":"Gavin A.","non-dropping-particle":"","parse-names":false,"suffix":""},{"dropping-particle":"","family":"Kaehler","given":"Benjamin D.","non-dropping-particle":"","parse-names":false,"suffix":""},{"dropping-particle":"","family":"Janssen","given":"Stefan","non-dropping-particle":"","parse-names":false,"suffix":""},{"dropping-particle":"","family":"Jiang","given":"Lingjing","non-dropping-particle":"","parse-names":false,"suffix":""},{"dropping-particle":"Bin","family":"Kang","given":"Kyo","non-dropping-particle":"","parse-names":false,"suffix":""},{"dropping-particle":"","family":"Kelley","given":"Scott T.","non-dropping-particle":"","parse-names":false,"suffix":""},{"dropping-particle":"","family":"Kosciolek","given":"Tomasz","non-dropping-particle":"","parse-names":false,"suffix":""},{"dropping-particle":"","family":"Langille","given":"Morgan G.I.","non-dropping-particle":"","parse-names":false,"suffix":""},{"dropping-particle":"","family":"Lee","given":"Joslynn","non-dropping-particle":"","parse-names":false,"suffix":""},{"dropping-particle":"","family":"Ley","given":"Ruth","non-dropping-particle":"","parse-names":false,"suffix":""},{"dropping-particle":"","family":"Walters","given":"William","non-dropping-particle":"","parse-names":false,"suffix":""},{"dropping-particle":"","family":"Maher","given":"Massoud","non-dropping-particle":"","parse-names":false,"suffix":""},{"dropping-particle":"","family":"Navas-Molina","given":"Jose A.","non-dropping-particle":"","parse-names":false,"suffix":""},{"dropping-particle":"","family":"Martin","given":"Bryan D.","non-dropping-particle":"","parse-names":false,"suffix":""},{"dropping-particle":"","family":"Metcalf","given":"Jessica L.","non-dropping-particle":"","parse-names":false,"suffix":""}],"container-title":"Nature Biotechnology","id":"ITEM-1","issue":"8","issued":{"date-parts":[["2019"]]},"page":"852-857","title":"Reproducible, interactive, scalable and extensible microbiome data science using QIIME 2 (Nature Biotechnology, (2019), 37, 8, (852-857), 10.1038/s41587-019-0209-9)","type":"article-journal","volume":"37"},"uris":["http://www.mendeley.com/documents/?uuid=b7705651-ee9e-4678-a140-70ed567d4bb4"]}],"mendeley":{"formattedCitation":"&lt;sup&gt;32&lt;/sup&gt;","plainTextFormattedCitation":"32","previouslyFormattedCitation":"(Bolyen &lt;i&gt;et al.&lt;/i&gt; 2019)"},"properties":{"noteIndex":0},"schema":"https://github.com/citation-style-language/schema/raw/master/csl-citation.json"}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32</w:t>
      </w:r>
      <w:r w:rsidRPr="00D23BF1">
        <w:rPr>
          <w:rFonts w:ascii="Times" w:eastAsia="Times New Roman" w:hAnsi="Times" w:cs="Times New Roman"/>
        </w:rPr>
        <w:fldChar w:fldCharType="end"/>
      </w:r>
      <w:r w:rsidRPr="00D23BF1">
        <w:rPr>
          <w:rFonts w:ascii="Times" w:eastAsia="Times New Roman" w:hAnsi="Times" w:cs="Times New Roman"/>
        </w:rPr>
        <w:t xml:space="preserve">. We obtained a total of 12,433,478 sequences, with a median of 247,049 and a mean of 282,579 sequences per sample. The lowest number of reads in a sample was 769, the highest was 1,920,361. Quality filtering and read assembly was performed in QIIME2, using the divisive amplicon denoising algorithm (DADA2) pipeline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{"citationItems":[{"id":"ITEM-1","itemData":{"DOI":"10.1186/1471-2105-13-283","ISBN":"1471-2105 (Electronic)\\r1471-2105 (Linking)","ISSN":"14712105","PMID":"23113967","abstract":"BACKGROUND: PCR amplification and high-throughput sequencing theoretically enable the characterization of the finest-scale diversity in natural microbial and viral populations, but each of these methods introduces random errors that are difficult to distinguish from genuine biological diversity. Several approaches have been proposed to denoise these data but lack either speed or accuracy.\\n\\nRESULTS: We introduce a new denoising algorithm that we call DADA (Divisive Amplicon Denoising Algorithm). Without training data, DADA infers both the sample genotypes and error parameters that produced a metagenome data set. We demonstrate performance on control data sequenced on Roche's 454 platform, and compare the results to the most accurate denoising software currently available, AmpliconNoise.\\n\\nCONCLUSIONS: DADA is more accurate and over an order of magnitude faster than AmpliconNoise. It eliminates the need for training data to establish error parameters, fully utilizes sequence-abundance information, and enables inclusion of context-dependent PCR error rates. It should be readily extensible to other sequencing platforms such as Illumina.","author":[{"dropping-particle":"","family":"Rosen","given":"Michael J.","non-dropping-particle":"","parse-names":false,"suffix":""},{"dropping-particle":"","family":"Callahan","given":"Benjamin J.","non-dropping-particle":"","parse-names":false,"suffix":""},{"dropping-particle":"","family":"Fisher","given":"Daniel S.","non-dropping-particle":"","parse-names":false,"suffix":""},{"dropping-particle":"","family":"Holmes","given":"Susan P.","non-dropping-particle":"","parse-names":false,"suffix":""}],"container-title":"BMC Bioinformatics","id":"ITEM-1","issue":"1","issued":{"date-parts":[["2012"]]},"title":"Denoising PCR-amplified metagenome data","type":"article-journal","volume":"13"},"uris":["http://www.mendeley.com/documents/?uuid=c0247592-7a1b-4692-bcbe-9409a9e2e452"]}],"mendeley":{"formattedCitation":"&lt;sup&gt;33&lt;/sup&gt;","plainTextFormattedCitation":"33","previouslyFormattedCitation":"(Rosen &lt;i&gt;et al.&lt;/i&gt; 2012)"},"properties":{"noteIndex":0},"schema":"https://github.com/citation-style-language/schema/raw/master/csl-citation.json"}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33</w:t>
      </w:r>
      <w:r w:rsidRPr="00D23BF1">
        <w:rPr>
          <w:rFonts w:ascii="Times" w:eastAsia="Times New Roman" w:hAnsi="Times" w:cs="Times New Roman"/>
        </w:rPr>
        <w:fldChar w:fldCharType="end"/>
      </w:r>
      <w:r w:rsidRPr="00D23BF1">
        <w:rPr>
          <w:rFonts w:ascii="Times" w:eastAsia="Times New Roman" w:hAnsi="Times" w:cs="Times New Roman"/>
        </w:rPr>
        <w:t xml:space="preserve">. We identified a total of 442 amplicon sequence variants (ASVs), comparable to operational taxonomic unit (OTU) picking at a 100% sequence similarity threshold (see Tables S1 and S2 for read and ASV counts per sample). A representative set of sequences from all ASVs was made, and a tree was constructed from this set using a maximum likelihood method implemented in </w:t>
      </w:r>
      <w:proofErr w:type="spellStart"/>
      <w:r w:rsidRPr="00D23BF1">
        <w:rPr>
          <w:rFonts w:ascii="Times" w:eastAsia="Times New Roman" w:hAnsi="Times" w:cs="Times New Roman"/>
        </w:rPr>
        <w:t>FastTree</w:t>
      </w:r>
      <w:proofErr w:type="spellEnd"/>
      <w:r w:rsidRPr="00D23BF1">
        <w:rPr>
          <w:rFonts w:ascii="Times" w:eastAsia="Times New Roman" w:hAnsi="Times" w:cs="Times New Roman"/>
        </w:rPr>
        <w:t xml:space="preserve">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{"citationItems":[{"id":"ITEM-1","itemData":{"DOI":"10.1371/journal.pone.0009490","ISBN":"1932-6203","ISSN":"19326203","PMID":"20224823","abstract":"We recently described FastTree, a tool for inferring phylogenies for alignments with up to hundreds of thousands of sequences. Here, we describe improvements to FastTree that improve its accuracy without sacrificing scalability.","author":[{"dropping-particle":"","family":"Price","given":"Morgan N.","non-dropping-particle":"","parse-names":false,"suffix":""},{"dropping-particle":"","family":"Dehal","given":"Paramvir S.","non-dropping-particle":"","parse-names":false,"suffix":""},{"dropping-particle":"","family":"Arkin","given":"Adam P.","non-dropping-particle":"","parse-names":false,"suffix":""}],"container-title":"PLoS ONE","id":"ITEM-1","issue":"3","issued":{"date-parts":[["2010"]]},"title":"FastTree 2 - Approximately maximum-likelihood trees for large alignments","type":"article-journal","volume":"5"},"uris":["http://www.mendeley.com/documents/?uuid=66bfd12e-4dad-496c-80f0-81e66cdd86bc"]}],"mendeley":{"formattedCitation":"&lt;sup&gt;34&lt;/sup&gt;","plainTextFormattedCitation":"34","previouslyFormattedCitation":"(Price &lt;i&gt;et al.&lt;/i&gt; 2010)"},"properties":{"noteIndex":0},"schema":"https://github.com/citation-style-language/schema/raw/master/csl-citation.json"}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34</w:t>
      </w:r>
      <w:r w:rsidRPr="00D23BF1">
        <w:rPr>
          <w:rFonts w:ascii="Times" w:eastAsia="Times New Roman" w:hAnsi="Times" w:cs="Times New Roman"/>
        </w:rPr>
        <w:fldChar w:fldCharType="end"/>
      </w:r>
      <w:r w:rsidRPr="00D23BF1">
        <w:rPr>
          <w:rFonts w:ascii="Times" w:eastAsia="Times New Roman" w:hAnsi="Times" w:cs="Times New Roman"/>
        </w:rPr>
        <w:t xml:space="preserve">. Taxonomy was assigned with the SILVA database, and sequences identified as chloroplast, mitochondria or archaea were removed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{"citationItems":[{"id":"ITEM-1","itemData":{"DOI":"10.1093/nar/gks1219","ISSN":"03051048","abstract":"SILVA (from Latin silva, forest, http://www.arb-silva.de) is a comprehensive web resource for up to date, quality-controlled databases of aligned ribosomal RNA (rRNA) gene sequences from the Bacteria, Archaea and Eukaryota domains and supplementary online services. The referred database release 111 (July 2012) contains 3 194 778 small subunit and 288 717 large subunit rRNA gene sequences. Since the initial description of the project, substantial new features have been introduced, including advanced quality control procedures, an improved rRNA gene aligner, online tools for probe and primer evaluation and optimized browsing, searching and downloading on the website. Furthermore, the extensively curated SILVA taxonomy and the new non-redundant SILVA datasets provide an ideal reference for high-throughput classification of data from next-generation sequencing approaches.","author":[{"dropping-particle":"","family":"Quast","given":"Christian","non-dropping-particle":"","parse-names":false,"suffix":""},{"dropping-particle":"","family":"Pruesse","given":"Elmar","non-dropping-particle":"","parse-names":false,"suffix":""},{"dropping-particle":"","family":"Yilmaz","given":"Pelin","non-dropping-particle":"","parse-names":false,"suffix":""},{"dropping-particle":"","family":"Gerken","given":"Jan","non-dropping-particle":"","parse-names":false,"suffix":""},{"dropping-particle":"","family":"Schweer","given":"Timmy","non-dropping-particle":"","parse-names":false,"suffix":""},{"dropping-particle":"","family":"Yarza","given":"Pablo","non-dropping-particle":"","parse-names":false,"suffix":""},{"dropping-particle":"","family":"Peplies","given":"Jörg","non-dropping-particle":"","parse-names":false,"suffix":""},{"dropping-particle":"","family":"Glöckner","given":"Frank Oliver","non-dropping-particle":"","parse-names":false,"suffix":""}],"container-title":"Nucleic Acids Research","id":"ITEM-1","issue":"D1","issued":{"date-parts":[["2013"]]},"page":"590-596","title":"The SILVA ribosomal RNA gene database project: Improved data processing and web-based tools","type":"article-journal","volume":"41"},"uris":["http://www.mendeley.com/documents/?uuid=2ccb0764-979f-4156-b43e-99a46ca85f8e"]}],"mendeley":{"formattedCitation":"&lt;sup&gt;35&lt;/sup&gt;","plainTextFormattedCitation":"35","previouslyFormattedCitation":"(Quast &lt;i&gt;et al.&lt;/i&gt; 2013)"},"properties":{"noteIndex":0},"schema":"https://github.com/citation-style-language/schema/raw/master/csl-citation.json"}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35</w:t>
      </w:r>
      <w:r w:rsidRPr="00D23BF1">
        <w:rPr>
          <w:rFonts w:ascii="Times" w:eastAsia="Times New Roman" w:hAnsi="Times" w:cs="Times New Roman"/>
        </w:rPr>
        <w:fldChar w:fldCharType="end"/>
      </w:r>
      <w:r w:rsidRPr="00D23BF1">
        <w:rPr>
          <w:rFonts w:ascii="Times" w:eastAsia="Times New Roman" w:hAnsi="Times" w:cs="Times New Roman"/>
        </w:rPr>
        <w:t xml:space="preserve">. Samples were rarefied to the lowest acceptable read depth at 1041 reads for statistical analyses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{"citationItems":[{"id":"ITEM-1","itemData":{"DOI":"10.1371/journal.pone.0016952","ISBN":"1932-6203 (Electronic) 1932-6203 (Linking)","ISSN":"19326203","PMID":"21347324","abstract":"BACKGROUND: The characterization of the human intestinal microflora and their interactions with the host have been identified as key components in the study of intestinal disorders such as inflammatory bowel diseases. High-throughput sequencing has enabled culture-independent studies to deeply analyze bacteria in the gut. It is possible with this technology to systematically analyze links between microbes and the genetic constitution of the host, such as DNA polymorphisms and methylation, and gene expression.\\n\\nMETHODS AND FINDINGS: In this study the V2 region of the bacterial 16S ribosomal RNA (rRNA) gene using 454 pyrosequencing from seven anatomic regions of human colon and two types of stool specimens were analyzed. The study examined the number of reads needed to ascertain differences between samples, the effect of DNA extraction procedures and PCR reproducibility, and differences between biopsies and stools in order to design a large scale systematic analysis of gut microbes. It was shown (1) that sequence coverage lower than 1,000 reads influenced quantitative and qualitative differences between samples measured by UniFrac distances. Distances between samples became stable after 1,000 reads. (2) Difference of extracted bacteria was observed between the two DNA extraction methods. In particular, Firmicutes Bacilli were not extracted well by one method. (3) Quantitative and qualitative difference in bacteria from ileum to rectum colon were not observed, but there was a significant positive trend between distances within colon and quantitative differences. Between sample type, biopsies or stools, quantitative and qualitative differences were observed.\\n\\nCONCLUSIONS: Results of human colonic bacteria analyzed using high-throughput sequencing were highly dependent on the experimental design, especially the number of sequence reads, DNA extraction method, and sample type.","author":[{"dropping-particle":"","family":"Momozawa","given":"Yukihide","non-dropping-particle":"","parse-names":false,"suffix":""},{"dropping-particle":"","family":"Deffontaine","given":"Valérie","non-dropping-particle":"","parse-names":false,"suffix":""},{"dropping-particle":"","family":"Louis","given":"Edouard","non-dropping-particle":"","parse-names":false,"suffix":""},{"dropping-particle":"","family":"Medrano","given":"Juan F.","non-dropping-particle":"","parse-names":false,"suffix":""}],"container-title":"PLoS ONE","id":"ITEM-1","issue":"2","issued":{"date-parts":[["2011"]]},"note":"1000 reads stable enough for reliable unifrac distances","title":"Characterization of bacteria in biopsies of colon and stools by high throughput sequencing of the V2 region of bacterial 16s rRNA gene in human","type":"article-journal","volume":"6"},"uris":["http://www.mendeley.com/documents/?uuid=a651509a-8245-41db-b80a-af92f8cf60b9"]}],"mendeley":{"formattedCitation":"&lt;sup&gt;16&lt;/sup&gt;","plainTextFormattedCitation":"16","previouslyFormattedCitation":"(Momozawa &lt;i&gt;et al.&lt;/i&gt; 2011)"},"properties":{"noteIndex":0},"schema":"https://github.com/citation-style-language/schema/raw/master/csl-citation.json"}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16</w:t>
      </w:r>
      <w:r w:rsidRPr="00D23BF1">
        <w:rPr>
          <w:rFonts w:ascii="Times" w:eastAsia="Times New Roman" w:hAnsi="Times" w:cs="Times New Roman"/>
        </w:rPr>
        <w:fldChar w:fldCharType="end"/>
      </w:r>
      <w:r w:rsidRPr="00D23BF1">
        <w:rPr>
          <w:rFonts w:ascii="Times" w:eastAsia="Times New Roman" w:hAnsi="Times" w:cs="Times New Roman"/>
        </w:rPr>
        <w:t>. See the Data Statement section below for sequences and processing/analysis reproducibility.</w:t>
      </w:r>
      <w:bookmarkEnd w:id="63"/>
      <w:bookmarkEnd w:id="64"/>
      <w:bookmarkEnd w:id="65"/>
      <w:bookmarkEnd w:id="66"/>
      <w:r w:rsidRPr="00D23BF1">
        <w:rPr>
          <w:rFonts w:ascii="Times" w:eastAsia="Times New Roman" w:hAnsi="Times" w:cs="Times New Roman"/>
        </w:rPr>
        <w:t xml:space="preserve"> </w:t>
      </w:r>
    </w:p>
    <w:p w14:paraId="59812779" w14:textId="77777777" w:rsidR="00041ADB" w:rsidRPr="00D23BF1" w:rsidRDefault="00041ADB" w:rsidP="00F20BE1">
      <w:pPr>
        <w:rPr>
          <w:rFonts w:ascii="Times" w:eastAsia="Times New Roman" w:hAnsi="Times" w:cs="Times New Roman"/>
        </w:rPr>
      </w:pPr>
    </w:p>
    <w:p w14:paraId="4AD43A80" w14:textId="77777777" w:rsidR="00041ADB" w:rsidRPr="00D23BF1" w:rsidRDefault="00041ADB" w:rsidP="00F20BE1">
      <w:pPr>
        <w:rPr>
          <w:rFonts w:ascii="Times" w:eastAsia="Times New Roman" w:hAnsi="Times" w:cs="Times New Roman"/>
          <w:b/>
          <w:bCs/>
        </w:rPr>
      </w:pPr>
      <w:bookmarkStart w:id="67" w:name="_Toc69393557"/>
      <w:bookmarkStart w:id="68" w:name="_Toc69396330"/>
      <w:bookmarkStart w:id="69" w:name="_Toc69396365"/>
      <w:bookmarkStart w:id="70" w:name="_Toc69396554"/>
      <w:r w:rsidRPr="00D23BF1">
        <w:rPr>
          <w:rFonts w:ascii="Times" w:hAnsi="Times"/>
          <w:b/>
          <w:bCs/>
        </w:rPr>
        <w:t>Statistical Analyses</w:t>
      </w:r>
    </w:p>
    <w:p w14:paraId="4AD52FC5"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 xml:space="preserve"> We next compared the microbiome communities found in the non-lethal samples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and cloacal swabs) to the communities found in the lethal samples (proventriculus, small and large intestine). We first examined variation in alpha diversity among samples. We calculated Shannon diversity index in QIIME2 on the rarefied ASV table. Alpha diversity indices were compared across all samples from all individuals using an ANOVA with post-hoc Tukey tests. These tests were used to compare differences in alpha diversity between each of the non-lethal sample types and the lethal sample types. We also used an ANOVA with post-hoc tests to examine our assumption that the physiologically distinct proventriculus had a distinct microbiome.</w:t>
      </w:r>
      <w:bookmarkEnd w:id="67"/>
      <w:bookmarkEnd w:id="68"/>
      <w:bookmarkEnd w:id="69"/>
      <w:bookmarkEnd w:id="70"/>
      <w:r w:rsidRPr="00D23BF1">
        <w:rPr>
          <w:rFonts w:ascii="Times" w:eastAsia="Times New Roman" w:hAnsi="Times" w:cs="Times New Roman"/>
        </w:rPr>
        <w:t xml:space="preserve"> </w:t>
      </w:r>
    </w:p>
    <w:p w14:paraId="6F96684A"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 xml:space="preserve">We then examined beta diversity among samples. We calculated pairwise weighted and unweighted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using QIIME2.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are a measure of community dissimilarity that takes into account phylogenetic relatedness of members. Unweighted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 only considers presence/absence of taxa and can be thought of as a measure of dissimilarity of microbial community membership among samples. 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 takes into account the relative abundance of taxa between samples and is considered a measure of dissimilarity of community structure among samples. Lower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between samples indicate more similar communities. To test our hypothesis that our non-lethal samples are representative of an internal community of interest, we compared variance of beta diversity of the cloacal swabs and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to the variance of beta diversity of the large intestines and small intestines using </w:t>
      </w:r>
      <w:proofErr w:type="spellStart"/>
      <w:r w:rsidRPr="00D23BF1">
        <w:rPr>
          <w:rFonts w:ascii="Times" w:eastAsia="Times New Roman" w:hAnsi="Times" w:cs="Times New Roman"/>
        </w:rPr>
        <w:t>adonis</w:t>
      </w:r>
      <w:proofErr w:type="spellEnd"/>
      <w:r w:rsidRPr="00D23BF1">
        <w:rPr>
          <w:rFonts w:ascii="Times" w:eastAsia="Times New Roman" w:hAnsi="Times" w:cs="Times New Roman"/>
        </w:rPr>
        <w:t xml:space="preserve"> in the R package vegan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{"citationItems":[{"id":"ITEM-1","itemData":{"DOI":"10.1038/sj.leu.2402722","ISBN":"0887-6924 (Print)\\r0887-6924 (Linking)","ISSN":"0887-6924","PMID":"12357343","abstract":"PML is the most frequent fusion partner of the RARalpha in the specific translocations associated with acute promyelocytic leukemia (APL). Models to explain the origin of this leukemia propose a block in cell differentiation due to aberrant repression of retinoic acid responsive genes and/or disruption of the function of the PML-containing nuclear bodies. Recently, PML has been identified as a regulator of replicative senescence and the premature senescence that occurs in response to oncogenic ras. This review discusses the idea that senescence is a general tumor suppressor mechanism related to terminal differentiation and disrupted during the establishment of APL and other cancers. According to this idea the PML-RARalpha fusion protein promotes leukemogenesis not only through repression of retinoic acid responsive genes, but also by way of interfering with several tumor suppressor proteins that cooperate to establish senescence. Retinoids and other drugs effective against APL do so by re-establishment of the senescence program, which also includes features of cell differentiation.","author":[{"dropping-particle":"","family":"Oksanen","given":"Jari","non-dropping-particle":"","parse-names":false,"suffix":""}],"container-title":"https://CRAN.R-project.org/package=vegan","id":"ITEM-1","issued":{"date-parts":[["2015"]]},"title":"Vegan: Community Ecology Package. R package version 2.4-3.","type":"article-journal"},"uris":["http://www.mendeley.com/documents/?uuid=c027f890-1620-4434-bde6-dde2c47d7ab2"]}],"mendeley":{"formattedCitation":"&lt;sup&gt;36&lt;/sup&gt;","plainTextFormattedCitation":"36","previouslyFormattedCitation":"(Oksanen 2015)"},"properties":{"noteIndex":0},"schema":"https://github.com/citation-style-language/schema/raw/master/csl-citation.json"}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36</w:t>
      </w:r>
      <w:r w:rsidRPr="00D23BF1">
        <w:rPr>
          <w:rFonts w:ascii="Times" w:eastAsia="Times New Roman" w:hAnsi="Times" w:cs="Times New Roman"/>
        </w:rPr>
        <w:fldChar w:fldCharType="end"/>
      </w:r>
      <w:r w:rsidRPr="00D23BF1">
        <w:rPr>
          <w:rFonts w:ascii="Times" w:eastAsia="Times New Roman" w:hAnsi="Times" w:cs="Times New Roman"/>
        </w:rPr>
        <w:t xml:space="preserve"> and a t-test comparison of mean </w:t>
      </w:r>
      <w:r w:rsidRPr="00D23BF1">
        <w:rPr>
          <w:rFonts w:ascii="Times" w:eastAsia="Times New Roman" w:hAnsi="Times" w:cs="Times New Roman"/>
        </w:rPr>
        <w:lastRenderedPageBreak/>
        <w:t xml:space="preserve">distances. To </w:t>
      </w:r>
      <w:proofErr w:type="spellStart"/>
      <w:r w:rsidRPr="00D23BF1">
        <w:rPr>
          <w:rFonts w:ascii="Times" w:eastAsia="Times New Roman" w:hAnsi="Times" w:cs="Times New Roman"/>
        </w:rPr>
        <w:t>visualise</w:t>
      </w:r>
      <w:proofErr w:type="spellEnd"/>
      <w:r w:rsidRPr="00D23BF1">
        <w:rPr>
          <w:rFonts w:ascii="Times" w:eastAsia="Times New Roman" w:hAnsi="Times" w:cs="Times New Roman"/>
        </w:rPr>
        <w:t xml:space="preserve"> the dissimilarity measures among communities we used a </w:t>
      </w:r>
      <w:proofErr w:type="spellStart"/>
      <w:r w:rsidRPr="00D23BF1">
        <w:rPr>
          <w:rFonts w:ascii="Times" w:eastAsia="Times New Roman" w:hAnsi="Times" w:cs="Times New Roman"/>
        </w:rPr>
        <w:t>PCoA</w:t>
      </w:r>
      <w:proofErr w:type="spellEnd"/>
      <w:r w:rsidRPr="00D23BF1">
        <w:rPr>
          <w:rFonts w:ascii="Times" w:eastAsia="Times New Roman" w:hAnsi="Times" w:cs="Times New Roman"/>
        </w:rPr>
        <w:t xml:space="preserve"> generated in R with ggplot2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{"citationItems":[{"id":"ITEM-1","itemData":{"DOI":"10.1007/978-0-387-98141-3","ISBN":"9780387981406","ISSN":"0006341X","abstract":"This book describes ggplot2, a new data visualization package for R that uses the insights from Leland Wilkison's Grammar of Graphics to create a powerful and flexible system for creating data graphics. With ggplot2, it's easy to:produce handsome, publication-quality plots, with automatic legends created from the plot specificationsuperpose multiple layers (points, lines, maps, tiles, box plots to name a few) from different data sources, with automatically adjusted common scalesadd customisable smoothers that use the powerful modelling capabilities of R, such as loess, linear models, generalised additive models and robust regressionsave any ggplot2 plot (or part thereof) for later modification or reusecreate custom themes that capture in-house or journal style requirements, and that can easily be applied to multiple plotsapproach your graph from a visual perspective, thinking about how each component of the data is represented on the final plot.This book will be useful to everyone who has struggled with displaying their data in an informative and attractive way. You will need some basic knowledge of R (i.e. you should be able to get your data into R), but ggplot2 is a mini-language specifically tailored for producing graphics, and you'll learn everything you need in the book. After reading this book you'll be able to produce graphics customized precisely for your problems, to and you'll find it easy to get graphics out of your head and on to the screen or page.","author":[{"dropping-particle":"","family":"Wickham","given":"Hadley","non-dropping-particle":"","parse-names":false,"suffix":""}],"container-title":"Book","id":"ITEM-1","issue":"July","issued":{"date-parts":[["2009"]]},"page":"211","title":"ggplot2 : Elegant graphics for data analysis","type":"article-journal","volume":"35"},"uris":["http://www.mendeley.com/documents/?uuid=77bab338-15eb-4930-bd96-34e8a9bc1b15"]}],"mendeley":{"formattedCitation":"&lt;sup&gt;37&lt;/sup&gt;","plainTextFormattedCitation":"37","previouslyFormattedCitation":"(Wickham 2009)"},"properties":{"noteIndex":0},"schema":"https://github.com/citation-style-language/schema/raw/master/csl-citation.json"}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37</w:t>
      </w:r>
      <w:r w:rsidRPr="00D23BF1">
        <w:rPr>
          <w:rFonts w:ascii="Times" w:eastAsia="Times New Roman" w:hAnsi="Times" w:cs="Times New Roman"/>
        </w:rPr>
        <w:fldChar w:fldCharType="end"/>
      </w:r>
      <w:r w:rsidRPr="00D23BF1">
        <w:rPr>
          <w:rFonts w:ascii="Times" w:eastAsia="Times New Roman" w:hAnsi="Times" w:cs="Times New Roman"/>
        </w:rPr>
        <w:t>.</w:t>
      </w:r>
    </w:p>
    <w:p w14:paraId="782BC2E9"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 xml:space="preserve">Because each bird had multiple sample types (repeated measures), we assessed the ability of non-lethal samples to capture individual variation in large intestinal microbial communities. For this, we compared pairwise 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from the non-lethal sample within a focal individual to the large intestinal community from that same bird (e.g., large intestines vs. cloaca, large intestines vs. </w:t>
      </w:r>
      <w:proofErr w:type="spellStart"/>
      <w:r w:rsidRPr="00D23BF1">
        <w:rPr>
          <w:rFonts w:ascii="Times" w:eastAsia="Times New Roman" w:hAnsi="Times" w:cs="Times New Roman"/>
        </w:rPr>
        <w:t>faeces</w:t>
      </w:r>
      <w:proofErr w:type="spellEnd"/>
      <w:r w:rsidRPr="00D23BF1">
        <w:rPr>
          <w:rFonts w:ascii="Times" w:eastAsia="Times New Roman" w:hAnsi="Times" w:cs="Times New Roman"/>
        </w:rPr>
        <w:t xml:space="preserve">; all within-individual distances). We then calculated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between the large intestinal community of the focal individual and the non-lethal samples of all other individuals (i.e. between-individual distances) and averaged these distances so that each focal individual only had a single ‘between-individual’ distance. Finally, we compared these within-individual distances to the between-individual distances using a paired t-test. Unless otherwise mentioned, all statistical analyses were conducted in R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{"citationItems":[{"id":"ITEM-1","itemData":{"DOI":"10.1007/978-3-540-74686-7","ISBN":"3_900051_00_3","ISSN":"3-900051-07-0","PMID":"16106260","abstract":"R Core Team (2014). R: A language and environment for statistical computing. R Foundation for Statistical Computing, Vienna, Austria. URL http://www.R-project.org/.","author":[{"dropping-particle":"","family":"Team","given":"R Development Core","non-dropping-particle":"","parse-names":false,"suffix":""},{"dropping-particle":"","family":"R Development Core Team","given":"R","non-dropping-particle":"","parse-names":false,"suffix":""}],"container-title":"R Foundation for Statistical Computing","id":"ITEM-1","issued":{"date-parts":[["2016"]]},"title":"R: A Language and Environment for Statistical Computing","type":"article-journal"},"uris":["http://www.mendeley.com/documents/?uuid=06a69239-f93e-4826-a15e-44428afd8f61"]}],"mendeley":{"formattedCitation":"&lt;sup&gt;38&lt;/sup&gt;","plainTextFormattedCitation":"38","previouslyFormattedCitation":"(Team &amp; R Development Core Team 2016)"},"properties":{"noteIndex":0},"schema":"https://github.com/citation-style-language/schema/raw/master/csl-citation.json"}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38</w:t>
      </w:r>
      <w:r w:rsidRPr="00D23BF1">
        <w:rPr>
          <w:rFonts w:ascii="Times" w:eastAsia="Times New Roman" w:hAnsi="Times" w:cs="Times New Roman"/>
        </w:rPr>
        <w:fldChar w:fldCharType="end"/>
      </w:r>
      <w:r w:rsidRPr="00D23BF1">
        <w:rPr>
          <w:rFonts w:ascii="Times" w:eastAsia="Times New Roman" w:hAnsi="Times" w:cs="Times New Roman"/>
        </w:rPr>
        <w:t>.</w:t>
      </w:r>
    </w:p>
    <w:p w14:paraId="41E1515E" w14:textId="77777777" w:rsidR="00041ADB" w:rsidRPr="00D23BF1" w:rsidRDefault="00041ADB" w:rsidP="00F20BE1">
      <w:pPr>
        <w:rPr>
          <w:rFonts w:ascii="Times" w:eastAsia="Times New Roman" w:hAnsi="Times" w:cs="Times New Roman"/>
        </w:rPr>
      </w:pPr>
    </w:p>
    <w:p w14:paraId="7BFB4C33" w14:textId="77777777" w:rsidR="00041ADB" w:rsidRPr="00D23BF1" w:rsidRDefault="00041ADB" w:rsidP="00F20BE1">
      <w:pPr>
        <w:pStyle w:val="Heading2"/>
        <w:rPr>
          <w:rFonts w:ascii="Times" w:hAnsi="Times"/>
        </w:rPr>
      </w:pPr>
      <w:bookmarkStart w:id="71" w:name="_Toc69972871"/>
      <w:r w:rsidRPr="00D23BF1">
        <w:rPr>
          <w:rFonts w:ascii="Times" w:hAnsi="Times"/>
        </w:rPr>
        <w:t>Results</w:t>
      </w:r>
      <w:bookmarkEnd w:id="71"/>
    </w:p>
    <w:p w14:paraId="72A7448C" w14:textId="77777777" w:rsidR="00041ADB" w:rsidRPr="00D23BF1" w:rsidRDefault="00041ADB" w:rsidP="00F20BE1">
      <w:pPr>
        <w:rPr>
          <w:rFonts w:ascii="Times" w:eastAsia="Times New Roman" w:hAnsi="Times" w:cs="Times New Roman"/>
          <w:i/>
        </w:rPr>
      </w:pPr>
    </w:p>
    <w:p w14:paraId="15FDB12A" w14:textId="77777777" w:rsidR="00041ADB" w:rsidRPr="00D23BF1" w:rsidRDefault="00041ADB" w:rsidP="00F20BE1">
      <w:pPr>
        <w:rPr>
          <w:rFonts w:ascii="Times" w:hAnsi="Times"/>
          <w:b/>
          <w:bCs/>
        </w:rPr>
      </w:pPr>
      <w:bookmarkStart w:id="72" w:name="_Toc69393559"/>
      <w:bookmarkStart w:id="73" w:name="_Toc69396332"/>
      <w:bookmarkStart w:id="74" w:name="_Toc69396367"/>
      <w:bookmarkStart w:id="75" w:name="_Toc69396556"/>
      <w:r w:rsidRPr="00D23BF1">
        <w:rPr>
          <w:rFonts w:ascii="Times" w:hAnsi="Times"/>
          <w:b/>
          <w:bCs/>
        </w:rPr>
        <w:t>Dominant Taxa</w:t>
      </w:r>
    </w:p>
    <w:p w14:paraId="408246F0"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i/>
        </w:rPr>
        <w:t xml:space="preserve"> </w:t>
      </w:r>
      <w:r w:rsidRPr="00D23BF1">
        <w:rPr>
          <w:rFonts w:ascii="Times" w:eastAsia="Times New Roman" w:hAnsi="Times" w:cs="Times New Roman"/>
        </w:rPr>
        <w:t>The class of bacteria (</w:t>
      </w:r>
      <w:proofErr w:type="spellStart"/>
      <w:r w:rsidRPr="00D23BF1">
        <w:rPr>
          <w:rFonts w:ascii="Times" w:eastAsia="Times New Roman" w:hAnsi="Times" w:cs="Times New Roman"/>
        </w:rPr>
        <w:t>Epsilonproteobacteria</w:t>
      </w:r>
      <w:proofErr w:type="spellEnd"/>
      <w:r w:rsidRPr="00D23BF1">
        <w:rPr>
          <w:rFonts w:ascii="Times" w:eastAsia="Times New Roman" w:hAnsi="Times" w:cs="Times New Roman"/>
        </w:rPr>
        <w:t xml:space="preserve">) dominant in our community of interest (large intestine, 71.7%) was also the dominant class of bacteria in our non-lethal samples, </w:t>
      </w:r>
      <w:proofErr w:type="spellStart"/>
      <w:r w:rsidRPr="00D23BF1">
        <w:rPr>
          <w:rFonts w:ascii="Times" w:eastAsia="Times New Roman" w:hAnsi="Times" w:cs="Times New Roman"/>
        </w:rPr>
        <w:t>faeces</w:t>
      </w:r>
      <w:proofErr w:type="spellEnd"/>
      <w:r w:rsidRPr="00D23BF1">
        <w:rPr>
          <w:rFonts w:ascii="Times" w:eastAsia="Times New Roman" w:hAnsi="Times" w:cs="Times New Roman"/>
        </w:rPr>
        <w:t xml:space="preserve"> (65.8%) and cloacal swabs (82.5%) (Fig. 2). This class of bacteria was present at much lower levels in the small intestines (17%) and proventriculus (12.7%). The only class that was in the top three most abundant across all our sample types was bacilli (cloaca 14.4%, </w:t>
      </w:r>
      <w:proofErr w:type="spellStart"/>
      <w:r w:rsidRPr="00D23BF1">
        <w:rPr>
          <w:rFonts w:ascii="Times" w:eastAsia="Times New Roman" w:hAnsi="Times" w:cs="Times New Roman"/>
        </w:rPr>
        <w:t>faeces</w:t>
      </w:r>
      <w:proofErr w:type="spellEnd"/>
      <w:r w:rsidRPr="00D23BF1">
        <w:rPr>
          <w:rFonts w:ascii="Times" w:eastAsia="Times New Roman" w:hAnsi="Times" w:cs="Times New Roman"/>
        </w:rPr>
        <w:t xml:space="preserve"> 22.0%, large intestines 27.4%, small intestines 79.1%, proventriculus 29.0%; Fig. 2). For most of our samples a small portion of bacteria were not assigned to class level (small intestines=1.33%, large intestines=0.10%, cloacal swab=0.07%, </w:t>
      </w:r>
      <w:proofErr w:type="spellStart"/>
      <w:r w:rsidRPr="00D23BF1">
        <w:rPr>
          <w:rFonts w:ascii="Times" w:eastAsia="Times New Roman" w:hAnsi="Times" w:cs="Times New Roman"/>
        </w:rPr>
        <w:t>faeces</w:t>
      </w:r>
      <w:proofErr w:type="spellEnd"/>
      <w:r w:rsidRPr="00D23BF1">
        <w:rPr>
          <w:rFonts w:ascii="Times" w:eastAsia="Times New Roman" w:hAnsi="Times" w:cs="Times New Roman"/>
        </w:rPr>
        <w:t>=0.22%), but a considerably higher portion of the proventricular bacteria were not assigned to class (6.63%).</w:t>
      </w:r>
      <w:bookmarkEnd w:id="72"/>
      <w:bookmarkEnd w:id="73"/>
      <w:bookmarkEnd w:id="74"/>
      <w:bookmarkEnd w:id="75"/>
      <w:r w:rsidRPr="00D23BF1">
        <w:rPr>
          <w:rFonts w:ascii="Times" w:eastAsia="Times New Roman" w:hAnsi="Times" w:cs="Times New Roman"/>
        </w:rPr>
        <w:t xml:space="preserve"> </w:t>
      </w:r>
    </w:p>
    <w:p w14:paraId="60E8453E" w14:textId="77777777" w:rsidR="00041ADB" w:rsidRPr="00D23BF1" w:rsidRDefault="00041ADB" w:rsidP="00F20BE1">
      <w:pPr>
        <w:rPr>
          <w:rFonts w:ascii="Times" w:eastAsia="Times New Roman" w:hAnsi="Times" w:cs="Times New Roman"/>
          <w:i/>
        </w:rPr>
      </w:pPr>
    </w:p>
    <w:p w14:paraId="49B5567B" w14:textId="77777777" w:rsidR="00041ADB" w:rsidRPr="00D23BF1" w:rsidRDefault="00041ADB" w:rsidP="00F20BE1">
      <w:pPr>
        <w:rPr>
          <w:rFonts w:ascii="Times" w:hAnsi="Times"/>
          <w:b/>
          <w:bCs/>
        </w:rPr>
      </w:pPr>
      <w:r w:rsidRPr="00D23BF1">
        <w:rPr>
          <w:rFonts w:ascii="Times" w:hAnsi="Times"/>
          <w:b/>
          <w:bCs/>
        </w:rPr>
        <w:t xml:space="preserve">Alpha Diversity </w:t>
      </w:r>
    </w:p>
    <w:p w14:paraId="4CC3894B"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There was a significant effect of sample type on the Shannon diversity index (One-way ANOVA F</w:t>
      </w:r>
      <w:r w:rsidRPr="00D23BF1">
        <w:rPr>
          <w:rFonts w:ascii="Times" w:eastAsia="Times New Roman" w:hAnsi="Times" w:cs="Times New Roman"/>
          <w:vertAlign w:val="subscript"/>
        </w:rPr>
        <w:t xml:space="preserve">4, 38 </w:t>
      </w:r>
      <w:r w:rsidRPr="00D23BF1">
        <w:rPr>
          <w:rFonts w:ascii="Times" w:eastAsia="Times New Roman" w:hAnsi="Times" w:cs="Times New Roman"/>
        </w:rPr>
        <w:t xml:space="preserve">= 5.383, </w:t>
      </w:r>
      <w:r w:rsidRPr="00D23BF1">
        <w:rPr>
          <w:rFonts w:ascii="Times" w:eastAsia="Times New Roman" w:hAnsi="Times" w:cs="Times New Roman"/>
          <w:i/>
        </w:rPr>
        <w:t xml:space="preserve">P </w:t>
      </w:r>
      <w:r w:rsidRPr="00D23BF1">
        <w:rPr>
          <w:rFonts w:ascii="Times" w:eastAsia="Times New Roman" w:hAnsi="Times" w:cs="Times New Roman"/>
        </w:rPr>
        <w:t>= 0.001). Cloacal swabs (mean (m) = 1.13, standard deviation (</w:t>
      </w:r>
      <w:proofErr w:type="spellStart"/>
      <w:r w:rsidRPr="00D23BF1">
        <w:rPr>
          <w:rFonts w:ascii="Times" w:eastAsia="Times New Roman" w:hAnsi="Times" w:cs="Times New Roman"/>
        </w:rPr>
        <w:t>sd</w:t>
      </w:r>
      <w:proofErr w:type="spellEnd"/>
      <w:r w:rsidRPr="00D23BF1">
        <w:rPr>
          <w:rFonts w:ascii="Times" w:eastAsia="Times New Roman" w:hAnsi="Times" w:cs="Times New Roman"/>
        </w:rPr>
        <w:t xml:space="preserve">) = 0.40) and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(m = 1.23, </w:t>
      </w:r>
      <w:proofErr w:type="spellStart"/>
      <w:r w:rsidRPr="00D23BF1">
        <w:rPr>
          <w:rFonts w:ascii="Times" w:eastAsia="Times New Roman" w:hAnsi="Times" w:cs="Times New Roman"/>
        </w:rPr>
        <w:t>sd</w:t>
      </w:r>
      <w:proofErr w:type="spellEnd"/>
      <w:r w:rsidRPr="00D23BF1">
        <w:rPr>
          <w:rFonts w:ascii="Times" w:eastAsia="Times New Roman" w:hAnsi="Times" w:cs="Times New Roman"/>
        </w:rPr>
        <w:t xml:space="preserve"> = 0.70) did not differ significantly from any other sample type except the proventriculus in terms of Shannon diversity (post-hoc Tukey, all </w:t>
      </w:r>
      <w:r w:rsidRPr="00D23BF1">
        <w:rPr>
          <w:rFonts w:ascii="Times" w:eastAsia="Times New Roman" w:hAnsi="Times" w:cs="Times New Roman"/>
          <w:i/>
        </w:rPr>
        <w:t>P</w:t>
      </w:r>
      <w:r w:rsidRPr="00D23BF1">
        <w:rPr>
          <w:rFonts w:ascii="Times" w:eastAsia="Times New Roman" w:hAnsi="Times" w:cs="Times New Roman"/>
        </w:rPr>
        <w:t xml:space="preserve"> &gt; 0.05). The bacterial community of the proventriculus (m = 2.25, </w:t>
      </w:r>
      <w:proofErr w:type="spellStart"/>
      <w:r w:rsidRPr="00D23BF1">
        <w:rPr>
          <w:rFonts w:ascii="Times" w:eastAsia="Times New Roman" w:hAnsi="Times" w:cs="Times New Roman"/>
        </w:rPr>
        <w:t>sd</w:t>
      </w:r>
      <w:proofErr w:type="spellEnd"/>
      <w:r w:rsidRPr="00D23BF1">
        <w:rPr>
          <w:rFonts w:ascii="Times" w:eastAsia="Times New Roman" w:hAnsi="Times" w:cs="Times New Roman"/>
        </w:rPr>
        <w:t xml:space="preserve"> = 0.51) had significantly higher alpha diversity than the small intestines (m =1.14, </w:t>
      </w:r>
      <w:proofErr w:type="spellStart"/>
      <w:r w:rsidRPr="00D23BF1">
        <w:rPr>
          <w:rFonts w:ascii="Times" w:eastAsia="Times New Roman" w:hAnsi="Times" w:cs="Times New Roman"/>
        </w:rPr>
        <w:t>sd</w:t>
      </w:r>
      <w:proofErr w:type="spellEnd"/>
      <w:r w:rsidRPr="00D23BF1">
        <w:rPr>
          <w:rFonts w:ascii="Times" w:eastAsia="Times New Roman" w:hAnsi="Times" w:cs="Times New Roman"/>
        </w:rPr>
        <w:t xml:space="preserve"> = 0.51), the large intestine (m = 1.05, </w:t>
      </w:r>
      <w:proofErr w:type="spellStart"/>
      <w:r w:rsidRPr="00D23BF1">
        <w:rPr>
          <w:rFonts w:ascii="Times" w:eastAsia="Times New Roman" w:hAnsi="Times" w:cs="Times New Roman"/>
        </w:rPr>
        <w:t>sd</w:t>
      </w:r>
      <w:proofErr w:type="spellEnd"/>
      <w:r w:rsidRPr="00D23BF1">
        <w:rPr>
          <w:rFonts w:ascii="Times" w:eastAsia="Times New Roman" w:hAnsi="Times" w:cs="Times New Roman"/>
        </w:rPr>
        <w:t xml:space="preserve"> = 0.54), and both non-lethal samples (post-hoc Tukey HSD, all </w:t>
      </w:r>
      <w:r w:rsidRPr="00D23BF1">
        <w:rPr>
          <w:rFonts w:ascii="Times" w:eastAsia="Times New Roman" w:hAnsi="Times" w:cs="Times New Roman"/>
          <w:i/>
        </w:rPr>
        <w:t>P</w:t>
      </w:r>
      <w:r w:rsidRPr="00D23BF1">
        <w:rPr>
          <w:rFonts w:ascii="Times" w:eastAsia="Times New Roman" w:hAnsi="Times" w:cs="Times New Roman"/>
        </w:rPr>
        <w:t xml:space="preserve"> &lt; 0.05; Fig. 3).</w:t>
      </w:r>
    </w:p>
    <w:p w14:paraId="0476EF92" w14:textId="77777777" w:rsidR="00041ADB" w:rsidRPr="00D23BF1" w:rsidRDefault="00041ADB" w:rsidP="00F20BE1">
      <w:pPr>
        <w:rPr>
          <w:rFonts w:ascii="Times" w:eastAsia="Times New Roman" w:hAnsi="Times" w:cs="Times New Roman"/>
        </w:rPr>
      </w:pPr>
    </w:p>
    <w:p w14:paraId="61D1680A" w14:textId="77777777" w:rsidR="00041ADB" w:rsidRPr="00D23BF1" w:rsidRDefault="00041ADB" w:rsidP="00F20BE1">
      <w:pPr>
        <w:rPr>
          <w:rFonts w:ascii="Times" w:hAnsi="Times"/>
          <w:b/>
          <w:bCs/>
        </w:rPr>
      </w:pPr>
      <w:r w:rsidRPr="00D23BF1">
        <w:rPr>
          <w:rFonts w:ascii="Times" w:hAnsi="Times"/>
          <w:b/>
          <w:bCs/>
        </w:rPr>
        <w:t xml:space="preserve">Beta </w:t>
      </w:r>
      <w:proofErr w:type="gramStart"/>
      <w:r w:rsidRPr="00D23BF1">
        <w:rPr>
          <w:rFonts w:ascii="Times" w:hAnsi="Times"/>
          <w:b/>
          <w:bCs/>
        </w:rPr>
        <w:t>Diversity :</w:t>
      </w:r>
      <w:proofErr w:type="gramEnd"/>
      <w:r w:rsidRPr="00D23BF1">
        <w:rPr>
          <w:rFonts w:ascii="Times" w:hAnsi="Times"/>
          <w:b/>
          <w:bCs/>
        </w:rPr>
        <w:t xml:space="preserve"> Comparison among lethal and non-lethal samples </w:t>
      </w:r>
    </w:p>
    <w:p w14:paraId="399123B8"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 xml:space="preserve">We conducted a principal coordinates ordination on unweighted and 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to examine community membership and structure among the bacterial communities of lethal and non-lethal samples.</w:t>
      </w:r>
      <w:r w:rsidRPr="00D23BF1">
        <w:rPr>
          <w:rFonts w:ascii="Times" w:eastAsia="Times New Roman" w:hAnsi="Times" w:cs="Times New Roman"/>
          <w:i/>
        </w:rPr>
        <w:t xml:space="preserve"> </w:t>
      </w:r>
      <w:r w:rsidRPr="00D23BF1">
        <w:rPr>
          <w:rFonts w:ascii="Times" w:eastAsia="Times New Roman" w:hAnsi="Times" w:cs="Times New Roman"/>
        </w:rPr>
        <w:t xml:space="preserve">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(Fig. 4B) explained more variation in gut microbial community than unweighted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(Fig. 4A) (weighted PCO1 = 58.56%, unweighted PCO1 = 34.17%). 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(which take relative abundances of microbial taxa into account) explained a greater proportion of variation among all sampled bacterial communities than unweighted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(which only consider presence/absence of taxa).</w:t>
      </w:r>
    </w:p>
    <w:p w14:paraId="10142CC1" w14:textId="4FADA0F9" w:rsidR="00041ADB" w:rsidRDefault="00041ADB" w:rsidP="00F20BE1">
      <w:pPr>
        <w:rPr>
          <w:rFonts w:ascii="Times" w:eastAsia="Times New Roman" w:hAnsi="Times" w:cs="Times New Roman"/>
        </w:rPr>
      </w:pPr>
    </w:p>
    <w:p w14:paraId="53054619" w14:textId="77777777" w:rsidR="00B36955" w:rsidRPr="00D23BF1" w:rsidRDefault="00B36955" w:rsidP="00F20BE1">
      <w:pPr>
        <w:rPr>
          <w:rFonts w:ascii="Times" w:eastAsia="Times New Roman" w:hAnsi="Times" w:cs="Times New Roman"/>
        </w:rPr>
      </w:pPr>
    </w:p>
    <w:p w14:paraId="71059298" w14:textId="77777777" w:rsidR="00041ADB" w:rsidRPr="00D23BF1" w:rsidRDefault="00041ADB" w:rsidP="00F20BE1">
      <w:pPr>
        <w:rPr>
          <w:rFonts w:ascii="Times" w:hAnsi="Times"/>
          <w:b/>
          <w:bCs/>
        </w:rPr>
      </w:pPr>
      <w:r w:rsidRPr="00D23BF1">
        <w:rPr>
          <w:rFonts w:ascii="Times" w:hAnsi="Times"/>
          <w:b/>
          <w:bCs/>
        </w:rPr>
        <w:lastRenderedPageBreak/>
        <w:t xml:space="preserve">Evaluation of cloacal swabs </w:t>
      </w:r>
    </w:p>
    <w:p w14:paraId="7DD5D10B"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First, we compared the community membership and structure of cloacal swab bacterial communities to each lethal sample type.</w:t>
      </w:r>
      <w:r w:rsidRPr="00D23BF1">
        <w:rPr>
          <w:rFonts w:ascii="Times" w:eastAsia="Times New Roman" w:hAnsi="Times" w:cs="Times New Roman"/>
          <w:i/>
        </w:rPr>
        <w:t xml:space="preserve"> </w:t>
      </w:r>
      <w:r w:rsidRPr="00D23BF1">
        <w:rPr>
          <w:rFonts w:ascii="Times" w:eastAsia="Times New Roman" w:hAnsi="Times" w:cs="Times New Roman"/>
        </w:rPr>
        <w:t xml:space="preserve">Cloacal swab bacterial community structure did not differ significantly from the large intestine in terms of community membership, but was significantly different from the large intestine in terms of community structure (unweighted </w:t>
      </w:r>
      <w:r w:rsidRPr="00D23BF1">
        <w:rPr>
          <w:rFonts w:ascii="Times" w:eastAsia="Times New Roman" w:hAnsi="Times" w:cs="Times New Roman"/>
          <w:i/>
        </w:rPr>
        <w:t>P</w:t>
      </w:r>
      <w:r w:rsidRPr="00D23BF1">
        <w:rPr>
          <w:rFonts w:ascii="Times" w:eastAsia="Times New Roman" w:hAnsi="Times" w:cs="Times New Roman"/>
        </w:rPr>
        <w:t xml:space="preserve">=0.253, weighted </w:t>
      </w:r>
      <w:r w:rsidRPr="00D23BF1">
        <w:rPr>
          <w:rFonts w:ascii="Times" w:eastAsia="Times New Roman" w:hAnsi="Times" w:cs="Times New Roman"/>
          <w:i/>
        </w:rPr>
        <w:t>P</w:t>
      </w:r>
      <w:r w:rsidRPr="00D23BF1">
        <w:rPr>
          <w:rFonts w:ascii="Times" w:eastAsia="Times New Roman" w:hAnsi="Times" w:cs="Times New Roman"/>
        </w:rPr>
        <w:t xml:space="preserve">=0.01; </w:t>
      </w:r>
      <w:proofErr w:type="spellStart"/>
      <w:r w:rsidRPr="00D23BF1">
        <w:rPr>
          <w:rFonts w:ascii="Times" w:eastAsia="Times New Roman" w:hAnsi="Times" w:cs="Times New Roman"/>
        </w:rPr>
        <w:t>adonis</w:t>
      </w:r>
      <w:proofErr w:type="spellEnd"/>
      <w:r w:rsidRPr="00D23BF1">
        <w:rPr>
          <w:rFonts w:ascii="Times" w:eastAsia="Times New Roman" w:hAnsi="Times" w:cs="Times New Roman"/>
        </w:rPr>
        <w:t xml:space="preserve"> on unweighted and 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Fig. 4;</w:t>
      </w:r>
      <w:r w:rsidRPr="00D23BF1">
        <w:rPr>
          <w:rFonts w:ascii="Times" w:eastAsia="Times New Roman" w:hAnsi="Times" w:cs="Times New Roman"/>
          <w:b/>
          <w:i/>
        </w:rPr>
        <w:t xml:space="preserve"> </w:t>
      </w:r>
      <w:r w:rsidRPr="00D23BF1">
        <w:rPr>
          <w:rFonts w:ascii="Times" w:eastAsia="Times New Roman" w:hAnsi="Times" w:cs="Times New Roman"/>
        </w:rPr>
        <w:t xml:space="preserve">Table 1).  Cloacal swabs were also significantly different from the small intestine and proventriculus both in terms of community membership and structure (weighted and unweighted </w:t>
      </w:r>
      <w:r w:rsidRPr="00D23BF1">
        <w:rPr>
          <w:rFonts w:ascii="Times" w:eastAsia="Times New Roman" w:hAnsi="Times" w:cs="Times New Roman"/>
          <w:i/>
        </w:rPr>
        <w:t>P&lt;0.005</w:t>
      </w:r>
      <w:r w:rsidRPr="00D23BF1">
        <w:rPr>
          <w:rFonts w:ascii="Times" w:eastAsia="Times New Roman" w:hAnsi="Times" w:cs="Times New Roman"/>
        </w:rPr>
        <w:t xml:space="preserve">; </w:t>
      </w:r>
      <w:proofErr w:type="spellStart"/>
      <w:r w:rsidRPr="00D23BF1">
        <w:rPr>
          <w:rFonts w:ascii="Times" w:eastAsia="Times New Roman" w:hAnsi="Times" w:cs="Times New Roman"/>
        </w:rPr>
        <w:t>adonis</w:t>
      </w:r>
      <w:proofErr w:type="spellEnd"/>
      <w:r w:rsidRPr="00D23BF1">
        <w:rPr>
          <w:rFonts w:ascii="Times" w:eastAsia="Times New Roman" w:hAnsi="Times" w:cs="Times New Roman"/>
        </w:rPr>
        <w:t xml:space="preserve"> on 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Fig. 4;</w:t>
      </w:r>
      <w:r w:rsidRPr="00D23BF1">
        <w:rPr>
          <w:rFonts w:ascii="Times" w:eastAsia="Times New Roman" w:hAnsi="Times" w:cs="Times New Roman"/>
          <w:b/>
          <w:i/>
        </w:rPr>
        <w:t xml:space="preserve"> </w:t>
      </w:r>
      <w:r w:rsidRPr="00D23BF1">
        <w:rPr>
          <w:rFonts w:ascii="Times" w:eastAsia="Times New Roman" w:hAnsi="Times" w:cs="Times New Roman"/>
        </w:rPr>
        <w:t xml:space="preserve">Table 1). </w:t>
      </w:r>
    </w:p>
    <w:p w14:paraId="0EC18EB5"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We then compared the relative distances between various bacterial communities and the cloacal swab bacterial communities in terms of membership and structure. The cloacal swab communities exhibited significantly higher distances to the small intestine than to the large intestines in terms of community membership (</w:t>
      </w:r>
      <w:r w:rsidRPr="00D23BF1">
        <w:rPr>
          <w:rFonts w:ascii="Times" w:eastAsia="Times New Roman" w:hAnsi="Times" w:cs="Times New Roman"/>
          <w:i/>
        </w:rPr>
        <w:t>P</w:t>
      </w:r>
      <w:r w:rsidRPr="00D23BF1">
        <w:rPr>
          <w:rFonts w:ascii="Times" w:eastAsia="Times New Roman" w:hAnsi="Times" w:cs="Times New Roman"/>
        </w:rPr>
        <w:t xml:space="preserve">&lt;0.001; t-test on unweighted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Fig. 5; Table 2). The proventriculus was significantly further from the cloacal swabs than both the small intestine and large intestine in terms of community membership (both </w:t>
      </w:r>
      <w:r w:rsidRPr="00D23BF1">
        <w:rPr>
          <w:rFonts w:ascii="Times" w:eastAsia="Times New Roman" w:hAnsi="Times" w:cs="Times New Roman"/>
          <w:i/>
        </w:rPr>
        <w:t>P</w:t>
      </w:r>
      <w:r w:rsidRPr="00D23BF1">
        <w:rPr>
          <w:rFonts w:ascii="Times" w:eastAsia="Times New Roman" w:hAnsi="Times" w:cs="Times New Roman"/>
        </w:rPr>
        <w:t xml:space="preserve">&lt;0.001). No sample was significantly closer than another to cloacal swabs in terms of community structure (sm. v lg. </w:t>
      </w:r>
      <w:r w:rsidRPr="00D23BF1">
        <w:rPr>
          <w:rFonts w:ascii="Times" w:eastAsia="Times New Roman" w:hAnsi="Times" w:cs="Times New Roman"/>
          <w:i/>
        </w:rPr>
        <w:t>P</w:t>
      </w:r>
      <w:r w:rsidRPr="00D23BF1">
        <w:rPr>
          <w:rFonts w:ascii="Times" w:eastAsia="Times New Roman" w:hAnsi="Times" w:cs="Times New Roman"/>
        </w:rPr>
        <w:t xml:space="preserve">=0.75, pr. v lg. </w:t>
      </w:r>
      <w:r w:rsidRPr="00D23BF1">
        <w:rPr>
          <w:rFonts w:ascii="Times" w:eastAsia="Times New Roman" w:hAnsi="Times" w:cs="Times New Roman"/>
          <w:i/>
        </w:rPr>
        <w:t>P</w:t>
      </w:r>
      <w:r w:rsidRPr="00D23BF1">
        <w:rPr>
          <w:rFonts w:ascii="Times" w:eastAsia="Times New Roman" w:hAnsi="Times" w:cs="Times New Roman"/>
        </w:rPr>
        <w:t xml:space="preserve">=0.36, pr. v sm. </w:t>
      </w:r>
      <w:r w:rsidRPr="00D23BF1">
        <w:rPr>
          <w:rFonts w:ascii="Times" w:eastAsia="Times New Roman" w:hAnsi="Times" w:cs="Times New Roman"/>
          <w:i/>
        </w:rPr>
        <w:t>P=</w:t>
      </w:r>
      <w:r w:rsidRPr="00D23BF1">
        <w:rPr>
          <w:rFonts w:ascii="Times" w:eastAsia="Times New Roman" w:hAnsi="Times" w:cs="Times New Roman"/>
        </w:rPr>
        <w:t xml:space="preserve">0.23; t-test on 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Fig. 5; Table 2). </w:t>
      </w:r>
    </w:p>
    <w:p w14:paraId="328C6509" w14:textId="77777777" w:rsidR="00041ADB" w:rsidRPr="00D23BF1" w:rsidRDefault="00041ADB" w:rsidP="00F20BE1">
      <w:pPr>
        <w:rPr>
          <w:rFonts w:ascii="Times" w:eastAsia="Times New Roman" w:hAnsi="Times" w:cs="Times New Roman"/>
        </w:rPr>
      </w:pPr>
    </w:p>
    <w:p w14:paraId="4F0CD559" w14:textId="77777777" w:rsidR="00041ADB" w:rsidRPr="00D23BF1" w:rsidRDefault="00041ADB" w:rsidP="00F20BE1">
      <w:pPr>
        <w:rPr>
          <w:rFonts w:ascii="Times" w:hAnsi="Times"/>
          <w:b/>
          <w:bCs/>
        </w:rPr>
      </w:pPr>
      <w:r w:rsidRPr="00D23BF1">
        <w:rPr>
          <w:rFonts w:ascii="Times" w:hAnsi="Times"/>
          <w:b/>
          <w:bCs/>
        </w:rPr>
        <w:t xml:space="preserve">Evaluation of </w:t>
      </w:r>
      <w:proofErr w:type="spellStart"/>
      <w:r w:rsidRPr="00D23BF1">
        <w:rPr>
          <w:rFonts w:ascii="Times" w:hAnsi="Times"/>
          <w:b/>
          <w:bCs/>
        </w:rPr>
        <w:t>faeces</w:t>
      </w:r>
      <w:proofErr w:type="spellEnd"/>
      <w:r w:rsidRPr="00D23BF1">
        <w:rPr>
          <w:rFonts w:ascii="Times" w:hAnsi="Times"/>
          <w:b/>
          <w:bCs/>
        </w:rPr>
        <w:t xml:space="preserve"> </w:t>
      </w:r>
    </w:p>
    <w:p w14:paraId="3A619152" w14:textId="77777777" w:rsidR="00041ADB" w:rsidRPr="00D23BF1" w:rsidRDefault="00041ADB" w:rsidP="00F20BE1">
      <w:pPr>
        <w:rPr>
          <w:rFonts w:ascii="Times" w:eastAsia="Times New Roman" w:hAnsi="Times" w:cs="Times New Roman"/>
          <w:i/>
        </w:rPr>
      </w:pPr>
      <w:r w:rsidRPr="00D23BF1">
        <w:rPr>
          <w:rFonts w:ascii="Times" w:eastAsia="Times New Roman" w:hAnsi="Times" w:cs="Times New Roman"/>
        </w:rPr>
        <w:t xml:space="preserve">We compared the community membership and structure of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to each lethal sample type.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bacterial communities did not differ significantly in terms of community membership or structure from the large intestinal communities (unweighted </w:t>
      </w:r>
      <w:r w:rsidRPr="00D23BF1">
        <w:rPr>
          <w:rFonts w:ascii="Times" w:eastAsia="Times New Roman" w:hAnsi="Times" w:cs="Times New Roman"/>
          <w:i/>
        </w:rPr>
        <w:t>P=</w:t>
      </w:r>
      <w:r w:rsidRPr="00D23BF1">
        <w:rPr>
          <w:rFonts w:ascii="Times" w:eastAsia="Times New Roman" w:hAnsi="Times" w:cs="Times New Roman"/>
        </w:rPr>
        <w:t xml:space="preserve">0.913, weighted </w:t>
      </w:r>
      <w:r w:rsidRPr="00D23BF1">
        <w:rPr>
          <w:rFonts w:ascii="Times" w:eastAsia="Times New Roman" w:hAnsi="Times" w:cs="Times New Roman"/>
          <w:i/>
        </w:rPr>
        <w:t>P</w:t>
      </w:r>
      <w:r w:rsidRPr="00D23BF1">
        <w:rPr>
          <w:rFonts w:ascii="Times" w:eastAsia="Times New Roman" w:hAnsi="Times" w:cs="Times New Roman"/>
        </w:rPr>
        <w:t xml:space="preserve">=0.4; </w:t>
      </w:r>
      <w:proofErr w:type="spellStart"/>
      <w:r w:rsidRPr="00D23BF1">
        <w:rPr>
          <w:rFonts w:ascii="Times" w:eastAsia="Times New Roman" w:hAnsi="Times" w:cs="Times New Roman"/>
        </w:rPr>
        <w:t>adonis</w:t>
      </w:r>
      <w:proofErr w:type="spellEnd"/>
      <w:r w:rsidRPr="00D23BF1">
        <w:rPr>
          <w:rFonts w:ascii="Times" w:eastAsia="Times New Roman" w:hAnsi="Times" w:cs="Times New Roman"/>
        </w:rPr>
        <w:t xml:space="preserve"> on 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Fig. 4; Table 1). Fecal samples were significantly different from the small intestine and proventriculus both in terms of community membership and structure (</w:t>
      </w:r>
      <w:proofErr w:type="spellStart"/>
      <w:r w:rsidRPr="00D23BF1">
        <w:rPr>
          <w:rFonts w:ascii="Times" w:eastAsia="Times New Roman" w:hAnsi="Times" w:cs="Times New Roman"/>
        </w:rPr>
        <w:t>adonis</w:t>
      </w:r>
      <w:proofErr w:type="spellEnd"/>
      <w:r w:rsidRPr="00D23BF1">
        <w:rPr>
          <w:rFonts w:ascii="Times" w:eastAsia="Times New Roman" w:hAnsi="Times" w:cs="Times New Roman"/>
        </w:rPr>
        <w:t xml:space="preserve"> on unweighted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Fig. 4; Table 1). </w:t>
      </w:r>
    </w:p>
    <w:p w14:paraId="4C10D666"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ab/>
        <w:t xml:space="preserve">We then compared the relative distances of the gut bacterial communities to the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bacterial communities in terms of membership and community structure. The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 communities exhibited significantly higher distances to the small intestine than large intestines in terms of community membership and structure (unweighted </w:t>
      </w:r>
      <w:r w:rsidRPr="00D23BF1">
        <w:rPr>
          <w:rFonts w:ascii="Times" w:eastAsia="Times New Roman" w:hAnsi="Times" w:cs="Times New Roman"/>
          <w:i/>
        </w:rPr>
        <w:t>P</w:t>
      </w:r>
      <w:r w:rsidRPr="00D23BF1">
        <w:rPr>
          <w:rFonts w:ascii="Times" w:eastAsia="Times New Roman" w:hAnsi="Times" w:cs="Times New Roman"/>
        </w:rPr>
        <w:t xml:space="preserve">&lt;0.001, weighted </w:t>
      </w:r>
      <w:r w:rsidRPr="00D23BF1">
        <w:rPr>
          <w:rFonts w:ascii="Times" w:eastAsia="Times New Roman" w:hAnsi="Times" w:cs="Times New Roman"/>
          <w:i/>
        </w:rPr>
        <w:t>P</w:t>
      </w:r>
      <w:r w:rsidRPr="00D23BF1">
        <w:rPr>
          <w:rFonts w:ascii="Times" w:eastAsia="Times New Roman" w:hAnsi="Times" w:cs="Times New Roman"/>
        </w:rPr>
        <w:t xml:space="preserve">=0.03; t-test on unweighted and 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Fig. 5; Table 2). The proventriculus was significantly further from the cloacal swab than both the small intestine and large intestine in terms of both community membership and structure (all </w:t>
      </w:r>
      <w:r w:rsidRPr="00D23BF1">
        <w:rPr>
          <w:rFonts w:ascii="Times" w:eastAsia="Times New Roman" w:hAnsi="Times" w:cs="Times New Roman"/>
          <w:i/>
        </w:rPr>
        <w:t>P</w:t>
      </w:r>
      <w:r w:rsidRPr="00D23BF1">
        <w:rPr>
          <w:rFonts w:ascii="Times" w:eastAsia="Times New Roman" w:hAnsi="Times" w:cs="Times New Roman"/>
        </w:rPr>
        <w:t xml:space="preserve">&lt;0.005 t-test on unweighted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Fig. 5; Table 2). </w:t>
      </w:r>
    </w:p>
    <w:p w14:paraId="3CFDD834" w14:textId="77777777" w:rsidR="00041ADB" w:rsidRPr="00D23BF1" w:rsidRDefault="00041ADB" w:rsidP="00F20BE1">
      <w:pPr>
        <w:rPr>
          <w:rFonts w:ascii="Times" w:eastAsia="Times New Roman" w:hAnsi="Times" w:cs="Times New Roman"/>
        </w:rPr>
      </w:pPr>
    </w:p>
    <w:p w14:paraId="715C11DD" w14:textId="77777777" w:rsidR="00041ADB" w:rsidRPr="00D23BF1" w:rsidRDefault="00041ADB" w:rsidP="00F20BE1">
      <w:pPr>
        <w:rPr>
          <w:rFonts w:ascii="Times" w:hAnsi="Times"/>
          <w:b/>
          <w:bCs/>
        </w:rPr>
      </w:pPr>
      <w:bookmarkStart w:id="76" w:name="_Toc69393560"/>
      <w:bookmarkStart w:id="77" w:name="_Toc69396333"/>
      <w:bookmarkStart w:id="78" w:name="_Toc69396368"/>
      <w:bookmarkStart w:id="79" w:name="_Toc69396557"/>
      <w:r w:rsidRPr="00D23BF1">
        <w:rPr>
          <w:rFonts w:ascii="Times" w:hAnsi="Times"/>
          <w:b/>
          <w:bCs/>
        </w:rPr>
        <w:t xml:space="preserve">Paired Non-lethal Sample Comparison </w:t>
      </w:r>
    </w:p>
    <w:p w14:paraId="7426365B" w14:textId="77777777" w:rsidR="00041ADB" w:rsidRPr="00D23BF1" w:rsidRDefault="00041ADB" w:rsidP="00F20BE1">
      <w:pPr>
        <w:rPr>
          <w:rFonts w:ascii="Times" w:eastAsia="Times New Roman" w:hAnsi="Times" w:cs="Times New Roman"/>
          <w:i/>
        </w:rPr>
      </w:pPr>
      <w:r w:rsidRPr="00D23BF1">
        <w:rPr>
          <w:rFonts w:ascii="Times" w:eastAsia="Times New Roman" w:hAnsi="Times" w:cs="Times New Roman"/>
        </w:rPr>
        <w:t xml:space="preserve">Cloacal swabs captured some individual variation of bacterial diversity in the large intestine. Pairwise distance measurements between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and large intestine bacterial communities within an individual were significantly smaller than pairwise distances measured across individuals for community membership, but not community structure (t-test on unweighted and 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Fig. 6, Table 2). In comparison,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did not capture individual variation in bacterial diversity of the large intestine (t-test on unweighted and 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Fig. 6, Table 2). There were no significant differences between within-individual distances and distances across individuals (t-test on unweighted and weighted </w:t>
      </w:r>
      <w:proofErr w:type="spellStart"/>
      <w:r w:rsidRPr="00D23BF1">
        <w:rPr>
          <w:rFonts w:ascii="Times" w:eastAsia="Times New Roman" w:hAnsi="Times" w:cs="Times New Roman"/>
        </w:rPr>
        <w:t>UniFrac</w:t>
      </w:r>
      <w:proofErr w:type="spellEnd"/>
      <w:r w:rsidRPr="00D23BF1">
        <w:rPr>
          <w:rFonts w:ascii="Times" w:eastAsia="Times New Roman" w:hAnsi="Times" w:cs="Times New Roman"/>
        </w:rPr>
        <w:t xml:space="preserve"> distances; Fig. 6, Table 2).</w:t>
      </w:r>
      <w:bookmarkStart w:id="80" w:name="_30j0zll" w:colFirst="0" w:colLast="0"/>
      <w:bookmarkEnd w:id="80"/>
      <w:r w:rsidRPr="00D23BF1">
        <w:rPr>
          <w:rFonts w:ascii="Times" w:eastAsia="Times New Roman" w:hAnsi="Times" w:cs="Times New Roman"/>
        </w:rPr>
        <w:t xml:space="preserve"> In other words, the microbial community of an individual's </w:t>
      </w:r>
      <w:proofErr w:type="spellStart"/>
      <w:r w:rsidRPr="00D23BF1">
        <w:rPr>
          <w:rFonts w:ascii="Times" w:eastAsia="Times New Roman" w:hAnsi="Times" w:cs="Times New Roman"/>
        </w:rPr>
        <w:t>faeces</w:t>
      </w:r>
      <w:proofErr w:type="spellEnd"/>
      <w:r w:rsidRPr="00D23BF1">
        <w:rPr>
          <w:rFonts w:ascii="Times" w:eastAsia="Times New Roman" w:hAnsi="Times" w:cs="Times New Roman"/>
        </w:rPr>
        <w:t xml:space="preserve"> was just as similar to the microbial community of the large intestine of a different </w:t>
      </w:r>
      <w:r w:rsidRPr="00D23BF1">
        <w:rPr>
          <w:rFonts w:ascii="Times" w:eastAsia="Times New Roman" w:hAnsi="Times" w:cs="Times New Roman"/>
        </w:rPr>
        <w:lastRenderedPageBreak/>
        <w:t>individual as to its own large intestine.</w:t>
      </w:r>
      <w:bookmarkEnd w:id="76"/>
      <w:bookmarkEnd w:id="77"/>
      <w:bookmarkEnd w:id="78"/>
      <w:bookmarkEnd w:id="79"/>
      <w:r w:rsidRPr="00D23BF1">
        <w:rPr>
          <w:rFonts w:ascii="Times" w:eastAsia="Times New Roman" w:hAnsi="Times" w:cs="Times New Roman"/>
        </w:rPr>
        <w:t xml:space="preserve"> </w:t>
      </w:r>
      <w:r w:rsidRPr="00D23BF1">
        <w:rPr>
          <w:rFonts w:ascii="Times" w:eastAsia="Times New Roman" w:hAnsi="Times" w:cs="Times New Roman"/>
        </w:rPr>
        <w:br/>
      </w:r>
    </w:p>
    <w:p w14:paraId="790030A0" w14:textId="77777777" w:rsidR="00041ADB" w:rsidRPr="00D23BF1" w:rsidRDefault="00041ADB" w:rsidP="00F20BE1">
      <w:pPr>
        <w:pStyle w:val="Heading2"/>
        <w:rPr>
          <w:rFonts w:ascii="Times" w:hAnsi="Times"/>
        </w:rPr>
      </w:pPr>
      <w:bookmarkStart w:id="81" w:name="_Toc69972872"/>
      <w:r w:rsidRPr="00D23BF1">
        <w:rPr>
          <w:rFonts w:ascii="Times" w:hAnsi="Times"/>
        </w:rPr>
        <w:t>Discussion</w:t>
      </w:r>
      <w:bookmarkEnd w:id="81"/>
    </w:p>
    <w:p w14:paraId="175655CD" w14:textId="77777777" w:rsidR="00041ADB" w:rsidRPr="00D23BF1" w:rsidRDefault="00041ADB" w:rsidP="00F20BE1">
      <w:pPr>
        <w:rPr>
          <w:rFonts w:ascii="Times" w:hAnsi="Times"/>
        </w:rPr>
      </w:pPr>
    </w:p>
    <w:p w14:paraId="66264DB2"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b/>
        </w:rPr>
        <w:tab/>
      </w:r>
      <w:r w:rsidRPr="00D23BF1">
        <w:rPr>
          <w:rFonts w:ascii="Times" w:eastAsia="Times New Roman" w:hAnsi="Times" w:cs="Times New Roman"/>
        </w:rPr>
        <w:t xml:space="preserve">We found that non-lethal sampling techniques are representative of relevant gut microbial communities (large intestinal samples) in a passerine bird. Both cloacal swabs and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were most representative of the large intestinal gut microbial community (see Figs. 3-5), and distinct from the community residing in the proventriculus (Fig. 5). Furthermore, bacterial communities sampled with both cloacal swabs and </w:t>
      </w:r>
      <w:proofErr w:type="spellStart"/>
      <w:r w:rsidRPr="00D23BF1">
        <w:rPr>
          <w:rFonts w:ascii="Times" w:eastAsia="Times New Roman" w:hAnsi="Times" w:cs="Times New Roman"/>
        </w:rPr>
        <w:t>faeces</w:t>
      </w:r>
      <w:proofErr w:type="spellEnd"/>
      <w:r w:rsidRPr="00D23BF1">
        <w:rPr>
          <w:rFonts w:ascii="Times" w:eastAsia="Times New Roman" w:hAnsi="Times" w:cs="Times New Roman"/>
        </w:rPr>
        <w:t xml:space="preserve"> were distinct from those sampled in the small intestine. Additionally, although both non-lethal sample types were representative of the large intestine, cloacal swabs better captured individual variation in community membership than did fecal samples (Fig. 6). Below we discuss potential mechanisms for these differences, as well as the implications they could have for designing and interpreting microbiome research in passerine birds.</w:t>
      </w:r>
    </w:p>
    <w:p w14:paraId="667F96A7"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The dominant class of bacteria in our large intestinal samples (</w:t>
      </w:r>
      <w:proofErr w:type="spellStart"/>
      <w:r w:rsidRPr="00D23BF1">
        <w:rPr>
          <w:rFonts w:ascii="Times" w:eastAsia="Times New Roman" w:hAnsi="Times" w:cs="Times New Roman"/>
        </w:rPr>
        <w:t>Epsilonproteobacteria</w:t>
      </w:r>
      <w:proofErr w:type="spellEnd"/>
      <w:r w:rsidRPr="00D23BF1">
        <w:rPr>
          <w:rFonts w:ascii="Times" w:eastAsia="Times New Roman" w:hAnsi="Times" w:cs="Times New Roman"/>
        </w:rPr>
        <w:t xml:space="preserve">) has also been found in a Zebra Finch study using bacterial culturing techniques to study gut microbiota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{"citationItems":[{"id":"ITEM-1","itemData":{"DOI":"10.1111/j.1365-294X.2010.04892.x","ISBN":"1524593192","ISSN":"09621083","author":[{"dropping-particle":"","family":"Benskin","given":"Clare McW. H.","non-dropping-particle":"","parse-names":false,"suffix":""},{"dropping-particle":"","family":"Rhodes","given":"Glenn","non-dropping-particle":"","parse-names":false,"suffix":""},{"dropping-particle":"","family":"Pickup","given":"Roger W.","non-dropping-particle":"","parse-names":false,"suffix":""},{"dropping-particle":"","family":"Wilson","given":"Kenneth","non-dropping-particle":"","parse-names":false,"suffix":""},{"dropping-particle":"","family":"Hartley","given":"Ian R.","non-dropping-particle":"","parse-names":false,"suffix":""}],"container-title":"Molecular Ecology","id":"ITEM-1","issue":"24","issued":{"date-parts":[["2010"]]},"note":"ZEBRA FINCH GMB\nCULTURED\nONE COLONY, VARIATION AMONG INDIVIDUALS\nCONSISTANT OVER TIME (10 weeks)\n\n\n*review sources","page":"5531-5544","title":"Diversity and temporal stability of bacterial communities in a model passerine bird, the zebra finch","type":"article-journal","volume":"19"},"uris":["http://www.mendeley.com/documents/?uuid=0bb92b74-74d2-495e-97a3-31100a40cfee"]}],"mendeley":{"formattedCitation":"&lt;sup&gt;29&lt;/sup&gt;","plainTextFormattedCitation":"29","previouslyFormattedCitation":"(Benskin &lt;i&gt;et al.&lt;/i&gt; 2010)"},"properties":{"noteIndex":0},"schema":"https://github.com/citation-style-language/schema/raw/master/csl-citation.json"}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29</w:t>
      </w:r>
      <w:r w:rsidRPr="00D23BF1">
        <w:rPr>
          <w:rFonts w:ascii="Times" w:eastAsia="Times New Roman" w:hAnsi="Times" w:cs="Times New Roman"/>
        </w:rPr>
        <w:fldChar w:fldCharType="end"/>
      </w:r>
      <w:r w:rsidRPr="00D23BF1">
        <w:rPr>
          <w:rFonts w:ascii="Times" w:eastAsia="Times New Roman" w:hAnsi="Times" w:cs="Times New Roman"/>
        </w:rPr>
        <w:t xml:space="preserve"> and was found at low levels in a broader study of 12 Darwin’s finch species, which included several granivorous species, using 16S rRNA inventories as our study did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{"citationItems":[{"id":"ITEM-1","itemData":{"DOI":"10.1186/s40168-018-0555-8","ISSN":"2049-2618","abstract":"Darwin’s finches are a clade of 19 species of passerine birds native to the Galápagos Islands, whose biogeography, specialized beak morphologies, and dietary choices—ranging from seeds to blood—make them a classic example of adaptive radiation. While these iconic birds have been intensely studied, the composition of their gut microbiome and the factors influencing it, including host species, diet, and biogeography, has not yet been explored.","author":[{"dropping-particle":"","family":"Michel","given":"Alice J.","non-dropping-particle":"","parse-names":false,"suffix":""},{"dropping-particle":"","family":"Ward","given":"Lewis M.","non-dropping-particle":"","parse-names":false,"suffix":""},{"dropping-particle":"","family":"Goffredi","given":"Shana K.","non-dropping-particle":"","parse-names":false,"suffix":""},{"dropping-particle":"","family":"Dawson","given":"Katherine S.","non-dropping-particle":"","parse-names":false,"suffix":""},{"dropping-particle":"","family":"Baldassarre","given":"Daniel T.","non-dropping-particle":"","parse-names":false,"suffix":""},{"dropping-particle":"","family":"Brenner","given":"Alec","non-dropping-particle":"","parse-names":false,"suffix":""},{"dropping-particle":"","family":"Gotanda","given":"Kiyoko M.","non-dropping-particle":"","parse-names":false,"suffix":""},{"dropping-particle":"","family":"McCormack","given":"John E.","non-dropping-particle":"","parse-names":false,"suffix":""},{"dropping-particle":"","family":"Mullin","given":"Sean W.","non-dropping-particle":"","parse-names":false,"suffix":""},{"dropping-particle":"","family":"O’Neill","given":"Ariel","non-dropping-particle":"","parse-names":false,"suffix":""},{"dropping-particle":"","family":"Tender","given":"Gabrielle S.","non-dropping-particle":"","parse-names":false,"suffix":""},{"dropping-particle":"","family":"Uy","given":"J. Albert C.","non-dropping-particle":"","parse-names":false,"suffix":""},{"dropping-particle":"","family":"Yu","given":"Kristie","non-dropping-particle":"","parse-names":false,"suffix":""},{"dropping-particle":"","family":"Orphan","given":"Victoria J.","non-dropping-particle":"","parse-names":false,"suffix":""},{"dropping-particle":"","family":"Chaves","given":"Jaime A.","non-dropping-particle":"","parse-names":false,"suffix":""}],"container-title":"Microbiome","id":"ITEM-1","issue":"1","issued":{"date-parts":[["2018"]]},"page":"167","publisher":"Microbiome","title":"The gut of the finch: uniqueness of the gut microbiome of the Galápagos vampire finch","type":"article-journal","volume":"6"},"uris":["http://www.mendeley.com/documents/?uuid=bbb5ec32-00b2-42e5-a51f-6e5e9411a304"]}],"mendeley":{"formattedCitation":"&lt;sup&gt;39&lt;/sup&gt;","plainTextFormattedCitation":"39","previouslyFormattedCitation":"(Michel &lt;i&gt;et al.&lt;/i&gt; 2018)"},"properties":{"noteIndex":0},"schema":"https://github.com/citation-style-language/schema/raw/master/csl-citation.json"}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39</w:t>
      </w:r>
      <w:r w:rsidRPr="00D23BF1">
        <w:rPr>
          <w:rFonts w:ascii="Times" w:eastAsia="Times New Roman" w:hAnsi="Times" w:cs="Times New Roman"/>
        </w:rPr>
        <w:fldChar w:fldCharType="end"/>
      </w:r>
      <w:r w:rsidRPr="00D23BF1">
        <w:rPr>
          <w:rFonts w:ascii="Times" w:eastAsia="Times New Roman" w:hAnsi="Times" w:cs="Times New Roman"/>
        </w:rPr>
        <w:t xml:space="preserve">. Both studies used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as a proxy for gut communities.</w:t>
      </w:r>
    </w:p>
    <w:p w14:paraId="47C38193"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 xml:space="preserve">We identified five classes of bacteria not found in the previous study of Zebra Finch gut microbiota. These classes were: </w:t>
      </w:r>
      <w:proofErr w:type="spellStart"/>
      <w:r w:rsidRPr="00D23BF1">
        <w:rPr>
          <w:rFonts w:ascii="Times" w:eastAsia="Times New Roman" w:hAnsi="Times" w:cs="Times New Roman"/>
        </w:rPr>
        <w:t>Cytophagia</w:t>
      </w:r>
      <w:proofErr w:type="spellEnd"/>
      <w:r w:rsidRPr="00D23BF1">
        <w:rPr>
          <w:rFonts w:ascii="Times" w:eastAsia="Times New Roman" w:hAnsi="Times" w:cs="Times New Roman"/>
        </w:rPr>
        <w:t xml:space="preserve">, Deltaproteobacteria, </w:t>
      </w:r>
      <w:proofErr w:type="spellStart"/>
      <w:r w:rsidRPr="00D23BF1">
        <w:rPr>
          <w:rFonts w:ascii="Times" w:eastAsia="Times New Roman" w:hAnsi="Times" w:cs="Times New Roman"/>
        </w:rPr>
        <w:t>Alphaproteobacteria</w:t>
      </w:r>
      <w:proofErr w:type="spellEnd"/>
      <w:r w:rsidRPr="00D23BF1">
        <w:rPr>
          <w:rFonts w:ascii="Times" w:eastAsia="Times New Roman" w:hAnsi="Times" w:cs="Times New Roman"/>
        </w:rPr>
        <w:t xml:space="preserve">, Betaproteobacteria and </w:t>
      </w:r>
      <w:proofErr w:type="spellStart"/>
      <w:r w:rsidRPr="00D23BF1">
        <w:rPr>
          <w:rFonts w:ascii="Times" w:eastAsia="Times New Roman" w:hAnsi="Times" w:cs="Times New Roman"/>
        </w:rPr>
        <w:t>Fusobacteriia</w:t>
      </w:r>
      <w:proofErr w:type="spellEnd"/>
      <w:r w:rsidRPr="00D23BF1">
        <w:rPr>
          <w:rFonts w:ascii="Times" w:eastAsia="Times New Roman" w:hAnsi="Times" w:cs="Times New Roman"/>
        </w:rPr>
        <w:t xml:space="preserve">. Most of these five classes comprised less than 1% of any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 Since </w:t>
      </w:r>
      <w:proofErr w:type="spellStart"/>
      <w:r w:rsidRPr="00D23BF1">
        <w:rPr>
          <w:rFonts w:ascii="Times" w:eastAsia="Times New Roman" w:hAnsi="Times" w:cs="Times New Roman"/>
        </w:rPr>
        <w:t>Benskin</w:t>
      </w:r>
      <w:proofErr w:type="spellEnd"/>
      <w:r w:rsidRPr="00D23BF1">
        <w:rPr>
          <w:rFonts w:ascii="Times" w:eastAsia="Times New Roman" w:hAnsi="Times" w:cs="Times New Roman"/>
        </w:rPr>
        <w:t xml:space="preserve"> </w:t>
      </w:r>
      <w:r w:rsidRPr="00D23BF1">
        <w:rPr>
          <w:rFonts w:ascii="Times" w:eastAsia="Times New Roman" w:hAnsi="Times" w:cs="Times New Roman"/>
          <w:i/>
        </w:rPr>
        <w:t>et al</w:t>
      </w:r>
      <w:r w:rsidRPr="00D23BF1">
        <w:rPr>
          <w:rFonts w:ascii="Times" w:eastAsia="Times New Roman" w:hAnsi="Times" w:cs="Times New Roman"/>
        </w:rPr>
        <w:t xml:space="preserve">. (2010) only used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in their study of Zebra Finch microbiota, this could explain why they did not find these classes of bacteria. </w:t>
      </w:r>
      <w:proofErr w:type="spellStart"/>
      <w:r w:rsidRPr="00D23BF1">
        <w:rPr>
          <w:rFonts w:ascii="Times" w:eastAsia="Times New Roman" w:hAnsi="Times" w:cs="Times New Roman"/>
        </w:rPr>
        <w:t>Coriobacteriia</w:t>
      </w:r>
      <w:proofErr w:type="spellEnd"/>
      <w:r w:rsidRPr="00D23BF1">
        <w:rPr>
          <w:rFonts w:ascii="Times" w:eastAsia="Times New Roman" w:hAnsi="Times" w:cs="Times New Roman"/>
        </w:rPr>
        <w:t xml:space="preserve">, </w:t>
      </w:r>
      <w:proofErr w:type="spellStart"/>
      <w:r w:rsidRPr="00D23BF1">
        <w:rPr>
          <w:rFonts w:ascii="Times" w:eastAsia="Times New Roman" w:hAnsi="Times" w:cs="Times New Roman"/>
        </w:rPr>
        <w:t>Cytophagia</w:t>
      </w:r>
      <w:proofErr w:type="spellEnd"/>
      <w:r w:rsidRPr="00D23BF1">
        <w:rPr>
          <w:rFonts w:ascii="Times" w:eastAsia="Times New Roman" w:hAnsi="Times" w:cs="Times New Roman"/>
        </w:rPr>
        <w:t xml:space="preserve"> and Deltaproteobacteria were not found in any of the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of 12 Darwin's finch species studied by Michel </w:t>
      </w:r>
      <w:r w:rsidRPr="00D23BF1">
        <w:rPr>
          <w:rFonts w:ascii="Times" w:eastAsia="Times New Roman" w:hAnsi="Times" w:cs="Times New Roman"/>
          <w:i/>
        </w:rPr>
        <w:t>et al</w:t>
      </w:r>
      <w:r w:rsidRPr="00D23BF1">
        <w:rPr>
          <w:rFonts w:ascii="Times" w:eastAsia="Times New Roman" w:hAnsi="Times" w:cs="Times New Roman"/>
        </w:rPr>
        <w:t xml:space="preserve">. (2018), and these bacteria were not found in our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Six classes of bacteria identified by Michel </w:t>
      </w:r>
      <w:r w:rsidRPr="00D23BF1">
        <w:rPr>
          <w:rFonts w:ascii="Times" w:eastAsia="Times New Roman" w:hAnsi="Times" w:cs="Times New Roman"/>
          <w:i/>
        </w:rPr>
        <w:t>et al</w:t>
      </w:r>
      <w:r w:rsidRPr="00D23BF1">
        <w:rPr>
          <w:rFonts w:ascii="Times" w:eastAsia="Times New Roman" w:hAnsi="Times" w:cs="Times New Roman"/>
        </w:rPr>
        <w:t>. (2018) were not present in any of our samples and were also not present in their granivorous species, except for Clostridia.</w:t>
      </w:r>
    </w:p>
    <w:p w14:paraId="324EB660" w14:textId="77777777" w:rsidR="00041ADB" w:rsidRPr="00D23BF1" w:rsidRDefault="00041ADB" w:rsidP="00F20BE1">
      <w:pPr>
        <w:rPr>
          <w:rFonts w:ascii="Times" w:eastAsia="Times New Roman" w:hAnsi="Times" w:cs="Times New Roman"/>
          <w:b/>
        </w:rPr>
      </w:pPr>
      <w:r w:rsidRPr="00D23BF1">
        <w:rPr>
          <w:rFonts w:ascii="Times" w:eastAsia="Times New Roman" w:hAnsi="Times" w:cs="Times New Roman"/>
        </w:rPr>
        <w:t xml:space="preserve">As predicted, we found that when comparing across all sampled Zebra Finches, both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and cloacal swabs capture the bacterial diversity of large intestine microbial communities in a passerine (Figs. 3-5). These non-lethal sample types were not significantly different from the large intestinal samples in terms of alpha diversity measures, or microbial community membership, and fecal samples did not differ from the large intestine in terms of community structure. Other studies have also found that non-lethal samples can capture information about the gut microbial community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author":[{"dropping-particle":"","family":"Videvall","given":"Elin","non-dropping-particle":"","parse-names":false,"suffix":""},{"dropping-particle":"","family":"Strandh","given":"Maria","non-dropping-particle":"","parse-names":false,"suffix":""},{"dropping-particle":"","family":"Engelbrecht","given":"Anel","non-dropping-particle":"","parse-names":false,"suffix":""},{"dropping-particle":"","family":"Cloete","given":"Schalk","non-dropping-particle":"","parse-names":false,"suffix":""},{"dropping-particle":"","family":"Cornwallis","given":"Charlie K.","non-dropping-particle":"","parse-names":false,"suffix":""}],"container-title":"Preprint","id":"ITEM-1","issued":{"date-parts":[["2017"]]},"note":"&amp;quot;The two most similar sample types were the faeces and colon, which resulted in a low R2 (0.069), whereas the cloaca and colon were more dissimilar (R2 = 0.099).&amp;quot;\n(from results, based on bray curtis)","page":"1-22","title":"Measuring the gut microbiome in birds : comparison of faecal and cloacal sampling","type":"article-journal"},"uris":["http://www.mendeley.com/documents/?uuid=03f68f00-2e6e-40c2-89b7-77fe2cfd8dc5"]},{"id":"ITEM-2","itemData":{"DOI":"10.1111/mec.13921","ISSN":"09621083","author":[{"dropping-particle":"","family":"Kohl","given":"Kevin D.","non-dropping-particle":"","parse-names":false,"suffix":""},{"dropping-particle":"","family":"Brun","given":"Antonio","non-dropping-particle":"","parse-names":false,"suffix":""},{"dropping-particle":"","family":"Magallanes","given":"Melisa","non-dropping-particle":"","parse-names":false,"suffix":""},{"dropping-particle":"","family":"Brinkerhoff","given":"Joshua","non-dropping-particle":"","parse-names":false,"suffix":""},{"dropping-particle":"","family":"Laspiur","given":"Alejandro","non-dropping-particle":"","parse-names":false,"suffix":""},{"dropping-particle":"","family":"Acosta","given":"Juan Carlos","non-dropping-particle":"","parse-names":false,"suffix":""},{"dropping-particle":"","family":"Caviedes-Vidal","given":"Enrique","non-dropping-particle":"","parse-names":false,"suffix":""},{"dropping-particle":"","family":"Bordenstein","given":"Seth R.","non-dropping-particle":"","parse-names":false,"suffix":""}],"container-title":"Molecular Ecology","id":"ITEM-2","issued":{"date-parts":[["2016"]]},"note":"feces community membership was similar to that of the hindgut for three species\ncomunity structure showed this same trend in two of the three species.","title":"Gut microbial ecology of lizards: insights into diversity in the wild, effects of captivity, variation across gut regions, and transmission","type":"article-journal"},"uris":["http://www.mendeley.com/documents/?uuid=817fd8c4-4359-4d6b-bc35-0c58ba44eac8"]},{"id":"ITEM-3","itemData":{"DOI":"10.1371/journal.pone.0163720","ISSN":"19326203","PMID":"27669007","abstract":"There is a growing appreciation of the role of gut microbial communities in host biology. However, the nature of variation in microbial communities among different segments of the gastrointestinal (GI) tract is not well understood. Here, we describe microbial communities from ten different segments of the GI tract (mouth, esophagus, stomach, duodenum, ileum, proximal cecum, distal cecum, colon, rectum, and feces) in wild house mice using 16S rRNA gene amplicon sequencing. We also measured carbon and nitrogen stable isotopic ratios from hair samples of individual mice as a proxy for diet. We identified factors that may explain differences in microbial composition among gut segments, and we tested for differ-ences among individual mice in the composition of the microbiota. Consistent with previous studies, the lower GI tract was characterized by a greater relative abundance of anaerobic bacteria and greater microbial diversity relative to the upper GI tract. The upper and lower GI tracts also differed in the relative abundances of predicted microbial gene functions, including those involved in metabolic pathways. However, when the upper and lower GI tracts were considered separately, gut microbial composition was associated with individ-ual mice. Finally, microbial communities derived from fecal samples were similar to those derived from the lower GI tract of their respective hosts, supporting the utility of fecal sam-pling for studying the gut microbiota of mice. These results show that while there is substan-tial heterogeneity among segments of the GI tract, individual hosts play a significant role in structuring microbial communities within particular segments of the GI tract.","author":[{"dropping-particle":"","family":"Suzuki","given":"Taichi A.","non-dropping-particle":"","parse-names":false,"suffix":""},{"dropping-particle":"","family":"Nachman","given":"Michael W.","non-dropping-particle":"","parse-names":false,"suffix":""}],"container-title":"PLoS ONE","id":"ITEM-3","issue":"9","issued":{"date-parts":[["2016"]]},"page":"1-15","title":"Spatial heterogeneity of gut microbial composition along the gastrointestinal tract in natural populations of house mice","type":"article-journal","volume":"11"},"uris":["http://www.mendeley.com/documents/?uuid=fe6e11f2-c4f0-4562-84e3-e6f6d4f0464c"]}],"mendeley":{"formattedCitation":"&lt;sup&gt;8,9,18&lt;/sup&gt;","plainTextFormattedCitation":"8,9,18","previouslyFormattedCitation":"(Kohl &lt;i&gt;et al.&lt;/i&gt; 2016, Suzuki &amp; Nachman 2016, Videvall &lt;i&gt;et al.&lt;/i&gt; 2017)"},"properties":{"noteIndex":0},"schema":"https://github.com/citation-style-language/schema/raw/master/csl-citation.json"}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8,9,18</w:t>
      </w:r>
      <w:r w:rsidRPr="00D23BF1">
        <w:rPr>
          <w:rFonts w:ascii="Times" w:eastAsia="Times New Roman" w:hAnsi="Times" w:cs="Times New Roman"/>
        </w:rPr>
        <w:fldChar w:fldCharType="end"/>
      </w:r>
      <w:r w:rsidRPr="00D23BF1">
        <w:rPr>
          <w:rFonts w:ascii="Times" w:eastAsia="Times New Roman" w:hAnsi="Times" w:cs="Times New Roman"/>
        </w:rPr>
        <w:t xml:space="preserve">. For example, one study found that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were representative of hindgut bacterial communities in three lizard species (but did not measure cloacal swabs)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{"citationItems":[{"id":"ITEM-1","itemData":{"DOI":"10.1111/mec.13921","ISSN":"09621083","author":[{"dropping-particle":"","family":"Kohl","given":"Kevin D.","non-dropping-particle":"","parse-names":false,"suffix":""},{"dropping-particle":"","family":"Brun","given":"Antonio","non-dropping-particle":"","parse-names":false,"suffix":""},{"dropping-particle":"","family":"Magallanes","given":"Melisa","non-dropping-particle":"","parse-names":false,"suffix":""},{"dropping-particle":"","family":"Brinkerhoff","given":"Joshua","non-dropping-particle":"","parse-names":false,"suffix":""},{"dropping-particle":"","family":"Laspiur","given":"Alejandro","non-dropping-particle":"","parse-names":false,"suffix":""},{"dropping-particle":"","family":"Acosta","given":"Juan Carlos","non-dropping-particle":"","parse-names":false,"suffix":""},{"dropping-particle":"","family":"Caviedes-Vidal","given":"Enrique","non-dropping-particle":"","parse-names":false,"suffix":""},{"dropping-particle":"","family":"Bordenstein","given":"Seth R.","non-dropping-particle":"","parse-names":false,"suffix":""}],"container-title":"Molecular Ecology","id":"ITEM-1","issued":{"date-parts":[["2016"]]},"note":"feces community membership was similar to that of the hindgut for three species\ncomunity structure showed this same trend in two of the three species.","title":"Gut microbial ecology of lizards: insights into diversity in the wild, effects of captivity, variation across gut regions, and transmission","type":"article-journal"},"uris":["http://www.mendeley.com/documents/?uuid=817fd8c4-4359-4d6b-bc35-0c58ba44eac8"]}],"mendeley":{"formattedCitation":"&lt;sup&gt;9&lt;/sup&gt;","plainTextFormattedCitation":"9","previouslyFormattedCitation":"(Kohl &lt;i&gt;et al.&lt;/i&gt; 2016)"},"properties":{"noteIndex":0},"schema":"https://github.com/citation-style-language/schema/raw/master/csl-citation.json"}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9</w:t>
      </w:r>
      <w:r w:rsidRPr="00D23BF1">
        <w:rPr>
          <w:rFonts w:ascii="Times" w:eastAsia="Times New Roman" w:hAnsi="Times" w:cs="Times New Roman"/>
        </w:rPr>
        <w:fldChar w:fldCharType="end"/>
      </w:r>
      <w:r w:rsidRPr="00D23BF1">
        <w:rPr>
          <w:rFonts w:ascii="Times" w:eastAsia="Times New Roman" w:hAnsi="Times" w:cs="Times New Roman"/>
        </w:rPr>
        <w:t xml:space="preserve">. Our findings somewhat agree with those of </w:t>
      </w:r>
      <w:proofErr w:type="spellStart"/>
      <w:r w:rsidRPr="00D23BF1">
        <w:rPr>
          <w:rFonts w:ascii="Times" w:eastAsia="Times New Roman" w:hAnsi="Times" w:cs="Times New Roman"/>
        </w:rPr>
        <w:t>Videvall</w:t>
      </w:r>
      <w:proofErr w:type="spellEnd"/>
      <w:r w:rsidRPr="00D23BF1">
        <w:rPr>
          <w:rFonts w:ascii="Times" w:eastAsia="Times New Roman" w:hAnsi="Times" w:cs="Times New Roman"/>
        </w:rPr>
        <w:t xml:space="preserve"> and colleagues (2017) on ostriches, in which they compared </w:t>
      </w:r>
      <w:proofErr w:type="spellStart"/>
      <w:r w:rsidRPr="00D23BF1">
        <w:rPr>
          <w:rFonts w:ascii="Times" w:eastAsia="Times New Roman" w:hAnsi="Times" w:cs="Times New Roman"/>
        </w:rPr>
        <w:t>faeces</w:t>
      </w:r>
      <w:proofErr w:type="spellEnd"/>
      <w:r w:rsidRPr="00D23BF1">
        <w:rPr>
          <w:rFonts w:ascii="Times" w:eastAsia="Times New Roman" w:hAnsi="Times" w:cs="Times New Roman"/>
        </w:rPr>
        <w:t xml:space="preserve"> and cloacal swabs to the ileum (small intestine before the ceca), ceca, and colon (large intestine after ceca). They found that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were an accurate representation of the colon, but unlike our study they found cloacal swabs to be distinct from the colon in terms of community composition. This difference in results may be due to anatomical differences between these species. Due to size, cloacal swabs of a small Zebra Finch may be sampling an area much closer to the colon than a cloacal swab of an ostrich. Additionally, animal and gut size can affect the diffusion of oxygen into the lumen, which may result in different abundances of oxygen-tolerant bacteria between large and small birds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{"citationItems":[{"id":"ITEM-1","itemData":{"DOI":"10.1053/j.gastro.2014.07.020","ISBN":"2156623929","ISSN":"15280012","PMID":"25046162","abstract":"Background &amp; Aims The gut microbiota is a complex and densely populated community in a dynamic environment determined by host physiology. We investigated how intestinal oxygen levels affect the composition of the fecal and mucosally adherent microbiota.\nMethods We used the phosphorescence quenching method and a specially designed intraluminal oxygen probe to dynamically quantify gut luminal oxygen levels in mice. 16S ribosomal RNA gene sequencing was used to characterize the microbiota in intestines of mice exposed to hyperbaric oxygen, human rectal biopsy and mucosal swab samples, and paired human stool samples.\nResults Average Po2values in the lumen of the cecum were extremely low (&lt;1 mm Hg). In altering oxygenation of mouse intestines, we observed that oxygen diffused from intestinal tissue and established a radial gradient that extended from the tissue interface into the lumen. Increasing tissue oxygenation with hyperbaric oxygen altered the composition of the gut microbiota in mice. In human beings, 16S ribosomal RNA gene analyses showed an increased proportion of oxygen-tolerant organisms of the Proteobacteria and Actinobacteria phyla associated with rectal mucosa, compared with feces. A consortium of asaccharolytic bacteria of the Firmicute and Bacteroidetes phyla, which primarily metabolize peptones and amino acids, was associated primarily with mucus. This could be owing to the presence of proteinaceous substrates provided by mucus and the shedding of the intestinal epithelium.\nConclusions In an analysis of intestinal microbiota of mice and human beings, we observed a radial gradient of microbes linked to the distribution of oxygen and nutrients provided by host tissue.","author":[{"dropping-particle":"","family":"Albenberg","given":"Lindsey","non-dropping-particle":"","parse-names":false,"suffix":""},{"dropping-particle":"V.","family":"Esipova","given":"Tatiana","non-dropping-particle":"","parse-names":false,"suffix":""},{"dropping-particle":"","family":"Judge","given":"Colleen P.","non-dropping-particle":"","parse-names":false,"suffix":""},{"dropping-particle":"","family":"Bittinger","given":"Kyle","non-dropping-particle":"","parse-names":false,"suffix":""},{"dropping-particle":"","family":"Chen","given":"Jun","non-dropping-particle":"","parse-names":false,"suffix":""},{"dropping-particle":"","family":"Laughlin","given":"Alice","non-dropping-particle":"","parse-names":false,"suffix":""},{"dropping-particle":"","family":"Grunberg","given":"Stephanie","non-dropping-particle":"","parse-names":false,"suffix":""},{"dropping-particle":"","family":"Baldassano","given":"Robert N.","non-dropping-particle":"","parse-names":false,"suffix":""},{"dropping-particle":"","family":"Lewis","given":"James D.","non-dropping-particle":"","parse-names":false,"suffix":""},{"dropping-particle":"","family":"Li","given":"Hongzhe","non-dropping-particle":"","parse-names":false,"suffix":""},{"dropping-particle":"","family":"Thom","given":"Stephen R.","non-dropping-particle":"","parse-names":false,"suffix":""},{"dropping-particle":"","family":"Bushman","given":"Frederic D.","non-dropping-particle":"","parse-names":false,"suffix":""},{"dropping-particle":"","family":"Vinogradov","given":"Sergei A.","non-dropping-particle":"","parse-names":false,"suffix":""},{"dropping-particle":"","family":"Wu","given":"Gary D.","non-dropping-particle":"","parse-names":false,"suffix":""}],"container-title":"Gastroenterology","id":"ITEM-1","issue":"5","issued":{"date-parts":[["2014"]]},"page":"1055-1063.e8","publisher":"Elsevier, Inc","title":"Correlation between intraluminal oxygen gradient and radial partitioning of intestinal microbiota","type":"article-journal","volume":"147"},"uris":["http://www.mendeley.com/documents/?uuid=eab808d2-7eab-4195-984e-54005499094e"]}],"mendeley":{"formattedCitation":"&lt;sup&gt;40&lt;/sup&gt;","plainTextFormattedCitation":"40","previouslyFormattedCitation":"(Albenberg &lt;i&gt;et al.&lt;/i&gt; 2014)"},"properties":{"noteIndex":0},"schema":"https://github.com/citation-style-language/schema/raw/master/csl-citation.json"}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40</w:t>
      </w:r>
      <w:r w:rsidRPr="00D23BF1">
        <w:rPr>
          <w:rFonts w:ascii="Times" w:eastAsia="Times New Roman" w:hAnsi="Times" w:cs="Times New Roman"/>
        </w:rPr>
        <w:fldChar w:fldCharType="end"/>
      </w:r>
      <w:r w:rsidRPr="00D23BF1">
        <w:rPr>
          <w:rFonts w:ascii="Times" w:eastAsia="Times New Roman" w:hAnsi="Times" w:cs="Times New Roman"/>
        </w:rPr>
        <w:t xml:space="preserve">. Smaller birds with smaller luminal space in the large intestine may support more </w:t>
      </w:r>
      <w:r w:rsidRPr="00D23BF1">
        <w:rPr>
          <w:rFonts w:ascii="Times" w:eastAsia="Times New Roman" w:hAnsi="Times" w:cs="Times New Roman"/>
        </w:rPr>
        <w:lastRenderedPageBreak/>
        <w:t xml:space="preserve">oxygen-tolerant bacteria, and therefore cloacal swabs may capture communities more similar to the semi-aerobic environment of the large intestine. Conversely, larger birds such as ostriches might harbor a highly anaerobic community in the large intestine, and so cloacal swabs may not capture a representative community. </w:t>
      </w:r>
    </w:p>
    <w:p w14:paraId="10B74FC7"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 xml:space="preserve">We also found that cloacal swabs are better at capturing individual variation in the gut microbiome than cloacal swabs in Zebra Finches (Fig. 6). This result suggests that cloacal swabs most closely represent the large intestine of the specific bird they were collected from in terms of which bacteria are present. In contrast, fecal samples were just as similar to another bird’s large intestine microbial community as to the large intestine of the bird from which they were both collected. As non-lethal sampling is often used in </w:t>
      </w:r>
      <w:proofErr w:type="spellStart"/>
      <w:r w:rsidRPr="00D23BF1">
        <w:rPr>
          <w:rFonts w:ascii="Times" w:eastAsia="Times New Roman" w:hAnsi="Times" w:cs="Times New Roman"/>
        </w:rPr>
        <w:t>behavioural</w:t>
      </w:r>
      <w:proofErr w:type="spellEnd"/>
      <w:r w:rsidRPr="00D23BF1">
        <w:rPr>
          <w:rFonts w:ascii="Times" w:eastAsia="Times New Roman" w:hAnsi="Times" w:cs="Times New Roman"/>
        </w:rPr>
        <w:t xml:space="preserve"> studies, a key aspect is capturing slight individual variation in microbial communities. This finding suggests that for studies of passerine birds, cloacal swabs are better than </w:t>
      </w:r>
      <w:proofErr w:type="spellStart"/>
      <w:r w:rsidRPr="00D23BF1">
        <w:rPr>
          <w:rFonts w:ascii="Times" w:eastAsia="Times New Roman" w:hAnsi="Times" w:cs="Times New Roman"/>
        </w:rPr>
        <w:t>faeces</w:t>
      </w:r>
      <w:proofErr w:type="spellEnd"/>
      <w:r w:rsidRPr="00D23BF1">
        <w:rPr>
          <w:rFonts w:ascii="Times" w:eastAsia="Times New Roman" w:hAnsi="Times" w:cs="Times New Roman"/>
        </w:rPr>
        <w:t xml:space="preserve"> for capturing fine scale variation of microbial community membership of the large intestine among individuals.</w:t>
      </w:r>
    </w:p>
    <w:p w14:paraId="637C4308"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ab/>
        <w:t xml:space="preserve">In accordance with Vo and </w:t>
      </w:r>
      <w:proofErr w:type="spellStart"/>
      <w:r w:rsidRPr="00D23BF1">
        <w:rPr>
          <w:rFonts w:ascii="Times" w:eastAsia="Times New Roman" w:hAnsi="Times" w:cs="Times New Roman"/>
        </w:rPr>
        <w:t>Jedlicka</w:t>
      </w:r>
      <w:proofErr w:type="spellEnd"/>
      <w:r w:rsidRPr="00D23BF1">
        <w:rPr>
          <w:rFonts w:ascii="Times" w:eastAsia="Times New Roman" w:hAnsi="Times" w:cs="Times New Roman"/>
        </w:rPr>
        <w:t xml:space="preserve"> (2014) and Kohl (2017) we also recommend using properly collected and stored cloacal swabs to address questions about the composition of the large intestines and fine scale individual variation in gut microbial diversity.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are sufficient when the goal is to </w:t>
      </w:r>
      <w:proofErr w:type="spellStart"/>
      <w:r w:rsidRPr="00D23BF1">
        <w:rPr>
          <w:rFonts w:ascii="Times" w:eastAsia="Times New Roman" w:hAnsi="Times" w:cs="Times New Roman"/>
        </w:rPr>
        <w:t>characterise</w:t>
      </w:r>
      <w:proofErr w:type="spellEnd"/>
      <w:r w:rsidRPr="00D23BF1">
        <w:rPr>
          <w:rFonts w:ascii="Times" w:eastAsia="Times New Roman" w:hAnsi="Times" w:cs="Times New Roman"/>
        </w:rPr>
        <w:t xml:space="preserve"> or survey the gut microbial communities of a population or across experimental groups. Choosing between these two sample types may depend on the circumstances of sampling. For example, cloacal samples are ideal if time is constrained and birds are already being handled, whereas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may be preferable when a less invasive method is desired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{"citationItems":[{"id":"ITEM-1","itemData":{"DOI":"10.1007/s00248-018-1182-4","ISBN":"00953628 (ISSN)","ISSN":"00953628","PMID":"29623358","abstract":"© 2018 Springer Science+Business Media, LLC, part of Springer Nature Over the past few decades, studies have demonstrated that the gut microbiota strongly influences the physiology, behavior, and fitness of its host. Such studies have been conducted primarily in humans and model organisms under controlled laboratory conditions. More recently, researchers have realized the importance of placing host-associated microbiota studies into a more ecological context; however, few non-destructive methods have been established to collect fecal samples from wild birds. Here, we present an inexpensive and easy-to-use kit for the non-invasive collection of feces from small birds. The portability of the collection kit makes this method amenable to field studies, especially those in remote areas. The main components of the collection kit include a flat-bottomed paper bag, a large modified weigh boat (tray), vinyl-coated hardware cloth fencing (grate), a clothespin, and a 10% bleach solution (to sterilize the tray and grate). In the paper bag, a sterile tray is placed under a small grate, which prevents the birds from contacting the feces and reduces the risk of contamination. After capture, the bird is placed in the bag for 3–5 min until it defecates. After the bird is removed from the bag, the tray is extracted and the fecal sample is moved to a collection tube and frozen or preserved. We believe that our method is an affordable and easy option for researchers studying the gut microbiota of wild birds.","author":[{"dropping-particle":"","family":"Knutie","given":"Sarah A.","non-dropping-particle":"","parse-names":false,"suffix":""},{"dropping-particle":"","family":"Gotanda","given":"Kiyoko M.","non-dropping-particle":"","parse-names":false,"suffix":""}],"container-title":"Microbial Ecology","id":"ITEM-1","issued":{"date-parts":[["2018"]]},"page":"1-5","publisher":"Microbial Ecology","title":"A Non-invasive Method to Collect Fecal Samples from Wild Birds for Microbiome Studies","type":"article-journal"},"uris":["http://www.mendeley.com/documents/?uuid=5153c2b5-bf48-4901-b053-4e0042b1494b"]}],"mendeley":{"formattedCitation":"&lt;sup&gt;41&lt;/sup&gt;","plainTextFormattedCitation":"41","previouslyFormattedCitation":"(Knutie &amp; Gotanda 2018)"},"properties":{"noteIndex":0},"schema":"https://github.com/citation-style-language/schema/raw/master/csl-citation.json"}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41</w:t>
      </w:r>
      <w:r w:rsidRPr="00D23BF1">
        <w:rPr>
          <w:rFonts w:ascii="Times" w:eastAsia="Times New Roman" w:hAnsi="Times" w:cs="Times New Roman"/>
        </w:rPr>
        <w:fldChar w:fldCharType="end"/>
      </w:r>
      <w:r w:rsidRPr="00D23BF1">
        <w:rPr>
          <w:rFonts w:ascii="Times" w:eastAsia="Times New Roman" w:hAnsi="Times" w:cs="Times New Roman"/>
        </w:rPr>
        <w:t xml:space="preserve">. It is important to note that we sampled only males, which means additional studies may be needed to assess if there are any sex-specific effects on the similarity between lethal and non-lethal microbial communities. Overall, we found that both types of non-lethal sampling are useful in passerines. </w:t>
      </w:r>
    </w:p>
    <w:p w14:paraId="31247D86"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ab/>
        <w:t xml:space="preserve">Our study indicates that replication of sampling validation across different digestive strategies and diets are important. Comparing our findings for non-lethal sampling in passerines to one conducted in ostriches </w:t>
      </w:r>
      <w:r w:rsidRPr="00D23BF1">
        <w:rPr>
          <w:rFonts w:ascii="Times" w:eastAsia="Times New Roman" w:hAnsi="Times" w:cs="Times New Roman"/>
        </w:rPr>
        <w:fldChar w:fldCharType="begin" w:fldLock="1"/>
      </w:r>
      <w:r w:rsidRPr="00D23BF1">
        <w:rPr>
          <w:rFonts w:ascii="Times" w:eastAsia="Times New Roman" w:hAnsi="Times" w:cs="Times New Roman"/>
        </w:rPr>
        <w:instrText>ADDIN CSL_CITATION {"citationItems":[{"id":"ITEM-1","itemData":{"author":[{"dropping-particle":"","family":"Videvall","given":"Elin","non-dropping-particle":"","parse-names":false,"suffix":""},{"dropping-particle":"","family":"Strandh","given":"Maria","non-dropping-particle":"","parse-names":false,"suffix":""},{"dropping-particle":"","family":"Engelbrecht","given":"Anel","non-dropping-particle":"","parse-names":false,"suffix":""},{"dropping-particle":"","family":"Cloete","given":"Schalk","non-dropping-particle":"","parse-names":false,"suffix":""},{"dropping-particle":"","family":"Cornwallis","given":"Charlie K.","non-dropping-particle":"","parse-names":false,"suffix":""}],"container-title":"Preprint","id":"ITEM-1","issued":{"date-parts":[["2017"]]},"note":"&amp;quot;The two most similar sample types were the faeces and colon, which resulted in a low R2 (0.069), whereas the cloaca and colon were more dissimilar (R2 = 0.099).&amp;quot;\n(from results, based on bray curtis)","page":"1-22","title":"Measuring the gut microbiome in birds : comparison of faecal and cloacal sampling","type":"article-journal"},"uris":["http://www.mendeley.com/documents/?uuid=03f68f00-2e6e-40c2-89b7-77fe2cfd8dc5"]}],"mendeley":{"formattedCitation":"&lt;sup&gt;18&lt;/sup&gt;","plainTextFormattedCitation":"18","previouslyFormattedCitation":"(Videvall &lt;i&gt;et al.&lt;/i&gt; 2017)"},"properties":{"noteIndex":0},"schema":"https://github.com/citation-style-language/schema/raw/master/csl-citation.json"}</w:instrText>
      </w:r>
      <w:r w:rsidRPr="00D23BF1">
        <w:rPr>
          <w:rFonts w:ascii="Times" w:eastAsia="Times New Roman" w:hAnsi="Times" w:cs="Times New Roman"/>
        </w:rPr>
        <w:fldChar w:fldCharType="separate"/>
      </w:r>
      <w:r w:rsidRPr="00D23BF1">
        <w:rPr>
          <w:rFonts w:ascii="Times" w:eastAsia="Times New Roman" w:hAnsi="Times" w:cs="Times New Roman"/>
          <w:noProof/>
          <w:vertAlign w:val="superscript"/>
        </w:rPr>
        <w:t>18</w:t>
      </w:r>
      <w:r w:rsidRPr="00D23BF1">
        <w:rPr>
          <w:rFonts w:ascii="Times" w:eastAsia="Times New Roman" w:hAnsi="Times" w:cs="Times New Roman"/>
        </w:rPr>
        <w:fldChar w:fldCharType="end"/>
      </w:r>
      <w:r w:rsidRPr="00D23BF1">
        <w:rPr>
          <w:rFonts w:ascii="Times" w:eastAsia="Times New Roman" w:hAnsi="Times" w:cs="Times New Roman"/>
        </w:rPr>
        <w:t xml:space="preserve">, which have distinct digestive physiology, is informative. Both studies suggest that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are representative of gut bacterial communities in the large intestine. However, the studies do not agree on the use of cloacal swabs. The ostrich study found that cloacal swabs are significantly less representative than are </w:t>
      </w:r>
      <w:proofErr w:type="spellStart"/>
      <w:r w:rsidRPr="00D23BF1">
        <w:rPr>
          <w:rFonts w:ascii="Times" w:eastAsia="Times New Roman" w:hAnsi="Times" w:cs="Times New Roman"/>
        </w:rPr>
        <w:t>faecal</w:t>
      </w:r>
      <w:proofErr w:type="spellEnd"/>
      <w:r w:rsidRPr="00D23BF1">
        <w:rPr>
          <w:rFonts w:ascii="Times" w:eastAsia="Times New Roman" w:hAnsi="Times" w:cs="Times New Roman"/>
        </w:rPr>
        <w:t xml:space="preserve"> samples, but we find that cloacal swabs do capture information about the bacterial community in the large intestine. These findings suggest that one should not use cloacal swabs in ostriches whereas they are useful for work in passerines. Future work in birds should assess the usefulness of non-lethal sampling in different avian lineages, especially those with different GI anatomy as it is a proxy for alternative physiological strategies for processing food. For example, we still do not know if non-lethal samples are representative of the large intestine (or other gut region of interest) for taxa such as carnivorous raptors or nectivorous hummingbirds. These types of comparison studies are fundamental to provide researchers with tools to better select the appropriate sampling technique for their study system.</w:t>
      </w:r>
    </w:p>
    <w:p w14:paraId="5FF03B92" w14:textId="77777777" w:rsidR="00041ADB" w:rsidRPr="00D23BF1" w:rsidRDefault="00041ADB" w:rsidP="00F20BE1">
      <w:pPr>
        <w:rPr>
          <w:rFonts w:ascii="Times" w:eastAsia="Times New Roman" w:hAnsi="Times" w:cs="Times New Roman"/>
        </w:rPr>
      </w:pPr>
    </w:p>
    <w:p w14:paraId="1E2A2B3B" w14:textId="77777777" w:rsidR="00041ADB" w:rsidRPr="00D23BF1" w:rsidRDefault="00041ADB" w:rsidP="00F20BE1">
      <w:pPr>
        <w:rPr>
          <w:rFonts w:ascii="Times" w:eastAsia="Times New Roman" w:hAnsi="Times" w:cs="Times New Roman"/>
        </w:rPr>
      </w:pPr>
    </w:p>
    <w:p w14:paraId="52C92C15"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rPr>
        <w:tab/>
        <w:t xml:space="preserve">We are grateful for the help of Emily Norris in sample collection and preparation, Casey M. Coomes, Jennifer N. Phillips, Sara </w:t>
      </w:r>
      <w:proofErr w:type="spellStart"/>
      <w:r w:rsidRPr="00D23BF1">
        <w:rPr>
          <w:rFonts w:ascii="Times" w:eastAsia="Times New Roman" w:hAnsi="Times" w:cs="Times New Roman"/>
        </w:rPr>
        <w:t>Lipshutz</w:t>
      </w:r>
      <w:proofErr w:type="spellEnd"/>
      <w:r w:rsidRPr="00D23BF1">
        <w:rPr>
          <w:rFonts w:ascii="Times" w:eastAsia="Times New Roman" w:hAnsi="Times" w:cs="Times New Roman"/>
        </w:rPr>
        <w:t xml:space="preserve">, Kimberly </w:t>
      </w:r>
      <w:proofErr w:type="spellStart"/>
      <w:r w:rsidRPr="00D23BF1">
        <w:rPr>
          <w:rFonts w:ascii="Times" w:eastAsia="Times New Roman" w:hAnsi="Times" w:cs="Times New Roman"/>
        </w:rPr>
        <w:t>Micotto</w:t>
      </w:r>
      <w:proofErr w:type="spellEnd"/>
      <w:r w:rsidRPr="00D23BF1">
        <w:rPr>
          <w:rFonts w:ascii="Times" w:eastAsia="Times New Roman" w:hAnsi="Times" w:cs="Times New Roman"/>
        </w:rPr>
        <w:t xml:space="preserve">, and the vivarium staff at Tulane University for bird care. We thank the Associate Editor Ben Smit, Editor </w:t>
      </w:r>
      <w:proofErr w:type="spellStart"/>
      <w:r w:rsidRPr="00D23BF1">
        <w:rPr>
          <w:rFonts w:ascii="Times" w:eastAsia="Times New Roman" w:hAnsi="Times" w:cs="Times New Roman"/>
        </w:rPr>
        <w:t>Rauri</w:t>
      </w:r>
      <w:proofErr w:type="spellEnd"/>
      <w:r w:rsidRPr="00D23BF1">
        <w:rPr>
          <w:rFonts w:ascii="Times" w:eastAsia="Times New Roman" w:hAnsi="Times" w:cs="Times New Roman"/>
        </w:rPr>
        <w:t xml:space="preserve"> Bowie, and two anonymous reviewers for comments on the manuscript. This study was supported in part by funding from the Ecology and Evolutionary Biology department at Tulane University.</w:t>
      </w:r>
    </w:p>
    <w:p w14:paraId="0AACFD92" w14:textId="77777777" w:rsidR="00041ADB" w:rsidRPr="00D23BF1" w:rsidRDefault="00041ADB" w:rsidP="00F20BE1">
      <w:pPr>
        <w:rPr>
          <w:rFonts w:ascii="Times" w:eastAsia="Times New Roman" w:hAnsi="Times" w:cs="Times New Roman"/>
        </w:rPr>
      </w:pPr>
    </w:p>
    <w:p w14:paraId="298878A5" w14:textId="77777777" w:rsidR="00041ADB" w:rsidRPr="00D23BF1" w:rsidRDefault="00041ADB" w:rsidP="00F20BE1">
      <w:pPr>
        <w:rPr>
          <w:rFonts w:ascii="Times" w:eastAsia="Times New Roman" w:hAnsi="Times" w:cs="Times New Roman"/>
        </w:rPr>
      </w:pPr>
    </w:p>
    <w:p w14:paraId="73892B07" w14:textId="77777777" w:rsidR="00041ADB" w:rsidRPr="00D23BF1" w:rsidRDefault="00041ADB" w:rsidP="00F20BE1">
      <w:pPr>
        <w:pStyle w:val="Heading2"/>
        <w:rPr>
          <w:rFonts w:ascii="Times" w:hAnsi="Times"/>
        </w:rPr>
      </w:pPr>
      <w:bookmarkStart w:id="82" w:name="_Toc69972873"/>
      <w:r w:rsidRPr="00D23BF1">
        <w:rPr>
          <w:rFonts w:ascii="Times" w:hAnsi="Times"/>
        </w:rPr>
        <w:t>Data statement</w:t>
      </w:r>
      <w:bookmarkEnd w:id="82"/>
    </w:p>
    <w:p w14:paraId="7044AA9E" w14:textId="77777777" w:rsidR="00041ADB" w:rsidRPr="00D23BF1" w:rsidRDefault="00041ADB" w:rsidP="00F20BE1">
      <w:pPr>
        <w:rPr>
          <w:rFonts w:ascii="Times" w:eastAsia="Times New Roman" w:hAnsi="Times" w:cs="Times New Roman"/>
        </w:rPr>
      </w:pPr>
      <w:r w:rsidRPr="00D23BF1">
        <w:rPr>
          <w:rFonts w:ascii="Times" w:eastAsia="Times New Roman" w:hAnsi="Times" w:cs="Times New Roman"/>
          <w:b/>
        </w:rPr>
        <w:tab/>
      </w:r>
      <w:r w:rsidRPr="00D23BF1">
        <w:rPr>
          <w:rFonts w:ascii="Times" w:eastAsia="Times New Roman" w:hAnsi="Times" w:cs="Times New Roman"/>
        </w:rPr>
        <w:t>All scripts and files needed to reproduce our analyses are available on GitHub</w:t>
      </w:r>
      <w:r w:rsidRPr="00D23BF1">
        <w:rPr>
          <w:rFonts w:ascii="Times" w:eastAsia="Times New Roman" w:hAnsi="Times" w:cs="Times New Roman"/>
          <w:b/>
        </w:rPr>
        <w:t xml:space="preserve"> (</w:t>
      </w:r>
      <w:hyperlink r:id="rId12" w:history="1">
        <w:r w:rsidRPr="00D23BF1">
          <w:rPr>
            <w:rStyle w:val="Hyperlink"/>
            <w:rFonts w:ascii="Times" w:hAnsi="Times" w:cs="Times New Roman"/>
          </w:rPr>
          <w:t>https://github.com/mBerlow/ibis2019</w:t>
        </w:r>
      </w:hyperlink>
      <w:r w:rsidRPr="00D23BF1">
        <w:rPr>
          <w:rFonts w:ascii="Times" w:hAnsi="Times" w:cs="Times New Roman"/>
        </w:rPr>
        <w:t>) and sequences are available from the Sequence Read Archive (accession #</w:t>
      </w:r>
      <w:r w:rsidRPr="00D23BF1">
        <w:rPr>
          <w:rFonts w:ascii="Times" w:hAnsi="Times" w:cs="Times New Roman"/>
          <w:shd w:val="clear" w:color="auto" w:fill="FFFFFF"/>
        </w:rPr>
        <w:t xml:space="preserve"> </w:t>
      </w:r>
      <w:r w:rsidRPr="00D23BF1">
        <w:rPr>
          <w:rFonts w:ascii="Times" w:eastAsia="Times New Roman" w:hAnsi="Times" w:cs="Times New Roman"/>
          <w:shd w:val="clear" w:color="auto" w:fill="FFFFFF"/>
        </w:rPr>
        <w:t>PRJNA575875)</w:t>
      </w:r>
    </w:p>
    <w:p w14:paraId="15527200" w14:textId="77777777" w:rsidR="00041ADB" w:rsidRPr="00D23BF1" w:rsidRDefault="00041ADB" w:rsidP="00F20BE1">
      <w:pPr>
        <w:rPr>
          <w:rFonts w:ascii="Times" w:eastAsia="Times New Roman" w:hAnsi="Times" w:cs="Times New Roman"/>
          <w:b/>
          <w:highlight w:val="yellow"/>
        </w:rPr>
      </w:pPr>
    </w:p>
    <w:p w14:paraId="16EC348E" w14:textId="77777777" w:rsidR="00041ADB" w:rsidRPr="00D23BF1" w:rsidRDefault="00041ADB" w:rsidP="00F20BE1">
      <w:pPr>
        <w:rPr>
          <w:rFonts w:ascii="Times" w:eastAsia="Cambria" w:hAnsi="Times" w:cs="Cambria"/>
          <w:b/>
          <w:bCs/>
          <w:szCs w:val="36"/>
        </w:rPr>
      </w:pPr>
      <w:bookmarkStart w:id="83" w:name="_Toc69393563"/>
      <w:bookmarkStart w:id="84" w:name="_Toc69396336"/>
      <w:bookmarkStart w:id="85" w:name="_Toc69396371"/>
      <w:bookmarkStart w:id="86" w:name="_Toc69396560"/>
      <w:r w:rsidRPr="00D23BF1">
        <w:rPr>
          <w:rFonts w:ascii="Times" w:hAnsi="Times"/>
          <w:b/>
          <w:bCs/>
        </w:rPr>
        <w:br w:type="page"/>
      </w:r>
    </w:p>
    <w:p w14:paraId="7EA8FB28" w14:textId="77777777" w:rsidR="00041ADB" w:rsidRPr="00D23BF1" w:rsidRDefault="00041ADB" w:rsidP="00F20BE1">
      <w:pPr>
        <w:pStyle w:val="Heading2"/>
        <w:jc w:val="center"/>
        <w:rPr>
          <w:rFonts w:ascii="Times" w:hAnsi="Times"/>
          <w:b/>
          <w:bCs/>
          <w:u w:val="none"/>
        </w:rPr>
      </w:pPr>
      <w:bookmarkStart w:id="87" w:name="_Toc69972874"/>
      <w:r w:rsidRPr="00D23BF1">
        <w:rPr>
          <w:rFonts w:ascii="Times" w:hAnsi="Times"/>
          <w:b/>
          <w:bCs/>
          <w:u w:val="none"/>
        </w:rPr>
        <w:lastRenderedPageBreak/>
        <w:t>References</w:t>
      </w:r>
      <w:bookmarkEnd w:id="83"/>
      <w:bookmarkEnd w:id="84"/>
      <w:bookmarkEnd w:id="85"/>
      <w:bookmarkEnd w:id="86"/>
      <w:bookmarkEnd w:id="87"/>
    </w:p>
    <w:p w14:paraId="33B829FD" w14:textId="77777777" w:rsidR="00041ADB" w:rsidRPr="00D23BF1" w:rsidRDefault="00041ADB" w:rsidP="00F20BE1">
      <w:pPr>
        <w:rPr>
          <w:rFonts w:ascii="Times" w:hAnsi="Times"/>
        </w:rPr>
      </w:pPr>
    </w:p>
    <w:p w14:paraId="3B2F9D8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eastAsia="Times New Roman" w:hAnsi="Times" w:cs="Times New Roman"/>
        </w:rPr>
        <w:fldChar w:fldCharType="begin" w:fldLock="1"/>
      </w:r>
      <w:r w:rsidRPr="00D23BF1">
        <w:rPr>
          <w:rFonts w:ascii="Times" w:eastAsia="Times New Roman" w:hAnsi="Times" w:cs="Times New Roman"/>
        </w:rPr>
        <w:instrText xml:space="preserve">ADDIN Mendeley Bibliography CSL_BIBLIOGRAPHY </w:instrText>
      </w:r>
      <w:r w:rsidRPr="00D23BF1">
        <w:rPr>
          <w:rFonts w:ascii="Times" w:eastAsia="Times New Roman" w:hAnsi="Times" w:cs="Times New Roman"/>
        </w:rPr>
        <w:fldChar w:fldCharType="separate"/>
      </w:r>
      <w:r w:rsidRPr="00D23BF1">
        <w:rPr>
          <w:rFonts w:ascii="Times" w:hAnsi="Times" w:cs="Times New Roman"/>
          <w:noProof/>
        </w:rPr>
        <w:t>1.</w:t>
      </w:r>
      <w:r w:rsidRPr="00D23BF1">
        <w:rPr>
          <w:rFonts w:ascii="Times" w:hAnsi="Times" w:cs="Times New Roman"/>
          <w:noProof/>
        </w:rPr>
        <w:tab/>
        <w:t xml:space="preserve">O’Hara, A. M. &amp; Shanahan, F. The gut flora as a forgotten organ. </w:t>
      </w:r>
      <w:r w:rsidRPr="00D23BF1">
        <w:rPr>
          <w:rFonts w:ascii="Times" w:hAnsi="Times" w:cs="Times New Roman"/>
          <w:i/>
          <w:iCs/>
          <w:noProof/>
        </w:rPr>
        <w:t>EMBO Rep.</w:t>
      </w:r>
      <w:r w:rsidRPr="00D23BF1">
        <w:rPr>
          <w:rFonts w:ascii="Times" w:hAnsi="Times" w:cs="Times New Roman"/>
          <w:noProof/>
        </w:rPr>
        <w:t xml:space="preserve"> </w:t>
      </w:r>
      <w:r w:rsidRPr="00D23BF1">
        <w:rPr>
          <w:rFonts w:ascii="Times" w:hAnsi="Times" w:cs="Times New Roman"/>
          <w:b/>
          <w:bCs/>
          <w:noProof/>
        </w:rPr>
        <w:t>7</w:t>
      </w:r>
      <w:r w:rsidRPr="00D23BF1">
        <w:rPr>
          <w:rFonts w:ascii="Times" w:hAnsi="Times" w:cs="Times New Roman"/>
          <w:noProof/>
        </w:rPr>
        <w:t>, 688–693 (2006).</w:t>
      </w:r>
    </w:p>
    <w:p w14:paraId="2CBA72D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w:t>
      </w:r>
      <w:r w:rsidRPr="00D23BF1">
        <w:rPr>
          <w:rFonts w:ascii="Times" w:hAnsi="Times" w:cs="Times New Roman"/>
          <w:noProof/>
        </w:rPr>
        <w:tab/>
        <w:t xml:space="preserve">Maslowski, K. M. &amp; MacKay, C. R. Diet, gut microbiota and immune responses. </w:t>
      </w:r>
      <w:r w:rsidRPr="00D23BF1">
        <w:rPr>
          <w:rFonts w:ascii="Times" w:hAnsi="Times" w:cs="Times New Roman"/>
          <w:i/>
          <w:iCs/>
          <w:noProof/>
        </w:rPr>
        <w:t>Nat. Immunol.</w:t>
      </w:r>
      <w:r w:rsidRPr="00D23BF1">
        <w:rPr>
          <w:rFonts w:ascii="Times" w:hAnsi="Times" w:cs="Times New Roman"/>
          <w:noProof/>
        </w:rPr>
        <w:t xml:space="preserve"> </w:t>
      </w:r>
      <w:r w:rsidRPr="00D23BF1">
        <w:rPr>
          <w:rFonts w:ascii="Times" w:hAnsi="Times" w:cs="Times New Roman"/>
          <w:b/>
          <w:bCs/>
          <w:noProof/>
        </w:rPr>
        <w:t>12</w:t>
      </w:r>
      <w:r w:rsidRPr="00D23BF1">
        <w:rPr>
          <w:rFonts w:ascii="Times" w:hAnsi="Times" w:cs="Times New Roman"/>
          <w:noProof/>
        </w:rPr>
        <w:t>, 5–9 (2011).</w:t>
      </w:r>
    </w:p>
    <w:p w14:paraId="07D3C00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w:t>
      </w:r>
      <w:r w:rsidRPr="00D23BF1">
        <w:rPr>
          <w:rFonts w:ascii="Times" w:hAnsi="Times" w:cs="Times New Roman"/>
          <w:noProof/>
        </w:rPr>
        <w:tab/>
        <w:t xml:space="preserve">Stevens, C. E. &amp; Hume, I. D. Contributions of microbes in vertebrate gastrointestinal tract to production and conservation of nutrients. </w:t>
      </w:r>
      <w:r w:rsidRPr="00D23BF1">
        <w:rPr>
          <w:rFonts w:ascii="Times" w:hAnsi="Times" w:cs="Times New Roman"/>
          <w:i/>
          <w:iCs/>
          <w:noProof/>
        </w:rPr>
        <w:t>Physiol. Rev.</w:t>
      </w:r>
      <w:r w:rsidRPr="00D23BF1">
        <w:rPr>
          <w:rFonts w:ascii="Times" w:hAnsi="Times" w:cs="Times New Roman"/>
          <w:noProof/>
        </w:rPr>
        <w:t xml:space="preserve"> </w:t>
      </w:r>
      <w:r w:rsidRPr="00D23BF1">
        <w:rPr>
          <w:rFonts w:ascii="Times" w:hAnsi="Times" w:cs="Times New Roman"/>
          <w:b/>
          <w:bCs/>
          <w:noProof/>
        </w:rPr>
        <w:t>78</w:t>
      </w:r>
      <w:r w:rsidRPr="00D23BF1">
        <w:rPr>
          <w:rFonts w:ascii="Times" w:hAnsi="Times" w:cs="Times New Roman"/>
          <w:noProof/>
        </w:rPr>
        <w:t>, 393–427 (1998).</w:t>
      </w:r>
    </w:p>
    <w:p w14:paraId="617A88E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w:t>
      </w:r>
      <w:r w:rsidRPr="00D23BF1">
        <w:rPr>
          <w:rFonts w:ascii="Times" w:hAnsi="Times" w:cs="Times New Roman"/>
          <w:noProof/>
        </w:rPr>
        <w:tab/>
        <w:t xml:space="preserve">Johnson, K. V &amp; Foster, K. R. Why does the microbiome affect behaviour? </w:t>
      </w:r>
      <w:r w:rsidRPr="00D23BF1">
        <w:rPr>
          <w:rFonts w:ascii="Times" w:hAnsi="Times" w:cs="Times New Roman"/>
          <w:i/>
          <w:iCs/>
          <w:noProof/>
        </w:rPr>
        <w:t>Nat. Rev. Microbiol.</w:t>
      </w:r>
      <w:r w:rsidRPr="00D23BF1">
        <w:rPr>
          <w:rFonts w:ascii="Times" w:hAnsi="Times" w:cs="Times New Roman"/>
          <w:noProof/>
        </w:rPr>
        <w:t xml:space="preserve"> 647–655 (2018) doi:10.1038/s41579-018-0014-3.</w:t>
      </w:r>
    </w:p>
    <w:p w14:paraId="34E4221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w:t>
      </w:r>
      <w:r w:rsidRPr="00D23BF1">
        <w:rPr>
          <w:rFonts w:ascii="Times" w:hAnsi="Times" w:cs="Times New Roman"/>
          <w:noProof/>
        </w:rPr>
        <w:tab/>
        <w:t xml:space="preserve">Kraimi, N., Calandreau, L., Biesse, M., Rabot, S. &amp; Guitton, E. Absence of Gut Microbiota Reduces Emotional Reactivity in Japanese Quails ( Coturnix japonica ). </w:t>
      </w:r>
      <w:r w:rsidRPr="00D23BF1">
        <w:rPr>
          <w:rFonts w:ascii="Times" w:hAnsi="Times" w:cs="Times New Roman"/>
          <w:b/>
          <w:bCs/>
          <w:noProof/>
        </w:rPr>
        <w:t>9</w:t>
      </w:r>
      <w:r w:rsidRPr="00D23BF1">
        <w:rPr>
          <w:rFonts w:ascii="Times" w:hAnsi="Times" w:cs="Times New Roman"/>
          <w:noProof/>
        </w:rPr>
        <w:t>, 1–9 (2018).</w:t>
      </w:r>
    </w:p>
    <w:p w14:paraId="2EFCFAC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w:t>
      </w:r>
      <w:r w:rsidRPr="00D23BF1">
        <w:rPr>
          <w:rFonts w:ascii="Times" w:hAnsi="Times" w:cs="Times New Roman"/>
          <w:noProof/>
        </w:rPr>
        <w:tab/>
        <w:t xml:space="preserve">Kulkarni, S. &amp; Heeb, P. Social and sexual behaviours aid transmission of bacteria in birds. </w:t>
      </w:r>
      <w:r w:rsidRPr="00D23BF1">
        <w:rPr>
          <w:rFonts w:ascii="Times" w:hAnsi="Times" w:cs="Times New Roman"/>
          <w:i/>
          <w:iCs/>
          <w:noProof/>
        </w:rPr>
        <w:t>Behav. Processes</w:t>
      </w:r>
      <w:r w:rsidRPr="00D23BF1">
        <w:rPr>
          <w:rFonts w:ascii="Times" w:hAnsi="Times" w:cs="Times New Roman"/>
          <w:noProof/>
        </w:rPr>
        <w:t xml:space="preserve"> </w:t>
      </w:r>
      <w:r w:rsidRPr="00D23BF1">
        <w:rPr>
          <w:rFonts w:ascii="Times" w:hAnsi="Times" w:cs="Times New Roman"/>
          <w:b/>
          <w:bCs/>
          <w:noProof/>
        </w:rPr>
        <w:t>74</w:t>
      </w:r>
      <w:r w:rsidRPr="00D23BF1">
        <w:rPr>
          <w:rFonts w:ascii="Times" w:hAnsi="Times" w:cs="Times New Roman"/>
          <w:noProof/>
        </w:rPr>
        <w:t>, 88–92 (2007).</w:t>
      </w:r>
    </w:p>
    <w:p w14:paraId="3A2DEBD4"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w:t>
      </w:r>
      <w:r w:rsidRPr="00D23BF1">
        <w:rPr>
          <w:rFonts w:ascii="Times" w:hAnsi="Times" w:cs="Times New Roman"/>
          <w:noProof/>
        </w:rPr>
        <w:tab/>
        <w:t xml:space="preserve">Moran, N. A., Ochman, H. &amp; Hammer, T. J. Evolutionary and Ecological Consequences of Gut Microbial Communities. </w:t>
      </w:r>
      <w:r w:rsidRPr="00D23BF1">
        <w:rPr>
          <w:rFonts w:ascii="Times" w:hAnsi="Times" w:cs="Times New Roman"/>
          <w:i/>
          <w:iCs/>
          <w:noProof/>
        </w:rPr>
        <w:t>Annu. Rev. Ecol. Evol. Syst.</w:t>
      </w:r>
      <w:r w:rsidRPr="00D23BF1">
        <w:rPr>
          <w:rFonts w:ascii="Times" w:hAnsi="Times" w:cs="Times New Roman"/>
          <w:noProof/>
        </w:rPr>
        <w:t xml:space="preserve"> (2019) doi:10.1146/annurev-ecolsys-110617-062453.</w:t>
      </w:r>
    </w:p>
    <w:p w14:paraId="0EBCF2B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w:t>
      </w:r>
      <w:r w:rsidRPr="00D23BF1">
        <w:rPr>
          <w:rFonts w:ascii="Times" w:hAnsi="Times" w:cs="Times New Roman"/>
          <w:noProof/>
        </w:rPr>
        <w:tab/>
        <w:t xml:space="preserve">Suzuki, T. A. &amp; Nachman, M. W. Spatial heterogeneity of gut microbial composition along the gastrointestinal tract in natural populations of house mice. </w:t>
      </w:r>
      <w:r w:rsidRPr="00D23BF1">
        <w:rPr>
          <w:rFonts w:ascii="Times" w:hAnsi="Times" w:cs="Times New Roman"/>
          <w:i/>
          <w:iCs/>
          <w:noProof/>
        </w:rPr>
        <w:t>PLoS One</w:t>
      </w:r>
      <w:r w:rsidRPr="00D23BF1">
        <w:rPr>
          <w:rFonts w:ascii="Times" w:hAnsi="Times" w:cs="Times New Roman"/>
          <w:noProof/>
        </w:rPr>
        <w:t xml:space="preserve"> </w:t>
      </w:r>
      <w:r w:rsidRPr="00D23BF1">
        <w:rPr>
          <w:rFonts w:ascii="Times" w:hAnsi="Times" w:cs="Times New Roman"/>
          <w:b/>
          <w:bCs/>
          <w:noProof/>
        </w:rPr>
        <w:t>11</w:t>
      </w:r>
      <w:r w:rsidRPr="00D23BF1">
        <w:rPr>
          <w:rFonts w:ascii="Times" w:hAnsi="Times" w:cs="Times New Roman"/>
          <w:noProof/>
        </w:rPr>
        <w:t>, 1–15 (2016).</w:t>
      </w:r>
    </w:p>
    <w:p w14:paraId="01B73F8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w:t>
      </w:r>
      <w:r w:rsidRPr="00D23BF1">
        <w:rPr>
          <w:rFonts w:ascii="Times" w:hAnsi="Times" w:cs="Times New Roman"/>
          <w:noProof/>
        </w:rPr>
        <w:tab/>
        <w:t xml:space="preserve">Kohl, K. D. </w:t>
      </w:r>
      <w:r w:rsidRPr="00D23BF1">
        <w:rPr>
          <w:rFonts w:ascii="Times" w:hAnsi="Times" w:cs="Times New Roman"/>
          <w:i/>
          <w:iCs/>
          <w:noProof/>
        </w:rPr>
        <w:t>et al.</w:t>
      </w:r>
      <w:r w:rsidRPr="00D23BF1">
        <w:rPr>
          <w:rFonts w:ascii="Times" w:hAnsi="Times" w:cs="Times New Roman"/>
          <w:noProof/>
        </w:rPr>
        <w:t xml:space="preserve"> Gut microbial ecology of lizards: insights into diversity in the wild, effects of captivity, variation across gut regions, and transmission. </w:t>
      </w:r>
      <w:r w:rsidRPr="00D23BF1">
        <w:rPr>
          <w:rFonts w:ascii="Times" w:hAnsi="Times" w:cs="Times New Roman"/>
          <w:i/>
          <w:iCs/>
          <w:noProof/>
        </w:rPr>
        <w:t>Mol. Ecol.</w:t>
      </w:r>
      <w:r w:rsidRPr="00D23BF1">
        <w:rPr>
          <w:rFonts w:ascii="Times" w:hAnsi="Times" w:cs="Times New Roman"/>
          <w:noProof/>
        </w:rPr>
        <w:t xml:space="preserve"> (2016) doi:10.1111/mec.13921.</w:t>
      </w:r>
    </w:p>
    <w:p w14:paraId="6E0BEB1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10.</w:t>
      </w:r>
      <w:r w:rsidRPr="00D23BF1">
        <w:rPr>
          <w:rFonts w:ascii="Times" w:hAnsi="Times" w:cs="Times New Roman"/>
          <w:noProof/>
        </w:rPr>
        <w:tab/>
        <w:t xml:space="preserve">Goodrich, J. K. </w:t>
      </w:r>
      <w:r w:rsidRPr="00D23BF1">
        <w:rPr>
          <w:rFonts w:ascii="Times" w:hAnsi="Times" w:cs="Times New Roman"/>
          <w:i/>
          <w:iCs/>
          <w:noProof/>
        </w:rPr>
        <w:t>et al.</w:t>
      </w:r>
      <w:r w:rsidRPr="00D23BF1">
        <w:rPr>
          <w:rFonts w:ascii="Times" w:hAnsi="Times" w:cs="Times New Roman"/>
          <w:noProof/>
        </w:rPr>
        <w:t xml:space="preserve"> Conducting a Microbiome Study. </w:t>
      </w:r>
      <w:r w:rsidRPr="00D23BF1">
        <w:rPr>
          <w:rFonts w:ascii="Times" w:hAnsi="Times" w:cs="Times New Roman"/>
          <w:i/>
          <w:iCs/>
          <w:noProof/>
        </w:rPr>
        <w:t>Cell</w:t>
      </w:r>
      <w:r w:rsidRPr="00D23BF1">
        <w:rPr>
          <w:rFonts w:ascii="Times" w:hAnsi="Times" w:cs="Times New Roman"/>
          <w:noProof/>
        </w:rPr>
        <w:t xml:space="preserve"> </w:t>
      </w:r>
      <w:r w:rsidRPr="00D23BF1">
        <w:rPr>
          <w:rFonts w:ascii="Times" w:hAnsi="Times" w:cs="Times New Roman"/>
          <w:b/>
          <w:bCs/>
          <w:noProof/>
        </w:rPr>
        <w:t>158</w:t>
      </w:r>
      <w:r w:rsidRPr="00D23BF1">
        <w:rPr>
          <w:rFonts w:ascii="Times" w:hAnsi="Times" w:cs="Times New Roman"/>
          <w:noProof/>
        </w:rPr>
        <w:t>, 250–262 (2014).</w:t>
      </w:r>
    </w:p>
    <w:p w14:paraId="5A479AA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11.</w:t>
      </w:r>
      <w:r w:rsidRPr="00D23BF1">
        <w:rPr>
          <w:rFonts w:ascii="Times" w:hAnsi="Times" w:cs="Times New Roman"/>
          <w:noProof/>
        </w:rPr>
        <w:tab/>
        <w:t xml:space="preserve">Kohl, K. D. An introductory ‘how-to’ guide for incorporating microbiome research into integrative and comparative biology. </w:t>
      </w:r>
      <w:r w:rsidRPr="00D23BF1">
        <w:rPr>
          <w:rFonts w:ascii="Times" w:hAnsi="Times" w:cs="Times New Roman"/>
          <w:i/>
          <w:iCs/>
          <w:noProof/>
        </w:rPr>
        <w:t>Integr. Comp. Biol.</w:t>
      </w:r>
      <w:r w:rsidRPr="00D23BF1">
        <w:rPr>
          <w:rFonts w:ascii="Times" w:hAnsi="Times" w:cs="Times New Roman"/>
          <w:noProof/>
        </w:rPr>
        <w:t xml:space="preserve"> </w:t>
      </w:r>
      <w:r w:rsidRPr="00D23BF1">
        <w:rPr>
          <w:rFonts w:ascii="Times" w:hAnsi="Times" w:cs="Times New Roman"/>
          <w:b/>
          <w:bCs/>
          <w:noProof/>
        </w:rPr>
        <w:t>57</w:t>
      </w:r>
      <w:r w:rsidRPr="00D23BF1">
        <w:rPr>
          <w:rFonts w:ascii="Times" w:hAnsi="Times" w:cs="Times New Roman"/>
          <w:noProof/>
        </w:rPr>
        <w:t>, 674–681 (2017).</w:t>
      </w:r>
    </w:p>
    <w:p w14:paraId="08056884"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12.</w:t>
      </w:r>
      <w:r w:rsidRPr="00D23BF1">
        <w:rPr>
          <w:rFonts w:ascii="Times" w:hAnsi="Times" w:cs="Times New Roman"/>
          <w:noProof/>
        </w:rPr>
        <w:tab/>
        <w:t xml:space="preserve">Zheng, P. </w:t>
      </w:r>
      <w:r w:rsidRPr="00D23BF1">
        <w:rPr>
          <w:rFonts w:ascii="Times" w:hAnsi="Times" w:cs="Times New Roman"/>
          <w:i/>
          <w:iCs/>
          <w:noProof/>
        </w:rPr>
        <w:t>et al.</w:t>
      </w:r>
      <w:r w:rsidRPr="00D23BF1">
        <w:rPr>
          <w:rFonts w:ascii="Times" w:hAnsi="Times" w:cs="Times New Roman"/>
          <w:noProof/>
        </w:rPr>
        <w:t xml:space="preserve"> Gut microbiome remodeling induces depressive-like behaviors through a pathway mediated by the host’s metabolism. </w:t>
      </w:r>
      <w:r w:rsidRPr="00D23BF1">
        <w:rPr>
          <w:rFonts w:ascii="Times" w:hAnsi="Times" w:cs="Times New Roman"/>
          <w:i/>
          <w:iCs/>
          <w:noProof/>
        </w:rPr>
        <w:t>Mol. Psychiatry</w:t>
      </w:r>
      <w:r w:rsidRPr="00D23BF1">
        <w:rPr>
          <w:rFonts w:ascii="Times" w:hAnsi="Times" w:cs="Times New Roman"/>
          <w:noProof/>
        </w:rPr>
        <w:t xml:space="preserve"> </w:t>
      </w:r>
      <w:r w:rsidRPr="00D23BF1">
        <w:rPr>
          <w:rFonts w:ascii="Times" w:hAnsi="Times" w:cs="Times New Roman"/>
          <w:b/>
          <w:bCs/>
          <w:noProof/>
        </w:rPr>
        <w:t>21</w:t>
      </w:r>
      <w:r w:rsidRPr="00D23BF1">
        <w:rPr>
          <w:rFonts w:ascii="Times" w:hAnsi="Times" w:cs="Times New Roman"/>
          <w:noProof/>
        </w:rPr>
        <w:t>, 786–796 (2016).</w:t>
      </w:r>
    </w:p>
    <w:p w14:paraId="528753F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13.</w:t>
      </w:r>
      <w:r w:rsidRPr="00D23BF1">
        <w:rPr>
          <w:rFonts w:ascii="Times" w:hAnsi="Times" w:cs="Times New Roman"/>
          <w:noProof/>
        </w:rPr>
        <w:tab/>
        <w:t xml:space="preserve">Escallón, C. </w:t>
      </w:r>
      <w:r w:rsidRPr="00D23BF1">
        <w:rPr>
          <w:rFonts w:ascii="Times" w:hAnsi="Times" w:cs="Times New Roman"/>
          <w:i/>
          <w:iCs/>
          <w:noProof/>
        </w:rPr>
        <w:t>et al.</w:t>
      </w:r>
      <w:r w:rsidRPr="00D23BF1">
        <w:rPr>
          <w:rFonts w:ascii="Times" w:hAnsi="Times" w:cs="Times New Roman"/>
          <w:noProof/>
        </w:rPr>
        <w:t xml:space="preserve"> Testosterone levels are positively correlated with cloacal bacterial diversity and the relative abundance of Chlamydiae in breeding male rufous-collared sparrows. </w:t>
      </w:r>
      <w:r w:rsidRPr="00D23BF1">
        <w:rPr>
          <w:rFonts w:ascii="Times" w:hAnsi="Times" w:cs="Times New Roman"/>
          <w:i/>
          <w:iCs/>
          <w:noProof/>
        </w:rPr>
        <w:t>Funct. Ecol.</w:t>
      </w:r>
      <w:r w:rsidRPr="00D23BF1">
        <w:rPr>
          <w:rFonts w:ascii="Times" w:hAnsi="Times" w:cs="Times New Roman"/>
          <w:noProof/>
        </w:rPr>
        <w:t xml:space="preserve"> </w:t>
      </w:r>
      <w:r w:rsidRPr="00D23BF1">
        <w:rPr>
          <w:rFonts w:ascii="Times" w:hAnsi="Times" w:cs="Times New Roman"/>
          <w:b/>
          <w:bCs/>
          <w:noProof/>
        </w:rPr>
        <w:t>31</w:t>
      </w:r>
      <w:r w:rsidRPr="00D23BF1">
        <w:rPr>
          <w:rFonts w:ascii="Times" w:hAnsi="Times" w:cs="Times New Roman"/>
          <w:noProof/>
        </w:rPr>
        <w:t>, 192–203 (2017).</w:t>
      </w:r>
    </w:p>
    <w:p w14:paraId="2CADE80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14.</w:t>
      </w:r>
      <w:r w:rsidRPr="00D23BF1">
        <w:rPr>
          <w:rFonts w:ascii="Times" w:hAnsi="Times" w:cs="Times New Roman"/>
          <w:noProof/>
        </w:rPr>
        <w:tab/>
        <w:t xml:space="preserve">Callaway, T. R. </w:t>
      </w:r>
      <w:r w:rsidRPr="00D23BF1">
        <w:rPr>
          <w:rFonts w:ascii="Times" w:hAnsi="Times" w:cs="Times New Roman"/>
          <w:i/>
          <w:iCs/>
          <w:noProof/>
        </w:rPr>
        <w:t>et al.</w:t>
      </w:r>
      <w:r w:rsidRPr="00D23BF1">
        <w:rPr>
          <w:rFonts w:ascii="Times" w:hAnsi="Times" w:cs="Times New Roman"/>
          <w:noProof/>
        </w:rPr>
        <w:t xml:space="preserve"> Social stress increases fecal shedding of Salmonella typhimurium by early weaned piglets. </w:t>
      </w:r>
      <w:r w:rsidRPr="00D23BF1">
        <w:rPr>
          <w:rFonts w:ascii="Times" w:hAnsi="Times" w:cs="Times New Roman"/>
          <w:i/>
          <w:iCs/>
          <w:noProof/>
        </w:rPr>
        <w:t>Curr Issues Intest Microbiol</w:t>
      </w:r>
      <w:r w:rsidRPr="00D23BF1">
        <w:rPr>
          <w:rFonts w:ascii="Times" w:hAnsi="Times" w:cs="Times New Roman"/>
          <w:noProof/>
        </w:rPr>
        <w:t xml:space="preserve"> </w:t>
      </w:r>
      <w:r w:rsidRPr="00D23BF1">
        <w:rPr>
          <w:rFonts w:ascii="Times" w:hAnsi="Times" w:cs="Times New Roman"/>
          <w:b/>
          <w:bCs/>
          <w:noProof/>
        </w:rPr>
        <w:t>7</w:t>
      </w:r>
      <w:r w:rsidRPr="00D23BF1">
        <w:rPr>
          <w:rFonts w:ascii="Times" w:hAnsi="Times" w:cs="Times New Roman"/>
          <w:noProof/>
        </w:rPr>
        <w:t>, 65–71 (2006).</w:t>
      </w:r>
    </w:p>
    <w:p w14:paraId="26AC1E14"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15.</w:t>
      </w:r>
      <w:r w:rsidRPr="00D23BF1">
        <w:rPr>
          <w:rFonts w:ascii="Times" w:hAnsi="Times" w:cs="Times New Roman"/>
          <w:noProof/>
        </w:rPr>
        <w:tab/>
        <w:t xml:space="preserve">Sturkie, P. </w:t>
      </w:r>
      <w:r w:rsidRPr="00D23BF1">
        <w:rPr>
          <w:rFonts w:ascii="Times" w:hAnsi="Times" w:cs="Times New Roman"/>
          <w:i/>
          <w:iCs/>
          <w:noProof/>
        </w:rPr>
        <w:t>Avian physiology</w:t>
      </w:r>
      <w:r w:rsidRPr="00D23BF1">
        <w:rPr>
          <w:rFonts w:ascii="Times" w:hAnsi="Times" w:cs="Times New Roman"/>
          <w:noProof/>
        </w:rPr>
        <w:t xml:space="preserve">. </w:t>
      </w:r>
      <w:r w:rsidRPr="00D23BF1">
        <w:rPr>
          <w:rFonts w:ascii="Times" w:hAnsi="Times" w:cs="Times New Roman"/>
          <w:i/>
          <w:iCs/>
          <w:noProof/>
        </w:rPr>
        <w:t>Chemical Senses</w:t>
      </w:r>
      <w:r w:rsidRPr="00D23BF1">
        <w:rPr>
          <w:rFonts w:ascii="Times" w:hAnsi="Times" w:cs="Times New Roman"/>
          <w:noProof/>
        </w:rPr>
        <w:t xml:space="preserve"> (1999). doi:10.1007/978-1-4612-4862-0.</w:t>
      </w:r>
    </w:p>
    <w:p w14:paraId="340AB99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16.</w:t>
      </w:r>
      <w:r w:rsidRPr="00D23BF1">
        <w:rPr>
          <w:rFonts w:ascii="Times" w:hAnsi="Times" w:cs="Times New Roman"/>
          <w:noProof/>
        </w:rPr>
        <w:tab/>
        <w:t xml:space="preserve">Momozawa, Y., Deffontaine, V., Louis, E. &amp; Medrano, J. F. Characterization of bacteria in biopsies of colon and stools by high throughput sequencing of the V2 region of bacterial 16s rRNA gene in human. </w:t>
      </w:r>
      <w:r w:rsidRPr="00D23BF1">
        <w:rPr>
          <w:rFonts w:ascii="Times" w:hAnsi="Times" w:cs="Times New Roman"/>
          <w:i/>
          <w:iCs/>
          <w:noProof/>
        </w:rPr>
        <w:t>PLoS One</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(2011).</w:t>
      </w:r>
    </w:p>
    <w:p w14:paraId="1A7D8A0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17.</w:t>
      </w:r>
      <w:r w:rsidRPr="00D23BF1">
        <w:rPr>
          <w:rFonts w:ascii="Times" w:hAnsi="Times" w:cs="Times New Roman"/>
          <w:noProof/>
        </w:rPr>
        <w:tab/>
        <w:t xml:space="preserve">Miyamoto, T. </w:t>
      </w:r>
      <w:r w:rsidRPr="00D23BF1">
        <w:rPr>
          <w:rFonts w:ascii="Times" w:hAnsi="Times" w:cs="Times New Roman"/>
          <w:i/>
          <w:iCs/>
          <w:noProof/>
        </w:rPr>
        <w:t>et al.</w:t>
      </w:r>
      <w:r w:rsidRPr="00D23BF1">
        <w:rPr>
          <w:rFonts w:ascii="Times" w:hAnsi="Times" w:cs="Times New Roman"/>
          <w:noProof/>
        </w:rPr>
        <w:t xml:space="preserve"> Lactobacillus flora in the cloaca and vagina of hens and its inhibitory activity against Salmonella enteritidis in vitro. </w:t>
      </w:r>
      <w:r w:rsidRPr="00D23BF1">
        <w:rPr>
          <w:rFonts w:ascii="Times" w:hAnsi="Times" w:cs="Times New Roman"/>
          <w:i/>
          <w:iCs/>
          <w:noProof/>
        </w:rPr>
        <w:t>Poult. Sci.</w:t>
      </w:r>
      <w:r w:rsidRPr="00D23BF1">
        <w:rPr>
          <w:rFonts w:ascii="Times" w:hAnsi="Times" w:cs="Times New Roman"/>
          <w:noProof/>
        </w:rPr>
        <w:t xml:space="preserve"> </w:t>
      </w:r>
      <w:r w:rsidRPr="00D23BF1">
        <w:rPr>
          <w:rFonts w:ascii="Times" w:hAnsi="Times" w:cs="Times New Roman"/>
          <w:b/>
          <w:bCs/>
          <w:noProof/>
        </w:rPr>
        <w:t>79</w:t>
      </w:r>
      <w:r w:rsidRPr="00D23BF1">
        <w:rPr>
          <w:rFonts w:ascii="Times" w:hAnsi="Times" w:cs="Times New Roman"/>
          <w:noProof/>
        </w:rPr>
        <w:t>, 7–11 (2000).</w:t>
      </w:r>
    </w:p>
    <w:p w14:paraId="5D25EC2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18.</w:t>
      </w:r>
      <w:r w:rsidRPr="00D23BF1">
        <w:rPr>
          <w:rFonts w:ascii="Times" w:hAnsi="Times" w:cs="Times New Roman"/>
          <w:noProof/>
        </w:rPr>
        <w:tab/>
        <w:t>Videvall, E., Strandh, M., Engelbrecht, A., Cloete, S. &amp; Cornwallis, C. K. Measuring the gut microbiome in birds</w:t>
      </w:r>
      <w:r w:rsidRPr="00D23BF1">
        <w:rPr>
          <w:rFonts w:ascii="Times New Roman" w:hAnsi="Times New Roman" w:cs="Times New Roman"/>
          <w:noProof/>
        </w:rPr>
        <w:t> </w:t>
      </w:r>
      <w:r w:rsidRPr="00D23BF1">
        <w:rPr>
          <w:rFonts w:ascii="Times" w:hAnsi="Times" w:cs="Times New Roman"/>
          <w:noProof/>
        </w:rPr>
        <w:t xml:space="preserve">: comparison of faecal and cloacal sampling. </w:t>
      </w:r>
      <w:r w:rsidRPr="00D23BF1">
        <w:rPr>
          <w:rFonts w:ascii="Times" w:hAnsi="Times" w:cs="Times New Roman"/>
          <w:i/>
          <w:iCs/>
          <w:noProof/>
        </w:rPr>
        <w:lastRenderedPageBreak/>
        <w:t>Preprint</w:t>
      </w:r>
      <w:r w:rsidRPr="00D23BF1">
        <w:rPr>
          <w:rFonts w:ascii="Times" w:hAnsi="Times" w:cs="Times New Roman"/>
          <w:noProof/>
        </w:rPr>
        <w:t xml:space="preserve"> 1–22 (2017).</w:t>
      </w:r>
    </w:p>
    <w:p w14:paraId="12E1E02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19.</w:t>
      </w:r>
      <w:r w:rsidRPr="00D23BF1">
        <w:rPr>
          <w:rFonts w:ascii="Times" w:hAnsi="Times" w:cs="Times New Roman"/>
          <w:noProof/>
        </w:rPr>
        <w:tab/>
        <w:t xml:space="preserve">Yan, W. </w:t>
      </w:r>
      <w:r w:rsidRPr="00D23BF1">
        <w:rPr>
          <w:rFonts w:ascii="Times" w:hAnsi="Times" w:cs="Times New Roman"/>
          <w:i/>
          <w:iCs/>
          <w:noProof/>
        </w:rPr>
        <w:t>et al.</w:t>
      </w:r>
      <w:r w:rsidRPr="00D23BF1">
        <w:rPr>
          <w:rFonts w:ascii="Times" w:hAnsi="Times" w:cs="Times New Roman"/>
          <w:noProof/>
        </w:rPr>
        <w:t xml:space="preserve"> Efficacy of fecal sampling as a gut proxy in the study of chicken gut microbiota. (2018) doi:10.1101/313577.</w:t>
      </w:r>
    </w:p>
    <w:p w14:paraId="7E5FEF6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20.</w:t>
      </w:r>
      <w:r w:rsidRPr="00D23BF1">
        <w:rPr>
          <w:rFonts w:ascii="Times" w:hAnsi="Times" w:cs="Times New Roman"/>
          <w:noProof/>
        </w:rPr>
        <w:tab/>
        <w:t xml:space="preserve">Gartrell, B. D. The Nutritional, Morphologic, and Physiologic Bases of Nectarivory in Australian Birds. </w:t>
      </w:r>
      <w:r w:rsidRPr="00D23BF1">
        <w:rPr>
          <w:rFonts w:ascii="Times" w:hAnsi="Times" w:cs="Times New Roman"/>
          <w:i/>
          <w:iCs/>
          <w:noProof/>
        </w:rPr>
        <w:t>J. Avian Med. Surg.</w:t>
      </w:r>
      <w:r w:rsidRPr="00D23BF1">
        <w:rPr>
          <w:rFonts w:ascii="Times" w:hAnsi="Times" w:cs="Times New Roman"/>
          <w:noProof/>
        </w:rPr>
        <w:t xml:space="preserve"> </w:t>
      </w:r>
      <w:r w:rsidRPr="00D23BF1">
        <w:rPr>
          <w:rFonts w:ascii="Times" w:hAnsi="Times" w:cs="Times New Roman"/>
          <w:b/>
          <w:bCs/>
          <w:noProof/>
        </w:rPr>
        <w:t>14</w:t>
      </w:r>
      <w:r w:rsidRPr="00D23BF1">
        <w:rPr>
          <w:rFonts w:ascii="Times" w:hAnsi="Times" w:cs="Times New Roman"/>
          <w:noProof/>
        </w:rPr>
        <w:t>, 85–94 (2000).</w:t>
      </w:r>
    </w:p>
    <w:p w14:paraId="41715DE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21.</w:t>
      </w:r>
      <w:r w:rsidRPr="00D23BF1">
        <w:rPr>
          <w:rFonts w:ascii="Times" w:hAnsi="Times" w:cs="Times New Roman"/>
          <w:noProof/>
        </w:rPr>
        <w:tab/>
        <w:t xml:space="preserve">Levey, D. J. &amp; Karasov, W. H. Gut passage of insects by European Starlings and comparison with other species. </w:t>
      </w:r>
      <w:r w:rsidRPr="00D23BF1">
        <w:rPr>
          <w:rFonts w:ascii="Times" w:hAnsi="Times" w:cs="Times New Roman"/>
          <w:i/>
          <w:iCs/>
          <w:noProof/>
        </w:rPr>
        <w:t>Auk</w:t>
      </w:r>
      <w:r w:rsidRPr="00D23BF1">
        <w:rPr>
          <w:rFonts w:ascii="Times" w:hAnsi="Times" w:cs="Times New Roman"/>
          <w:noProof/>
        </w:rPr>
        <w:t xml:space="preserve"> </w:t>
      </w:r>
      <w:r w:rsidRPr="00D23BF1">
        <w:rPr>
          <w:rFonts w:ascii="Times" w:hAnsi="Times" w:cs="Times New Roman"/>
          <w:b/>
          <w:bCs/>
          <w:noProof/>
        </w:rPr>
        <w:t>111</w:t>
      </w:r>
      <w:r w:rsidRPr="00D23BF1">
        <w:rPr>
          <w:rFonts w:ascii="Times" w:hAnsi="Times" w:cs="Times New Roman"/>
          <w:noProof/>
        </w:rPr>
        <w:t>, 478–481 (1994).</w:t>
      </w:r>
    </w:p>
    <w:p w14:paraId="352D1674"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22.</w:t>
      </w:r>
      <w:r w:rsidRPr="00D23BF1">
        <w:rPr>
          <w:rFonts w:ascii="Times" w:hAnsi="Times" w:cs="Times New Roman"/>
          <w:noProof/>
        </w:rPr>
        <w:tab/>
        <w:t xml:space="preserve">Klasing, K. C. Avian gastrointestinal anatomy and physiology. </w:t>
      </w:r>
      <w:r w:rsidRPr="00D23BF1">
        <w:rPr>
          <w:rFonts w:ascii="Times" w:hAnsi="Times" w:cs="Times New Roman"/>
          <w:i/>
          <w:iCs/>
          <w:noProof/>
        </w:rPr>
        <w:t>Semin. Avian Exot. Pet Med.</w:t>
      </w:r>
      <w:r w:rsidRPr="00D23BF1">
        <w:rPr>
          <w:rFonts w:ascii="Times" w:hAnsi="Times" w:cs="Times New Roman"/>
          <w:noProof/>
        </w:rPr>
        <w:t xml:space="preserve"> (1999) doi:10.1016/S1055-937X(99)80036-X.</w:t>
      </w:r>
    </w:p>
    <w:p w14:paraId="1DC3335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23.</w:t>
      </w:r>
      <w:r w:rsidRPr="00D23BF1">
        <w:rPr>
          <w:rFonts w:ascii="Times" w:hAnsi="Times" w:cs="Times New Roman"/>
          <w:noProof/>
        </w:rPr>
        <w:tab/>
        <w:t xml:space="preserve">Józefiak, D., Rutkowski, A. &amp; Martin, S. A. Carbohydrate fermentation in the avian ceca: A review. </w:t>
      </w:r>
      <w:r w:rsidRPr="00D23BF1">
        <w:rPr>
          <w:rFonts w:ascii="Times" w:hAnsi="Times" w:cs="Times New Roman"/>
          <w:i/>
          <w:iCs/>
          <w:noProof/>
        </w:rPr>
        <w:t>Anim. Feed Sci. Technol.</w:t>
      </w:r>
      <w:r w:rsidRPr="00D23BF1">
        <w:rPr>
          <w:rFonts w:ascii="Times" w:hAnsi="Times" w:cs="Times New Roman"/>
          <w:noProof/>
        </w:rPr>
        <w:t xml:space="preserve"> </w:t>
      </w:r>
      <w:r w:rsidRPr="00D23BF1">
        <w:rPr>
          <w:rFonts w:ascii="Times" w:hAnsi="Times" w:cs="Times New Roman"/>
          <w:b/>
          <w:bCs/>
          <w:noProof/>
        </w:rPr>
        <w:t>113</w:t>
      </w:r>
      <w:r w:rsidRPr="00D23BF1">
        <w:rPr>
          <w:rFonts w:ascii="Times" w:hAnsi="Times" w:cs="Times New Roman"/>
          <w:noProof/>
        </w:rPr>
        <w:t>, 1–15 (2004).</w:t>
      </w:r>
    </w:p>
    <w:p w14:paraId="64944F5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24.</w:t>
      </w:r>
      <w:r w:rsidRPr="00D23BF1">
        <w:rPr>
          <w:rFonts w:ascii="Times" w:hAnsi="Times" w:cs="Times New Roman"/>
          <w:noProof/>
        </w:rPr>
        <w:tab/>
        <w:t xml:space="preserve">Oliveros, C. H. </w:t>
      </w:r>
      <w:r w:rsidRPr="00D23BF1">
        <w:rPr>
          <w:rFonts w:ascii="Times" w:hAnsi="Times" w:cs="Times New Roman"/>
          <w:i/>
          <w:iCs/>
          <w:noProof/>
        </w:rPr>
        <w:t>et al.</w:t>
      </w:r>
      <w:r w:rsidRPr="00D23BF1">
        <w:rPr>
          <w:rFonts w:ascii="Times" w:hAnsi="Times" w:cs="Times New Roman"/>
          <w:noProof/>
        </w:rPr>
        <w:t xml:space="preserve"> Earth history and the passerine superradiation. </w:t>
      </w:r>
      <w:r w:rsidRPr="00D23BF1">
        <w:rPr>
          <w:rFonts w:ascii="Times" w:hAnsi="Times" w:cs="Times New Roman"/>
          <w:i/>
          <w:iCs/>
          <w:noProof/>
        </w:rPr>
        <w:t>Proc. Natl. Acad. Sci. U. S. A.</w:t>
      </w:r>
      <w:r w:rsidRPr="00D23BF1">
        <w:rPr>
          <w:rFonts w:ascii="Times" w:hAnsi="Times" w:cs="Times New Roman"/>
          <w:noProof/>
        </w:rPr>
        <w:t xml:space="preserve"> </w:t>
      </w:r>
      <w:r w:rsidRPr="00D23BF1">
        <w:rPr>
          <w:rFonts w:ascii="Times" w:hAnsi="Times" w:cs="Times New Roman"/>
          <w:b/>
          <w:bCs/>
          <w:noProof/>
        </w:rPr>
        <w:t>116</w:t>
      </w:r>
      <w:r w:rsidRPr="00D23BF1">
        <w:rPr>
          <w:rFonts w:ascii="Times" w:hAnsi="Times" w:cs="Times New Roman"/>
          <w:noProof/>
        </w:rPr>
        <w:t>, 7916–7925 (2019).</w:t>
      </w:r>
    </w:p>
    <w:p w14:paraId="28B591A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25.</w:t>
      </w:r>
      <w:r w:rsidRPr="00D23BF1">
        <w:rPr>
          <w:rFonts w:ascii="Times" w:hAnsi="Times" w:cs="Times New Roman"/>
          <w:noProof/>
        </w:rPr>
        <w:tab/>
        <w:t xml:space="preserve">Gong, J. </w:t>
      </w:r>
      <w:r w:rsidRPr="00D23BF1">
        <w:rPr>
          <w:rFonts w:ascii="Times" w:hAnsi="Times" w:cs="Times New Roman"/>
          <w:i/>
          <w:iCs/>
          <w:noProof/>
        </w:rPr>
        <w:t>et al.</w:t>
      </w:r>
      <w:r w:rsidRPr="00D23BF1">
        <w:rPr>
          <w:rFonts w:ascii="Times" w:hAnsi="Times" w:cs="Times New Roman"/>
          <w:noProof/>
        </w:rPr>
        <w:t xml:space="preserve"> 16S rRNA gene-based analysis of mucosa-associated bacterial community and phylogeny in the chicken gastrointestinal tracts: from crops to ceca. </w:t>
      </w:r>
      <w:r w:rsidRPr="00D23BF1">
        <w:rPr>
          <w:rFonts w:ascii="Times" w:hAnsi="Times" w:cs="Times New Roman"/>
          <w:i/>
          <w:iCs/>
          <w:noProof/>
        </w:rPr>
        <w:t>FEMS Microbiol. Ecol.</w:t>
      </w:r>
      <w:r w:rsidRPr="00D23BF1">
        <w:rPr>
          <w:rFonts w:ascii="Times" w:hAnsi="Times" w:cs="Times New Roman"/>
          <w:noProof/>
        </w:rPr>
        <w:t xml:space="preserve"> </w:t>
      </w:r>
      <w:r w:rsidRPr="00D23BF1">
        <w:rPr>
          <w:rFonts w:ascii="Times" w:hAnsi="Times" w:cs="Times New Roman"/>
          <w:b/>
          <w:bCs/>
          <w:noProof/>
        </w:rPr>
        <w:t>59</w:t>
      </w:r>
      <w:r w:rsidRPr="00D23BF1">
        <w:rPr>
          <w:rFonts w:ascii="Times" w:hAnsi="Times" w:cs="Times New Roman"/>
          <w:noProof/>
        </w:rPr>
        <w:t>, 147–157 (2007).</w:t>
      </w:r>
    </w:p>
    <w:p w14:paraId="58A2937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26.</w:t>
      </w:r>
      <w:r w:rsidRPr="00D23BF1">
        <w:rPr>
          <w:rFonts w:ascii="Times" w:hAnsi="Times" w:cs="Times New Roman"/>
          <w:noProof/>
        </w:rPr>
        <w:tab/>
        <w:t xml:space="preserve">Zann, R. A. </w:t>
      </w:r>
      <w:r w:rsidRPr="00D23BF1">
        <w:rPr>
          <w:rFonts w:ascii="Times" w:hAnsi="Times" w:cs="Times New Roman"/>
          <w:i/>
          <w:iCs/>
          <w:noProof/>
        </w:rPr>
        <w:t>The zebra finch: a synthesis of field and laboratory studies</w:t>
      </w:r>
      <w:r w:rsidRPr="00D23BF1">
        <w:rPr>
          <w:rFonts w:ascii="Times" w:hAnsi="Times" w:cs="Times New Roman"/>
          <w:noProof/>
        </w:rPr>
        <w:t xml:space="preserve">. </w:t>
      </w:r>
      <w:r w:rsidRPr="00D23BF1">
        <w:rPr>
          <w:rFonts w:ascii="Times" w:hAnsi="Times" w:cs="Times New Roman"/>
          <w:i/>
          <w:iCs/>
          <w:noProof/>
        </w:rPr>
        <w:t>New York</w:t>
      </w:r>
      <w:r w:rsidRPr="00D23BF1">
        <w:rPr>
          <w:rFonts w:ascii="Times" w:hAnsi="Times" w:cs="Times New Roman"/>
          <w:noProof/>
        </w:rPr>
        <w:t xml:space="preserve"> (1996).</w:t>
      </w:r>
    </w:p>
    <w:p w14:paraId="6FFFC1C6"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27.</w:t>
      </w:r>
      <w:r w:rsidRPr="00D23BF1">
        <w:rPr>
          <w:rFonts w:ascii="Times" w:hAnsi="Times" w:cs="Times New Roman"/>
          <w:noProof/>
        </w:rPr>
        <w:tab/>
        <w:t xml:space="preserve">Markle, J. G. M. </w:t>
      </w:r>
      <w:r w:rsidRPr="00D23BF1">
        <w:rPr>
          <w:rFonts w:ascii="Times" w:hAnsi="Times" w:cs="Times New Roman"/>
          <w:i/>
          <w:iCs/>
          <w:noProof/>
        </w:rPr>
        <w:t>et al.</w:t>
      </w:r>
      <w:r w:rsidRPr="00D23BF1">
        <w:rPr>
          <w:rFonts w:ascii="Times" w:hAnsi="Times" w:cs="Times New Roman"/>
          <w:noProof/>
        </w:rPr>
        <w:t xml:space="preserve"> Sex Differences in the Gut Microbiome Drive Hormone-Dependent Regulation of Autoimmunity. </w:t>
      </w:r>
      <w:r w:rsidRPr="00D23BF1">
        <w:rPr>
          <w:rFonts w:ascii="Times" w:hAnsi="Times" w:cs="Times New Roman"/>
          <w:i/>
          <w:iCs/>
          <w:noProof/>
        </w:rPr>
        <w:t>Science (80-. ).</w:t>
      </w:r>
      <w:r w:rsidRPr="00D23BF1">
        <w:rPr>
          <w:rFonts w:ascii="Times" w:hAnsi="Times" w:cs="Times New Roman"/>
          <w:noProof/>
        </w:rPr>
        <w:t xml:space="preserve"> </w:t>
      </w:r>
      <w:r w:rsidRPr="00D23BF1">
        <w:rPr>
          <w:rFonts w:ascii="Times" w:hAnsi="Times" w:cs="Times New Roman"/>
          <w:b/>
          <w:bCs/>
          <w:noProof/>
        </w:rPr>
        <w:t>339</w:t>
      </w:r>
      <w:r w:rsidRPr="00D23BF1">
        <w:rPr>
          <w:rFonts w:ascii="Times" w:hAnsi="Times" w:cs="Times New Roman"/>
          <w:noProof/>
        </w:rPr>
        <w:t>, 1084–1088 (2013).</w:t>
      </w:r>
    </w:p>
    <w:p w14:paraId="41B9B3B4"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28.</w:t>
      </w:r>
      <w:r w:rsidRPr="00D23BF1">
        <w:rPr>
          <w:rFonts w:ascii="Times" w:hAnsi="Times" w:cs="Times New Roman"/>
          <w:noProof/>
        </w:rPr>
        <w:tab/>
        <w:t xml:space="preserve">Bolnick, D. I. </w:t>
      </w:r>
      <w:r w:rsidRPr="00D23BF1">
        <w:rPr>
          <w:rFonts w:ascii="Times" w:hAnsi="Times" w:cs="Times New Roman"/>
          <w:i/>
          <w:iCs/>
          <w:noProof/>
        </w:rPr>
        <w:t>et al.</w:t>
      </w:r>
      <w:r w:rsidRPr="00D23BF1">
        <w:rPr>
          <w:rFonts w:ascii="Times" w:hAnsi="Times" w:cs="Times New Roman"/>
          <w:noProof/>
        </w:rPr>
        <w:t xml:space="preserve"> Individual diet has sex-dependent effects on vertebrate gut microbiota. </w:t>
      </w:r>
      <w:r w:rsidRPr="00D23BF1">
        <w:rPr>
          <w:rFonts w:ascii="Times" w:hAnsi="Times" w:cs="Times New Roman"/>
          <w:i/>
          <w:iCs/>
          <w:noProof/>
        </w:rPr>
        <w:t>Nat. Commun.</w:t>
      </w:r>
      <w:r w:rsidRPr="00D23BF1">
        <w:rPr>
          <w:rFonts w:ascii="Times" w:hAnsi="Times" w:cs="Times New Roman"/>
          <w:noProof/>
        </w:rPr>
        <w:t xml:space="preserve"> </w:t>
      </w:r>
      <w:r w:rsidRPr="00D23BF1">
        <w:rPr>
          <w:rFonts w:ascii="Times" w:hAnsi="Times" w:cs="Times New Roman"/>
          <w:b/>
          <w:bCs/>
          <w:noProof/>
        </w:rPr>
        <w:t>5</w:t>
      </w:r>
      <w:r w:rsidRPr="00D23BF1">
        <w:rPr>
          <w:rFonts w:ascii="Times" w:hAnsi="Times" w:cs="Times New Roman"/>
          <w:noProof/>
        </w:rPr>
        <w:t>, 4500 (2014).</w:t>
      </w:r>
    </w:p>
    <w:p w14:paraId="0C2FD41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29.</w:t>
      </w:r>
      <w:r w:rsidRPr="00D23BF1">
        <w:rPr>
          <w:rFonts w:ascii="Times" w:hAnsi="Times" w:cs="Times New Roman"/>
          <w:noProof/>
        </w:rPr>
        <w:tab/>
        <w:t xml:space="preserve">Benskin, C. M. H., Rhodes, G., Pickup, R. W., Wilson, K. &amp; Hartley, I. R. Diversity and temporal stability of bacterial communities in a model passerine bird, the zebra finch. </w:t>
      </w:r>
      <w:r w:rsidRPr="00D23BF1">
        <w:rPr>
          <w:rFonts w:ascii="Times" w:hAnsi="Times" w:cs="Times New Roman"/>
          <w:i/>
          <w:iCs/>
          <w:noProof/>
        </w:rPr>
        <w:t>Mol. Ecol.</w:t>
      </w:r>
      <w:r w:rsidRPr="00D23BF1">
        <w:rPr>
          <w:rFonts w:ascii="Times" w:hAnsi="Times" w:cs="Times New Roman"/>
          <w:noProof/>
        </w:rPr>
        <w:t xml:space="preserve"> </w:t>
      </w:r>
      <w:r w:rsidRPr="00D23BF1">
        <w:rPr>
          <w:rFonts w:ascii="Times" w:hAnsi="Times" w:cs="Times New Roman"/>
          <w:b/>
          <w:bCs/>
          <w:noProof/>
        </w:rPr>
        <w:t>19</w:t>
      </w:r>
      <w:r w:rsidRPr="00D23BF1">
        <w:rPr>
          <w:rFonts w:ascii="Times" w:hAnsi="Times" w:cs="Times New Roman"/>
          <w:noProof/>
        </w:rPr>
        <w:t>, 5531–5544 (2010).</w:t>
      </w:r>
    </w:p>
    <w:p w14:paraId="21E825B6"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30.</w:t>
      </w:r>
      <w:r w:rsidRPr="00D23BF1">
        <w:rPr>
          <w:rFonts w:ascii="Times" w:hAnsi="Times" w:cs="Times New Roman"/>
          <w:noProof/>
        </w:rPr>
        <w:tab/>
        <w:t xml:space="preserve">Vo,  a.-T. E. &amp; Jedlicka, J. a. Protocols for metagenomic DNA extraction and Illumina amplicon library preparation for faecal and swab samples. </w:t>
      </w:r>
      <w:r w:rsidRPr="00D23BF1">
        <w:rPr>
          <w:rFonts w:ascii="Times" w:hAnsi="Times" w:cs="Times New Roman"/>
          <w:i/>
          <w:iCs/>
          <w:noProof/>
        </w:rPr>
        <w:t>Mol. Ecol. Resour.</w:t>
      </w:r>
      <w:r w:rsidRPr="00D23BF1">
        <w:rPr>
          <w:rFonts w:ascii="Times" w:hAnsi="Times" w:cs="Times New Roman"/>
          <w:noProof/>
        </w:rPr>
        <w:t xml:space="preserve"> </w:t>
      </w:r>
      <w:r w:rsidRPr="00D23BF1">
        <w:rPr>
          <w:rFonts w:ascii="Times" w:hAnsi="Times" w:cs="Times New Roman"/>
          <w:b/>
          <w:bCs/>
          <w:noProof/>
        </w:rPr>
        <w:t>14</w:t>
      </w:r>
      <w:r w:rsidRPr="00D23BF1">
        <w:rPr>
          <w:rFonts w:ascii="Times" w:hAnsi="Times" w:cs="Times New Roman"/>
          <w:noProof/>
        </w:rPr>
        <w:t>, 1183–1197 (2014).</w:t>
      </w:r>
    </w:p>
    <w:p w14:paraId="61FB892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31.</w:t>
      </w:r>
      <w:r w:rsidRPr="00D23BF1">
        <w:rPr>
          <w:rFonts w:ascii="Times" w:hAnsi="Times" w:cs="Times New Roman"/>
          <w:noProof/>
        </w:rPr>
        <w:tab/>
        <w:t xml:space="preserve">Caporaso, J. G. </w:t>
      </w:r>
      <w:r w:rsidRPr="00D23BF1">
        <w:rPr>
          <w:rFonts w:ascii="Times" w:hAnsi="Times" w:cs="Times New Roman"/>
          <w:i/>
          <w:iCs/>
          <w:noProof/>
        </w:rPr>
        <w:t>et al.</w:t>
      </w:r>
      <w:r w:rsidRPr="00D23BF1">
        <w:rPr>
          <w:rFonts w:ascii="Times" w:hAnsi="Times" w:cs="Times New Roman"/>
          <w:noProof/>
        </w:rPr>
        <w:t xml:space="preserve"> Ultra-high-throughput microbial community analysis on the Illumina HiSeq and MiSeq platforms. </w:t>
      </w:r>
      <w:r w:rsidRPr="00D23BF1">
        <w:rPr>
          <w:rFonts w:ascii="Times" w:hAnsi="Times" w:cs="Times New Roman"/>
          <w:i/>
          <w:iCs/>
          <w:noProof/>
        </w:rPr>
        <w:t>ISME J.</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1621–1624 (2012).</w:t>
      </w:r>
    </w:p>
    <w:p w14:paraId="09C9E62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32.</w:t>
      </w:r>
      <w:r w:rsidRPr="00D23BF1">
        <w:rPr>
          <w:rFonts w:ascii="Times" w:hAnsi="Times" w:cs="Times New Roman"/>
          <w:noProof/>
        </w:rPr>
        <w:tab/>
        <w:t xml:space="preserve">Bolyen, E. </w:t>
      </w:r>
      <w:r w:rsidRPr="00D23BF1">
        <w:rPr>
          <w:rFonts w:ascii="Times" w:hAnsi="Times" w:cs="Times New Roman"/>
          <w:i/>
          <w:iCs/>
          <w:noProof/>
        </w:rPr>
        <w:t>et al.</w:t>
      </w:r>
      <w:r w:rsidRPr="00D23BF1">
        <w:rPr>
          <w:rFonts w:ascii="Times" w:hAnsi="Times" w:cs="Times New Roman"/>
          <w:noProof/>
        </w:rPr>
        <w:t xml:space="preserve"> Reproducible, interactive, scalable and extensible microbiome data science using QIIME 2 (Nature Biotechnology, (2019), 37, 8, (852-857), 10.1038/s41587-019-0209-9). </w:t>
      </w:r>
      <w:r w:rsidRPr="00D23BF1">
        <w:rPr>
          <w:rFonts w:ascii="Times" w:hAnsi="Times" w:cs="Times New Roman"/>
          <w:i/>
          <w:iCs/>
          <w:noProof/>
        </w:rPr>
        <w:t>Nat. Biotechnol.</w:t>
      </w:r>
      <w:r w:rsidRPr="00D23BF1">
        <w:rPr>
          <w:rFonts w:ascii="Times" w:hAnsi="Times" w:cs="Times New Roman"/>
          <w:noProof/>
        </w:rPr>
        <w:t xml:space="preserve"> </w:t>
      </w:r>
      <w:r w:rsidRPr="00D23BF1">
        <w:rPr>
          <w:rFonts w:ascii="Times" w:hAnsi="Times" w:cs="Times New Roman"/>
          <w:b/>
          <w:bCs/>
          <w:noProof/>
        </w:rPr>
        <w:t>37</w:t>
      </w:r>
      <w:r w:rsidRPr="00D23BF1">
        <w:rPr>
          <w:rFonts w:ascii="Times" w:hAnsi="Times" w:cs="Times New Roman"/>
          <w:noProof/>
        </w:rPr>
        <w:t>, 852–857 (2019).</w:t>
      </w:r>
    </w:p>
    <w:p w14:paraId="218E399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33.</w:t>
      </w:r>
      <w:r w:rsidRPr="00D23BF1">
        <w:rPr>
          <w:rFonts w:ascii="Times" w:hAnsi="Times" w:cs="Times New Roman"/>
          <w:noProof/>
        </w:rPr>
        <w:tab/>
        <w:t xml:space="preserve">Rosen, M. J., Callahan, B. J., Fisher, D. S. &amp; Holmes, S. P. Denoising PCR-amplified metagenome data. </w:t>
      </w:r>
      <w:r w:rsidRPr="00D23BF1">
        <w:rPr>
          <w:rFonts w:ascii="Times" w:hAnsi="Times" w:cs="Times New Roman"/>
          <w:i/>
          <w:iCs/>
          <w:noProof/>
        </w:rPr>
        <w:t>BMC Bioinformatics</w:t>
      </w:r>
      <w:r w:rsidRPr="00D23BF1">
        <w:rPr>
          <w:rFonts w:ascii="Times" w:hAnsi="Times" w:cs="Times New Roman"/>
          <w:noProof/>
        </w:rPr>
        <w:t xml:space="preserve"> </w:t>
      </w:r>
      <w:r w:rsidRPr="00D23BF1">
        <w:rPr>
          <w:rFonts w:ascii="Times" w:hAnsi="Times" w:cs="Times New Roman"/>
          <w:b/>
          <w:bCs/>
          <w:noProof/>
        </w:rPr>
        <w:t>13</w:t>
      </w:r>
      <w:r w:rsidRPr="00D23BF1">
        <w:rPr>
          <w:rFonts w:ascii="Times" w:hAnsi="Times" w:cs="Times New Roman"/>
          <w:noProof/>
        </w:rPr>
        <w:t>, (2012).</w:t>
      </w:r>
    </w:p>
    <w:p w14:paraId="6844E34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34.</w:t>
      </w:r>
      <w:r w:rsidRPr="00D23BF1">
        <w:rPr>
          <w:rFonts w:ascii="Times" w:hAnsi="Times" w:cs="Times New Roman"/>
          <w:noProof/>
        </w:rPr>
        <w:tab/>
        <w:t xml:space="preserve">Price, M. N., Dehal, P. S. &amp; Arkin, A. P. FastTree 2 - Approximately maximum-likelihood trees for large alignments. </w:t>
      </w:r>
      <w:r w:rsidRPr="00D23BF1">
        <w:rPr>
          <w:rFonts w:ascii="Times" w:hAnsi="Times" w:cs="Times New Roman"/>
          <w:i/>
          <w:iCs/>
          <w:noProof/>
        </w:rPr>
        <w:t>PLoS One</w:t>
      </w:r>
      <w:r w:rsidRPr="00D23BF1">
        <w:rPr>
          <w:rFonts w:ascii="Times" w:hAnsi="Times" w:cs="Times New Roman"/>
          <w:noProof/>
        </w:rPr>
        <w:t xml:space="preserve"> </w:t>
      </w:r>
      <w:r w:rsidRPr="00D23BF1">
        <w:rPr>
          <w:rFonts w:ascii="Times" w:hAnsi="Times" w:cs="Times New Roman"/>
          <w:b/>
          <w:bCs/>
          <w:noProof/>
        </w:rPr>
        <w:t>5</w:t>
      </w:r>
      <w:r w:rsidRPr="00D23BF1">
        <w:rPr>
          <w:rFonts w:ascii="Times" w:hAnsi="Times" w:cs="Times New Roman"/>
          <w:noProof/>
        </w:rPr>
        <w:t>, (2010).</w:t>
      </w:r>
    </w:p>
    <w:p w14:paraId="35D0BB5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35.</w:t>
      </w:r>
      <w:r w:rsidRPr="00D23BF1">
        <w:rPr>
          <w:rFonts w:ascii="Times" w:hAnsi="Times" w:cs="Times New Roman"/>
          <w:noProof/>
        </w:rPr>
        <w:tab/>
        <w:t xml:space="preserve">Quast, C. </w:t>
      </w:r>
      <w:r w:rsidRPr="00D23BF1">
        <w:rPr>
          <w:rFonts w:ascii="Times" w:hAnsi="Times" w:cs="Times New Roman"/>
          <w:i/>
          <w:iCs/>
          <w:noProof/>
        </w:rPr>
        <w:t>et al.</w:t>
      </w:r>
      <w:r w:rsidRPr="00D23BF1">
        <w:rPr>
          <w:rFonts w:ascii="Times" w:hAnsi="Times" w:cs="Times New Roman"/>
          <w:noProof/>
        </w:rPr>
        <w:t xml:space="preserve"> The SILVA ribosomal RNA gene database project: Improved data processing and web-based tools. </w:t>
      </w:r>
      <w:r w:rsidRPr="00D23BF1">
        <w:rPr>
          <w:rFonts w:ascii="Times" w:hAnsi="Times" w:cs="Times New Roman"/>
          <w:i/>
          <w:iCs/>
          <w:noProof/>
        </w:rPr>
        <w:t>Nucleic Acids Res.</w:t>
      </w:r>
      <w:r w:rsidRPr="00D23BF1">
        <w:rPr>
          <w:rFonts w:ascii="Times" w:hAnsi="Times" w:cs="Times New Roman"/>
          <w:noProof/>
        </w:rPr>
        <w:t xml:space="preserve"> </w:t>
      </w:r>
      <w:r w:rsidRPr="00D23BF1">
        <w:rPr>
          <w:rFonts w:ascii="Times" w:hAnsi="Times" w:cs="Times New Roman"/>
          <w:b/>
          <w:bCs/>
          <w:noProof/>
        </w:rPr>
        <w:t>41</w:t>
      </w:r>
      <w:r w:rsidRPr="00D23BF1">
        <w:rPr>
          <w:rFonts w:ascii="Times" w:hAnsi="Times" w:cs="Times New Roman"/>
          <w:noProof/>
        </w:rPr>
        <w:t>, 590–596 (2013).</w:t>
      </w:r>
    </w:p>
    <w:p w14:paraId="23AFE58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36.</w:t>
      </w:r>
      <w:r w:rsidRPr="00D23BF1">
        <w:rPr>
          <w:rFonts w:ascii="Times" w:hAnsi="Times" w:cs="Times New Roman"/>
          <w:noProof/>
        </w:rPr>
        <w:tab/>
        <w:t xml:space="preserve">Oksanen, J. Vegan: Community Ecology Package. R package version 2.4-3. </w:t>
      </w:r>
      <w:r w:rsidRPr="00D23BF1">
        <w:rPr>
          <w:rFonts w:ascii="Times" w:hAnsi="Times" w:cs="Times New Roman"/>
          <w:i/>
          <w:iCs/>
          <w:noProof/>
        </w:rPr>
        <w:t>https://CRAN.R-project.org/package=vegan</w:t>
      </w:r>
      <w:r w:rsidRPr="00D23BF1">
        <w:rPr>
          <w:rFonts w:ascii="Times" w:hAnsi="Times" w:cs="Times New Roman"/>
          <w:noProof/>
        </w:rPr>
        <w:t xml:space="preserve"> (2015) doi:10.1038/sj.leu.2402722.</w:t>
      </w:r>
    </w:p>
    <w:p w14:paraId="2E06301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37.</w:t>
      </w:r>
      <w:r w:rsidRPr="00D23BF1">
        <w:rPr>
          <w:rFonts w:ascii="Times" w:hAnsi="Times" w:cs="Times New Roman"/>
          <w:noProof/>
        </w:rPr>
        <w:tab/>
        <w:t>Wickham, H. ggplot2</w:t>
      </w:r>
      <w:r w:rsidRPr="00D23BF1">
        <w:rPr>
          <w:rFonts w:ascii="Times New Roman" w:hAnsi="Times New Roman" w:cs="Times New Roman"/>
          <w:noProof/>
        </w:rPr>
        <w:t> </w:t>
      </w:r>
      <w:r w:rsidRPr="00D23BF1">
        <w:rPr>
          <w:rFonts w:ascii="Times" w:hAnsi="Times" w:cs="Times New Roman"/>
          <w:noProof/>
        </w:rPr>
        <w:t xml:space="preserve">: Elegant graphics for data analysis. </w:t>
      </w:r>
      <w:r w:rsidRPr="00D23BF1">
        <w:rPr>
          <w:rFonts w:ascii="Times" w:hAnsi="Times" w:cs="Times New Roman"/>
          <w:i/>
          <w:iCs/>
          <w:noProof/>
        </w:rPr>
        <w:t>Book</w:t>
      </w:r>
      <w:r w:rsidRPr="00D23BF1">
        <w:rPr>
          <w:rFonts w:ascii="Times" w:hAnsi="Times" w:cs="Times New Roman"/>
          <w:noProof/>
        </w:rPr>
        <w:t xml:space="preserve"> </w:t>
      </w:r>
      <w:r w:rsidRPr="00D23BF1">
        <w:rPr>
          <w:rFonts w:ascii="Times" w:hAnsi="Times" w:cs="Times New Roman"/>
          <w:b/>
          <w:bCs/>
          <w:noProof/>
        </w:rPr>
        <w:t>35</w:t>
      </w:r>
      <w:r w:rsidRPr="00D23BF1">
        <w:rPr>
          <w:rFonts w:ascii="Times" w:hAnsi="Times" w:cs="Times New Roman"/>
          <w:noProof/>
        </w:rPr>
        <w:t>, 211 (2009).</w:t>
      </w:r>
    </w:p>
    <w:p w14:paraId="3E706C8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38.</w:t>
      </w:r>
      <w:r w:rsidRPr="00D23BF1">
        <w:rPr>
          <w:rFonts w:ascii="Times" w:hAnsi="Times" w:cs="Times New Roman"/>
          <w:noProof/>
        </w:rPr>
        <w:tab/>
        <w:t xml:space="preserve">Team, R. D. C. &amp; R Development Core Team, R. R: A Language and Environment for Statistical Computing. </w:t>
      </w:r>
      <w:r w:rsidRPr="00D23BF1">
        <w:rPr>
          <w:rFonts w:ascii="Times" w:hAnsi="Times" w:cs="Times New Roman"/>
          <w:i/>
          <w:iCs/>
          <w:noProof/>
        </w:rPr>
        <w:t>R Found. Stat. Comput.</w:t>
      </w:r>
      <w:r w:rsidRPr="00D23BF1">
        <w:rPr>
          <w:rFonts w:ascii="Times" w:hAnsi="Times" w:cs="Times New Roman"/>
          <w:noProof/>
        </w:rPr>
        <w:t xml:space="preserve"> (2016) doi:10.1007/978-3-540-74686-7.</w:t>
      </w:r>
    </w:p>
    <w:p w14:paraId="79FF4B8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39.</w:t>
      </w:r>
      <w:r w:rsidRPr="00D23BF1">
        <w:rPr>
          <w:rFonts w:ascii="Times" w:hAnsi="Times" w:cs="Times New Roman"/>
          <w:noProof/>
        </w:rPr>
        <w:tab/>
        <w:t xml:space="preserve">Michel, A. J. </w:t>
      </w:r>
      <w:r w:rsidRPr="00D23BF1">
        <w:rPr>
          <w:rFonts w:ascii="Times" w:hAnsi="Times" w:cs="Times New Roman"/>
          <w:i/>
          <w:iCs/>
          <w:noProof/>
        </w:rPr>
        <w:t>et al.</w:t>
      </w:r>
      <w:r w:rsidRPr="00D23BF1">
        <w:rPr>
          <w:rFonts w:ascii="Times" w:hAnsi="Times" w:cs="Times New Roman"/>
          <w:noProof/>
        </w:rPr>
        <w:t xml:space="preserve"> The gut of the finch: uniqueness of the gut microbiome of </w:t>
      </w:r>
      <w:r w:rsidRPr="00D23BF1">
        <w:rPr>
          <w:rFonts w:ascii="Times" w:hAnsi="Times" w:cs="Times New Roman"/>
          <w:noProof/>
        </w:rPr>
        <w:lastRenderedPageBreak/>
        <w:t xml:space="preserve">the Galápagos vampire finch. </w:t>
      </w:r>
      <w:r w:rsidRPr="00D23BF1">
        <w:rPr>
          <w:rFonts w:ascii="Times" w:hAnsi="Times" w:cs="Times New Roman"/>
          <w:i/>
          <w:iCs/>
          <w:noProof/>
        </w:rPr>
        <w:t>Microbiome</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167 (2018).</w:t>
      </w:r>
    </w:p>
    <w:p w14:paraId="520182D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40.</w:t>
      </w:r>
      <w:r w:rsidRPr="00D23BF1">
        <w:rPr>
          <w:rFonts w:ascii="Times" w:hAnsi="Times" w:cs="Times New Roman"/>
          <w:noProof/>
        </w:rPr>
        <w:tab/>
        <w:t xml:space="preserve">Albenberg, L. </w:t>
      </w:r>
      <w:r w:rsidRPr="00D23BF1">
        <w:rPr>
          <w:rFonts w:ascii="Times" w:hAnsi="Times" w:cs="Times New Roman"/>
          <w:i/>
          <w:iCs/>
          <w:noProof/>
        </w:rPr>
        <w:t>et al.</w:t>
      </w:r>
      <w:r w:rsidRPr="00D23BF1">
        <w:rPr>
          <w:rFonts w:ascii="Times" w:hAnsi="Times" w:cs="Times New Roman"/>
          <w:noProof/>
        </w:rPr>
        <w:t xml:space="preserve"> Correlation between intraluminal oxygen gradient and radial partitioning of intestinal microbiota. </w:t>
      </w:r>
      <w:r w:rsidRPr="00D23BF1">
        <w:rPr>
          <w:rFonts w:ascii="Times" w:hAnsi="Times" w:cs="Times New Roman"/>
          <w:i/>
          <w:iCs/>
          <w:noProof/>
        </w:rPr>
        <w:t>Gastroenterology</w:t>
      </w:r>
      <w:r w:rsidRPr="00D23BF1">
        <w:rPr>
          <w:rFonts w:ascii="Times" w:hAnsi="Times" w:cs="Times New Roman"/>
          <w:noProof/>
        </w:rPr>
        <w:t xml:space="preserve"> </w:t>
      </w:r>
      <w:r w:rsidRPr="00D23BF1">
        <w:rPr>
          <w:rFonts w:ascii="Times" w:hAnsi="Times" w:cs="Times New Roman"/>
          <w:b/>
          <w:bCs/>
          <w:noProof/>
        </w:rPr>
        <w:t>147</w:t>
      </w:r>
      <w:r w:rsidRPr="00D23BF1">
        <w:rPr>
          <w:rFonts w:ascii="Times" w:hAnsi="Times" w:cs="Times New Roman"/>
          <w:noProof/>
        </w:rPr>
        <w:t>, 1055-1063.e8 (2014).</w:t>
      </w:r>
    </w:p>
    <w:p w14:paraId="1F0625D7" w14:textId="7D1C2E2A"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41.</w:t>
      </w:r>
      <w:r w:rsidRPr="00D23BF1">
        <w:rPr>
          <w:rFonts w:ascii="Times" w:hAnsi="Times" w:cs="Times New Roman"/>
          <w:noProof/>
        </w:rPr>
        <w:tab/>
        <w:t xml:space="preserve">Knutie, S. A. &amp; Gotanda, K. M. A Non-invasive Method to Collect Fecal Samples from Wild Birds for Microbiome Studies. </w:t>
      </w:r>
      <w:r w:rsidRPr="00D23BF1">
        <w:rPr>
          <w:rFonts w:ascii="Times" w:hAnsi="Times" w:cs="Times New Roman"/>
          <w:i/>
          <w:iCs/>
          <w:noProof/>
        </w:rPr>
        <w:t>Microb. Ecol.</w:t>
      </w:r>
      <w:r w:rsidRPr="00D23BF1">
        <w:rPr>
          <w:rFonts w:ascii="Times" w:hAnsi="Times" w:cs="Times New Roman"/>
          <w:noProof/>
        </w:rPr>
        <w:t xml:space="preserve"> 1–5 (2018) doi:10.1007/s00248-018-1182-4.</w:t>
      </w:r>
    </w:p>
    <w:p w14:paraId="24B3F610" w14:textId="2510B4F5" w:rsidR="00041ADB" w:rsidRPr="00D23BF1" w:rsidRDefault="00041ADB" w:rsidP="00F20BE1">
      <w:pPr>
        <w:rPr>
          <w:rFonts w:ascii="Times" w:hAnsi="Times"/>
        </w:rPr>
      </w:pPr>
    </w:p>
    <w:p w14:paraId="26F38800" w14:textId="77777777" w:rsidR="00041ADB" w:rsidRPr="00D23BF1" w:rsidRDefault="00041ADB" w:rsidP="00F20BE1">
      <w:pPr>
        <w:pStyle w:val="Heading1"/>
      </w:pPr>
      <w:bookmarkStart w:id="88" w:name="_Toc69393567"/>
      <w:bookmarkStart w:id="89" w:name="_Toc69396340"/>
      <w:bookmarkStart w:id="90" w:name="_Toc69396375"/>
      <w:bookmarkStart w:id="91" w:name="_Toc69396564"/>
    </w:p>
    <w:p w14:paraId="67B526B6" w14:textId="77777777" w:rsidR="00041ADB" w:rsidRPr="00D23BF1" w:rsidRDefault="00041ADB" w:rsidP="00F20BE1">
      <w:pPr>
        <w:pStyle w:val="Heading1"/>
      </w:pPr>
    </w:p>
    <w:p w14:paraId="2B9B1598" w14:textId="77777777" w:rsidR="00041ADB" w:rsidRPr="00D23BF1" w:rsidRDefault="00041ADB" w:rsidP="00F20BE1">
      <w:pPr>
        <w:pStyle w:val="Heading1"/>
      </w:pPr>
    </w:p>
    <w:p w14:paraId="77983D42" w14:textId="77777777" w:rsidR="00041ADB" w:rsidRPr="00D23BF1" w:rsidRDefault="00041ADB" w:rsidP="00F20BE1">
      <w:pPr>
        <w:pStyle w:val="Heading1"/>
      </w:pPr>
    </w:p>
    <w:p w14:paraId="26731366" w14:textId="77777777" w:rsidR="00041ADB" w:rsidRPr="00D23BF1" w:rsidRDefault="00041ADB" w:rsidP="00F20BE1">
      <w:pPr>
        <w:pStyle w:val="Heading1"/>
      </w:pPr>
    </w:p>
    <w:p w14:paraId="27BC04CD" w14:textId="77777777" w:rsidR="00041ADB" w:rsidRPr="00D23BF1" w:rsidRDefault="00041ADB" w:rsidP="00F20BE1">
      <w:pPr>
        <w:pStyle w:val="Heading1"/>
      </w:pPr>
    </w:p>
    <w:p w14:paraId="7310F0A8" w14:textId="77777777" w:rsidR="00041ADB" w:rsidRPr="00D23BF1" w:rsidRDefault="00041ADB" w:rsidP="00F20BE1">
      <w:pPr>
        <w:pStyle w:val="Heading1"/>
      </w:pPr>
    </w:p>
    <w:p w14:paraId="6BED421B" w14:textId="77777777" w:rsidR="00041ADB" w:rsidRPr="00D23BF1" w:rsidRDefault="00041ADB" w:rsidP="00F20BE1">
      <w:pPr>
        <w:pStyle w:val="Heading1"/>
      </w:pPr>
    </w:p>
    <w:p w14:paraId="080E075D" w14:textId="77777777" w:rsidR="00041ADB" w:rsidRPr="00D23BF1" w:rsidRDefault="00041ADB" w:rsidP="00F20BE1">
      <w:pPr>
        <w:pStyle w:val="Heading1"/>
      </w:pPr>
    </w:p>
    <w:p w14:paraId="1D3D3083" w14:textId="7C501F35" w:rsidR="007C0178" w:rsidRDefault="007C0178">
      <w:pPr>
        <w:rPr>
          <w:rFonts w:ascii="Times" w:eastAsia="Cambria" w:hAnsi="Times" w:cs="Cambria"/>
          <w:b/>
          <w:szCs w:val="48"/>
        </w:rPr>
      </w:pPr>
      <w:r>
        <w:br w:type="page"/>
      </w:r>
    </w:p>
    <w:p w14:paraId="28CA2B3E" w14:textId="77777777" w:rsidR="00041ADB" w:rsidRPr="00D23BF1" w:rsidRDefault="00041ADB" w:rsidP="00F20BE1">
      <w:pPr>
        <w:pStyle w:val="Heading1"/>
      </w:pPr>
    </w:p>
    <w:p w14:paraId="4F7ACE22" w14:textId="77777777" w:rsidR="00041ADB" w:rsidRPr="00D23BF1" w:rsidRDefault="00041ADB" w:rsidP="00F20BE1">
      <w:pPr>
        <w:pStyle w:val="Heading1"/>
      </w:pPr>
    </w:p>
    <w:p w14:paraId="3542BF33" w14:textId="77777777" w:rsidR="00041ADB" w:rsidRPr="00D23BF1" w:rsidRDefault="00041ADB" w:rsidP="00F20BE1">
      <w:pPr>
        <w:pStyle w:val="Heading1"/>
      </w:pPr>
    </w:p>
    <w:p w14:paraId="5CADE0FE" w14:textId="77777777" w:rsidR="00041ADB" w:rsidRPr="00D23BF1" w:rsidRDefault="00041ADB" w:rsidP="00F20BE1">
      <w:pPr>
        <w:pStyle w:val="Heading1"/>
      </w:pPr>
    </w:p>
    <w:p w14:paraId="159D4578" w14:textId="77777777" w:rsidR="00041ADB" w:rsidRPr="00D23BF1" w:rsidRDefault="00041ADB" w:rsidP="00F20BE1">
      <w:pPr>
        <w:pStyle w:val="Heading1"/>
      </w:pPr>
    </w:p>
    <w:p w14:paraId="4D7ED43A" w14:textId="77777777" w:rsidR="00041ADB" w:rsidRPr="00D23BF1" w:rsidRDefault="00041ADB" w:rsidP="00F20BE1">
      <w:pPr>
        <w:pStyle w:val="Heading1"/>
      </w:pPr>
    </w:p>
    <w:p w14:paraId="15A0816D" w14:textId="77777777" w:rsidR="00041ADB" w:rsidRPr="00D23BF1" w:rsidRDefault="00041ADB" w:rsidP="00F20BE1">
      <w:pPr>
        <w:pStyle w:val="Heading1"/>
      </w:pPr>
    </w:p>
    <w:p w14:paraId="4991E998" w14:textId="77777777" w:rsidR="00041ADB" w:rsidRPr="00D23BF1" w:rsidRDefault="00041ADB" w:rsidP="00F20BE1">
      <w:pPr>
        <w:pStyle w:val="Heading1"/>
      </w:pPr>
    </w:p>
    <w:p w14:paraId="7DBB527E" w14:textId="77777777" w:rsidR="00041ADB" w:rsidRPr="00D23BF1" w:rsidRDefault="00041ADB" w:rsidP="00F20BE1">
      <w:pPr>
        <w:pStyle w:val="Heading1"/>
      </w:pPr>
    </w:p>
    <w:p w14:paraId="1658A9A8" w14:textId="77777777" w:rsidR="00041ADB" w:rsidRPr="00D23BF1" w:rsidRDefault="00041ADB" w:rsidP="00F20BE1">
      <w:pPr>
        <w:pStyle w:val="Heading1"/>
      </w:pPr>
      <w:bookmarkStart w:id="92" w:name="_Toc69972875"/>
      <w:r w:rsidRPr="00D23BF1">
        <w:t>Chapter 2 -  Effects of Urbanization and Landscape on Gut Microbiomes in White-Crowned Sparrows</w:t>
      </w:r>
      <w:bookmarkEnd w:id="88"/>
      <w:bookmarkEnd w:id="89"/>
      <w:bookmarkEnd w:id="90"/>
      <w:bookmarkEnd w:id="91"/>
      <w:bookmarkEnd w:id="92"/>
    </w:p>
    <w:p w14:paraId="62714B80" w14:textId="77777777" w:rsidR="00041ADB" w:rsidRPr="00D23BF1" w:rsidRDefault="00041ADB" w:rsidP="00F20BE1">
      <w:pPr>
        <w:rPr>
          <w:rFonts w:ascii="Times" w:hAnsi="Times"/>
        </w:rPr>
      </w:pPr>
    </w:p>
    <w:p w14:paraId="2F6A538E" w14:textId="77777777" w:rsidR="00041ADB" w:rsidRPr="00D23BF1" w:rsidRDefault="00041ADB" w:rsidP="00F20BE1">
      <w:pPr>
        <w:jc w:val="center"/>
        <w:rPr>
          <w:rFonts w:ascii="Times" w:hAnsi="Times"/>
          <w:i/>
          <w:iCs/>
        </w:rPr>
      </w:pPr>
      <w:r w:rsidRPr="00D23BF1">
        <w:rPr>
          <w:rFonts w:ascii="Times" w:hAnsi="Times"/>
          <w:i/>
          <w:iCs/>
        </w:rPr>
        <w:t>The materials in this chapter were published in Microbial Ecology in 2021</w:t>
      </w:r>
    </w:p>
    <w:p w14:paraId="1D143133" w14:textId="77777777" w:rsidR="00041ADB" w:rsidRPr="00D23BF1" w:rsidRDefault="00041ADB" w:rsidP="00F20BE1">
      <w:pPr>
        <w:rPr>
          <w:rFonts w:ascii="Times" w:hAnsi="Times"/>
        </w:rPr>
      </w:pPr>
      <w:r w:rsidRPr="00D23BF1">
        <w:rPr>
          <w:rFonts w:ascii="Times" w:hAnsi="Times"/>
        </w:rPr>
        <w:br w:type="page"/>
      </w:r>
    </w:p>
    <w:p w14:paraId="2AB0375D" w14:textId="77777777" w:rsidR="00041ADB" w:rsidRPr="00D23BF1" w:rsidRDefault="00041ADB" w:rsidP="00F20BE1">
      <w:pPr>
        <w:pStyle w:val="Heading2"/>
        <w:rPr>
          <w:rFonts w:ascii="Times" w:hAnsi="Times"/>
        </w:rPr>
      </w:pPr>
      <w:bookmarkStart w:id="93" w:name="_Toc69972876"/>
      <w:r w:rsidRPr="00D23BF1">
        <w:rPr>
          <w:rFonts w:ascii="Times" w:hAnsi="Times"/>
        </w:rPr>
        <w:lastRenderedPageBreak/>
        <w:t>Abstract</w:t>
      </w:r>
      <w:bookmarkEnd w:id="93"/>
    </w:p>
    <w:p w14:paraId="4548A95A" w14:textId="77777777" w:rsidR="00041ADB" w:rsidRPr="00D23BF1" w:rsidRDefault="00041ADB" w:rsidP="00F20BE1">
      <w:pPr>
        <w:rPr>
          <w:rFonts w:ascii="Times" w:hAnsi="Times"/>
        </w:rPr>
      </w:pPr>
    </w:p>
    <w:p w14:paraId="0F95AEE0" w14:textId="77777777" w:rsidR="00041ADB" w:rsidRPr="00D23BF1" w:rsidRDefault="00041ADB" w:rsidP="00F20BE1">
      <w:pPr>
        <w:rPr>
          <w:rFonts w:ascii="Times" w:hAnsi="Times"/>
        </w:rPr>
      </w:pPr>
      <w:r w:rsidRPr="00D23BF1">
        <w:rPr>
          <w:rFonts w:ascii="Times" w:hAnsi="Times"/>
        </w:rPr>
        <w:t>Habitats are changing rapidly around the globe and urbanization is one of the primary drivers. Urbanization changes food availability, environmental stressors, and the prevalence of disease for many species. These changes can lead to divergence in phenotypic traits, including behavioral, physiological and morphological features between urban and rural populations. Recent research highlights that urbanization is also changing the gut microbial communities found in a diverse group of host species. These changes have not been uniform, leaving uncertainty as to how urban habitats are shaping gut microbial communities. To better understand these effects, we investigated the gut bacterial communities of White-Crowned Sparrow (</w:t>
      </w:r>
      <w:r w:rsidRPr="00D23BF1">
        <w:rPr>
          <w:rFonts w:ascii="Times" w:hAnsi="Times"/>
          <w:i/>
          <w:iCs/>
        </w:rPr>
        <w:t>Zonotrichia leucophrys</w:t>
      </w:r>
      <w:r w:rsidRPr="00D23BF1">
        <w:rPr>
          <w:rFonts w:ascii="Times" w:hAnsi="Times"/>
        </w:rPr>
        <w:t>) populations along an urbanization gradient in the San Francisco Bay area. We examined how gut bacterial communities vary with the local environment and host morphological characteristics. We found direct effects of environmental factors, including urban noise levels and territory land cover, as well as indirect effects through body size and condition, on alpha and beta diversity of gut microbial communities. We also found that urban and rural birds’ microbiomes differed in which variables predicted their diversity, with urban communities driven by host morphology, and rural communities driven by environmental factors. Elucidating these effects provides a better understanding of how urbanization affects wild avian physiology.</w:t>
      </w:r>
    </w:p>
    <w:p w14:paraId="7C627E4B" w14:textId="77777777" w:rsidR="00041ADB" w:rsidRPr="00D23BF1" w:rsidRDefault="00041ADB" w:rsidP="00F20BE1">
      <w:pPr>
        <w:rPr>
          <w:rFonts w:ascii="Times" w:hAnsi="Times"/>
        </w:rPr>
      </w:pPr>
    </w:p>
    <w:p w14:paraId="699408EA" w14:textId="77777777" w:rsidR="00041ADB" w:rsidRPr="00D23BF1" w:rsidRDefault="00041ADB" w:rsidP="00F20BE1">
      <w:pPr>
        <w:pStyle w:val="Heading2"/>
        <w:rPr>
          <w:rFonts w:ascii="Times" w:hAnsi="Times"/>
        </w:rPr>
      </w:pPr>
    </w:p>
    <w:p w14:paraId="6F26FB01" w14:textId="77777777" w:rsidR="00041ADB" w:rsidRPr="00D23BF1" w:rsidRDefault="00041ADB" w:rsidP="00F20BE1">
      <w:pPr>
        <w:pStyle w:val="Heading2"/>
        <w:rPr>
          <w:rFonts w:ascii="Times" w:hAnsi="Times"/>
        </w:rPr>
      </w:pPr>
      <w:bookmarkStart w:id="94" w:name="_Toc69972877"/>
      <w:r w:rsidRPr="00D23BF1">
        <w:rPr>
          <w:rFonts w:ascii="Times" w:hAnsi="Times"/>
        </w:rPr>
        <w:t>Introduction</w:t>
      </w:r>
      <w:bookmarkEnd w:id="94"/>
    </w:p>
    <w:p w14:paraId="45785B2F" w14:textId="77777777" w:rsidR="00041ADB" w:rsidRPr="00D23BF1" w:rsidRDefault="00041ADB" w:rsidP="00F20BE1">
      <w:pPr>
        <w:rPr>
          <w:rFonts w:ascii="Times" w:hAnsi="Times"/>
        </w:rPr>
      </w:pPr>
    </w:p>
    <w:p w14:paraId="354F03CD" w14:textId="77777777" w:rsidR="00041ADB" w:rsidRPr="00D23BF1" w:rsidRDefault="00041ADB" w:rsidP="00F20BE1">
      <w:pPr>
        <w:rPr>
          <w:rFonts w:ascii="Times" w:hAnsi="Times"/>
        </w:rPr>
      </w:pPr>
      <w:r w:rsidRPr="00D23BF1">
        <w:rPr>
          <w:rFonts w:ascii="Times" w:hAnsi="Times"/>
        </w:rPr>
        <w:t xml:space="preserve">Urbanization is rapidly transforming habitats around the globe </w:t>
      </w:r>
      <w:r w:rsidRPr="00D23BF1">
        <w:rPr>
          <w:rFonts w:ascii="Times" w:hAnsi="Times"/>
        </w:rPr>
        <w:fldChar w:fldCharType="begin" w:fldLock="1"/>
      </w:r>
      <w:r w:rsidRPr="00D23BF1">
        <w:rPr>
          <w:rFonts w:ascii="Times" w:hAnsi="Times"/>
        </w:rPr>
        <w:instrText>ADDIN CSL_CITATION {"citationItems":[{"id":"ITEM-1","itemData":{"DOI":"10.3390/su8010041","ISBN":"8610588084","ISSN":"20711050","abstract":"Urbanization is the most dramatic form of land use change that has profoundly influenced environmental and socioeconomic conditions around the world. To assess these impacts and promote urban sustainability, a better understanding of urbanization patterns is needed. Recent studies have suggested several spatiotemporal patterns of urbanization, but their generality is yet to be adequately tested with long-term data. Thus, the main goal of our study was two-fold: (1) to examine the spatiotemporal patterns of urbanization of 16 world cities over a period of 200 years (1800-2000); and (2) to test four prominent hypotheses of urbanization patterns. Using a set of landscape metrics, we quantified temporal changes in the urban landscape pattern of the 16 cities and examined the four hypotheses individually. Our results show that these cities exhibit several common urbanization patterns: The urban landscape becomes compositionally more diverse, structurally more fragmented and geometrically more complex as urbanization progresses. Our study also suggests that urbanization is a process of shifting dominance among three urban growth modes: Infilling, edge expanding and leapfrogging. However, idiosyncrasies do exist for individual cities, as detailed attributes of urbanization patterns often depend on the environmental and socioeconomic settings of cities. In addition, the choice of specific landscape metrics and the scales of analysis both influence the urbanization patterns revealed. Our study examined the urbanization patterns, for the first time, on long-term and global scales. The findings shed new light on the patterns and processes of urbanization, with implications for future studies of the ecology, planning and sustainability of cities.","author":[{"dropping-particle":"","family":"Liu","given":"Zhifeng","non-dropping-particle":"","parse-names":false,"suffix":""},{"dropping-particle":"","family":"He","given":"Chunyang","non-dropping-particle":"","parse-names":false,"suffix":""},{"dropping-particle":"","family":"Wu","given":"Jianguo","non-dropping-particle":"","parse-names":false,"suffix":""}],"container-title":"Sustainability (Switzerland)","id":"ITEM-1","issue":"1","issued":{"date-parts":[["2016"]]},"page":"1-15","title":"General spatiotemporal patterns of urbanization: An examination of 16 world cities","type":"article-journal","volume":"8"},"uris":["http://www.mendeley.com/documents/?uuid=db64ef6d-3377-410d-84b5-0fc0a93bbeef"]}],"mendeley":{"formattedCitation":"&lt;sup&gt;1&lt;/sup&gt;","plainTextFormattedCitation":"1","previouslyFormattedCitation":"[1]"},"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w:t>
      </w:r>
      <w:r w:rsidRPr="00D23BF1">
        <w:rPr>
          <w:rFonts w:ascii="Times" w:hAnsi="Times"/>
        </w:rPr>
        <w:fldChar w:fldCharType="end"/>
      </w:r>
      <w:r w:rsidRPr="00D23BF1">
        <w:rPr>
          <w:rFonts w:ascii="Times" w:hAnsi="Times"/>
        </w:rPr>
        <w:t xml:space="preserve">, leading to the extirpation of several species </w:t>
      </w:r>
      <w:r w:rsidRPr="00D23BF1">
        <w:rPr>
          <w:rFonts w:ascii="Times" w:hAnsi="Times"/>
        </w:rPr>
        <w:fldChar w:fldCharType="begin" w:fldLock="1"/>
      </w:r>
      <w:r w:rsidRPr="00D23BF1">
        <w:rPr>
          <w:rFonts w:ascii="Times" w:hAnsi="Times"/>
        </w:rPr>
        <w:instrText>ADDIN CSL_CITATION {"citationItems":[{"id":"ITEM-1","itemData":{"DOI":"10.1007/s11252-019-00863-9","ISBN":"1125201900863","ISSN":"15731642","abstract":"Vacant lots, unused lands covered by spontaneous vegetation, are widespread in urban landscapes. Although they are of less conservation value than natural ecosystems, they can provide important ecological services, such as maintaining air quality and mental health, and offering recreational space. Nevertheless, the effects of urbanization on the plant species richness and beta diversity of such lots remain poorly understood. We evaluated how plant species richness and beta diversity differ in vacant herbaceous lots 1) between two urban areas (Montréal and Québec, Canada) characterized by contrasting urbanization intensity, and 2) along a rural-urban gradient within both landscapes. We inventoried 69 vacant lots in Montréal and 62 in Québec distributed along three local levels of urbanization (established using NDVI values in a 500 m buffer zone around each lot). We found a lower beta diversity for plant communities in vacant lots in the most urbanized landscape (Montréal) compared to the least urbanized one (Québec), but no effect of local level of urbanization intensity in either of the landscapes. Montréal was richer than Québec in regard to non-native species, while native richness was similar between the two landscapes. Non-native richness was higher than that of natives at each local level of urbanization intensity, and the highest at moderate urbanization intensity. Finally, non-native species were functionally more homogenous than natives both within and between landscapes. Overall, our results suggest that biotic homogenization occurr only in very urbanized landscapes and that this homogenization results from non-native species invasion without local native extirpation.","author":[{"dropping-particle":"","family":"Blouin","given":"Daniel","non-dropping-particle":"","parse-names":false,"suffix":""},{"dropping-particle":"","family":"Pellerin","given":"Stéphanie","non-dropping-particle":"","parse-names":false,"suffix":""},{"dropping-particle":"","family":"Poulin","given":"Monique","non-dropping-particle":"","parse-names":false,"suffix":""}],"container-title":"Urban Ecosystems","id":"ITEM-1","issue":"5","issued":{"date-parts":[["2019"]]},"page":"879-892","publisher":"Urban Ecosystems","title":"Increase in non-native species richness leads to biotic homogenization in vacant lots of a highly urbanized landscape","type":"article-journal","volume":"22"},"uris":["http://www.mendeley.com/documents/?uuid=3bc34b69-c43b-46ce-beb2-9be54a6339a3"]}],"mendeley":{"formattedCitation":"&lt;sup&gt;2&lt;/sup&gt;","plainTextFormattedCitation":"2","previouslyFormattedCitation":"[2]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w:t>
      </w:r>
      <w:r w:rsidRPr="00D23BF1">
        <w:rPr>
          <w:rFonts w:ascii="Times" w:hAnsi="Times"/>
        </w:rPr>
        <w:fldChar w:fldCharType="end"/>
      </w:r>
      <w:r w:rsidRPr="00D23BF1">
        <w:rPr>
          <w:rFonts w:ascii="Times" w:hAnsi="Times"/>
        </w:rPr>
        <w:t xml:space="preserve">, and numerous novel selection pressures on animal behavior and physiology </w:t>
      </w:r>
      <w:r w:rsidRPr="00D23BF1">
        <w:rPr>
          <w:rFonts w:ascii="Times" w:hAnsi="Times"/>
        </w:rPr>
        <w:fldChar w:fldCharType="begin" w:fldLock="1"/>
      </w:r>
      <w:r w:rsidRPr="00D23BF1">
        <w:rPr>
          <w:rFonts w:ascii="Times" w:hAnsi="Times"/>
        </w:rPr>
        <w:instrText>ADDIN CSL_CITATION {"citationItems":[{"id":"ITEM-1","itemData":{"DOI":"10.1016/j.tree.2015.06.009","ISSN":"01695347","author":[{"dropping-particle":"","family":"Swaddle","given":"John P.","non-dropping-particle":"","parse-names":false,"suffix":""},{"dropping-particle":"","family":"Francis","given":"Clinton D.","non-dropping-particle":"","parse-names":false,"suffix":""},{"dropping-particle":"","family":"Barber","given":"Jesse R.","non-dropping-particle":"","parse-names":false,"suffix":""},{"dropping-particle":"","family":"Cooper","given":"Caren B.","non-dropping-particle":"","parse-names":false,"suffix":""},{"dropping-particle":"","family":"Kyba","given":"Christopher C.M.","non-dropping-particle":"","parse-names":false,"suffix":""},{"dropping-particle":"","family":"Dominoni","given":"Davide M.","non-dropping-particle":"","parse-names":false,"suffix":""},{"dropping-particle":"","family":"Shannon","given":"Graeme","non-dropping-particle":"","parse-names":false,"suffix":""},{"dropping-particle":"","family":"Aschehoug","given":"Erik","non-dropping-particle":"","parse-names":false,"suffix":""},{"dropping-particle":"","family":"Goodwin","given":"Sarah E.","non-dropping-particle":"","parse-names":false,"suffix":""},{"dropping-particle":"","family":"Kawahara","given":"Akito Y.","non-dropping-particle":"","parse-names":false,"suffix":""},{"dropping-particle":"","family":"Luther","given":"David","non-dropping-particle":"","parse-names":false,"suffix":""},{"dropping-particle":"","family":"Spoelstra","given":"Kamiel","non-dropping-particle":"","parse-names":false,"suffix":""},{"dropping-particle":"","family":"Voss","given":"Margaret","non-dropping-particle":"","parse-names":false,"suffix":""},{"dropping-particle":"","family":"Longcore","given":"Travis","non-dropping-particle":"","parse-names":false,"suffix":""}],"container-title":"Trends in Ecology &amp; Evolution","id":"ITEM-1","issue":"9","issued":{"date-parts":[["2015"]]},"page":"550-560","publisher":"Elsevier Ltd","title":"A framework to assess evolutionary responses to anthropogenic light and sound","type":"article-journal","volume":"30"},"uris":["http://www.mendeley.com/documents/?uuid=70c72674-b7f2-464e-bf76-bb51d85e72d3"]}],"mendeley":{"formattedCitation":"&lt;sup&gt;3&lt;/sup&gt;","plainTextFormattedCitation":"3","previouslyFormattedCitation":"[3]"},"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3</w:t>
      </w:r>
      <w:r w:rsidRPr="00D23BF1">
        <w:rPr>
          <w:rFonts w:ascii="Times" w:hAnsi="Times"/>
        </w:rPr>
        <w:fldChar w:fldCharType="end"/>
      </w:r>
      <w:r w:rsidRPr="00D23BF1">
        <w:rPr>
          <w:rFonts w:ascii="Times" w:hAnsi="Times"/>
        </w:rPr>
        <w:t xml:space="preserve">. Urban and rural habitats are often different in a number of factors important to native organisms, including food availability </w:t>
      </w:r>
      <w:r w:rsidRPr="00D23BF1">
        <w:rPr>
          <w:rFonts w:ascii="Times" w:hAnsi="Times"/>
        </w:rPr>
        <w:fldChar w:fldCharType="begin" w:fldLock="1"/>
      </w:r>
      <w:r w:rsidRPr="00D23BF1">
        <w:rPr>
          <w:rFonts w:ascii="Times" w:hAnsi="Times"/>
        </w:rPr>
        <w:instrText>ADDIN CSL_CITATION {"citationItems":[{"id":"ITEM-1","itemData":{"DOI":"10.1002/eap.1730","ISSN":"19395582","abstract":"Urbanization can have marked effects on plant and animal populations’ phenology, population size, predator–prey, interactions and reproductive success. These aspects are rarely studied simultaneously in a single system, and some are rarely investigated, e.g., how insect phenology responds to urban development. Here, we study a tri-trophic system of trees, phytophagous insects (caterpillars), and insectivorous birds (Great Tits) to assess how urbanization influences (1) the phenology of each component of this system, (2) insect abundance, and (3) avian reproductive success. We use data from two urban and two forest sites in Hungary, central Europe, collected over four consecutive years. Despite a trend of earlier leaf emergence in urban sites, there is no evidence for an earlier peak in caterpillar abundance. Thus, contrary to the frequently stated prediction in the literature, the earlier breeding of urban bird populations is not associated with an earlier peak in caterpillar availability. Despite this the seasonal dynamics of caterpillar biomass exhibited striking differences between habitat types with a single clear peak in forests, and several much smaller peaks in urban sites. Caterpillar biomass was higher in forests than urban areas across the entire sampling period, and between 8.5 and 24 times higher during the first brood's chick-rearing period. This higher biomass was not associated with taller trees in forest sites, or with tree species identity, and occurred despite most of our focal trees being native to the study area. Urban Great Tits laid smaller clutches, experienced more frequent nestling mortality from starvation, reared fewer offspring to fledging age, and their fledglings had lower body mass. Our study strongly indicates that food limitation is responsible for lower avian reproductive success in cities, which is driven by reduced availability of the preferred nestling diet, i.e., caterpillars, rather than phenological shifts in the timing of peak food availability.","author":[{"dropping-particle":"","family":"Seress","given":"Gábor","non-dropping-particle":"","parse-names":false,"suffix":""},{"dropping-particle":"","family":"Hammer","given":"Tamás","non-dropping-particle":"","parse-names":false,"suffix":""},{"dropping-particle":"","family":"Bókony","given":"Veronika","non-dropping-particle":"","parse-names":false,"suffix":""},{"dropping-particle":"","family":"Vincze","given":"Ernő","non-dropping-particle":"","parse-names":false,"suffix":""},{"dropping-particle":"","family":"Preiszner","given":"Bálint","non-dropping-particle":"","parse-names":false,"suffix":""},{"dropping-particle":"","family":"Pipoly","given":"Ivett","non-dropping-particle":"","parse-names":false,"suffix":""},{"dropping-particle":"","family":"Sinkovics","given":"Csenge","non-dropping-particle":"","parse-names":false,"suffix":""},{"dropping-particle":"","family":"Evans","given":"Karl L.","non-dropping-particle":"","parse-names":false,"suffix":""},{"dropping-particle":"","family":"Liker","given":"András","non-dropping-particle":"","parse-names":false,"suffix":""}],"container-title":"Ecological Applications","id":"ITEM-1","issue":"5","issued":{"date-parts":[["2018"]]},"page":"1143-1156","title":"Impact of urbanization on abundance and phenology of caterpillars and consequences for breeding in an insectivorous bird","type":"article-journal","volume":"28"},"uris":["http://www.mendeley.com/documents/?uuid=47933e0b-5a15-4cb4-bb58-935471653cc9"]}],"mendeley":{"formattedCitation":"&lt;sup&gt;4&lt;/sup&gt;","plainTextFormattedCitation":"4","previouslyFormattedCitation":"[4]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w:t>
      </w:r>
      <w:r w:rsidRPr="00D23BF1">
        <w:rPr>
          <w:rFonts w:ascii="Times" w:hAnsi="Times"/>
        </w:rPr>
        <w:fldChar w:fldCharType="end"/>
      </w:r>
      <w:r w:rsidRPr="00D23BF1">
        <w:rPr>
          <w:rStyle w:val="CommentReference"/>
          <w:rFonts w:ascii="Times" w:hAnsi="Times"/>
        </w:rPr>
        <w:t>,</w:t>
      </w:r>
      <w:r w:rsidRPr="00D23BF1">
        <w:rPr>
          <w:rFonts w:ascii="Times" w:hAnsi="Times"/>
        </w:rPr>
        <w:t xml:space="preserve"> environmental stressors </w:t>
      </w:r>
      <w:r w:rsidRPr="00D23BF1">
        <w:rPr>
          <w:rFonts w:ascii="Times" w:hAnsi="Times"/>
        </w:rPr>
        <w:fldChar w:fldCharType="begin" w:fldLock="1"/>
      </w:r>
      <w:r w:rsidRPr="00D23BF1">
        <w:rPr>
          <w:rFonts w:ascii="Times" w:hAnsi="Times"/>
        </w:rPr>
        <w:instrText>ADDIN CSL_CITATION {"citationItems":[{"id":"ITEM-1","itemData":{"DOI":"10.1098/rspb.2018.0169","ISSN":"14712954","abstract":"Natural and human-induced stressors elicit changes in energy metabolism and stress physiology in populations of a wide array of species. Cities are stressful environments that may lead to differential selection on stress-coping mechanisms. Given that city ponds are exposed to the urban heat island effect and receive polluted run-off, organisms inhabiting these ecosystems might show genetic differentiation for physiological traits enabling them to better cope with higher overall stress levels. A common garden study with 62 Daphnia magna genotypes from replicated urban and rural populations revealed that urban Daphnia have significantly higher concentrations of total body fat, proteins and sugars. Baseline activity levels of the antioxidant defence enzymes superoxide dismutase (SOD) and glutathione-S-transferase (GST) were higher in rural compared with city populations, yet urban animals were equally well protected against lipid peroxidation. Our results add to the recent evidence of urbanization-driven changes in stress physiology and energy metabolism in terrestrial organisms. Combining our results with data on urban life history evolution in Daphnia revealed that urban genotypes show a structured pace-of-life syndrome involving both life-history and physiological traits, whereas this is absent in rural populations.","author":[{"dropping-particle":"","family":"Brans","given":"Kristien I.","non-dropping-particle":"","parse-names":false,"suffix":""},{"dropping-particle":"","family":"Stoks","given":"Robby","non-dropping-particle":"","parse-names":false,"suffix":""},{"dropping-particle":"","family":"Meester","given":"Luc","non-dropping-particle":"De","parse-names":false,"suffix":""}],"container-title":"Proceedings of the Royal Society B: Biological Sciences","id":"ITEM-1","issue":"1883","issued":{"date-parts":[["2018"]]},"title":"Urbanization drives genetic differentiation in physiology and structures the evolution of pace-of-life syndromes in the water flea Daphnia magna","type":"article-journal","volume":"285"},"uris":["http://www.mendeley.com/documents/?uuid=750d44b0-6a32-4872-a2c3-7a7dab7c17b1"]}],"mendeley":{"formattedCitation":"&lt;sup&gt;5&lt;/sup&gt;","plainTextFormattedCitation":"5","previouslyFormattedCitation":"[5]"},"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5</w:t>
      </w:r>
      <w:r w:rsidRPr="00D23BF1">
        <w:rPr>
          <w:rFonts w:ascii="Times" w:hAnsi="Times"/>
        </w:rPr>
        <w:fldChar w:fldCharType="end"/>
      </w:r>
      <w:r w:rsidRPr="00D23BF1">
        <w:rPr>
          <w:rFonts w:ascii="Times" w:hAnsi="Times"/>
        </w:rPr>
        <w:t xml:space="preserve">, and prevalence of disease </w:t>
      </w:r>
      <w:r w:rsidRPr="00D23BF1">
        <w:rPr>
          <w:rFonts w:ascii="Times" w:hAnsi="Times"/>
        </w:rPr>
        <w:fldChar w:fldCharType="begin" w:fldLock="1"/>
      </w:r>
      <w:r w:rsidRPr="00D23BF1">
        <w:rPr>
          <w:rFonts w:ascii="Times" w:hAnsi="Times"/>
        </w:rPr>
        <w:instrText>ADDIN CSL_CITATION {"citationItems":[{"id":"ITEM-1","itemData":{"DOI":"10.1242/jeb.106450","ISSN":"00220949","abstract":"Cities may expose wild animals to new types of selection pressures, potentially leading to differentiation among urban and rural populations. One cellular mechanism likely important in determining the viability of vertebrate populations is resistance to oxidative stress, as tissue degradation resulting from oxidative stress may decrease reproductive performance and survival. We hypothesized that city-thriving Eurasian blackbirds (Turdus merula) would be more resistant to oxidative stress when exposed to stressful conditions than rural conspecifics. Hand-raised city and rural blackbirds kept under common garden conditions indeed differed in blood oxidative status when exposed to chronic stress: city birds had lower oxidative damage during stressful conditions compared with rural birds, but also tended to generally maintain lower levels of non-enzymatic and enzymatic antioxidants than rural birds. These findings show that individuals from urban and rural areas differ intrinsically in their blood oxidative status physiology, possibly as an adaptation to city life.","author":[{"dropping-particle":"","family":"Costantini","given":"David","non-dropping-particle":"","parse-names":false,"suffix":""},{"dropping-particle":"","family":"Greives","given":"Timothy J.","non-dropping-particle":"","parse-names":false,"suffix":""},{"dropping-particle":"","family":"Hau","given":"Michaela","non-dropping-particle":"","parse-names":false,"suffix":""},{"dropping-particle":"","family":"Partecke","given":"Jesko","non-dropping-particle":"","parse-names":false,"suffix":""}],"container-title":"Journal of Experimental Biology","id":"ITEM-1","issue":"17","issued":{"date-parts":[["2014"]]},"page":"2994-2997","title":"Does urban life change blood oxidative status in birds?","type":"article-journal","volume":"217"},"uris":["http://www.mendeley.com/documents/?uuid=baa4046f-fe2e-44c5-883c-07c5afc9d8c3"]}],"mendeley":{"formattedCitation":"&lt;sup&gt;6&lt;/sup&gt;","plainTextFormattedCitation":"6","previouslyFormattedCitation":"[6]"},"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6</w:t>
      </w:r>
      <w:r w:rsidRPr="00D23BF1">
        <w:rPr>
          <w:rFonts w:ascii="Times" w:hAnsi="Times"/>
        </w:rPr>
        <w:fldChar w:fldCharType="end"/>
      </w:r>
      <w:r w:rsidRPr="00D23BF1">
        <w:rPr>
          <w:rFonts w:ascii="Times" w:hAnsi="Times"/>
        </w:rPr>
        <w:t xml:space="preserve">, which can lead to divergence in phenotypic traits, including behavioral, physiological and morphological features </w:t>
      </w:r>
      <w:r w:rsidRPr="00D23BF1">
        <w:rPr>
          <w:rFonts w:ascii="Times" w:hAnsi="Times"/>
        </w:rPr>
        <w:fldChar w:fldCharType="begin" w:fldLock="1"/>
      </w:r>
      <w:r w:rsidRPr="00D23BF1">
        <w:rPr>
          <w:rFonts w:ascii="Times" w:hAnsi="Times"/>
        </w:rPr>
        <w:instrText>ADDIN CSL_CITATION {"citationItems":[{"id":"ITEM-1","itemData":{"DOI":"10.1007/s11252-019-00889-z","ISSN":"15731642","abstract":"Urbanization-induced habitat loss and alteration causes significant challenges for the survival of many species. Identifying how species respond to urbanization can yield insights for the conservation of wildlife, but research on reptiles has been narrowly-focused. We compared morphology among four populations of western fence lizards (Sceloporus occidentalis) to determine whether a common native species affected by urbanization exhibits morphological differences consistent with habitat use. We quantified habitat differences across four sites in Los Angeles County, California, USA that varied in level of urbanization, measured how lizards used microhabitats, and assessed variation in body size, limb length, toe length, and scalation of lizards collected from each site. Urban and suburban populations of fence lizards mostly used human-made substrates while lizards from more natural areas mostly used natural woody substrates. Lizards from the most urban site also exhibited the widest breadth of substrates used, indicating that urban sites might offer more variable microhabitats. Urban lizards had reduced limb lengths and toe lengths consistent with how they used microhabitats and other habitat characteristics (e.g., percent impervious surface cover). Urban lizards also had fewer dorsal scales, which might be associated with changes in ambient temperature (e.g., urban heat island effect), given that lizards with fewer and larger scales typically have reduced evaporative water loss. Our results uniquely differ from past studies on lizard responses to urbanization, indicating that work on diverse taxa is necessary to assess the potential varied pathways of morphological adaptations to urban environments.","author":[{"dropping-particle":"","family":"Putman","given":"Breanna J.","non-dropping-particle":"","parse-names":false,"suffix":""},{"dropping-particle":"","family":"Gasca","given":"Maria","non-dropping-particle":"","parse-names":false,"suffix":""},{"dropping-particle":"","family":"Blumstein","given":"Daniel T.","non-dropping-particle":"","parse-names":false,"suffix":""},{"dropping-particle":"","family":"Pauly","given":"Gregory B.","non-dropping-particle":"","parse-names":false,"suffix":""}],"container-title":"Urban Ecosystems","id":"ITEM-1","issue":"6","issued":{"date-parts":[["2019"]]},"page":"1071-1081","publisher":"Urban Ecosystems","title":"Downsizing for downtown: limb lengths, toe lengths, and scale counts decrease with urbanization in western fence lizards (Sceloporus occidentalis)","type":"article-journal","volume":"22"},"uris":["http://www.mendeley.com/documents/?uuid=b29345be-68f9-4f89-888b-4546137f856d"]}],"mendeley":{"formattedCitation":"&lt;sup&gt;7&lt;/sup&gt;","plainTextFormattedCitation":"7","previouslyFormattedCitation":"[7]"},"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7</w:t>
      </w:r>
      <w:r w:rsidRPr="00D23BF1">
        <w:rPr>
          <w:rFonts w:ascii="Times" w:hAnsi="Times"/>
        </w:rPr>
        <w:fldChar w:fldCharType="end"/>
      </w:r>
      <w:r w:rsidRPr="00D23BF1">
        <w:rPr>
          <w:rFonts w:ascii="Times" w:hAnsi="Times"/>
        </w:rPr>
        <w:t xml:space="preserve">. </w:t>
      </w:r>
    </w:p>
    <w:p w14:paraId="33518E43" w14:textId="77777777" w:rsidR="00041ADB" w:rsidRPr="00D23BF1" w:rsidRDefault="00041ADB" w:rsidP="00F20BE1">
      <w:pPr>
        <w:rPr>
          <w:rFonts w:ascii="Times" w:hAnsi="Times"/>
        </w:rPr>
      </w:pPr>
      <w:r w:rsidRPr="00D23BF1">
        <w:rPr>
          <w:rFonts w:ascii="Times" w:hAnsi="Times"/>
        </w:rPr>
        <w:t xml:space="preserve">Recent research highlights that urbanization is also changing the gut microbial communities found in a diverse group of hosts, including birds </w:t>
      </w:r>
      <w:r w:rsidRPr="00D23BF1">
        <w:rPr>
          <w:rFonts w:ascii="Times" w:hAnsi="Times"/>
        </w:rPr>
        <w:fldChar w:fldCharType="begin" w:fldLock="1"/>
      </w:r>
      <w:r w:rsidRPr="00D23BF1">
        <w:rPr>
          <w:rFonts w:ascii="Times" w:hAnsi="Times"/>
        </w:rPr>
        <w:instrText>ADDIN CSL_CITATION {"citationItems":[{"id":"ITEM-1","itemData":{"DOI":"10.1016/j.cbpb.2019.110332","ISSN":"18791107","abstract":"Urbanization influences food quality and availability for many wild species, but our knowledge of the consequences urbanization has on the nutritional physiology of these animals is currently limited. To fill this gap, we captured House Sparrows (Passer domesticus) from rural and urban environments and hypothesized that increased access to human refuse in urban areas may significantly alter the gut microbiome and nutritional physiology of Sparrows. While there were no significant differences in circulating triglycerides or free glycerol concentrations between populations, urban birds had significantly greater blood glucose concentrations, which suggests greater circulating glucagon concentrations, accessibility to carbohydrates, and/or higher rates of gluconeogenesis in an urban setting. Rural birds had significantly more plasma uric acid, suggesting that they may metabolize more proteins or experience lower inflammation than urban birds. Rural birds also had significantly higher liver free glycerol concentrations, indicating that they metabolize more fat than urban birds. There were no significant differences in the relative abundance of gut microbial taxa at the phyla level between the two populations, but linear discriminant analysis effect size (LEfSe) showed that urban House Sparrows were more enriched with class- and order-level microbes from the phylum Proteobacteria, which are implicated in several mammalian intestinal and extra-intestinal diseases. These findings demonstrate that urbanization significantly alters the nutritional physiology and the composition of the gut microbiome of House Sparrows.","author":[{"dropping-particle":"","family":"Gadau","given":"Alice","non-dropping-particle":"","parse-names":false,"suffix":""},{"dropping-particle":"","family":"Crawford","given":"Meli'sa S.","non-dropping-particle":"","parse-names":false,"suffix":""},{"dropping-particle":"","family":"Mayek","given":"Roman","non-dropping-particle":"","parse-names":false,"suffix":""},{"dropping-particle":"","family":"Giraudeau","given":"Mathieu","non-dropping-particle":"","parse-names":false,"suffix":""},{"dropping-particle":"","family":"McGraw","given":"Kevin J.","non-dropping-particle":"","parse-names":false,"suffix":""},{"dropping-particle":"","family":"Whisner","given":"Corrie M.","non-dropping-particle":"","parse-names":false,"suffix":""},{"dropping-particle":"","family":"Kondrat-Smith","given":"Christina","non-dropping-particle":"","parse-names":false,"suffix":""},{"dropping-particle":"","family":"Sweazea","given":"Karen L.","non-dropping-particle":"","parse-names":false,"suffix":""}],"container-title":"Comparative Biochemistry and Physiology Part - B: Biochemistry and Molecular Biology","id":"ITEM-1","issue":"May","issued":{"date-parts":[["2019"]]},"page":"110332","publisher":"Elsevier","title":"A comparison of the nutritional physiology and gut microbiome of urban and rural house sparrows (Passer domesticus)","type":"article-journal","volume":"237"},"uris":["http://www.mendeley.com/documents/?uuid=6e257b03-eeb3-45b4-94c0-15beda2e7e1f"]}],"mendeley":{"formattedCitation":"&lt;sup&gt;8&lt;/sup&gt;","plainTextFormattedCitation":"8","previouslyFormattedCitation":"[8]"},"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8</w:t>
      </w:r>
      <w:r w:rsidRPr="00D23BF1">
        <w:rPr>
          <w:rFonts w:ascii="Times" w:hAnsi="Times"/>
        </w:rPr>
        <w:fldChar w:fldCharType="end"/>
      </w:r>
      <w:r w:rsidRPr="00D23BF1">
        <w:rPr>
          <w:rFonts w:ascii="Times" w:hAnsi="Times"/>
        </w:rPr>
        <w:t xml:space="preserve">, mammals </w:t>
      </w:r>
      <w:r w:rsidRPr="00D23BF1">
        <w:rPr>
          <w:rFonts w:ascii="Times" w:hAnsi="Times"/>
        </w:rPr>
        <w:fldChar w:fldCharType="begin" w:fldLock="1"/>
      </w:r>
      <w:r w:rsidRPr="00D23BF1">
        <w:rPr>
          <w:rFonts w:ascii="Times" w:hAnsi="Times"/>
        </w:rPr>
        <w:instrText>ADDIN CSL_CITATION {"citationItems":[{"id":"ITEM-1","itemData":{"DOI":"10.1016/j.celrep.2018.05.018","ISSN":"22111247","PMID":"29874590","abstract":"We assessed the subsistence-related variation of the human gut microbiome at a fine resolution for two of the main dimensions of microbiome variation, age and geography. For this, we investigated the fecal microbiome and metabolome in rural Bassa and urbanized individuals from Nigeria, including infants, and compared data with worldwide populations practicing varying subsistence. Our data highlight specific microbiome traits that are progressively lost with urbanization, such as the dominance of pristine fiber degraders and the low inter-individual variation. For the Bassa, this last feature is the result of their subsistence-related practices favoring microbial dispersal, such as their extensive environmental contact and the usage of untreated waters from the Usuma River. The high degree of microbial dispersal observed in the Bassa meta-community nullifies the differences between infant and adult intestinal ecosystems, suggesting that the infant-type microbiome in Western populations could be the result of microbiome-associated neotenic traits favored by urbanization. Ayeni et al. characterize the fecal microbiome and metabolome of rural Bassa and urban individuals from Nigeria, including infants. Their findings stress the loss of ancient signatures along with urbanization and support distinct trajectories of development of the intestinal ecosystem in early life, depending on human subsistence.","author":[{"dropping-particle":"","family":"Ayeni","given":"Funmilola A.","non-dropping-particle":"","parse-names":false,"suffix":""},{"dropping-particle":"","family":"Biagi","given":"Elena","non-dropping-particle":"","parse-names":false,"suffix":""},{"dropping-particle":"","family":"Rampelli","given":"Simone","non-dropping-particle":"","parse-names":false,"suffix":""},{"dropping-particle":"","family":"Fiori","given":"Jessica","non-dropping-particle":"","parse-names":false,"suffix":""},{"dropping-particle":"","family":"Soverini","given":"Matteo","non-dropping-particle":"","parse-names":false,"suffix":""},{"dropping-particle":"","family":"Audu","given":"Haruna J.","non-dropping-particle":"","parse-names":false,"suffix":""},{"dropping-particle":"","family":"Cristino","given":"Sandra","non-dropping-particle":"","parse-names":false,"suffix":""},{"dropping-particle":"","family":"Caporali","given":"Leonardo","non-dropping-particle":"","parse-names":false,"suffix":""},{"dropping-particle":"","family":"Schnorr","given":"Stephanie L.","non-dropping-particle":"","parse-names":false,"suffix":""},{"dropping-particle":"","family":"Carelli","given":"Valerio","non-dropping-particle":"","parse-names":false,"suffix":""},{"dropping-particle":"","family":"Brigidi","given":"Patrizia","non-dropping-particle":"","parse-names":false,"suffix":""},{"dropping-particle":"","family":"Candela","given":"Marco","non-dropping-particle":"","parse-names":false,"suffix":""},{"dropping-particle":"","family":"Turroni","given":"Silvia","non-dropping-particle":"","parse-names":false,"suffix":""}],"container-title":"Cell Reports","id":"ITEM-1","issue":"10","issued":{"date-parts":[["2018"]]},"page":"3056-3067","publisher":"ElsevierCompany.","title":"Infant and Adult Gut Microbiome and Metabolome in Rural Bassa and Urban Settlers from Nigeria","type":"article-journal","volume":"23"},"uris":["http://www.mendeley.com/documents/?uuid=e4a668ad-2768-46e1-ab78-d21e4b40f19c"]}],"mendeley":{"formattedCitation":"&lt;sup&gt;9&lt;/sup&gt;","plainTextFormattedCitation":"9","previouslyFormattedCitation":"[9]"},"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9</w:t>
      </w:r>
      <w:r w:rsidRPr="00D23BF1">
        <w:rPr>
          <w:rFonts w:ascii="Times" w:hAnsi="Times"/>
        </w:rPr>
        <w:fldChar w:fldCharType="end"/>
      </w:r>
      <w:r w:rsidRPr="00D23BF1">
        <w:rPr>
          <w:rFonts w:ascii="Times" w:hAnsi="Times"/>
        </w:rPr>
        <w:t xml:space="preserve">, and reptiles </w:t>
      </w:r>
      <w:r w:rsidRPr="00D23BF1">
        <w:rPr>
          <w:rFonts w:ascii="Times" w:hAnsi="Times"/>
        </w:rPr>
        <w:fldChar w:fldCharType="begin" w:fldLock="1"/>
      </w:r>
      <w:r w:rsidRPr="00D23BF1">
        <w:rPr>
          <w:rFonts w:ascii="Times" w:hAnsi="Times"/>
        </w:rPr>
        <w:instrText>ADDIN CSL_CITATION {"citationItems":[{"id":"ITEM-1","itemData":{"DOI":"10.1111/mec.15240","ISSN":"1365294X","abstract":"Urbanisation is one of the most significant threats to biodiversity, due to the rapid and large-scale environmental alterations it imposes on the natural landscape. It is, therefore, imperative that we understand the consequences of and mechanisms by which, species can respond to it. In recent years, research has shown that plasticity of the gut microbiome may be an important mechanism by which animals can adapt to environmental change, yet empirical evidence of this in wild non-model species remains sparse. Using an empirical replicated study system, we show that city life alters the gut microbiome and stable isotope profiling of a wild native non-model species – the eastern water dragon (Intellagama lesueurii) in Queensland, Australia. City dragons exhibit a more diverse gut microbiome than their native habitat counterparts and show gut microbial signatures of a high fat and plant rich diet. Additionally, we also show that city dragons have elevated levels of the Nitrogen-15 isotope in their blood suggesting that a city diet, which incorporates novel anthropogenic food sources, may also be richer in protein. These results highlight the role that gut microbial plasticity plays in an animals' response to human-altered landscapes.","author":[{"dropping-particle":"","family":"Littleford-Colquhoun","given":"Bethan L.","non-dropping-particle":"","parse-names":false,"suffix":""},{"dropping-particle":"","family":"Weyrich","given":"Laura S.","non-dropping-particle":"","parse-names":false,"suffix":""},{"dropping-particle":"","family":"Kent","given":"Nicola","non-dropping-particle":"","parse-names":false,"suffix":""},{"dropping-particle":"","family":"Frere","given":"Celine H.","non-dropping-particle":"","parse-names":false,"suffix":""}],"container-title":"Molecular Ecology","id":"ITEM-1","issue":"20","issued":{"date-parts":[["2019"]]},"page":"4592-4607","title":"City life alters the gut microbiome and stable isotope profiling of the eastern water dragon (Intellagama lesueurii)","type":"article-journal","volume":"28"},"uris":["http://www.mendeley.com/documents/?uuid=a3f34b8b-b9b9-3c82-a021-64c6a6b70fa4"]}],"mendeley":{"formattedCitation":"&lt;sup&gt;10&lt;/sup&gt;","plainTextFormattedCitation":"10","previouslyFormattedCitation":"[10]"},"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10</w:t>
      </w:r>
      <w:r w:rsidRPr="00D23BF1">
        <w:rPr>
          <w:rFonts w:ascii="Times" w:hAnsi="Times"/>
        </w:rPr>
        <w:fldChar w:fldCharType="end"/>
      </w:r>
      <w:r w:rsidRPr="00D23BF1">
        <w:rPr>
          <w:rFonts w:ascii="Times" w:hAnsi="Times"/>
        </w:rPr>
        <w:t xml:space="preserve">. Notably, the effects of urbanization on gut microbiomes have not been uniform – with some studies finding higher microbial diversity and others lower diversity in urban hosts </w:t>
      </w:r>
      <w:r w:rsidRPr="00D23BF1">
        <w:rPr>
          <w:rFonts w:ascii="Times" w:hAnsi="Times"/>
        </w:rPr>
        <w:fldChar w:fldCharType="begin" w:fldLock="1"/>
      </w:r>
      <w:r w:rsidRPr="00D23BF1">
        <w:rPr>
          <w:rFonts w:ascii="Times" w:hAnsi="Times"/>
        </w:rPr>
        <w:instrText>ADDIN CSL_CITATION {"citationItems":[{"id":"ITEM-1","itemData":{"DOI":"10.1016/j.scitotenv.2017.09.035","ISSN":"00489697","abstract":"Urbanisation represents one of the most radical forms of terrestrial land use change and has been shown to lead to alterations in ecosystem functioning and community dynamics and changes in individual phenotypic traits. While the recent surge in microbiome studies has brought about a paradigm shift by which individuals cannot truly be considered independently of the bacterial communities they host, the role of gut microbiota in organismal response to human-induced environmental change is still scarcely studied. Here, we applied a metabarcoding approach to examine the impact of urbanisation on the gut microbiota of Passer domesticus. We found urbanisation to be associated to lower microbiota species diversity, modifications in taxonomic composition and community structure, and changes in functional composition. The strength of these relationships, however, depended on the spatial scale and season at which they were considered. Such spatio-temporal effect suggests that urbanisation may dampen the natural seasonal variation of the gut microbiota observed in more pristine habitats, potentially influencing the fitness of urban organisms. Our results hence shed light on a hitherto little considered perspective, i.e. that the negative effects of urbanisation on city-dwelling organisms may extend to their microbiomes, causing potential dysbioses.","author":[{"dropping-particle":"","family":"Teyssier","given":"Aimeric","non-dropping-particle":"","parse-names":false,"suffix":""},{"dropping-particle":"","family":"Rouffaer","given":"Lieze Oscar","non-dropping-particle":"","parse-names":false,"suffix":""},{"dropping-particle":"","family":"Saleh Hudin","given":"Noraine","non-dropping-particle":"","parse-names":false,"suffix":""},{"dropping-particle":"","family":"Strubbe","given":"Diederik","non-dropping-particle":"","parse-names":false,"suffix":""},{"dropping-particle":"","family":"Matthysen","given":"Erik","non-dropping-particle":"","parse-names":false,"suffix":""},{"dropping-particle":"","family":"Lens","given":"Luc","non-dropping-particle":"","parse-names":false,"suffix":""},{"dropping-particle":"","family":"White","given":"Joël","non-dropping-particle":"","parse-names":false,"suffix":""}],"container-title":"Science of The Total Environment","id":"ITEM-1","issued":{"date-parts":[["2018"]]},"page":"1276-1286","publisher":"Elsevier B.V.","title":"Inside the guts of the city: Urban-induced alterations of the gut microbiota in a wild passerine","type":"article-journal","volume":"612"},"uris":["http://www.mendeley.com/documents/?uuid=0a16ed80-e088-46cb-8182-f6ebba9f38d7"]},{"id":"ITEM-2","itemData":{"DOI":"10.3389/fevo.2018.00148","ISSN":"2296-701X","abstract":"Urban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using spatial analyses of land cover (impervious, scrub, grass, and trees) at the regional level and territory level in urban San Francisco, CA and nearby rural Point Reyes, CA. We hypothesized that urbanization of habitats affects gut microbial composition and diversity through direct effects on diet and/or indirect environmental effects. We measured gut microbial community diversity from 16s rRNA sequences amplified from cloacal swabs. We find that the urban and rural microbiomes are significantly different, such that the urban microbiome is more diverse than the rural microbiome. This relationship may be due to a more variable landscape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provides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Evolution","id":"ITEM-2","issue":"September","issued":{"date-parts":[["2018"]]},"page":"1-10","title":"The Effects of Landscape Urbanization on the Gut Microbiome: An Exploration Into the Gut of Urban and Rural White-Crowned Sparrows","type":"article-journal","volume":"6"},"uris":["http://www.mendeley.com/documents/?uuid=57a5183b-159d-4236-8f35-16ec70fd1a5b"]}],"mendeley":{"formattedCitation":"&lt;sup&gt;11,12&lt;/sup&gt;","plainTextFormattedCitation":"11,12","previouslyFormattedCitation":"[11, 12]"},"properties":{"noteIndex":0},"schema":"https://github.com/citation-style-language/schema/raw/master/csl-citation.json"}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11,12</w:t>
      </w:r>
      <w:r w:rsidRPr="00D23BF1">
        <w:rPr>
          <w:rFonts w:ascii="Times" w:hAnsi="Times"/>
        </w:rPr>
        <w:fldChar w:fldCharType="end"/>
      </w:r>
      <w:r w:rsidRPr="00D23BF1">
        <w:rPr>
          <w:rFonts w:ascii="Times" w:hAnsi="Times"/>
        </w:rPr>
        <w:t xml:space="preserve"> – leaving uncertainty as to how urban habitats are shaping gut microbial communities. There is a clear need to understand these effects, because changes in the gut microbial community can affect an animal’s development </w:t>
      </w:r>
      <w:r w:rsidRPr="00D23BF1">
        <w:rPr>
          <w:rFonts w:ascii="Times" w:hAnsi="Times"/>
        </w:rPr>
        <w:fldChar w:fldCharType="begin" w:fldLock="1"/>
      </w:r>
      <w:r w:rsidRPr="00D23BF1">
        <w:rPr>
          <w:rFonts w:ascii="Times" w:hAnsi="Times"/>
        </w:rPr>
        <w:instrText>ADDIN CSL_CITATION {"citationItems":[{"id":"ITEM-1","itemData":{"DOI":"10.1073/pnas.1010529108","ISSN":"0027-8424","author":[{"dropping-particle":"","family":"Heijtz","given":"R. D.","non-dropping-particle":"","parse-names":false,"suffix":""},{"dropping-particle":"","family":"Wang","given":"S.","non-dropping-particle":"","parse-names":false,"suffix":""},{"dropping-particle":"","family":"Anuar","given":"F.","non-dropping-particle":"","parse-names":false,"suffix":""},{"dropping-particle":"","family":"Qian","given":"Y.","non-dropping-particle":"","parse-names":false,"suffix":""},{"dropping-particle":"","family":"Bjorkholm","given":"B.","non-dropping-particle":"","parse-names":false,"suffix":""},{"dropping-particle":"","family":"Samuelsson","given":"a.","non-dropping-particle":"","parse-names":false,"suffix":""},{"dropping-particle":"","family":"Hibberd","given":"M. L.","non-dropping-particle":"","parse-names":false,"suffix":""},{"dropping-particle":"","family":"Forssberg","given":"H.","non-dropping-particle":"","parse-names":false,"suffix":""},{"dropping-particle":"","family":"Pettersson","given":"S.","non-dropping-particle":"","parse-names":false,"suffix":""}],"container-title":"Proceedings of the National Academy of Sciences","id":"ITEM-1","issue":"7","issued":{"date-parts":[["2011"]]},"page":"3047-3052","title":"Normal gut microbiota modulates brain development and behavior","type":"article-journal","volume":"108"},"uris":["http://www.mendeley.com/documents/?uuid=6db9075a-5e98-43a2-8420-5723417c634e"]}],"mendeley":{"formattedCitation":"&lt;sup&gt;13&lt;/sup&gt;","plainTextFormattedCitation":"13","previouslyFormattedCitation":"[13]"},"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13</w:t>
      </w:r>
      <w:r w:rsidRPr="00D23BF1">
        <w:rPr>
          <w:rFonts w:ascii="Times" w:hAnsi="Times"/>
        </w:rPr>
        <w:fldChar w:fldCharType="end"/>
      </w:r>
      <w:r w:rsidRPr="00D23BF1">
        <w:rPr>
          <w:rFonts w:ascii="Times" w:hAnsi="Times"/>
        </w:rPr>
        <w:t xml:space="preserve">, nutrient absorption </w:t>
      </w:r>
      <w:r w:rsidRPr="00D23BF1">
        <w:rPr>
          <w:rFonts w:ascii="Times" w:hAnsi="Times"/>
        </w:rPr>
        <w:fldChar w:fldCharType="begin" w:fldLock="1"/>
      </w:r>
      <w:r w:rsidRPr="00D23BF1">
        <w:rPr>
          <w:rFonts w:ascii="Times" w:hAnsi="Times"/>
        </w:rPr>
        <w:instrText>ADDIN CSL_CITATION {"citationItems":[{"id":"ITEM-1","itemData":{"DOI":"10.1126/science.1104816","ISBN":"1095-9203 (Electronic) 0036-8075 (Linking)","ISSN":"0036-8075","PMID":"15790844","abstract":"The distal human intestine represents an anaerobic bioreactor programmed with an enormous population of bacteria, dominated by relatively few divisions that are highly diverse at the strain/subspecies level. This microbiota and its collective genomes (microbiome) provide us with genetic and metabolic attributes we have not been required to evolve on our own, including the ability to harvest otherwise inaccessible nutrients. New studies are revealing how the gut microbiota has coevolved with us and how it manipulates and complements our biology in ways that are mutually beneficial. We are also starting to understand how certain keystone members of the microbiota operate to maintain the stability and functional adaptability of this microbial organ.","author":[{"dropping-particle":"","family":"Bäckhed","given":"Fredrik","non-dropping-particle":"","parse-names":false,"suffix":""},{"dropping-particle":"","family":"Ley","given":"Ruth E","non-dropping-particle":"","parse-names":false,"suffix":""},{"dropping-particle":"","family":"Sonnenburg","given":"Justin L","non-dropping-particle":"","parse-names":false,"suffix":""},{"dropping-particle":"","family":"Peterson","given":"Daniel A","non-dropping-particle":"","parse-names":false,"suffix":""},{"dropping-particle":"","family":"Gordon","given":"Jeffrey I","non-dropping-particle":"","parse-names":false,"suffix":""}],"container-title":"Science (New York, N.Y.)","id":"ITEM-1","issue":"5717","issued":{"date-parts":[["2005"]]},"page":"1915-1920","title":"Host-bacterial mutualism in the human intestine.","type":"article-journal","volume":"307"},"uris":["http://www.mendeley.com/documents/?uuid=7e9c7a91-805c-4bf6-b137-23fc60a238ae"]}],"mendeley":{"formattedCitation":"&lt;sup&gt;14&lt;/sup&gt;","plainTextFormattedCitation":"14","previouslyFormattedCitation":"[14]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14</w:t>
      </w:r>
      <w:r w:rsidRPr="00D23BF1">
        <w:rPr>
          <w:rFonts w:ascii="Times" w:hAnsi="Times"/>
        </w:rPr>
        <w:fldChar w:fldCharType="end"/>
      </w:r>
      <w:r w:rsidRPr="00D23BF1">
        <w:rPr>
          <w:rFonts w:ascii="Times" w:hAnsi="Times"/>
        </w:rPr>
        <w:t xml:space="preserve">, and pathogen defense </w:t>
      </w:r>
      <w:r w:rsidRPr="00D23BF1">
        <w:rPr>
          <w:rFonts w:ascii="Times" w:hAnsi="Times"/>
        </w:rPr>
        <w:fldChar w:fldCharType="begin" w:fldLock="1"/>
      </w:r>
      <w:r w:rsidRPr="00D23BF1">
        <w:rPr>
          <w:rFonts w:ascii="Times" w:hAnsi="Times"/>
        </w:rPr>
        <w:instrText>ADDIN CSL_CITATION {"citationItems":[{"id":"ITEM-1","itemData":{"DOI":"10.1016/j.mehy.2009.10.025","ISSN":"03069877","author":[{"dropping-particle":"","family":"Lyte","given":"Mark","non-dropping-particle":"","parse-names":false,"suffix":""}],"container-title":"Medical Hypotheses","id":"ITEM-1","issue":"4","issued":{"date-parts":[["2010"]]},"page":"634-638","publisher":"Elsevier Ltd","title":"The microbial organ in the gut as a driver of homeostasis and disease","type":"article-journal","volume":"74"},"uris":["http://www.mendeley.com/documents/?uuid=37e91211-531e-436c-8a4b-2f7abbfae317"]}],"mendeley":{"formattedCitation":"&lt;sup&gt;15&lt;/sup&gt;","plainTextFormattedCitation":"15","previouslyFormattedCitation":"[15]"},"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15</w:t>
      </w:r>
      <w:r w:rsidRPr="00D23BF1">
        <w:rPr>
          <w:rFonts w:ascii="Times" w:hAnsi="Times"/>
        </w:rPr>
        <w:fldChar w:fldCharType="end"/>
      </w:r>
      <w:r w:rsidRPr="00D23BF1">
        <w:rPr>
          <w:rFonts w:ascii="Times" w:hAnsi="Times"/>
        </w:rPr>
        <w:t xml:space="preserve">, among many other traits likely important to the host persisting in urban environments </w:t>
      </w:r>
      <w:r w:rsidRPr="00D23BF1">
        <w:rPr>
          <w:rFonts w:ascii="Times" w:hAnsi="Times"/>
        </w:rPr>
        <w:fldChar w:fldCharType="begin" w:fldLock="1"/>
      </w:r>
      <w:r w:rsidRPr="00D23BF1">
        <w:rPr>
          <w:rFonts w:ascii="Times" w:hAnsi="Times"/>
        </w:rPr>
        <w:instrText>ADDIN CSL_CITATION {"citationItems":[{"id":"ITEM-1","itemData":{"DOI":"10.1016/j.biocon.2018.11.016","ISSN":"00063207","abstract":"As global biodiversity continues to reduce at an alarming rate, threatened species are increasingly being brought under intensive management or into captivity. However, current conservation management programmes are often impeded by poor animal health and low reproductive success. Microorganisms play vital roles in the growth and maintenance of healthy multicellular organisms, including neurological and immune system development, gut nutrition, and pathogen defence. The microbiome refers to the vast community of microorganisms, and their collective genes, that live on and within a host organism. An imbalance or breakdown of the microbiome may in some cases be associated with severe negative health consequences for the host. Factors such as habitat degradation and transition into captive breeding programmes can significantly alter the microbiome of threatened species, though the effects of such microbial community changes on health, fitness and ultimately survival of the animals remain poorly understood. This perspective article collates important microbiome research in threatened animals from around the world to make a case for the inclusion of microbial research in modern conservation practice.","author":[{"dropping-particle":"","family":"West","given":"Annie G.","non-dropping-particle":"","parse-names":false,"suffix":""},{"dropping-particle":"","family":"Waite","given":"David W.","non-dropping-particle":"","parse-names":false,"suffix":""},{"dropping-particle":"","family":"Deines","given":"Peter","non-dropping-particle":"","parse-names":false,"suffix":""},{"dropping-particle":"","family":"Bourne","given":"David G.","non-dropping-particle":"","parse-names":false,"suffix":""},{"dropping-particle":"","family":"Digby","given":"Andrew","non-dropping-particle":"","parse-names":false,"suffix":""},{"dropping-particle":"","family":"McKenzie","given":"Valerie J.","non-dropping-particle":"","parse-names":false,"suffix":""},{"dropping-particle":"","family":"Taylor","given":"Michael W.","non-dropping-particle":"","parse-names":false,"suffix":""}],"container-title":"Biological Conservation","id":"ITEM-1","issue":"July 2018","issued":{"date-parts":[["2019"]]},"page":"85-98","publisher":"Elsevier","title":"The microbiome in threatened species conservation","type":"article-journal","volume":"229"},"uris":["http://www.mendeley.com/documents/?uuid=25274967-24df-4e54-b4c5-16e8266bfa4a"]},{"id":"ITEM-2","itemData":{"DOI":"10.1098/rspb.2018.2448","ISSN":"14712954","abstract":"The central aim of conservation biology is to understand and mitigate the effects of human activities on biodiversity. To successfully achieve this objective, researchers must take an interdisciplinary approach that fully considers the effects, both direct and indirect, of anthropogenic disturbances on wildlife physiology and health. A recent surge in research has revealed that host-associated microbiota—the archaeal, bacterial, fungal and viral communities residing on and inside organisms—profoundly influence animal health, and that these microbial communities can be drastically altered by anthropogenic activities. Therefore, conservation practitioners should consider the disruption of host-associated microbial diversity as a serious threat to wildlife populations. Despite the tremendous potential for microbiome research to improve conservation outcomes, few efforts have been made to truly integrate these fields. In this review, we call for the microbial renaissance of conservation biology, where biodive...","author":[{"dropping-particle":"","family":"Trevelline","given":"Brian K.","non-dropping-particle":"","parse-names":false,"suffix":""},{"dropping-particle":"","family":"Fontaine","given":"Samantha S.","non-dropping-particle":"","parse-names":false,"suffix":""},{"dropping-particle":"","family":"Hartup","given":"Barry K.","non-dropping-particle":"","parse-names":false,"suffix":""},{"dropping-particle":"","family":"Kohl","given":"Kevin D.","non-dropping-particle":"","parse-names":false,"suffix":""}],"container-title":"Proceedings of the Royal Society B: Biological Sciences","id":"ITEM-2","issue":"1895","issued":{"date-parts":[["2019"]]},"title":"Conservation biology needs a microbial renaissance: A call for the consideration of host-associated microbiota in wildlife management practices","type":"article-journal","volume":"286"},"uris":["http://www.mendeley.com/documents/?uuid=ae23b33e-a3cb-4d70-baa3-6df573c517cd"]}],"mendeley":{"formattedCitation":"&lt;sup&gt;16,17&lt;/sup&gt;","plainTextFormattedCitation":"16,17","previouslyFormattedCitation":"[16, 17]"},"properties":{"noteIndex":0},"schema":"https://github.com/citation-style-language/schema/raw/master/csl-citation.json"}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16,17</w:t>
      </w:r>
      <w:r w:rsidRPr="00D23BF1">
        <w:rPr>
          <w:rFonts w:ascii="Times" w:hAnsi="Times"/>
        </w:rPr>
        <w:fldChar w:fldCharType="end"/>
      </w:r>
      <w:r w:rsidRPr="00D23BF1">
        <w:rPr>
          <w:rFonts w:ascii="Times" w:hAnsi="Times"/>
        </w:rPr>
        <w:t>. A first step is to ask whether certain features of the urban environment, or of host morphology as it varies with the urban environment, can explain differences in the gut microbiome among urban and rural host populations.</w:t>
      </w:r>
    </w:p>
    <w:p w14:paraId="5ACB826B" w14:textId="77777777" w:rsidR="00041ADB" w:rsidRPr="00D23BF1" w:rsidRDefault="00041ADB" w:rsidP="00F20BE1">
      <w:pPr>
        <w:rPr>
          <w:rFonts w:ascii="Times" w:hAnsi="Times"/>
        </w:rPr>
      </w:pPr>
      <w:r w:rsidRPr="00D23BF1">
        <w:rPr>
          <w:rFonts w:ascii="Times" w:hAnsi="Times"/>
        </w:rPr>
        <w:t xml:space="preserve">Environmental factors associated with urbanization—such as landscape cover—can have both direct and indirect effects on the gut microbiome. The type of  landscape cover present can filter which bacteria are present in the environment and thus available to colonize animal’s intestinal tract </w:t>
      </w:r>
      <w:r w:rsidRPr="00D23BF1">
        <w:rPr>
          <w:rFonts w:ascii="Times" w:hAnsi="Times"/>
        </w:rPr>
        <w:fldChar w:fldCharType="begin" w:fldLock="1"/>
      </w:r>
      <w:r w:rsidRPr="00D23BF1">
        <w:rPr>
          <w:rFonts w:ascii="Times" w:hAnsi="Times"/>
        </w:rPr>
        <w:instrText>ADDIN CSL_CITATION {"citationItems":[{"id":"ITEM-1","itemData":{"DOI":"10.1128/AEM.02244-14","ISBN":"0099-2240","ISSN":"10985336","PMID":"25172855","abstract":"Subway systems are indispensable for urban societies, but microbiological characteristics of subway aerosols are relatively unknown. Previous studies investigating microbial compositions in subways employed methodologies that underestimated the diversity of microbial exposure for commuters, with little focus on factors governing subway air microbiology, which may have public health implications. Here, a culture-independent approach unraveling the bacterial diversity within the urban subway network in Hong Kong is presented. Aerosol samples from multiple subway lines and outdoor locations were collected. Targeting the 16S rRNA gene V4 region, extensive taxonomic diversity was found, with the most common bacterial genera in the subway environment among those associated with skin. Overall, subway lines harbored different phylogenetic communities based on α- and β-diversity comparisons, and closer inspection suggests that each community within a line is dependent on architectural characteristics, nearby outdoor microbiomes, and connectedness with other lines. Microbial diversities and assemblages also varied depending on the day sampled, as well as the time of day, and changes in microbial communities between peak and nonpeak commuting hours were attributed largely to increases in skin-associated genera in peak samples. Microbial diversities within the subway were influenced by temperature and relative humidity, while carbon dioxide levels showed a positive correlation with abundances of commuter-associated genera. This Hong Kong data set and communities from previous studies conducted in the United States formed distinct community clusters, indicating that additional work is required to unravel the mechanisms that shape subway microbiomes around the globe.","author":[{"dropping-particle":"","family":"Leung","given":"Marcus H.Y.","non-dropping-particle":"","parse-names":false,"suffix":""},{"dropping-particle":"","family":"Wilkins","given":"David","non-dropping-particle":"","parse-names":false,"suffix":""},{"dropping-particle":"","family":"Li","given":"Ellen K.T.","non-dropping-particle":"","parse-names":false,"suffix":""},{"dropping-particle":"","family":"Kong","given":"Fred K.F.","non-dropping-particle":"","parse-names":false,"suffix":""},{"dropping-particle":"","family":"Lee","given":"Patrick K.H.","non-dropping-particle":"","parse-names":false,"suffix":""}],"container-title":"Applied and Environmental Microbiology","id":"ITEM-1","issue":"21","issued":{"date-parts":[["2014"]]},"page":"6760-6770","title":"Indoor-air microbiome in an urban subway network: Diversity and dynamics","type":"article-journal","volume":"80"},"uris":["http://www.mendeley.com/documents/?uuid=d13dc3c3-5fe1-473c-8884-d1f9f378dba7"]}],"mendeley":{"formattedCitation":"&lt;sup&gt;18&lt;/sup&gt;","plainTextFormattedCitation":"18","previouslyFormattedCitation":"[18]"},"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18</w:t>
      </w:r>
      <w:r w:rsidRPr="00D23BF1">
        <w:rPr>
          <w:rFonts w:ascii="Times" w:hAnsi="Times"/>
        </w:rPr>
        <w:fldChar w:fldCharType="end"/>
      </w:r>
      <w:r w:rsidRPr="00D23BF1">
        <w:rPr>
          <w:rFonts w:ascii="Times" w:hAnsi="Times"/>
        </w:rPr>
        <w:t xml:space="preserve">. Additionally, landscape differences influence host diet which can in turn select for different gut bacterial communities </w:t>
      </w:r>
      <w:r w:rsidRPr="00D23BF1">
        <w:rPr>
          <w:rFonts w:ascii="Times" w:hAnsi="Times"/>
        </w:rPr>
        <w:fldChar w:fldCharType="begin" w:fldLock="1"/>
      </w:r>
      <w:r w:rsidRPr="00D23BF1">
        <w:rPr>
          <w:rFonts w:ascii="Times" w:hAnsi="Times"/>
        </w:rPr>
        <w:instrText>ADDIN CSL_CITATION {"citationItems":[{"id":"ITEM-1","itemData":{"DOI":"10.1073/pnas.1005963107","ISBN":"1091-6490 (Electronic)\\r0027-8424 (Linking)","ISSN":"0027-8424","PMID":"20679230","abstract":"Gut microbial composition depends on different dietary habits just as health depends on microbial metabolism, but the association of microbiota with different diets in human populations has not yet been shown. In this work, we compared the fecal microbiota of European children (EU) and that of children from a rural African village of Burkina Faso (BF), where the diet, high in fiber content, is similar to that of early human settlements at the time of the birth of agriculture. By using high-throughput 16S rDNA sequencing and biochemical analyses, we found significant differences in gut microbiota between the two groups. BF children showed a significant enrichment in Bacteroidetes and depletion in Firmicutes (P &lt; 0.001), with a unique abundance of bacteria from the genus Prevotella and Xylanibacter, known to contain a set of bacterial genes for cellulose and xylan hydrolysis, completely lacking in the EU children. In addition, we found significantly more short-chain fatty acids (P &lt; 0.001) in BF than in EU children. Also, Enterobacteriaceae (Shigella and Escherichia) were significantly underrepresented in BF than in EU children (P &lt; 0.05). We hypothesize that gut microbiota coevolved with the polysaccharide-rich diet of BF individuals, allowing them to maximize energy intake from fibers while also protecting them from inflammations and noninfectious colonic diseases. This study investigates and compares human intestinal microbiota from children characterized by a modern western diet and a rural diet, indicating the importance of preserving this treasure of microbial diversity from ancient rural communities worldwide.","author":[{"dropping-particle":"","family":"Filippo","given":"C.","non-dropping-particle":"De","parse-names":false,"suffix":""},{"dropping-particle":"","family":"Cavalieri","given":"D.","non-dropping-particle":"","parse-names":false,"suffix":""},{"dropping-particle":"","family":"Paola","given":"M.","non-dropping-particle":"Di","parse-names":false,"suffix":""},{"dropping-particle":"","family":"Ramazzotti","given":"M.","non-dropping-particle":"","parse-names":false,"suffix":""},{"dropping-particle":"","family":"Poullet","given":"J. B.","non-dropping-particle":"","parse-names":false,"suffix":""},{"dropping-particle":"","family":"Massart","given":"S.","non-dropping-particle":"","parse-names":false,"suffix":""},{"dropping-particle":"","family":"Collini","given":"S.","non-dropping-particle":"","parse-names":false,"suffix":""},{"dropping-particle":"","family":"Pieraccini","given":"G.","non-dropping-particle":"","parse-names":false,"suffix":""},{"dropping-particle":"","family":"Lionetti","given":"P.","non-dropping-particle":"","parse-names":false,"suffix":""}],"container-title":"Proceedings of the National Academy of Sciences","id":"ITEM-1","issue":"33","issued":{"date-parts":[["2010"]]},"page":"14691-14696","title":"Impact of diet in shaping gut microbiota revealed by a comparative study in children from Europe and rural Africa","type":"article-journal","volume":"107"},"uris":["http://www.mendeley.com/documents/?uuid=bef5115e-526e-4ce7-8773-761a0301f43d"]}],"mendeley":{"formattedCitation":"&lt;sup&gt;19&lt;/sup&gt;","plainTextFormattedCitation":"19","previouslyFormattedCitation":"[19]"},"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19</w:t>
      </w:r>
      <w:r w:rsidRPr="00D23BF1">
        <w:rPr>
          <w:rFonts w:ascii="Times" w:hAnsi="Times"/>
        </w:rPr>
        <w:fldChar w:fldCharType="end"/>
      </w:r>
      <w:r w:rsidRPr="00D23BF1">
        <w:rPr>
          <w:rFonts w:ascii="Times" w:hAnsi="Times"/>
        </w:rPr>
        <w:t xml:space="preserve">. Urbanization can also indirectly affect the gut microbiome via habitat degradation. Increased impervious surfaces, decreased plant diversity, disruptions </w:t>
      </w:r>
      <w:r w:rsidRPr="00D23BF1">
        <w:rPr>
          <w:rFonts w:ascii="Times" w:hAnsi="Times"/>
        </w:rPr>
        <w:lastRenderedPageBreak/>
        <w:t xml:space="preserve">in light/dark cycles and noise are all types of habitat degradation which can act as environmental stressors with physiological consequences </w:t>
      </w:r>
      <w:r w:rsidRPr="00D23BF1">
        <w:rPr>
          <w:rFonts w:ascii="Times" w:hAnsi="Times"/>
        </w:rPr>
        <w:fldChar w:fldCharType="begin" w:fldLock="1"/>
      </w:r>
      <w:r w:rsidRPr="00D23BF1">
        <w:rPr>
          <w:rFonts w:ascii="Times" w:hAnsi="Times"/>
        </w:rPr>
        <w:instrText>ADDIN CSL_CITATION {"citationItems":[{"id":"ITEM-1","itemData":{"DOI":"10.1111/j.1461-0248.2011.01664.x","ISBN":"1461-023X","ISSN":"1461023X","PMID":"21806743","abstract":"Ecology Letters (2011) 14: 1052-1061 ABSTRACT: The scope and magnitude of anthropogenic noise pollution are often much greater than those of natural noise and are predicted to have an array of deleterious effects on wildlife. Recent work on this topic has focused mainly on behavioural responses of animals exposed to noise. Here, by outlining the effects of acoustic stimuli on animal physiology, development, neural function and genetic effects, we advocate the use of a more mechanistic approach in anthropogenic environments. Specifically, we summarise evidence and hypotheses from research on laboratory, domestic and free-living animals exposed to biotic and abiotic stimuli, studied both observationally and experimentally. We hope that this molecular- and cellular-focused literature, which examines the effects of noise on the neuroendocrine system, reproduction and development, metabolism, cardiovascular health, cognition and sleep, audition, the immune system, and DNA integrity and gene expression, will help researchers better understand results of previous work, as well as identify new avenues of future research in anthropogenic environments. Furthermore, given the interconnectedness of these physiological, cellular and genetic processes, and their effects on behaviour and fitness, we suggest that much can be learned from a more integrative framework of how and why animals are affected by environmental noise.","author":[{"dropping-particle":"","family":"Kight","given":"Caitlin R.","non-dropping-particle":"","parse-names":false,"suffix":""},{"dropping-particle":"","family":"Swaddle","given":"John P.","non-dropping-particle":"","parse-names":false,"suffix":""}],"container-title":"Ecology Letters","id":"ITEM-1","issue":"10","issued":{"date-parts":[["2011"]]},"page":"1052-1061","title":"How and why environmental noise impacts animals: An integrative, mechanistic review","type":"article-journal","volume":"14"},"uris":["http://www.mendeley.com/documents/?uuid=c7f78b8b-97e3-4cf7-b07f-3ac4626f80f4"]}],"mendeley":{"formattedCitation":"&lt;sup&gt;20&lt;/sup&gt;","plainTextFormattedCitation":"20","previouslyFormattedCitation":"[20]"},"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20</w:t>
      </w:r>
      <w:r w:rsidRPr="00D23BF1">
        <w:rPr>
          <w:rFonts w:ascii="Times" w:hAnsi="Times"/>
        </w:rPr>
        <w:fldChar w:fldCharType="end"/>
      </w:r>
      <w:r w:rsidRPr="00D23BF1">
        <w:rPr>
          <w:rFonts w:ascii="Times" w:hAnsi="Times"/>
        </w:rPr>
        <w:t xml:space="preserve">, which could change gut bacterial communities </w:t>
      </w:r>
      <w:r w:rsidRPr="00D23BF1">
        <w:rPr>
          <w:rFonts w:ascii="Times" w:hAnsi="Times"/>
        </w:rPr>
        <w:fldChar w:fldCharType="begin" w:fldLock="1"/>
      </w:r>
      <w:r w:rsidRPr="00D23BF1">
        <w:rPr>
          <w:rFonts w:ascii="Times" w:hAnsi="Times"/>
        </w:rPr>
        <w:instrText>ADDIN CSL_CITATION {"citationItems":[{"id":"ITEM-1","itemData":{"DOI":"10.1007/s10980-011-9671-6","ISSN":"09212973","abstract":"The need to understand how anthropogenic landscape alteration affects fauna populations has never been more pressing. The importance of developing an understanding of the processes behind local extinction is widely acknowledged, but inference from spatial patterns of fauna distribution continues to dominate. However, this approach is limited in its ability to generate strong predictions about future distributions and local extinctions, especially when population-level responses to landscape alteration are subject to long time lags. We review the potential for indices of physiological stress and condition to contribute to understanding of how landscape pattern affects species persistence. Such measures can indicate habitat quality from the perspective of the individual animal, and can reveal environmental stressors before their negative consequences begin to manifest at a population level. Spatial patterns of chronic stress may therefore yield valuable insight into how landscape alteration influences species. We propose that the emerging disciplines of conservation physiology and macrophysiology have much to offer spatial ecology, and have great potential to reveal the physiological pathways through which habitat alteration affects fauna populations and their persistence in fragmented landscapes. © 2011 Springer Science+Business Media B.V.","author":[{"dropping-particle":"","family":"Ellis","given":"Rebecca D.","non-dropping-particle":"","parse-names":false,"suffix":""},{"dropping-particle":"","family":"McWhorter","given":"Todd J.","non-dropping-particle":"","parse-names":false,"suffix":""},{"dropping-particle":"","family":"Maron","given":"Martine","non-dropping-particle":"","parse-names":false,"suffix":""}],"container-title":"Landscape Ecology","id":"ITEM-1","issue":"1","issued":{"date-parts":[["2012"]]},"page":"1-12","title":"Integrating landscape ecology and conservation physiology","type":"article-journal","volume":"27"},"uris":["http://www.mendeley.com/documents/?uuid=8c7b5fd0-934b-439c-a188-19969e180509"]}],"mendeley":{"formattedCitation":"&lt;sup&gt;21&lt;/sup&gt;","plainTextFormattedCitation":"21","previouslyFormattedCitation":"[21]"},"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21</w:t>
      </w:r>
      <w:r w:rsidRPr="00D23BF1">
        <w:rPr>
          <w:rFonts w:ascii="Times" w:hAnsi="Times"/>
        </w:rPr>
        <w:fldChar w:fldCharType="end"/>
      </w:r>
      <w:r w:rsidRPr="00D23BF1">
        <w:rPr>
          <w:rFonts w:ascii="Times" w:hAnsi="Times"/>
        </w:rPr>
        <w:t xml:space="preserve">.  For example, chronic excessive noise increases the stress hormone corticosterone in birds </w:t>
      </w:r>
      <w:r w:rsidRPr="00D23BF1">
        <w:rPr>
          <w:rFonts w:ascii="Times" w:hAnsi="Times"/>
        </w:rPr>
        <w:fldChar w:fldCharType="begin" w:fldLock="1"/>
      </w:r>
      <w:r w:rsidRPr="00D23BF1">
        <w:rPr>
          <w:rFonts w:ascii="Times" w:hAnsi="Times"/>
        </w:rPr>
        <w:instrText>ADDIN CSL_CITATION {"citationItems":[{"id":"ITEM-1","itemData":{"DOI":"10.1371/journal.pone.0050462","ISBN":"1932-6203","ISSN":"19326203","PMID":"23185627","abstract":"There is increasing evidence that individuals in many species avoid areas exposed to chronic anthropogenic noise, but the impact of noise on those who remain in these habitats is unclear. One potential impact is chronic physiological stress, which can affect disease resistance, survival and reproductive success. Previous studies have found evidence of elevated stress-related hormones (glucocorticoids) in wildlife exposed to human activities, but the impacts of noise alone are difficult to separate from confounding factors. Here we used an experimental playback study to isolate the impacts of noise from industrial activity (natural gas drilling and road noise) on glucocorticoid levels in greater sage-grouse (Centrocercus urophasianus), a species of conservation concern. We non-invasively measured immunoreactive corticosterone metabolites from fecal samples (FCMs) of males on both noise-treated and control leks (display grounds) in two breeding seasons. We found strong support for an impact of noise playback on stress levels, with 16.7% higher mean FCM levels in samples from noise leks compared with samples from paired control leks. Taken together with results from a previous study finding declines in male lek attendance in response to noise playbacks, these results suggest that chronic noise pollution can cause greater sage-grouse to avoid otherwise suitable habitat, and can cause elevated stress levels in the birds who remain in noisy areas.","author":[{"dropping-particle":"","family":"Blickley","given":"Jessica L.","non-dropping-particle":"","parse-names":false,"suffix":""},{"dropping-particle":"","family":"Word","given":"Karen R.","non-dropping-particle":"","parse-names":false,"suffix":""},{"dropping-particle":"","family":"Krakauer","given":"Alan H.","non-dropping-particle":"","parse-names":false,"suffix":""},{"dropping-particle":"","family":"Phillips","given":"Jennifer L.","non-dropping-particle":"","parse-names":false,"suffix":""},{"dropping-particle":"","family":"Sells","given":"Sarah N.","non-dropping-particle":"","parse-names":false,"suffix":""},{"dropping-particle":"","family":"Taff","given":"Conor C.","non-dropping-particle":"","parse-names":false,"suffix":""},{"dropping-particle":"","family":"Wingfield","given":"John C.","non-dropping-particle":"","parse-names":false,"suffix":""},{"dropping-particle":"","family":"Patricelli","given":"Gail L.","non-dropping-particle":"","parse-names":false,"suffix":""}],"container-title":"PLoS ONE","id":"ITEM-1","issue":"11","issued":{"date-parts":[["2012"]]},"note":"Higher fecal CORT due to noise playback","title":"Experimental Chronic Noise Is Related to Elevated Fecal Corticosteroid Metabolites in Lekking Male Greater Sage-Grouse (Centrocercus urophasianus)","type":"article-journal","volume":"7"},"uris":["http://www.mendeley.com/documents/?uuid=8d67e352-f2ea-445c-aaef-83ae9beded47"]}],"mendeley":{"formattedCitation":"&lt;sup&gt;22&lt;/sup&gt;","plainTextFormattedCitation":"22","previouslyFormattedCitation":"[22]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22</w:t>
      </w:r>
      <w:r w:rsidRPr="00D23BF1">
        <w:rPr>
          <w:rFonts w:ascii="Times" w:hAnsi="Times"/>
        </w:rPr>
        <w:fldChar w:fldCharType="end"/>
      </w:r>
      <w:r w:rsidRPr="00D23BF1">
        <w:rPr>
          <w:rFonts w:ascii="Times" w:hAnsi="Times"/>
        </w:rPr>
        <w:t xml:space="preserve">, and corticosterone can affect digestive physiology </w:t>
      </w:r>
      <w:r w:rsidRPr="00D23BF1">
        <w:rPr>
          <w:rFonts w:ascii="Times" w:hAnsi="Times"/>
        </w:rPr>
        <w:fldChar w:fldCharType="begin" w:fldLock="1"/>
      </w:r>
      <w:r w:rsidRPr="00D23BF1">
        <w:rPr>
          <w:rFonts w:ascii="Times" w:hAnsi="Times"/>
        </w:rPr>
        <w:instrText>ADDIN CSL_CITATION {"citationItems":[{"id":"ITEM-1","itemData":{"DOI":"10.1016/0300-9629(95)02137-X","ISSN":"03009629","abstract":"The effect of glucocorticoids on the growth of digestive organs was investigated in the postnatal period of mink. A total of 110 mink kits from 20 litters were either not injected or injected intramuscularly for seven days with saline, adrenocorticotropic hormone (ACTH, 50 μg/kg/day) or hydrocortisone-acetate (synthetic glucocorticoid, 50 mg/kg/day). The kits were killed at 2-10 weeks of age. Plasma cortisol levels did not change significantly with age in the control animals. In the ACTH group, plasma cortisol was minimum at 4 weeks of age, whereas in the hydrocortisone-acetate group, plasma cortisol was maximum at this age. The mink appears to have a period of reduced adrenal responsiveness to ACTH and a low metabolic clearance rate of cortisol around 4 weeks of age. The weight of the ventricle, pancreas and intestine per body weight reached a maximum at 6-8 weeks of age. Hydrocortisone-acetate treated kits showed reduced body growth at 2-6 weeks and increased weight of the pancreas and intestine at 6-10 weeks. The postnatal growth of digestive organs was relatively slow in mink kits and the effects of exogenous cortisol administration occurred relatively late in mink compared with some other species (rats, pigs). Cortisol may play a regulatory role in the growth of digestive organs in the postnatal period of mink kits.","author":[{"dropping-particle":"","family":"Elnif","given":"J.","non-dropping-particle":"","parse-names":false,"suffix":""},{"dropping-particle":"","family":"Sangild","given":"P. T.","non-dropping-particle":"","parse-names":false,"suffix":""}],"container-title":"Comparative Biochemistry and Physiology - A Physiology","id":"ITEM-1","issue":"1","issued":{"date-parts":[["1996"]]},"page":"37-42","title":"The role of glucocorticoids in the growth of the digestive tract in mink (Mustela vison)","type":"article-journal","volume":"115"},"uris":["http://www.mendeley.com/documents/?uuid=35adf159-587a-48e8-ae0d-209df055774a"]}],"mendeley":{"formattedCitation":"&lt;sup&gt;23&lt;/sup&gt;","plainTextFormattedCitation":"23","previouslyFormattedCitation":"[23]"},"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23</w:t>
      </w:r>
      <w:r w:rsidRPr="00D23BF1">
        <w:rPr>
          <w:rFonts w:ascii="Times" w:hAnsi="Times"/>
        </w:rPr>
        <w:fldChar w:fldCharType="end"/>
      </w:r>
      <w:r w:rsidRPr="00D23BF1">
        <w:rPr>
          <w:rFonts w:ascii="Times" w:hAnsi="Times"/>
        </w:rPr>
        <w:t xml:space="preserve">. Noise can also disrupt social interactions between animals </w:t>
      </w:r>
      <w:r w:rsidRPr="00D23BF1">
        <w:rPr>
          <w:rFonts w:ascii="Times" w:hAnsi="Times"/>
        </w:rPr>
        <w:fldChar w:fldCharType="begin" w:fldLock="1"/>
      </w:r>
      <w:r w:rsidRPr="00D23BF1">
        <w:rPr>
          <w:rFonts w:ascii="Times" w:hAnsi="Times"/>
        </w:rPr>
        <w:instrText>ADDIN CSL_CITATION {"citationItems":[{"id":"ITEM-1","itemData":{"DOI":"10.1016/j.anbehav.2015.06.021","ISSN":"00033472","author":[{"dropping-particle":"","family":"Potvin","given":"Dominique a.","non-dropping-particle":"","parse-names":false,"suffix":""},{"dropping-particle":"","family":"MacDougall-Shackleton","given":"Scott a.","non-dropping-particle":"","parse-names":false,"suffix":""}],"container-title":"Animal Behaviour","id":"ITEM-1","issued":{"date-parts":[["2015"]]},"page":"201-207","publisher":"Elsevier Ltd","title":"Experimental chronic noise exposure affects adult song in zebra finches","type":"article-journal","volume":"107"},"uris":["http://www.mendeley.com/documents/?uuid=309d823c-c683-40f4-853e-cb1d524942e3"]}],"mendeley":{"formattedCitation":"&lt;sup&gt;24&lt;/sup&gt;","plainTextFormattedCitation":"24","previouslyFormattedCitation":"[24]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24</w:t>
      </w:r>
      <w:r w:rsidRPr="00D23BF1">
        <w:rPr>
          <w:rFonts w:ascii="Times" w:hAnsi="Times"/>
        </w:rPr>
        <w:fldChar w:fldCharType="end"/>
      </w:r>
      <w:r w:rsidRPr="00D23BF1">
        <w:rPr>
          <w:rFonts w:ascii="Times" w:hAnsi="Times"/>
        </w:rPr>
        <w:t xml:space="preserve">, foraging behaviors </w:t>
      </w:r>
      <w:r w:rsidRPr="00D23BF1">
        <w:rPr>
          <w:rFonts w:ascii="Times" w:hAnsi="Times"/>
        </w:rPr>
        <w:fldChar w:fldCharType="begin" w:fldLock="1"/>
      </w:r>
      <w:r w:rsidRPr="00D23BF1">
        <w:rPr>
          <w:rFonts w:ascii="Times" w:hAnsi="Times"/>
        </w:rPr>
        <w:instrText>ADDIN CSL_CITATION {"citationItems":[{"id":"ITEM-1","itemData":{"DOI":"10.1038/srep30602","ISSN":"2045-2322","PMID":"27537709","abstract":"Anthropogenic noise has been increasing globally. Laboratory experiments suggest that noise disrupts foraging behavior across a range of species, but to reveal the full impacts of noise, we must examine the impacts of noise on foraging behavior among species in the wild. Owls are widespread nocturnal top predators and use prey rustling sounds for localizing prey when hunting. We conducted field experiments to examine the effect of traffic noise on owls' ability to detect prey. Results suggest that foraging efficiency declines with increasing traffic noise levels due to acoustic masking and/or distraction and aversion to traffic noise. Moreover, we estimate that effects of traffic noise on owls' ability to detect prey reach &gt;120</w:instrText>
      </w:r>
      <w:r w:rsidRPr="00D23BF1">
        <w:rPr>
          <w:rFonts w:ascii="Times New Roman" w:hAnsi="Times New Roman" w:cs="Times New Roman"/>
        </w:rPr>
        <w:instrText> </w:instrText>
      </w:r>
      <w:r w:rsidRPr="00D23BF1">
        <w:rPr>
          <w:rFonts w:ascii="Times" w:hAnsi="Times"/>
        </w:rPr>
        <w:instrText>m from a road, which is larger than the distance estimated from captive studies with bats. Our study provides the first evidence that noise reduces foraging efficiency in wild animals, and highlights the possible pervasive impacts of noise.","author":[{"dropping-particle":"","family":"Senzaki","given":"Masayuki","non-dropping-particle":"","parse-names":false,"suffix":""},{"dropping-particle":"","family":"Yamaura","given":"Yuichi","non-dropping-particle":"","parse-names":false,"suffix":""},{"dropping-particle":"","family":"Francis","given":"Clinton D.","non-dropping-particle":"","parse-names":false,"suffix":""},{"dropping-particle":"","family":"Nakamura","given":"Futoshi","non-dropping-particle":"","parse-names":false,"suffix":""}],"container-title":"Scientific Reports","id":"ITEM-1","issue":"1","issued":{"date-parts":[["2016"]]},"note":"·      Played prey rustling noises with and without traffic noise accompaniment \n·      Prey detectability wend down as noise went up \n·      Nosie is louder closer to roads, thus prey detectability would be lower closer to roads","page":"30602","publisher":"Nature Publishing Group","title":"Traffic noise reduces foraging efficiency in wild owls","type":"article-journal","volume":"6"},"uris":["http://www.mendeley.com/documents/?uuid=cec73e9d-80e4-45db-be83-e859fca875b1"]}],"mendeley":{"formattedCitation":"&lt;sup&gt;25&lt;/sup&gt;","plainTextFormattedCitation":"25","previouslyFormattedCitation":"[25]"},"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25</w:t>
      </w:r>
      <w:r w:rsidRPr="00D23BF1">
        <w:rPr>
          <w:rFonts w:ascii="Times" w:hAnsi="Times"/>
        </w:rPr>
        <w:fldChar w:fldCharType="end"/>
      </w:r>
      <w:r w:rsidRPr="00D23BF1">
        <w:rPr>
          <w:rFonts w:ascii="Times" w:hAnsi="Times"/>
        </w:rPr>
        <w:t xml:space="preserve">, and predator-prey interactions </w:t>
      </w:r>
      <w:r w:rsidRPr="00D23BF1">
        <w:rPr>
          <w:rFonts w:ascii="Times" w:hAnsi="Times"/>
        </w:rPr>
        <w:fldChar w:fldCharType="begin" w:fldLock="1"/>
      </w:r>
      <w:r w:rsidRPr="00D23BF1">
        <w:rPr>
          <w:rFonts w:ascii="Times" w:hAnsi="Times"/>
        </w:rPr>
        <w:instrText>ADDIN CSL_CITATION {"citationItems":[{"id":"ITEM-1","itemData":{"DOI":"10.1098/rsos.190867","ISBN":"0000000320184","ISSN":"20545703","abstract":"The soundscape serves as a backdrop for acoustic signals dispatched within and among species, spanning mate attraction to parasite host detection. Elevated background sound levels from human-made and natural sources may interfere with the reception of acoustic signals and alter species interactions and whole ecological communities. We investigated whether background noise influences the ability of the obligate parasitoid Ormia ochracea to locate its host, the variable field cricket (Gryllus lineaticeps). As O. ochracea use auditory cues to locate their hosts, we hypothesized that higher background noise levels would mask or distract flies from cricket calls and result in a decreased ability to detect and navigate to hosts. We used a field manipulation where fly traps baited with playback of male cricket advertisement calls were exposed to a gradient of experimental traffic and ocean surf noise. We found that increases in noise amplitude caused a significant decline in O. ochracea caught, suggesting that background noise can influence parasitoid–host interactions and potentially benefit hosts. As human-caused sensory pollution increases globally, soundscapes may influence the evolution of tightly co-evolved host–parasitoid relationships. Future work should investigate whether female cricket phonotaxis towards males is similarly affected by noise levels.","author":[{"dropping-particle":"","family":"Phillips","given":"Jennifer N.","non-dropping-particle":"","parse-names":false,"suffix":""},{"dropping-particle":"","family":"Ruef","given":"Sophia K.","non-dropping-particle":"","parse-names":false,"suffix":""},{"dropping-particle":"","family":"Garvin","given":"Christopher M.","non-dropping-particle":"","parse-names":false,"suffix":""},{"dropping-particle":"","family":"Le","given":"My Lan T.","non-dropping-particle":"","parse-names":false,"suffix":""},{"dropping-particle":"","family":"Francis","given":"Clinton D.","non-dropping-particle":"","parse-names":false,"suffix":""}],"container-title":"Royal Society Open Science","id":"ITEM-1","issue":"9","issued":{"date-parts":[["2019"]]},"title":"Background noise disrupts host–parasitoid interactions","type":"article-journal","volume":"6"},"uris":["http://www.mendeley.com/documents/?uuid=f10886d9-4486-438a-b447-052a68d5ee7f"]}],"mendeley":{"formattedCitation":"&lt;sup&gt;26&lt;/sup&gt;","plainTextFormattedCitation":"26","previouslyFormattedCitation":"[26]"},"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26</w:t>
      </w:r>
      <w:r w:rsidRPr="00D23BF1">
        <w:rPr>
          <w:rFonts w:ascii="Times" w:hAnsi="Times"/>
        </w:rPr>
        <w:fldChar w:fldCharType="end"/>
      </w:r>
      <w:r w:rsidRPr="00D23BF1">
        <w:rPr>
          <w:rFonts w:ascii="Times" w:hAnsi="Times"/>
        </w:rPr>
        <w:t xml:space="preserve">, and all of these behaviors have been associated with shifts in bacterial community structure and membership </w:t>
      </w:r>
      <w:r w:rsidRPr="00D23BF1">
        <w:rPr>
          <w:rFonts w:ascii="Times" w:hAnsi="Times"/>
        </w:rPr>
        <w:fldChar w:fldCharType="begin" w:fldLock="1"/>
      </w:r>
      <w:r w:rsidRPr="00D23BF1">
        <w:rPr>
          <w:rFonts w:ascii="Times" w:hAnsi="Times"/>
        </w:rPr>
        <w:instrText>ADDIN CSL_CITATION {"citationItems":[{"id":"ITEM-1","itemData":{"DOI":"10.1016/j.cobeha.2015.07.008","ISSN":"23521546","author":[{"dropping-particle":"","family":"Archie","given":"Elizabeth A","non-dropping-particle":"","parse-names":false,"suffix":""},{"dropping-particle":"","family":"Tung","given":"Jenny","non-dropping-particle":"","parse-names":false,"suffix":""}],"container-title":"Current Opinion in Behavioral Sciences","id":"ITEM-1","issued":{"date-parts":[["2015"]]},"page":"28-34","publisher":"Elsevier Ltd","title":"Social behavior and the microbiome","type":"article-journal","volume":"6"},"uris":["http://www.mendeley.com/documents/?uuid=6978d6d3-53c5-4441-baee-63c33fd26ea8"]}],"mendeley":{"formattedCitation":"&lt;sup&gt;27&lt;/sup&gt;","plainTextFormattedCitation":"27","previouslyFormattedCitation":"[27]"},"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27</w:t>
      </w:r>
      <w:r w:rsidRPr="00D23BF1">
        <w:rPr>
          <w:rFonts w:ascii="Times" w:hAnsi="Times"/>
        </w:rPr>
        <w:fldChar w:fldCharType="end"/>
      </w:r>
      <w:r w:rsidRPr="00D23BF1">
        <w:rPr>
          <w:rFonts w:ascii="Times" w:hAnsi="Times"/>
        </w:rPr>
        <w:t xml:space="preserve">. However, relatively little is known about how specific urbanization metrics such as landscape cover and noise pollution co-vary with the gut microbiome. </w:t>
      </w:r>
    </w:p>
    <w:p w14:paraId="4C573A28" w14:textId="77777777" w:rsidR="00041ADB" w:rsidRPr="00D23BF1" w:rsidRDefault="00041ADB" w:rsidP="00F20BE1">
      <w:pPr>
        <w:rPr>
          <w:rFonts w:ascii="Times" w:hAnsi="Times"/>
        </w:rPr>
      </w:pPr>
      <w:r w:rsidRPr="00D23BF1">
        <w:rPr>
          <w:rFonts w:ascii="Times" w:hAnsi="Times"/>
        </w:rPr>
        <w:t xml:space="preserve">Host morphology is another effect of urbanization that can impact gut bacterial communities. Urbanization can affect some aspects of an animal’s morphology, for example urban house sparrows are smaller with lower body condition than their rural counterparts </w:t>
      </w:r>
      <w:r w:rsidRPr="00D23BF1">
        <w:rPr>
          <w:rFonts w:ascii="Times" w:hAnsi="Times"/>
        </w:rPr>
        <w:fldChar w:fldCharType="begin" w:fldLock="1"/>
      </w:r>
      <w:r w:rsidRPr="00D23BF1">
        <w:rPr>
          <w:rFonts w:ascii="Times" w:hAnsi="Times"/>
        </w:rPr>
        <w:instrText>ADDIN CSL_CITATION {"citationItems":[{"id":"ITEM-1","itemData":{"DOI":"10.3389/fevo.2018.00148","ISSN":"2296-701X","abstract":"Urban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using spatial analyses of land cover (impervious, scrub, grass, and trees) at the regional level and territory level in urban San Francisco, CA and nearby rural Point Reyes, CA. We hypothesized that urbanization of habitats affects gut microbial composition and diversity through direct effects on diet and/or indirect environmental effects. We measured gut microbial community diversity from 16s rRNA sequences amplified from cloacal swabs. We find that the urban and rural microbiomes are significantly different, such that the urban microbiome is more diverse than the rural microbiome. This relationship may be due to a more variable landscape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provides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Evolution","id":"ITEM-1","issue":"September","issued":{"date-parts":[["2018"]]},"page":"1-10","title":"The Effects of Landscape Urbanization on the Gut Microbiome: An Exploration Into the Gut of Urban and Rural White-Crowned Sparrows","type":"article-journal","volume":"6"},"uris":["http://www.mendeley.com/documents/?uuid=57a5183b-159d-4236-8f35-16ec70fd1a5b"]}],"mendeley":{"formattedCitation":"&lt;sup&gt;12&lt;/sup&gt;","plainTextFormattedCitation":"12","previouslyFormattedCitation":"[12]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12</w:t>
      </w:r>
      <w:r w:rsidRPr="00D23BF1">
        <w:rPr>
          <w:rFonts w:ascii="Times" w:hAnsi="Times"/>
        </w:rPr>
        <w:fldChar w:fldCharType="end"/>
      </w:r>
      <w:r w:rsidRPr="00D23BF1">
        <w:rPr>
          <w:rFonts w:ascii="Times" w:hAnsi="Times"/>
        </w:rPr>
        <w:t xml:space="preserve">. Urbanization can also cause chronic stress which has lasting, even trans-generational effects on body size </w:t>
      </w:r>
      <w:r w:rsidRPr="00D23BF1">
        <w:rPr>
          <w:rFonts w:ascii="Times" w:hAnsi="Times"/>
        </w:rPr>
        <w:fldChar w:fldCharType="begin" w:fldLock="1"/>
      </w:r>
      <w:r w:rsidRPr="00D23BF1">
        <w:rPr>
          <w:rFonts w:ascii="Times" w:hAnsi="Times"/>
        </w:rPr>
        <w:instrText>ADDIN CSL_CITATION {"citationItems":[{"id":"ITEM-1","itemData":{"DOI":"10.1890/0012-9658(2006)87[1945:SATCUA]2.0.CO;2","ISSN":"00129658","PMID":"16937632","abstract":"Animals colonizing cities are exposed to many novel and potentially stressful situations. There is evidence that chronic stress can cause deleterious effects. Hence, wild animals would suffer from city life unless they adjusted their stress response to the conditions in a city. Here we show that European Blackbirds born in a city have a lower stress response than their forest conspecifics. We hand-raised urban and forest-living individuals of that species under identical conditions and tested their corticosterone stress response at an age of 5, 8, and 11 months. The results suggest that the difference is genetically determined, although early developmental effects cannot be excluded. Either way, the results support the idea that urbanization creates a shift in coping styles by changing the stress physiology of animals. The reduced stress response could be ubiquitous and, presumably, necessary for all animals that thrive in ecosystems exposed to frequent anthropogenic disturbances, such as those in urban areas. © 2006 by the the Ecological Society of America.","author":[{"dropping-particle":"","family":"Partecke","given":"Jesko","non-dropping-particle":"","parse-names":false,"suffix":""},{"dropping-particle":"","family":"Schwabl","given":"Ingrid","non-dropping-particle":"","parse-names":false,"suffix":""},{"dropping-particle":"","family":"Gwinner","given":"Eberhard","non-dropping-particle":"","parse-names":false,"suffix":""}],"container-title":"Ecology","id":"ITEM-1","issue":"8","issued":{"date-parts":[["2006"]]},"page":"1945-1952","title":"Stress and the city: Urbanization and its effects on the stress physiology in European Blackbirds","type":"article-journal","volume":"87"},"uris":["http://www.mendeley.com/documents/?uuid=e93b513e-2d22-4b31-a672-e5b7c1eb9a7d"]}],"mendeley":{"formattedCitation":"&lt;sup&gt;28&lt;/sup&gt;","plainTextFormattedCitation":"28","previouslyFormattedCitation":"[28]"},"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28</w:t>
      </w:r>
      <w:r w:rsidRPr="00D23BF1">
        <w:rPr>
          <w:rFonts w:ascii="Times" w:hAnsi="Times"/>
        </w:rPr>
        <w:fldChar w:fldCharType="end"/>
      </w:r>
      <w:r w:rsidRPr="00D23BF1">
        <w:rPr>
          <w:rFonts w:ascii="Times" w:hAnsi="Times"/>
        </w:rPr>
        <w:t xml:space="preserve">. Host size and condition have been associated with bacterial diversity and community structure, although the direction and cause of these relationships is often unclear. Gut volume and animal size predict bacterial diversity across vertebrate taxa, which suggests morphology impacts the microbiome </w:t>
      </w:r>
      <w:r w:rsidRPr="00D23BF1">
        <w:rPr>
          <w:rFonts w:ascii="Times" w:hAnsi="Times"/>
        </w:rPr>
        <w:fldChar w:fldCharType="begin" w:fldLock="1"/>
      </w:r>
      <w:r w:rsidRPr="00D23BF1">
        <w:rPr>
          <w:rFonts w:ascii="Times" w:hAnsi="Times"/>
        </w:rPr>
        <w:instrText>ADDIN CSL_CITATION {"citationItems":[{"id":"ITEM-1","itemData":{"DOI":"10.1186/s12898-016-0071-2","ISSN":"14726785","PMID":"27008566","abstract":"One of the central issues in microbial ecology is to understand the parameters that drive diversity. Among these parameters, size has often been considered to be the main driver in many different ecosystems. Surprisingly, the influence of size on gut microbial diversity has not yet been investigated, and so far in studies reported in the literature only the influences of age, diet, phylogeny and digestive tract structures have been considered. This study explicitly challenges the underexplored relationship connecting gut volume and bacterial diversity.","author":[{"dropping-particle":"","family":"Godon","given":"Jean Jacques","non-dropping-particle":"","parse-names":false,"suffix":""},{"dropping-particle":"","family":"Arulazhagan","given":"Pugazhendi","non-dropping-particle":"","parse-names":false,"suffix":""},{"dropping-particle":"","family":"Steyer","given":"Jean Philippe","non-dropping-particle":"","parse-names":false,"suffix":""},{"dropping-particle":"","family":"Hamelin","given":"Jérôme","non-dropping-particle":"","parse-names":false,"suffix":""}],"container-title":"BMC Ecology","id":"ITEM-1","issue":"1","issued":{"date-parts":[["2016"]]},"note":"great table of many species with digestive tract type, diet, and mass","page":"1-9","publisher":"BioMed Central","title":"Vertebrate bacterial gut diversity: Size also matters","type":"article-journal","volume":"16"},"uris":["http://www.mendeley.com/documents/?uuid=d5fb5fed-e77c-4730-ad0c-266f260eb191"]}],"mendeley":{"formattedCitation":"&lt;sup&gt;29&lt;/sup&gt;","plainTextFormattedCitation":"29","previouslyFormattedCitation":"[29]"},"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29</w:t>
      </w:r>
      <w:r w:rsidRPr="00D23BF1">
        <w:rPr>
          <w:rFonts w:ascii="Times" w:hAnsi="Times"/>
        </w:rPr>
        <w:fldChar w:fldCharType="end"/>
      </w:r>
      <w:r w:rsidRPr="00D23BF1">
        <w:rPr>
          <w:rFonts w:ascii="Times" w:hAnsi="Times"/>
        </w:rPr>
        <w:t xml:space="preserve">. However, bacterial diversity can also feed back and impact morphology, as evidenced by the induction of obesity in rodents via microbiome transplants </w:t>
      </w:r>
      <w:r w:rsidRPr="00D23BF1">
        <w:rPr>
          <w:rFonts w:ascii="Times" w:hAnsi="Times"/>
        </w:rPr>
        <w:fldChar w:fldCharType="begin" w:fldLock="1"/>
      </w:r>
      <w:r w:rsidRPr="00D23BF1">
        <w:rPr>
          <w:rFonts w:ascii="Times" w:hAnsi="Times"/>
        </w:rPr>
        <w:instrText>ADDIN CSL_CITATION {"citationItems":[{"id":"ITEM-1","itemData":{"DOI":"10.1016/j.chom.2008.02.015","ISSN":"1934-6069","PMID":"18407065","abstract":"We have investigated the interrelationship between diet, gut microbial ecology, and energy balance using a mouse model of obesity produced by consumption of a prototypic Western diet. Diet-induced obesity (DIO) produced a bloom in a single uncultured clade within the Mollicutes class of the Firmicutes, which was diminished by subsequent dietary manipulations that limit weight gain. Microbiota transplantation from mice with DIO to lean germ-free recipients promoted greater fat deposition than transplants from lean donors. Metagenomic and biochemical analysis of the gut microbiome together with sequencing and metabolic reconstructions of a related human gut-associated Mollicute (Eubacterium dolichum) revealed features that may provide a competitive advantage to members of the bloom in the Western diet nutrient milieu, including import and processing of simple sugars. Our study illustrates how combining comparative metagenomics with gnotobiotic mouse models and specific dietary manipulations can disclose the niches of previously uncharacterized members of the gut microbiota.","author":[{"dropping-particle":"","family":"Turnbaugh","given":"Peter J","non-dropping-particle":"","parse-names":false,"suffix":""},{"dropping-particle":"","family":"Bäckhed","given":"Fredrik","non-dropping-particle":"","parse-names":false,"suffix":""},{"dropping-particle":"","family":"Fulton","given":"Lucinda","non-dropping-particle":"","parse-names":false,"suffix":""},{"dropping-particle":"","family":"Gordon","given":"Jeffrey I","non-dropping-particle":"","parse-names":false,"suffix":""}],"container-title":"Cell host &amp; microbe","id":"ITEM-1","issue":"4","issued":{"date-parts":[["2008","4"]]},"page":"213-23","title":"Diet-induced obesity is linked to marked but reversible alterations in the mouse distal gut microbiome.","type":"article-journal","volume":"3"},"uris":["http://www.mendeley.com/documents/?uuid=8a57daf1-d9a6-4903-96ab-5214940d6983"]}],"mendeley":{"formattedCitation":"&lt;sup&gt;30&lt;/sup&gt;","plainTextFormattedCitation":"30","previouslyFormattedCitation":"[30]"},"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30</w:t>
      </w:r>
      <w:r w:rsidRPr="00D23BF1">
        <w:rPr>
          <w:rFonts w:ascii="Times" w:hAnsi="Times"/>
        </w:rPr>
        <w:fldChar w:fldCharType="end"/>
      </w:r>
      <w:r w:rsidRPr="00D23BF1">
        <w:rPr>
          <w:rFonts w:ascii="Times" w:hAnsi="Times"/>
        </w:rPr>
        <w:t xml:space="preserve">. Alternatively, a third variable, such as differences in diet between urban and rural locations, may change both host development and ultimately size, condition, and gut bacteria </w:t>
      </w:r>
      <w:r w:rsidRPr="00D23BF1">
        <w:rPr>
          <w:rFonts w:ascii="Times" w:hAnsi="Times"/>
        </w:rPr>
        <w:fldChar w:fldCharType="begin" w:fldLock="1"/>
      </w:r>
      <w:r w:rsidRPr="00D23BF1">
        <w:rPr>
          <w:rFonts w:ascii="Times" w:hAnsi="Times"/>
        </w:rPr>
        <w:instrText>ADDIN CSL_CITATION {"citationItems":[{"id":"ITEM-1","itemData":{"DOI":"10.1073/pnas.1005963107","ISBN":"1091-6490 (Electronic)\\r0027-8424 (Linking)","ISSN":"0027-8424","PMID":"20679230","abstract":"Gut microbial composition depends on different dietary habits just as health depends on microbial metabolism, but the association of microbiota with different diets in human populations has not yet been shown. In this work, we compared the fecal microbiota of European children (EU) and that of children from a rural African village of Burkina Faso (BF), where the diet, high in fiber content, is similar to that of early human settlements at the time of the birth of agriculture. By using high-throughput 16S rDNA sequencing and biochemical analyses, we found significant differences in gut microbiota between the two groups. BF children showed a significant enrichment in Bacteroidetes and depletion in Firmicutes (P &lt; 0.001), with a unique abundance of bacteria from the genus Prevotella and Xylanibacter, known to contain a set of bacterial genes for cellulose and xylan hydrolysis, completely lacking in the EU children. In addition, we found significantly more short-chain fatty acids (P &lt; 0.001) in BF than in EU children. Also, Enterobacteriaceae (Shigella and Escherichia) were significantly underrepresented in BF than in EU children (P &lt; 0.05). We hypothesize that gut microbiota coevolved with the polysaccharide-rich diet of BF individuals, allowing them to maximize energy intake from fibers while also protecting them from inflammations and noninfectious colonic diseases. This study investigates and compares human intestinal microbiota from children characterized by a modern western diet and a rural diet, indicating the importance of preserving this treasure of microbial diversity from ancient rural communities worldwide.","author":[{"dropping-particle":"","family":"Filippo","given":"C.","non-dropping-particle":"De","parse-names":false,"suffix":""},{"dropping-particle":"","family":"Cavalieri","given":"D.","non-dropping-particle":"","parse-names":false,"suffix":""},{"dropping-particle":"","family":"Paola","given":"M.","non-dropping-particle":"Di","parse-names":false,"suffix":""},{"dropping-particle":"","family":"Ramazzotti","given":"M.","non-dropping-particle":"","parse-names":false,"suffix":""},{"dropping-particle":"","family":"Poullet","given":"J. B.","non-dropping-particle":"","parse-names":false,"suffix":""},{"dropping-particle":"","family":"Massart","given":"S.","non-dropping-particle":"","parse-names":false,"suffix":""},{"dropping-particle":"","family":"Collini","given":"S.","non-dropping-particle":"","parse-names":false,"suffix":""},{"dropping-particle":"","family":"Pieraccini","given":"G.","non-dropping-particle":"","parse-names":false,"suffix":""},{"dropping-particle":"","family":"Lionetti","given":"P.","non-dropping-particle":"","parse-names":false,"suffix":""}],"container-title":"Proceedings of the National Academy of Sciences","id":"ITEM-1","issue":"33","issued":{"date-parts":[["2010"]]},"page":"14691-14696","title":"Impact of diet in shaping gut microbiota revealed by a comparative study in children from Europe and rural Africa","type":"article-journal","volume":"107"},"uris":["http://www.mendeley.com/documents/?uuid=bef5115e-526e-4ce7-8773-761a0301f43d"]}],"mendeley":{"formattedCitation":"&lt;sup&gt;19&lt;/sup&gt;","plainTextFormattedCitation":"19","previouslyFormattedCitation":"[19]"},"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19</w:t>
      </w:r>
      <w:r w:rsidRPr="00D23BF1">
        <w:rPr>
          <w:rFonts w:ascii="Times" w:hAnsi="Times"/>
        </w:rPr>
        <w:fldChar w:fldCharType="end"/>
      </w:r>
      <w:r w:rsidRPr="00D23BF1">
        <w:rPr>
          <w:rFonts w:ascii="Times" w:hAnsi="Times"/>
        </w:rPr>
        <w:t xml:space="preserve">. Regardless of the direction of the effect, including morphological information in studies of wild gut microbiomes is critical because morphology can vary with urbanization, and morphology is related to gut bacteria. </w:t>
      </w:r>
    </w:p>
    <w:p w14:paraId="495EF0F7" w14:textId="77777777" w:rsidR="00041ADB" w:rsidRPr="00D23BF1" w:rsidRDefault="00041ADB" w:rsidP="00F20BE1">
      <w:pPr>
        <w:rPr>
          <w:rFonts w:ascii="Times" w:hAnsi="Times"/>
        </w:rPr>
      </w:pPr>
      <w:r w:rsidRPr="00D23BF1">
        <w:rPr>
          <w:rFonts w:ascii="Times" w:hAnsi="Times"/>
        </w:rPr>
        <w:t>Here, we investigated how gut bacterial communities vary along an urban-rural gradient of a native species persisting in urban environments, White-Crowned Sparrows (</w:t>
      </w:r>
      <w:r w:rsidRPr="00D23BF1">
        <w:rPr>
          <w:rFonts w:ascii="Times" w:hAnsi="Times"/>
          <w:i/>
        </w:rPr>
        <w:t>Zonotrichia leucophrys</w:t>
      </w:r>
      <w:r w:rsidRPr="00D23BF1">
        <w:rPr>
          <w:rFonts w:ascii="Times" w:hAnsi="Times"/>
        </w:rPr>
        <w:t xml:space="preserve">). This study expands on a previous study that found urban birds had higher Shannon Diversity than rural birds, and an association between Shannon Diversity and one measure of territory land cover, but left many questions unanswered regarding how environmental and morphological variables might contribute to gut microbial diversity in urban landscapes. We first assessed differences between urban and rural habitats in a bird's environment, morphology and gut bacterial community. We then addressed how aspects of a bird’s environment and morphology co-vary with their gut bacterial community. We predicted that alpha and beta diversity would vary with environmental and morphological variables. In this species, we have reason to predict that alpha diversity will be higher in more urbanized landscapes (e.g. higher impervious surface and high noise levels), because our previous work suggests that at least one measure of alpha diversity is higher in urban areas </w:t>
      </w:r>
      <w:r w:rsidRPr="00D23BF1">
        <w:rPr>
          <w:rFonts w:ascii="Times" w:hAnsi="Times"/>
        </w:rPr>
        <w:fldChar w:fldCharType="begin" w:fldLock="1"/>
      </w:r>
      <w:r w:rsidRPr="00D23BF1">
        <w:rPr>
          <w:rFonts w:ascii="Times" w:hAnsi="Times"/>
        </w:rPr>
        <w:instrText>ADDIN CSL_CITATION {"citationItems":[{"id":"ITEM-1","itemData":{"DOI":"10.3389/fevo.2018.00148","ISSN":"2296-701X","abstract":"Urban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using spatial analyses of land cover (impervious, scrub, grass, and trees) at the regional level and territory level in urban San Francisco, CA and nearby rural Point Reyes, CA. We hypothesized that urbanization of habitats affects gut microbial composition and diversity through direct effects on diet and/or indirect environmental effects. We measured gut microbial community diversity from 16s rRNA sequences amplified from cloacal swabs. We find that the urban and rural microbiomes are significantly different, such that the urban microbiome is more diverse than the rural microbiome. This relationship may be due to a more variable landscape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provides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Evolution","id":"ITEM-1","issue":"September","issued":{"date-parts":[["2018"]]},"page":"1-10","title":"The Effects of Landscape Urbanization on the Gut Microbiome: An Exploration Into the Gut of Urban and Rural White-Crowned Sparrows","type":"article-journal","volume":"6"},"uris":["http://www.mendeley.com/documents/?uuid=57a5183b-159d-4236-8f35-16ec70fd1a5b"]}],"mendeley":{"formattedCitation":"&lt;sup&gt;12&lt;/sup&gt;","plainTextFormattedCitation":"12","previouslyFormattedCitation":"[12]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12</w:t>
      </w:r>
      <w:r w:rsidRPr="00D23BF1">
        <w:rPr>
          <w:rFonts w:ascii="Times" w:hAnsi="Times"/>
        </w:rPr>
        <w:fldChar w:fldCharType="end"/>
      </w:r>
      <w:r w:rsidRPr="00D23BF1">
        <w:rPr>
          <w:rFonts w:ascii="Times" w:hAnsi="Times"/>
        </w:rPr>
        <w:t xml:space="preserve">. We also predict that higher levels of alpha diversity will be associated with birds in higher condition. We predicted that higher beta diversity would occur between, rather than within, urban and rural populations, reflecting environmental differences between these landscapes and morphological and physiological differences between these populations </w:t>
      </w:r>
      <w:r w:rsidRPr="00D23BF1">
        <w:rPr>
          <w:rFonts w:ascii="Times" w:hAnsi="Times"/>
        </w:rPr>
        <w:fldChar w:fldCharType="begin" w:fldLock="1"/>
      </w:r>
      <w:r w:rsidRPr="00D23BF1">
        <w:rPr>
          <w:rFonts w:ascii="Times" w:hAnsi="Times"/>
        </w:rPr>
        <w:instrText>ADDIN CSL_CITATION {"citationItems":[{"id":"ITEM-1","itemData":{"DOI":"10.1093/beheco/aru232","ISSN":"14657279","abstract":"Over the last century, expanding urbanization has led to a strong increase in the levels of background noise. This noise pollution has been shown to negatively affect wildlife (e.g., reduced species diversity and density, reduced breeding success), especially birds. Most research addressing the effects of anthropogenic noise has focused on avian communication and, to date, very little is known regarding the impact of chronic noise exposure on nonvocal behavior such as antipredator behavior. Here, we exposed free-living house sparrows (Passer domesticus) breeding in nest-boxes to either a playback of traffic noise (disturbed birds) or the rural background noise of the study site (no playback: control birds) during their first breeding attempt. We tested whether one of the female's antipredator behaviors (i.e., flushing distance) was affected by exposure to chronic noise and investigated the impact of chronic noise on reproductive performances. Disturbed females flushed more rapidly than controls, suggesting that birds may compensate for reduced ability to detect predators with increased vigilance. However, we found no significant effect of exposure to chronic noise on reproductive performances. Our findings show, for the first time, that chronic noise exposure can affect the antipredator behavior of a breeding bird.","author":[{"dropping-particle":"","family":"Meillère","given":"Alizée","non-dropping-particle":"","parse-names":false,"suffix":""},{"dropping-particle":"","family":"Brischoux","given":"François","non-dropping-particle":"","parse-names":false,"suffix":""},{"dropping-particle":"","family":"Angelier","given":"Frédéric","non-dropping-particle":"","parse-names":false,"suffix":""}],"container-title":"Behavioral Ecology","id":"ITEM-1","issue":"2","issued":{"date-parts":[["2015"]]},"page":"569-577","title":"Impact of chronic noise exposure on antipredator behavior: An experiment in breeding house sparrows","type":"article-journal","volume":"26"},"uris":["http://www.mendeley.com/documents/?uuid=d32840a5-5496-411b-a940-c898189d2ab8"]}],"mendeley":{"formattedCitation":"&lt;sup&gt;31&lt;/sup&gt;","plainTextFormattedCitation":"31","previouslyFormattedCitation":"[31]"},"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31</w:t>
      </w:r>
      <w:r w:rsidRPr="00D23BF1">
        <w:rPr>
          <w:rFonts w:ascii="Times" w:hAnsi="Times"/>
        </w:rPr>
        <w:fldChar w:fldCharType="end"/>
      </w:r>
      <w:r w:rsidRPr="00D23BF1">
        <w:rPr>
          <w:rFonts w:ascii="Times" w:hAnsi="Times"/>
        </w:rPr>
        <w:t>. Overall, we designed our study to assess how urbanization is shaping gut bacterial communities of a songbird.</w:t>
      </w:r>
    </w:p>
    <w:p w14:paraId="5A4F04CD" w14:textId="77777777" w:rsidR="00041ADB" w:rsidRPr="00D23BF1" w:rsidRDefault="00041ADB" w:rsidP="00F20BE1">
      <w:pPr>
        <w:rPr>
          <w:rFonts w:ascii="Times" w:hAnsi="Times"/>
        </w:rPr>
      </w:pPr>
    </w:p>
    <w:p w14:paraId="24781AD8" w14:textId="77777777" w:rsidR="00041ADB" w:rsidRPr="00D23BF1" w:rsidRDefault="00041ADB" w:rsidP="00F20BE1">
      <w:pPr>
        <w:pStyle w:val="Heading2"/>
        <w:rPr>
          <w:rFonts w:ascii="Times" w:hAnsi="Times"/>
        </w:rPr>
      </w:pPr>
      <w:bookmarkStart w:id="95" w:name="_Toc69393569"/>
      <w:bookmarkStart w:id="96" w:name="_Toc69396342"/>
      <w:bookmarkStart w:id="97" w:name="_Toc69396377"/>
      <w:bookmarkStart w:id="98" w:name="_Toc69396566"/>
      <w:bookmarkStart w:id="99" w:name="_Toc69972878"/>
      <w:r w:rsidRPr="00D23BF1">
        <w:rPr>
          <w:rFonts w:ascii="Times" w:hAnsi="Times"/>
        </w:rPr>
        <w:t>Methods</w:t>
      </w:r>
      <w:bookmarkEnd w:id="95"/>
      <w:bookmarkEnd w:id="96"/>
      <w:bookmarkEnd w:id="97"/>
      <w:bookmarkEnd w:id="98"/>
      <w:bookmarkEnd w:id="99"/>
    </w:p>
    <w:p w14:paraId="2EAA994D" w14:textId="77777777" w:rsidR="00041ADB" w:rsidRPr="00D23BF1" w:rsidRDefault="00041ADB" w:rsidP="00F20BE1">
      <w:pPr>
        <w:rPr>
          <w:rFonts w:ascii="Times" w:hAnsi="Times"/>
        </w:rPr>
      </w:pPr>
    </w:p>
    <w:p w14:paraId="61C7E7BA" w14:textId="77777777" w:rsidR="00041ADB" w:rsidRPr="00D23BF1" w:rsidRDefault="00041ADB" w:rsidP="00F20BE1">
      <w:pPr>
        <w:rPr>
          <w:rFonts w:ascii="Times" w:hAnsi="Times"/>
          <w:b/>
          <w:bCs/>
        </w:rPr>
      </w:pPr>
      <w:r w:rsidRPr="00D23BF1">
        <w:rPr>
          <w:rFonts w:ascii="Times" w:hAnsi="Times"/>
          <w:b/>
          <w:bCs/>
        </w:rPr>
        <w:t>Study species</w:t>
      </w:r>
    </w:p>
    <w:p w14:paraId="4D11B2B8" w14:textId="77777777" w:rsidR="00041ADB" w:rsidRPr="00D23BF1" w:rsidRDefault="00041ADB" w:rsidP="00F20BE1">
      <w:pPr>
        <w:rPr>
          <w:rFonts w:ascii="Times" w:hAnsi="Times"/>
        </w:rPr>
      </w:pPr>
      <w:r w:rsidRPr="00D23BF1">
        <w:rPr>
          <w:rFonts w:ascii="Times" w:hAnsi="Times"/>
        </w:rPr>
        <w:t>The Nuttall's White-Crowned Sparrow (</w:t>
      </w:r>
      <w:r w:rsidRPr="00D23BF1">
        <w:rPr>
          <w:rFonts w:ascii="Times" w:hAnsi="Times"/>
          <w:i/>
          <w:iCs/>
        </w:rPr>
        <w:t>Zonotrichia leucophrys nuttalli</w:t>
      </w:r>
      <w:r w:rsidRPr="00D23BF1">
        <w:rPr>
          <w:rFonts w:ascii="Times" w:hAnsi="Times"/>
        </w:rPr>
        <w:t xml:space="preserve">; NWCS), a sub-species of White-Crowned Sparrow, is an ideal candidate for studying the effects of urbanization on wild avian gut microbiomes. They are a coastal scrub species that breeds in both rural scrub </w:t>
      </w:r>
      <w:r w:rsidRPr="00D23BF1">
        <w:rPr>
          <w:rFonts w:ascii="Times" w:hAnsi="Times"/>
        </w:rPr>
        <w:lastRenderedPageBreak/>
        <w:t xml:space="preserve">habitats and urban parks, including in the San Francisco Bay Area </w:t>
      </w:r>
      <w:r w:rsidRPr="00D23BF1">
        <w:rPr>
          <w:rFonts w:ascii="Times" w:hAnsi="Times"/>
        </w:rPr>
        <w:fldChar w:fldCharType="begin" w:fldLock="1"/>
      </w:r>
      <w:r w:rsidRPr="00D23BF1">
        <w:rPr>
          <w:rFonts w:ascii="Times" w:hAnsi="Times"/>
        </w:rPr>
        <w:instrText>ADDIN CSL_CITATION {"citationItems":[{"id":"ITEM-1","itemData":{"DOI":"10.1007/s10980-007-9122-6","ISBN":"0921-2973","ISSN":"09212973","abstract":"Historical records provide information to land managers and landscape ecologists attempting to understand current trajectories in altered landscapes. In this study, we synthesized a heterogeneous array of historical sources to reconstruct historical land cover in California's Santa Clara Valley (a.k.a. ``Silicon Valley''). To increase and assess accuracy, we used the triangulation of overlapping, independent data sources and the application of certainty level standards. The region has been subject to extensive urbanization, so we also evaluated the applicability of historical landscape reconstructions to the altered landscape. We found evidence for five major land cover types prior to significant Euro--American modification. Valley freshwater marsh, wet meadow, alkali meadow, willow grove, and valley oak savanna have all experienced extreme decline (85--100%) since Euro--American settlement. However, comparison of historical land cover patterns to contemporary land use suggested several new strategies for environmental recovery, despite the limitations of surrounding urbanization. We also observed a temporal shift in riparian habitat along the mainstem of Coyote Creek, from a relatively open mixture of riparian scrub, sycamore woodland, and unvegetated gravel bars to dense riparian forest, likely resulting from stream flow regulation. By identifying former land cover patterns we provide a basis for evaluating local landscape change and setting restoration targets, including the identification of residual features and under-recognized land cover types. These findings suggest that reliable historical landscape reconstructions can be developed in the absence of standardized historical data sources and can be of value even in highly modified regions.","author":[{"dropping-particle":"","family":"Grossinger","given":"Robin M.","non-dropping-particle":"","parse-names":false,"suffix":""},{"dropping-particle":"","family":"Striplen","given":"Charles J.","non-dropping-particle":"","parse-names":false,"suffix":""},{"dropping-particle":"","family":"Askevold","given":"Ruth A.","non-dropping-particle":"","parse-names":false,"suffix":""},{"dropping-particle":"","family":"Brewster","given":"Elise","non-dropping-particle":"","parse-names":false,"suffix":""},{"dropping-particle":"","family":"Beller","given":"Erin E.","non-dropping-particle":"","parse-names":false,"suffix":""}],"container-title":"Landscape Ecology","id":"ITEM-1","issue":"SUPPL. 1","issued":{"date-parts":[["2007"]]},"page":"103-120","title":"Historical landscape ecology of an urbanized California valley: Wetlands and woodlands in the Santa Clara Valley","type":"article-journal","volume":"22"},"uris":["http://www.mendeley.com/documents/?uuid=7e04d785-3271-41e5-a32a-48f4e83dbaff"]}],"mendeley":{"formattedCitation":"&lt;sup&gt;32&lt;/sup&gt;","plainTextFormattedCitation":"32","previouslyFormattedCitation":"[32]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32</w:t>
      </w:r>
      <w:r w:rsidRPr="00D23BF1">
        <w:rPr>
          <w:rFonts w:ascii="Times" w:hAnsi="Times"/>
        </w:rPr>
        <w:fldChar w:fldCharType="end"/>
      </w:r>
      <w:r w:rsidRPr="00D23BF1">
        <w:rPr>
          <w:rFonts w:ascii="Times" w:hAnsi="Times"/>
        </w:rPr>
        <w:t xml:space="preserve">. Males defend a small territory during the breeding season and are residents year-round, making it feasible to identify important environmental variables that might affect their gut microbiome. They are relatively easy to capture, facilitating taking morphological measurements and collecting non-lethal samples of gut microbial communities (via cloacal swabs) </w:t>
      </w:r>
      <w:r w:rsidRPr="00D23BF1">
        <w:rPr>
          <w:rFonts w:ascii="Times" w:hAnsi="Times"/>
        </w:rPr>
        <w:fldChar w:fldCharType="begin" w:fldLock="1"/>
      </w:r>
      <w:r w:rsidRPr="00D23BF1">
        <w:rPr>
          <w:rFonts w:ascii="Times" w:hAnsi="Times"/>
        </w:rPr>
        <w:instrText>ADDIN CSL_CITATION {"citationItems":[{"id":"ITEM-1","itemData":{"DOI":"10.1111/ibi.12807","ISSN":"1474919X","abstract":"Gut microbial communities play critical roles in the biological functions of their host, such as mediating nutrient absorption, digesting food components the host cannot, and offering protection against enteric pathogens. Extensive research on gut microbial communities has been conducted on mammals, including humans and rodents, but much less work has been done in birds. Furthermore, much of the research on host–microbe interactions make use of faecal samples and rectal/cloacal swabs as a proxy for intestinal samples, which can be difficult to obtain directly. However, little is known about the overlap between the microbial communities of the gut, faeces and swabs, which limits interpretability of results based on faecal samples and swabs. To address this gap in knowledge, we compared the microbiome from five sample types – proventriculus, small intestine, large intestine, cloacal swabs and faeces – across individual Zebra Finches Taeniopygia guttata housed in constant conditions with a standardized diet. We compared diversity and community composition through 16S rRNA gene sequencing. Our results show that microbial communities from both cloacal swabs and faeces were distinct from proventriculus and small intestinal samples, but generally indistinguishable from large intestinal samples, indicating that these non-lethal samples may be useful proxies for large intestinal bacterial communities. Gaining insight into non-invasive sampling techniques for passerines has implications for studies of gut microbial diversity and abundance in wild bird populations. Furthermore, reliable non-lethal sampling is necessary for experiments where repeated sampling is required.","author":[{"dropping-particle":"","family":"Berlow","given":"Mae","non-dropping-particle":"","parse-names":false,"suffix":""},{"dropping-particle":"","family":"Kohl","given":"Kevin D.","non-dropping-particle":"","parse-names":false,"suffix":""},{"dropping-particle":"","family":"Derryberry","given":"Elizabeth P.","non-dropping-particle":"","parse-names":false,"suffix":""}],"container-title":"Ibis","id":"ITEM-1","issued":{"date-parts":[["2019","12","3"]]},"page":"ibi.12807","title":"Evaluation of non-lethal gut microbiome sampling methods in a passerine bird","type":"article-journal"},"uris":["http://www.mendeley.com/documents/?uuid=8964466e-d674-3773-8b40-73d72dfff6ef"]}],"mendeley":{"formattedCitation":"&lt;sup&gt;33&lt;/sup&gt;","plainTextFormattedCitation":"33","previouslyFormattedCitation":"[33]"},"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33</w:t>
      </w:r>
      <w:r w:rsidRPr="00D23BF1">
        <w:rPr>
          <w:rFonts w:ascii="Times" w:hAnsi="Times"/>
        </w:rPr>
        <w:fldChar w:fldCharType="end"/>
      </w:r>
      <w:r w:rsidRPr="00D23BF1">
        <w:rPr>
          <w:rFonts w:ascii="Times" w:hAnsi="Times"/>
        </w:rPr>
        <w:t xml:space="preserve">. </w:t>
      </w:r>
    </w:p>
    <w:p w14:paraId="3B02291E" w14:textId="77777777" w:rsidR="00041ADB" w:rsidRPr="00D23BF1" w:rsidRDefault="00041ADB" w:rsidP="00F20BE1">
      <w:pPr>
        <w:rPr>
          <w:rFonts w:ascii="Times" w:hAnsi="Times"/>
        </w:rPr>
      </w:pPr>
    </w:p>
    <w:p w14:paraId="5CF0296E" w14:textId="77777777" w:rsidR="00041ADB" w:rsidRPr="00D23BF1" w:rsidRDefault="00041ADB" w:rsidP="00F20BE1">
      <w:pPr>
        <w:rPr>
          <w:rFonts w:ascii="Times" w:hAnsi="Times"/>
          <w:b/>
          <w:bCs/>
        </w:rPr>
      </w:pPr>
      <w:r w:rsidRPr="00D23BF1">
        <w:rPr>
          <w:rFonts w:ascii="Times" w:hAnsi="Times"/>
          <w:b/>
          <w:bCs/>
        </w:rPr>
        <w:t>Study locations</w:t>
      </w:r>
    </w:p>
    <w:p w14:paraId="04725062" w14:textId="77777777" w:rsidR="00041ADB" w:rsidRPr="00D23BF1" w:rsidRDefault="00041ADB" w:rsidP="00F20BE1">
      <w:pPr>
        <w:rPr>
          <w:rFonts w:ascii="Times" w:hAnsi="Times"/>
        </w:rPr>
      </w:pPr>
      <w:r w:rsidRPr="00D23BF1">
        <w:rPr>
          <w:rFonts w:ascii="Times" w:hAnsi="Times"/>
        </w:rPr>
        <w:t>We sampled a total of 82 male birds during the breeding season between May 30</w:t>
      </w:r>
      <w:r w:rsidRPr="00D23BF1">
        <w:rPr>
          <w:rFonts w:ascii="Times" w:hAnsi="Times"/>
          <w:vertAlign w:val="superscript"/>
        </w:rPr>
        <w:t>th</w:t>
      </w:r>
      <w:r w:rsidRPr="00D23BF1">
        <w:rPr>
          <w:rFonts w:ascii="Times" w:hAnsi="Times"/>
        </w:rPr>
        <w:t xml:space="preserve"> and July 1</w:t>
      </w:r>
      <w:r w:rsidRPr="00D23BF1">
        <w:rPr>
          <w:rFonts w:ascii="Times" w:hAnsi="Times"/>
          <w:vertAlign w:val="superscript"/>
        </w:rPr>
        <w:t>st</w:t>
      </w:r>
      <w:r w:rsidRPr="00D23BF1">
        <w:rPr>
          <w:rFonts w:ascii="Times" w:hAnsi="Times"/>
        </w:rPr>
        <w:t xml:space="preserve"> 2016. We sampled male birds holding territories along ten transects. These transects occurred in both urban (n = 7) and rural (n = 3) locations (Fig. 7, Fig. S1; also described in [12]). Each transect was approximately 2 kilometers long (range 1.7 – 2.6 km) and we sampled approximately 10 males holding territories along each transect (see below). All transects occurred within a sampling area approximately 1400 sq km. These transects were designed for a separate study investgating the relationship between bird song production and noise levels, and so the transects occurred along noise gradients within both urban and rural landscapes </w:t>
      </w:r>
      <w:r w:rsidRPr="00D23BF1">
        <w:rPr>
          <w:rFonts w:ascii="Times" w:hAnsi="Times"/>
        </w:rPr>
        <w:fldChar w:fldCharType="begin" w:fldLock="1"/>
      </w:r>
      <w:r w:rsidRPr="00D23BF1">
        <w:rPr>
          <w:rFonts w:ascii="Times" w:hAnsi="Times"/>
        </w:rPr>
        <w:instrText>ADDIN CSL_CITATION {"citationItems":[{"id":"ITEM-1","itemData":{"DOI":"10.3389/fevo.2018.00148","ISSN":"2296-701X","abstract":"Urban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using spatial analyses of land cover (impervious, scrub, grass, and trees) at the regional level and territory level in urban San Francisco, CA and nearby rural Point Reyes, CA. We hypothesized that urbanization of habitats affects gut microbial composition and diversity through direct effects on diet and/or indirect environmental effects. We measured gut microbial community diversity from 16s rRNA sequences amplified from cloacal swabs. We find that the urban and rural microbiomes are significantly different, such that the urban microbiome is more diverse than the rural microbiome. This relationship may be due to a more variable landscape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provides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Evolution","id":"ITEM-1","issue":"September","issued":{"date-parts":[["2018"]]},"page":"1-10","title":"The Effects of Landscape Urbanization on the Gut Microbiome: An Exploration Into the Gut of Urban and Rural White-Crowned Sparrows","type":"article-journal","volume":"6"},"uris":["http://www.mendeley.com/documents/?uuid=57a5183b-159d-4236-8f35-16ec70fd1a5b"]}],"mendeley":{"formattedCitation":"&lt;sup&gt;12&lt;/sup&gt;","plainTextFormattedCitation":"12","previouslyFormattedCitation":"[12]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12</w:t>
      </w:r>
      <w:r w:rsidRPr="00D23BF1">
        <w:rPr>
          <w:rFonts w:ascii="Times" w:hAnsi="Times"/>
        </w:rPr>
        <w:fldChar w:fldCharType="end"/>
      </w:r>
      <w:r w:rsidRPr="00D23BF1">
        <w:rPr>
          <w:rFonts w:ascii="Times" w:hAnsi="Times"/>
        </w:rPr>
        <w:t>.  Noise transects also reflect changes in landscape, including increasing impervious surfaces in urban areas, where the main noise source is roads, and more open areas in rural areas, where the main noise source is ocean surf.  There were seven urban transects: five within the Presidio, one in Fort Funston near Lake Merced within San Francisco and one in the area of Richmond in the East Bay (Fig. 7). Presidio territories were in heavily trafficked park areas, many near the Golden Gate Bridge and other high traffic roads. Although Fort Funston is within the city of San Francisco and receives recreational foot traffic, it also contains areas closed to foot traffic where a number of sampled sparrows held territories. Richmond territories were largely in or near a suburban park or adjacent to residential yards. There were three rural noise transects: one each in Abbotts Lagoon, Limantour Beach, and Commonweal. All three of these sites occur within the Point Reyes National Seashore (Fig. S1). All rural sites were almost entirely scrub habitat of varying densities. Commonweal territories sometimes experience cattle grazing, Limantour territories were relatively close to the ocean compared to other rural territories, and Abbot’s Lagoon territories were inland along a freshwater to brackish pond.</w:t>
      </w:r>
    </w:p>
    <w:p w14:paraId="308276E6" w14:textId="77777777" w:rsidR="00041ADB" w:rsidRPr="00D23BF1" w:rsidRDefault="00041ADB" w:rsidP="00F20BE1">
      <w:pPr>
        <w:rPr>
          <w:rFonts w:ascii="Times" w:hAnsi="Times"/>
        </w:rPr>
      </w:pPr>
    </w:p>
    <w:p w14:paraId="18183158" w14:textId="77777777" w:rsidR="00041ADB" w:rsidRPr="00D23BF1" w:rsidRDefault="00041ADB" w:rsidP="00F20BE1">
      <w:pPr>
        <w:rPr>
          <w:rFonts w:ascii="Times" w:hAnsi="Times"/>
          <w:b/>
          <w:bCs/>
        </w:rPr>
      </w:pPr>
      <w:r w:rsidRPr="00D23BF1">
        <w:rPr>
          <w:rFonts w:ascii="Times" w:hAnsi="Times"/>
          <w:b/>
          <w:bCs/>
        </w:rPr>
        <w:t>Sampling and morphological measurements</w:t>
      </w:r>
    </w:p>
    <w:p w14:paraId="7329C3FF" w14:textId="77777777" w:rsidR="00041ADB" w:rsidRPr="00D23BF1" w:rsidRDefault="00041ADB" w:rsidP="00F20BE1">
      <w:pPr>
        <w:rPr>
          <w:rFonts w:ascii="Times" w:hAnsi="Times"/>
        </w:rPr>
      </w:pPr>
      <w:r w:rsidRPr="00D23BF1">
        <w:rPr>
          <w:rFonts w:ascii="Times" w:hAnsi="Times"/>
          <w:i/>
        </w:rPr>
        <w:tab/>
      </w:r>
      <w:r w:rsidRPr="00D23BF1">
        <w:rPr>
          <w:rFonts w:ascii="Times" w:hAnsi="Times"/>
        </w:rPr>
        <w:t>Males were captured using mist nets (Avinet Research Supplies; Portland, ME) set up on their breeding territory with playback of a local NWCS song as a lure between 7:00am and 1:00pm (</w:t>
      </w:r>
      <w:r w:rsidRPr="00D23BF1">
        <w:rPr>
          <w:rFonts w:ascii="Calibri" w:hAnsi="Calibri" w:cs="Calibri"/>
        </w:rPr>
        <w:t>﻿</w:t>
      </w:r>
      <w:r w:rsidRPr="00D23BF1">
        <w:rPr>
          <w:rFonts w:ascii="Times" w:hAnsi="Times"/>
        </w:rPr>
        <w:t xml:space="preserve">inMotion iMT320 speaker (Altec Lansing, New York, NY, U.S.A.). North and west coordinates were recorded using a Garmin GPS (Table S1), at the approximate center of each male's territory, as determined by multiple visits and observation of banded birds </w:t>
      </w:r>
      <w:r w:rsidRPr="00D23BF1">
        <w:rPr>
          <w:rFonts w:ascii="Times" w:hAnsi="Times"/>
        </w:rPr>
        <w:fldChar w:fldCharType="begin" w:fldLock="1"/>
      </w:r>
      <w:r w:rsidRPr="00D23BF1">
        <w:rPr>
          <w:rFonts w:ascii="Times" w:hAnsi="Times"/>
        </w:rPr>
        <w:instrText>ADDIN CSL_CITATION {"citationItems":[{"id":"ITEM-1","itemData":{"DOI":"10.1002/ecs2.2440","ISSN":"21508925","abstract":"Anthropogenic landscapes and soundscapes impose strong selective pressures on a number of species, which can manifest in changes in vocalizations, foraging strategies, predator vigilance, and reproductive success. However, few studies have examined survival rates, a major component of fitness, across urban landscapes and soundscapes. White-crowned sparrows (Zonotrichia leucophrys) persist in both urban and rural landscapes and change their behavior in response to the soundscape. We color-banded adult white-crowned sparrows and collected noise levels on their territories in the urban San Francisco Bay Area and adjacent rural Point Reyes National Seashore in California. We collected mark-encounter data on territorial males from 2014 to 2017. Using the Program MARK, we tested the effects of habitat (urban/rural) and territory noise level on annual survival rates and body condition. We predicted that survival and body condition would be lower in urban habitats and decrease with increasing background noise level on territories. We found that survival estimates vary according to year, and males in urban landscapes have higher survival. Noise levels best predict body condition, such that soundscape negatively correlates with male body condition. Taken together, the urban landscape and soundscape shape the survival and health of birds in and near cities.","author":[{"dropping-particle":"","family":"Phillips","given":"Jennifer N.","non-dropping-particle":"","parse-names":false,"suffix":""},{"dropping-particle":"","family":"Gentry","given":"Katherine E.","non-dropping-particle":"","parse-names":false,"suffix":""},{"dropping-particle":"","family":"Luther","given":"David A.","non-dropping-particle":"","parse-names":false,"suffix":""},{"dropping-particle":"","family":"Derryberry","given":"Elizabeth P.","non-dropping-particle":"","parse-names":false,"suffix":""}],"container-title":"Ecosphere","id":"ITEM-1","issue":"9","issued":{"date-parts":[["2018"]]},"page":"1-12","title":"Surviving in the city: higher apparent survival for urban birds but worse condition on noisy territories","type":"article-journal","volume":"9"},"uris":["http://www.mendeley.com/documents/?uuid=bea4092a-84a3-40f1-bf10-9157064997e8"]}],"mendeley":{"formattedCitation":"&lt;sup&gt;34&lt;/sup&gt;","plainTextFormattedCitation":"34","previouslyFormattedCitation":"[34]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34</w:t>
      </w:r>
      <w:r w:rsidRPr="00D23BF1">
        <w:rPr>
          <w:rFonts w:ascii="Times" w:hAnsi="Times"/>
        </w:rPr>
        <w:fldChar w:fldCharType="end"/>
      </w:r>
      <w:r w:rsidRPr="00D23BF1">
        <w:rPr>
          <w:rFonts w:ascii="Times" w:hAnsi="Times"/>
        </w:rPr>
        <w:t xml:space="preserve">. We sampled only males because they are the more aggressive defenders of the breeding territory and attacked the speaker more often, making them easier to capture. We did not include any females netted (n=4) because we wanted to achieve a sufficient sample size at each location, and sex differences in the gut microbiome are probable </w:t>
      </w:r>
      <w:r w:rsidRPr="00D23BF1">
        <w:rPr>
          <w:rFonts w:ascii="Times" w:hAnsi="Times"/>
        </w:rPr>
        <w:fldChar w:fldCharType="begin" w:fldLock="1"/>
      </w:r>
      <w:r w:rsidRPr="00D23BF1">
        <w:rPr>
          <w:rFonts w:ascii="Times" w:hAnsi="Times"/>
        </w:rPr>
        <w:instrText>ADDIN CSL_CITATION {"citationItems":[{"id":"ITEM-1","itemData":{"DOI":"10.1038/ncomms5500","ISBN":"2041-1723","ISSN":"2041-1723","PMID":"25072318","abstract":"Vertebrates harbour diverse communities of symbiotic gut microbes. Host diet is known to alter microbiota composition, implying that dietary treatments might alleviate diseases arising from altered microbial composition ('dysbiosis'). However, it remains unclear whether diet effects are general or depend on host genotype. Here we show that gut microbiota composition depends on interactions between host diet and sex within populations of wild and laboratory fish, laboratory mice and humans. Within each of two natural fish populations (threespine stickleback and Eurasian perch), among-individual diet variation is correlated with individual differences in gut microbiota. However, these diet-microbiota associations are sex dependent. We document similar sex-specific diet-microbiota correlations in humans. Experimental diet manipulations in laboratory stickleback and mice confirmed that diet affects microbiota differently in males versus females. The prevalence of such genotype by environment (sex by diet) interactions implies that therapies to treat dysbiosis might have sex-specific effects.","author":[{"dropping-particle":"","family":"Bolnick","given":"Daniel I","non-dropping-particle":"","parse-names":false,"suffix":""},{"dropping-particle":"","family":"Snowberg","given":"Lisa K","non-dropping-particle":"","parse-names":false,"suffix":""},{"dropping-particle":"","family":"Hirsch","given":"Philipp E","non-dropping-particle":"","parse-names":false,"suffix":""},{"dropping-particle":"","family":"Lauber","given":"Christian L","non-dropping-particle":"","parse-names":false,"suffix":""},{"dropping-particle":"","family":"Org","given":"Elin","non-dropping-particle":"","parse-names":false,"suffix":""},{"dropping-particle":"","family":"Parks","given":"Brian","non-dropping-particle":"","parse-names":false,"suffix":""},{"dropping-particle":"","family":"Lusis","given":"Aldons J","non-dropping-particle":"","parse-names":false,"suffix":""},{"dropping-particle":"","family":"Knight","given":"Rob","non-dropping-particle":"","parse-names":false,"suffix":""},{"dropping-particle":"","family":"Caporaso","given":"J Gregory","non-dropping-particle":"","parse-names":false,"suffix":""},{"dropping-particle":"","family":"Svanbäck","given":"Richard","non-dropping-particle":"","parse-names":false,"suffix":""}],"container-title":"Nature communications","id":"ITEM-1","issued":{"date-parts":[["2014"]]},"page":"4500","title":"Individual diet has sex-dependent effects on vertebrate gut microbiota.","type":"article-journal","volume":"5"},"uris":["http://www.mendeley.com/documents/?uuid=58b1064e-d405-4033-9f0a-dfa37a654cb7"]}],"mendeley":{"formattedCitation":"&lt;sup&gt;35&lt;/sup&gt;","plainTextFormattedCitation":"35","previouslyFormattedCitation":"[35]"},"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35</w:t>
      </w:r>
      <w:r w:rsidRPr="00D23BF1">
        <w:rPr>
          <w:rFonts w:ascii="Times" w:hAnsi="Times"/>
        </w:rPr>
        <w:fldChar w:fldCharType="end"/>
      </w:r>
      <w:r w:rsidRPr="00D23BF1">
        <w:rPr>
          <w:rFonts w:ascii="Times" w:hAnsi="Times"/>
        </w:rPr>
        <w:t xml:space="preserve">. For each bird, we recorded fat score, plumage wear, plumage fade, wing chord, mass, tarsus length, bill length, bill width, and bill depth measurements, following </w:t>
      </w:r>
      <w:r w:rsidRPr="00D23BF1">
        <w:rPr>
          <w:rFonts w:ascii="Times" w:hAnsi="Times"/>
        </w:rPr>
        <w:fldChar w:fldCharType="begin" w:fldLock="1"/>
      </w:r>
      <w:r w:rsidRPr="00D23BF1">
        <w:rPr>
          <w:rFonts w:ascii="Times" w:hAnsi="Times"/>
        </w:rPr>
        <w:instrText>ADDIN CSL_CITATION {"citationItems":[{"id":"ITEM-1","itemData":{"abstract":"Identification of birds not only means identifying the species of an individual, but also can include identifying its subspecies, sex, and age. Field identification of the age and sex of a bird can be impor-tant for studying many aspects of avian ecology and evolution, including life history evolution, reproductive ecology, and behav-ioral ecology. Ornithologists use a variety of characteristics to identify, sex, and age birds (Table 1). Molt and Plumage Patterns Feathers are not permanent structures, but are periodically shed and replaced. The process of shedding and replacing worn feathers is called molting, and the feather coats worn between molts are called plumages. Most birds in the Northern Hemisphere molt all flight and body feathers late in summer and undergo a second, more limited molt of body feathers in spring just before the breed-ing season. A complete understanding of the timing, sequence, and extent of molts is an essential aspect of the accurate aging and sex-ing of birds. Molt contributes to differences among individual birds in plumage color and patterns and feather shape and wear that can be used to identify the species, subspecies, sex, or age, depending on the taxon.","author":[{"dropping-particle":"","family":"Pyle","given":"P.","non-dropping-particle":"","parse-names":false,"suffix":""}],"id":"ITEM-1","issued":{"date-parts":[["1997"]]},"title":"Identification Guide to North American Birds","type":"chapter"},"uris":["http://www.mendeley.com/documents/?uuid=8e978a6c-3139-4ad5-a5fd-f72b7246f414"]}],"mendeley":{"formattedCitation":"&lt;sup&gt;36&lt;/sup&gt;","manualFormatting":"Pyle, 1997","plainTextFormattedCitation":"36","previouslyFormattedCitation":"[36]"},"properties":{"noteIndex":0},"schema":"https://github.com/citation-style-language/schema/raw/master/csl-citation.json"}</w:instrText>
      </w:r>
      <w:r w:rsidRPr="00D23BF1">
        <w:rPr>
          <w:rFonts w:ascii="Times" w:hAnsi="Times"/>
        </w:rPr>
        <w:fldChar w:fldCharType="separate"/>
      </w:r>
      <w:r w:rsidRPr="00D23BF1">
        <w:rPr>
          <w:rFonts w:ascii="Times" w:hAnsi="Times"/>
          <w:noProof/>
        </w:rPr>
        <w:t>Pyle, 1997</w:t>
      </w:r>
      <w:r w:rsidRPr="00D23BF1">
        <w:rPr>
          <w:rFonts w:ascii="Times" w:hAnsi="Times"/>
        </w:rPr>
        <w:fldChar w:fldCharType="end"/>
      </w:r>
      <w:r w:rsidRPr="00D23BF1">
        <w:rPr>
          <w:rFonts w:ascii="Times" w:hAnsi="Times"/>
        </w:rPr>
        <w:t xml:space="preserve">. We estimated body condition by calculating the scaled mass index using tarsus as the length variable </w:t>
      </w:r>
      <w:r w:rsidRPr="00D23BF1">
        <w:rPr>
          <w:rFonts w:ascii="Times" w:hAnsi="Times"/>
        </w:rPr>
        <w:fldChar w:fldCharType="begin" w:fldLock="1"/>
      </w:r>
      <w:r w:rsidRPr="00D23BF1">
        <w:rPr>
          <w:rFonts w:ascii="Times" w:hAnsi="Times"/>
        </w:rPr>
        <w:instrText>ADDIN CSL_CITATION {"citationItems":[{"id":"ITEM-1","itemData":{"DOI":"10.1111/j.1600-0706.2009.17643.x","ISSN":"00301299","abstract":"Body condition is assumed to influence an animal's health and fitness. Various non-destructive methods based on body mass and a measure of body length have been used as condition indices (CIs), but the dominant method amongst ecologists is currently the calculation of residuals from an ordinary least squares (OLS) regression of body mass against length. Recent studies of energy reserves in small mammals and starlings claimed to validate this method, although we argue that they did not include the most appropriate tests since they compared the CI with the absolute size of energy reserves. We present a novel CI (the 'scaled mass index') based on the central principle of scaling, with important methodological, biological and conceptual advantages. Through a reanalysis of data from small mammals, starlings and snakes, we show that the scaled mass index is a better indicator of the relative size of energy reserves and other body components than OLS residuals, performing better in all seven species and in 19 out of 20 analyses. We also present an empirical and theoretical comparison of the scaled mass index and OLS residuals as CIs. We argue that the scaled mass index is a useful new tool for ecologists. © 2009 Oikos.","author":[{"dropping-particle":"","family":"Peig","given":"Jordi","non-dropping-particle":"","parse-names":false,"suffix":""},{"dropping-particle":"","family":"Green","given":"Andy J.","non-dropping-particle":"","parse-names":false,"suffix":""}],"container-title":"Oikos","id":"ITEM-1","issue":"12","issued":{"date-parts":[["2009"]]},"page":"1883-1891","title":"New perspectives for estimating body condition from mass/length data: The scaled mass index as an alternative method","type":"article-journal","volume":"118"},"uris":["http://www.mendeley.com/documents/?uuid=7af3f439-6e16-45f9-a429-623c8f02c173"]}],"mendeley":{"formattedCitation":"&lt;sup&gt;37&lt;/sup&gt;","plainTextFormattedCitation":"37","previouslyFormattedCitation":"[37]"},"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37</w:t>
      </w:r>
      <w:r w:rsidRPr="00D23BF1">
        <w:rPr>
          <w:rFonts w:ascii="Times" w:hAnsi="Times"/>
        </w:rPr>
        <w:fldChar w:fldCharType="end"/>
      </w:r>
      <w:r w:rsidRPr="00D23BF1">
        <w:rPr>
          <w:rFonts w:ascii="Times" w:hAnsi="Times"/>
        </w:rPr>
        <w:t xml:space="preserve">. We collected cloacal swabs by cleaning the cloaca with an aseptic alcohol swab and inserting a sterile swab (Puritan 25-3316-U 6" Sterile Mini-Tipped Nylon Ultra Flocked Swab with Polystyrene Handle) completely into the cloaca and gently turning for 3-5 seconds. We used RNAlater to preserve swabs and stored them in a </w:t>
      </w:r>
      <w:r w:rsidRPr="00D23BF1">
        <w:rPr>
          <w:rFonts w:ascii="Times" w:hAnsi="Times"/>
        </w:rPr>
        <w:lastRenderedPageBreak/>
        <w:t>-20° C freezer within 12 hours of collecting. Sampling techniques were approved by Tulane University Institutional Animal Care and Use Committee (protocol 0427-R), Bird Banding Laboratory Permit (23900), California State Collecting Permit (6799), Golden Gate National Recreation Area (GGNRA) Scientific Research and Collecting Permit (GOGA-00079), San Francisco Parks and Recreation Permit (032014), and Point Reyes National Park Scientific Research and Collecting Permit (PORE-0014).</w:t>
      </w:r>
    </w:p>
    <w:p w14:paraId="24511555" w14:textId="77777777" w:rsidR="00041ADB" w:rsidRPr="00D23BF1" w:rsidRDefault="00041ADB" w:rsidP="00F20BE1">
      <w:pPr>
        <w:rPr>
          <w:rFonts w:ascii="Times" w:hAnsi="Times"/>
        </w:rPr>
      </w:pPr>
    </w:p>
    <w:p w14:paraId="55AC35EB" w14:textId="77777777" w:rsidR="00041ADB" w:rsidRPr="00D23BF1" w:rsidRDefault="00041ADB" w:rsidP="00F20BE1">
      <w:pPr>
        <w:rPr>
          <w:rFonts w:ascii="Times" w:hAnsi="Times"/>
          <w:b/>
          <w:bCs/>
        </w:rPr>
      </w:pPr>
      <w:r w:rsidRPr="00D23BF1">
        <w:rPr>
          <w:rFonts w:ascii="Times" w:hAnsi="Times"/>
          <w:b/>
          <w:bCs/>
        </w:rPr>
        <w:t>Environmental measurements</w:t>
      </w:r>
    </w:p>
    <w:p w14:paraId="4A9D629E" w14:textId="77777777" w:rsidR="00041ADB" w:rsidRPr="00D23BF1" w:rsidRDefault="00041ADB" w:rsidP="00F20BE1">
      <w:pPr>
        <w:rPr>
          <w:rFonts w:ascii="Times" w:hAnsi="Times"/>
        </w:rPr>
      </w:pPr>
      <w:r w:rsidRPr="00D23BF1">
        <w:rPr>
          <w:rFonts w:ascii="Times" w:hAnsi="Times"/>
        </w:rPr>
        <w:t xml:space="preserve">For each bird, we also collected data from their breeding territory on: ambient noise level (LAeq </w:t>
      </w:r>
      <w:r w:rsidRPr="00D23BF1">
        <w:rPr>
          <w:rFonts w:ascii="Calibri" w:hAnsi="Calibri" w:cs="Calibri"/>
        </w:rPr>
        <w:t>﻿</w:t>
      </w:r>
      <w:r w:rsidRPr="00D23BF1">
        <w:rPr>
          <w:rFonts w:ascii="Times" w:hAnsi="Times"/>
        </w:rPr>
        <w:t xml:space="preserve">dB re: 20 </w:t>
      </w:r>
      <w:r w:rsidRPr="00D23BF1">
        <w:rPr>
          <w:rFonts w:ascii="Calibri" w:hAnsi="Calibri" w:cs="Calibri"/>
        </w:rPr>
        <w:t>﻿</w:t>
      </w:r>
      <w:r w:rsidRPr="00D23BF1">
        <w:rPr>
          <w:rFonts w:ascii="Times" w:hAnsi="Times"/>
        </w:rPr>
        <w:t xml:space="preserve"> </w:t>
      </w:r>
      <w:r w:rsidRPr="00D23BF1">
        <w:rPr>
          <w:rFonts w:ascii="Times" w:hAnsi="Times" w:cs="Calibri"/>
        </w:rPr>
        <w:t>μ</w:t>
      </w:r>
      <w:r w:rsidRPr="00D23BF1">
        <w:rPr>
          <w:rFonts w:ascii="Times" w:hAnsi="Times"/>
        </w:rPr>
        <w:t xml:space="preserve">Pa, 8–20 kHz), percent tree, grass, scrub and impervious surface cover, distance to minor road, and distance to freeway.  Noise level was recorded using a Larson Davis Model 831 sound level meter with a preamplifier (Larson Davis, Depew, New York, USA). We recorded one minute of sound in each cardinal direction and calculated the average noise reading for each territory </w:t>
      </w:r>
      <w:r w:rsidRPr="00D23BF1">
        <w:rPr>
          <w:rFonts w:ascii="Times" w:hAnsi="Times"/>
        </w:rPr>
        <w:fldChar w:fldCharType="begin" w:fldLock="1"/>
      </w:r>
      <w:r w:rsidRPr="00D23BF1">
        <w:rPr>
          <w:rFonts w:ascii="Times" w:hAnsi="Times"/>
        </w:rPr>
        <w:instrText>ADDIN CSL_CITATION {"citationItems":[{"id":"ITEM-1","itemData":{"DOI":"10.1002/elps.200500921","ISBN":"0021-8790","ISSN":"01730835","PMID":"15258642","abstract":"1. The impact of environmental background noise on the performance of territorial songs was examined in free-ranging nightingales (Luscinia megarhynchos Brehm). An analysis of sound pressure levels revealed that males at noisier locations sang with higher sound levels than birds in territories less affected by background sounds. 2. This is the first evidence of a noise-dependent vocal amplitude regulation in the natural environment of an animal. 3. The results yielded demonstrate that the birds tried to mitigate the impairments on their communication caused by masking noise. This behaviour may help to maintain a given transmission distance of songs, which are used in territory defence and mate attraction. At the same time, birds forced to sing with higher amplitudes have to bear the increased costs of singing. 4. This suggests that in songbirds the level of environmental noise in a territory will contribute to its quality and thus considerably affect the behavioural ecology of singing males.","author":[{"dropping-particle":"","family":"Brumm","given":"H.","non-dropping-particle":"","parse-names":false,"suffix":""}],"container-title":"Journal of Animal Ecology","id":"ITEM-1","issued":{"date-parts":[["2004"]]},"page":"434-440","title":"The impact of environmental noise on song amplitude in a territorial bird","type":"article-journal","volume":"73"},"uris":["http://www.mendeley.com/documents/?uuid=7e4317af-bc11-4c63-a0ff-a11b30c4f8e0"]}],"mendeley":{"formattedCitation":"&lt;sup&gt;38&lt;/sup&gt;","manualFormatting":"(following Brumm 2004)","plainTextFormattedCitation":"38","previouslyFormattedCitation":"[38]"},"properties":{"noteIndex":0},"schema":"https://github.com/citation-style-language/schema/raw/master/csl-citation.json"}</w:instrText>
      </w:r>
      <w:r w:rsidRPr="00D23BF1">
        <w:rPr>
          <w:rFonts w:ascii="Times" w:hAnsi="Times"/>
        </w:rPr>
        <w:fldChar w:fldCharType="separate"/>
      </w:r>
      <w:r w:rsidRPr="00D23BF1">
        <w:rPr>
          <w:rFonts w:ascii="Times" w:hAnsi="Times"/>
          <w:noProof/>
        </w:rPr>
        <w:t>(following Brumm 2004)</w:t>
      </w:r>
      <w:r w:rsidRPr="00D23BF1">
        <w:rPr>
          <w:rFonts w:ascii="Times" w:hAnsi="Times"/>
        </w:rPr>
        <w:fldChar w:fldCharType="end"/>
      </w:r>
      <w:r w:rsidRPr="00D23BF1">
        <w:rPr>
          <w:rFonts w:ascii="Times" w:hAnsi="Times"/>
        </w:rPr>
        <w:t>. Readings interrupted by high wind or sudden noise were discarded and re-recorded. NWCS defend a territory with an approximately 50-meter radius, so we analyzed land cover data for a 50-meter radius around our GPS coordinates to calculate land cover. We created polygons using the polygon measuring tool for each land type (impervious, tree, shrub, grass) within our territory using Google Earth Pro high resolution imagery (Google, Mountain View, California, USA). To measure distance from freeways and minor roads, we used the Google Earth measuring tool to measure from the center of the territory to the closest small road and major road.</w:t>
      </w:r>
    </w:p>
    <w:p w14:paraId="12DD36F8" w14:textId="77777777" w:rsidR="00041ADB" w:rsidRPr="00D23BF1" w:rsidRDefault="00041ADB" w:rsidP="00F20BE1">
      <w:pPr>
        <w:rPr>
          <w:rFonts w:ascii="Times" w:hAnsi="Times"/>
        </w:rPr>
      </w:pPr>
    </w:p>
    <w:p w14:paraId="4B928D54" w14:textId="77777777" w:rsidR="00041ADB" w:rsidRPr="00D23BF1" w:rsidRDefault="00041ADB" w:rsidP="00F20BE1">
      <w:pPr>
        <w:rPr>
          <w:rFonts w:ascii="Times" w:hAnsi="Times"/>
          <w:b/>
          <w:bCs/>
        </w:rPr>
      </w:pPr>
      <w:r w:rsidRPr="00D23BF1">
        <w:rPr>
          <w:rFonts w:ascii="Times" w:hAnsi="Times"/>
          <w:b/>
          <w:bCs/>
        </w:rPr>
        <w:t>DNA Extraction and 16s Library Preparation</w:t>
      </w:r>
    </w:p>
    <w:p w14:paraId="5044A30F" w14:textId="77777777" w:rsidR="00041ADB" w:rsidRPr="00D23BF1" w:rsidRDefault="00041ADB" w:rsidP="00F20BE1">
      <w:pPr>
        <w:rPr>
          <w:rFonts w:ascii="Times" w:hAnsi="Times"/>
        </w:rPr>
      </w:pPr>
      <w:r w:rsidRPr="00D23BF1">
        <w:rPr>
          <w:rFonts w:ascii="Times" w:hAnsi="Times"/>
        </w:rPr>
        <w:t xml:space="preserve">We extracted DNA from cloacal swabs using the MoBio Powersoil extraction kit and recommended protocol, with modifications recommended by Vo and Jedlicka </w:t>
      </w:r>
      <w:r w:rsidRPr="00D23BF1">
        <w:rPr>
          <w:rFonts w:ascii="Times" w:hAnsi="Times"/>
        </w:rPr>
        <w:fldChar w:fldCharType="begin" w:fldLock="1"/>
      </w:r>
      <w:r w:rsidRPr="00D23BF1">
        <w:rPr>
          <w:rFonts w:ascii="Times" w:hAnsi="Times"/>
        </w:rPr>
        <w:instrText>ADDIN CSL_CITATION {"citationItems":[{"id":"ITEM-1","itemData":{"DOI":"10.1111/1755-0998.12269","ISSN":"1755098X","author":[{"dropping-particle":"","family":"Vo","given":"a.-T. E.","non-dropping-particle":"","parse-names":false,"suffix":""},{"dropping-particle":"","family":"Jedlicka","given":"J. a.","non-dropping-particle":"","parse-names":false,"suffix":""}],"container-title":"Molecular Ecology Resources","id":"ITEM-1","issue":"6","issued":{"date-parts":[["2014"]]},"note":"Methods for faecal swab\ncomparison to other GMB seque","page":"1183-1197","title":"Protocols for metagenomic DNA extraction and Illumina amplicon library preparation for faecal and swab samples","type":"article-journal","volume":"14"},"uris":["http://www.mendeley.com/documents/?uuid=c6baf98d-7dd9-4d28-9b5b-38b5d4998e58"]}],"mendeley":{"formattedCitation":"&lt;sup&gt;39&lt;/sup&gt;","plainTextFormattedCitation":"39","previouslyFormattedCitation":"[39]"},"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39</w:t>
      </w:r>
      <w:r w:rsidRPr="00D23BF1">
        <w:rPr>
          <w:rFonts w:ascii="Times" w:hAnsi="Times"/>
        </w:rPr>
        <w:fldChar w:fldCharType="end"/>
      </w:r>
      <w:r w:rsidRPr="00D23BF1">
        <w:rPr>
          <w:rFonts w:ascii="Times" w:hAnsi="Times"/>
        </w:rPr>
        <w:t xml:space="preserve">. Additionally, we combined solutions C2 and C3, which precipitate non-DNA substances to increase DNA yield as recommended by MoBio technicians (personal communication 2016). We also included an extraction blank to control for possible contamination, which did not successfully amplify after 6 PCR attempts. </w:t>
      </w:r>
    </w:p>
    <w:p w14:paraId="74306497" w14:textId="77777777" w:rsidR="00041ADB" w:rsidRPr="00D23BF1" w:rsidRDefault="00041ADB" w:rsidP="00F20BE1">
      <w:pPr>
        <w:rPr>
          <w:rFonts w:ascii="Times" w:hAnsi="Times"/>
        </w:rPr>
      </w:pPr>
      <w:r w:rsidRPr="00D23BF1">
        <w:rPr>
          <w:rFonts w:ascii="Times" w:hAnsi="Times"/>
        </w:rPr>
        <w:t xml:space="preserve"> We amplified the V4 region of the 16s rRNA gene using 515F/806R primers in 25ul reactions (Integrated DNA Technologies, Coralville, IA, USA)</w:t>
      </w:r>
      <w:r w:rsidRPr="00D23BF1">
        <w:rPr>
          <w:rFonts w:ascii="Times" w:hAnsi="Times"/>
        </w:rPr>
        <w:fldChar w:fldCharType="begin" w:fldLock="1"/>
      </w:r>
      <w:r w:rsidRPr="00D23BF1">
        <w:rPr>
          <w:rFonts w:ascii="Times" w:hAnsi="Times"/>
        </w:rPr>
        <w:instrText>ADDIN CSL_CITATION {"citationItems":[{"id":"ITEM-1","itemData":{"DOI":"10.1038/ismej.2012.8","ISSN":"17517362","abstract":"DNA sequencing continues to decrease in cost with the Illumina HiSeq2000 generating up to 600</w:instrText>
      </w:r>
      <w:r w:rsidRPr="00D23BF1">
        <w:rPr>
          <w:rFonts w:ascii="Times New Roman" w:hAnsi="Times New Roman" w:cs="Times New Roman"/>
        </w:rPr>
        <w:instrText> </w:instrText>
      </w:r>
      <w:r w:rsidRPr="00D23BF1">
        <w:rPr>
          <w:rFonts w:ascii="Times" w:hAnsi="Times"/>
        </w:rPr>
        <w:instrText>Gb of paired-end 100 base reads in a ten-day run. Here we present a protocol for community amplicon sequencing on the HiSeq2000 and MiSeq Illumina platforms, and apply that protocol to sequence 24 microbial communities from host-associated and free-living environments. A critical question as more sequencing platforms become available is whether biological conclusions derived on one platform are consistent with what would be derived on a different platform. We show that the protocol developed for these instruments successfully recaptures known biological results, and additionally that biological conclusions are consistent across sequencing platforms (the HiSeq2000 versus the MiSeq) and across the sequenced regions of amplicons.","author":[{"dropping-particle":"","family":"Caporaso","given":"J. Gregory","non-dropping-particle":"","parse-names":false,"suffix":""},{"dropping-particle":"","family":"Lauber","given":"Christian L.","non-dropping-particle":"","parse-names":false,"suffix":""},{"dropping-particle":"","family":"Walters","given":"William A.","non-dropping-particle":"","parse-names":false,"suffix":""},{"dropping-particle":"","family":"Berg-Lyons","given":"Donna","non-dropping-particle":"","parse-names":false,"suffix":""},{"dropping-particle":"","family":"Huntley","given":"James","non-dropping-particle":"","parse-names":false,"suffix":""},{"dropping-particle":"","family":"Fierer","given":"Noah","non-dropping-particle":"","parse-names":false,"suffix":""},{"dropping-particle":"","family":"Owens","given":"Sarah M.","non-dropping-particle":"","parse-names":false,"suffix":""},{"dropping-particle":"","family":"Betley","given":"Jason","non-dropping-particle":"","parse-names":false,"suffix":""},{"dropping-particle":"","family":"Fraser","given":"Louise","non-dropping-particle":"","parse-names":false,"suffix":""},{"dropping-particle":"","family":"Bauer","given":"Markus","non-dropping-particle":"","parse-names":false,"suffix":""},{"dropping-particle":"","family":"Gormley","given":"Niall","non-dropping-particle":"","parse-names":false,"suffix":""},{"dropping-particle":"","family":"Gilbert","given":"Jack A.","non-dropping-particle":"","parse-names":false,"suffix":""},{"dropping-particle":"","family":"Smith","given":"Geoff","non-dropping-particle":"","parse-names":false,"suffix":""},{"dropping-particle":"","family":"Knight","given":"Rob","non-dropping-particle":"","parse-names":false,"suffix":""}],"container-title":"ISME Journal","id":"ITEM-1","issue":"8","issued":{"date-parts":[["2012"]]},"page":"1621-1624","publisher":"Nature Publishing Group","title":"Ultra-high-throughput microbial community analysis on the Illumina HiSeq and MiSeq platforms","type":"article-journal","volume":"6"},"uris":["http://www.mendeley.com/documents/?uuid=22dedc49-6502-4e71-a0db-2f7dd7229486"]}],"mendeley":{"formattedCitation":"&lt;sup&gt;40&lt;/sup&gt;","plainTextFormattedCitation":"40","previouslyFormattedCitation":"[40]"},"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40</w:t>
      </w:r>
      <w:r w:rsidRPr="00D23BF1">
        <w:rPr>
          <w:rFonts w:ascii="Times" w:hAnsi="Times"/>
        </w:rPr>
        <w:fldChar w:fldCharType="end"/>
      </w:r>
      <w:r w:rsidRPr="00D23BF1">
        <w:rPr>
          <w:rFonts w:ascii="Times" w:hAnsi="Times"/>
        </w:rPr>
        <w:t>. Each reaction contained: 12 uL sterile, molecular grade water, 1 uL bovine serum albumin, 10 uL 5’ hot Mastermix by Thermo Fisher, 0.5 uL of each primer, and 2 uL of DNA template. Each reaction was performed in triplicate to reduce PCR bias. Water was used as a negative control for each set of reactions. Denaturation of DNA was initially performed at 94°C for 2 minutes, then cycling was carried out as follows: 94°C for 8 seconds, annealing at 50°C for 20 seconds, and extension at 72°C for 30 seconds; for 35 cycles. A final elongation was performed at 72°C for 10 minutes. PCR success was verified with gel electrophoresis.</w:t>
      </w:r>
    </w:p>
    <w:p w14:paraId="7F8FF581" w14:textId="77777777" w:rsidR="00041ADB" w:rsidRPr="00D23BF1" w:rsidRDefault="00041ADB" w:rsidP="00F20BE1">
      <w:pPr>
        <w:rPr>
          <w:rFonts w:ascii="Times" w:hAnsi="Times"/>
        </w:rPr>
      </w:pPr>
      <w:r w:rsidRPr="00D23BF1">
        <w:rPr>
          <w:rFonts w:ascii="Times" w:hAnsi="Times"/>
        </w:rPr>
        <w:t>We pooled each sample’s amplicon triplicates and added dual-end Illumina barcodes in the style of TruSeq HT primers (Illumina Inc., California USA). We used gel electrophoresis alongside untagged PCR product to confirm successful addition of tags. We normalized concentrations of all samples using a SequalPrep normalization kit from Thermo Fisher, then pooled PCR product and purified using Agencourt AmPure beads. GeneWiz, LLC sequenced our library on an Illumina MiSeq platform with v2 reagents, two by 250 base pairs.</w:t>
      </w:r>
    </w:p>
    <w:p w14:paraId="50CA516B" w14:textId="563B7817" w:rsidR="00041ADB" w:rsidRPr="00D23BF1" w:rsidRDefault="00041ADB" w:rsidP="00F20BE1">
      <w:pPr>
        <w:rPr>
          <w:rFonts w:ascii="Times" w:hAnsi="Times"/>
        </w:rPr>
      </w:pPr>
    </w:p>
    <w:p w14:paraId="427ADE20" w14:textId="77777777" w:rsidR="001D74DB" w:rsidRPr="00D23BF1" w:rsidRDefault="001D74DB" w:rsidP="00F20BE1">
      <w:pPr>
        <w:rPr>
          <w:rFonts w:ascii="Times" w:hAnsi="Times"/>
        </w:rPr>
      </w:pPr>
    </w:p>
    <w:p w14:paraId="7CA263F0" w14:textId="77777777" w:rsidR="00041ADB" w:rsidRPr="00D23BF1" w:rsidRDefault="00041ADB" w:rsidP="00F20BE1">
      <w:pPr>
        <w:rPr>
          <w:rFonts w:ascii="Times" w:hAnsi="Times"/>
          <w:b/>
          <w:bCs/>
        </w:rPr>
      </w:pPr>
      <w:r w:rsidRPr="00D23BF1">
        <w:rPr>
          <w:rFonts w:ascii="Times" w:hAnsi="Times"/>
          <w:b/>
          <w:bCs/>
        </w:rPr>
        <w:lastRenderedPageBreak/>
        <w:t>Sequence processing</w:t>
      </w:r>
    </w:p>
    <w:p w14:paraId="7CE0E7DE" w14:textId="77777777" w:rsidR="00041ADB" w:rsidRPr="00D23BF1" w:rsidRDefault="00041ADB" w:rsidP="00F20BE1">
      <w:pPr>
        <w:rPr>
          <w:rFonts w:ascii="Times" w:hAnsi="Times"/>
          <w:b/>
          <w:bCs/>
          <w:highlight w:val="yellow"/>
        </w:rPr>
      </w:pPr>
      <w:r w:rsidRPr="00D23BF1">
        <w:rPr>
          <w:rFonts w:ascii="Times" w:hAnsi="Times"/>
        </w:rPr>
        <w:t xml:space="preserve">Sequences were processed in </w:t>
      </w:r>
      <w:r w:rsidRPr="00D23BF1">
        <w:rPr>
          <w:rFonts w:ascii="Times" w:hAnsi="Times"/>
          <w:highlight w:val="white"/>
        </w:rPr>
        <w:t>QIIME2</w:t>
      </w:r>
      <w:r w:rsidRPr="00D23BF1">
        <w:rPr>
          <w:rFonts w:ascii="Times" w:hAnsi="Times"/>
        </w:rPr>
        <w:t xml:space="preserve"> version 2018.4 (qiime2.org) </w:t>
      </w:r>
      <w:r w:rsidRPr="00D23BF1">
        <w:rPr>
          <w:rFonts w:ascii="Times" w:hAnsi="Times"/>
        </w:rPr>
        <w:fldChar w:fldCharType="begin" w:fldLock="1"/>
      </w:r>
      <w:r w:rsidRPr="00D23BF1">
        <w:rPr>
          <w:rFonts w:ascii="Times" w:hAnsi="Times"/>
        </w:rPr>
        <w:instrText>ADDIN CSL_CITATION {"citationItems":[{"id":"ITEM-1","itemData":{"DOI":"10.1038/s41587-019-0209-9","ISSN":"1546-1696","author":[{"dropping-particle":"","family":"Bolyen","given":"Evan","non-dropping-particle":"","parse-names":false,"suffix":""},{"dropping-particle":"","family":"Rideout","given":"Jai Ram","non-dropping-particle":"","parse-names":false,"suffix":""},{"dropping-particle":"","family":"Dillon","given":"Matthew R.","non-dropping-particle":"","parse-names":false,"suffix":""},{"dropping-particle":"","family":"Bokulich","given":"Nicholas A.","non-dropping-particle":"","parse-names":false,"suffix":""},{"dropping-particle":"","family":"Chase","given":"John","non-dropping-particle":"","parse-names":false,"suffix":""},{"dropping-particle":"","family":"Cope","given":"Emily K.","non-dropping-particle":"","parse-names":false,"suffix":""},{"dropping-particle":"","family":"Gorlick","given":"Kestrel","non-dropping-particle":"","parse-names":false,"suffix":""},{"dropping-particle":"","family":"Keefe","given":"Christopher R.","non-dropping-particle":"","parse-names":false,"suffix":""},{"dropping-particle":"","family":"Keim","given":"Paul","non-dropping-particle":"","parse-names":false,"suffix":""},{"dropping-particle":"","family":"Kreps","given":"Jorden","non-dropping-particle":"","parse-names":false,"suffix":""},{"dropping-particle":"","family":"Naimey","given":"Ahmad Turan","non-dropping-particle":"","parse-names":false,"suffix":""},{"dropping-particle":"","family":"Pearson","given":"Talima","non-dropping-particle":"","parse-names":false,"suffix":""},{"dropping-particle":"","family":"Shiffer","given":"Arron","non-dropping-particle":"","parse-names":false,"suffix":""},{"dropping-particle":"","family":"Caporaso","given":"J. Gregory","non-dropping-particle":"","parse-names":false,"suffix":""},{"dropping-particle":"","family":"Abnet","given":"Christian C.","non-dropping-particle":"","parse-names":false,"suffix":""},{"dropping-particle":"","family":"Loftfield","given":"Erikka","non-dropping-particle":"","parse-names":false,"suffix":""},{"dropping-particle":"","family":"Sinha","given":"Rashmi","non-dropping-particle":"","parse-names":false,"suffix":""},{"dropping-particle":"","family":"Vogtmann","given":"Emily","non-dropping-particle":"","parse-names":false,"suffix":""},{"dropping-particle":"","family":"Wan","given":"Yunhu","non-dropping-particle":"","parse-names":false,"suffix":""},{"dropping-particle":"","family":"Al-Ghalith","given":"Gabriel A.","non-dropping-particle":"","parse-names":false,"suffix":""},{"dropping-particle":"","family":"Alexander","given":"Harriet","non-dropping-particle":"","parse-names":false,"suffix":""},{"dropping-particle":"","family":"Brown","given":"C. Titus","non-dropping-particle":"","parse-names":false,"suffix":""},{"dropping-particle":"","family":"Alm","given":"Eric J.","non-dropping-particle":"","parse-names":false,"suffix":""},{"dropping-particle":"","family":"Duvallet","given":"Claire","non-dropping-particle":"","parse-names":false,"suffix":""},{"dropping-particle":"","family":"Alm","given":"Eric J.","non-dropping-particle":"","parse-names":false,"suffix":""},{"dropping-particle":"","family":"Arumugam","given":"Manimozhiyan","non-dropping-particle":"","parse-names":false,"suffix":""},{"dropping-particle":"","family":"Brejnrod","given":"Asker","non-dropping-particle":"","parse-names":false,"suffix":""},{"dropping-particle":"","family":"Rasmussen","given":"Lasse Buur","non-dropping-particle":"","parse-names":false,"suffix":""},{"dropping-particle":"","family":"Asnicar","given":"Francesco","non-dropping-particle":"","parse-names":false,"suffix":""},{"dropping-particle":"","family":"Segata","given":"Nicola","non-dropping-particle":"","parse-names":false,"suffix":""},{"dropping-particle":"","family":"Bai","given":"Yang","non-dropping-particle":"","parse-names":false,"suffix":""},{"dropping-particle":"","family":"Liu","given":"Yong Xin","non-dropping-particle":"","parse-names":false,"suffix":""},{"dropping-particle":"","family":"Bai","given":"Yang","non-dropping-particle":"","parse-names":false,"suffix":""},{"dropping-particle":"","family":"Liu","given":"Yong Xin","non-dropping-particle":"","parse-names":false,"suffix":""},{"dropping-particle":"","family":"Bisanz","given":"Jordan E.","non-dropping-particle":"","parse-names":false,"suffix":""},{"dropping-particle":"","family":"Bittinger","given":"Kyle","non-dropping-particle":"","parse-names":false,"suffix":""},{"dropping-particle":"","family":"Brislawn","given":"Colin J.","non-dropping-particle":"","parse-names":false,"suffix":""},{"dropping-particle":"","family":"Callahan","given":"Benjamin J.","non-dropping-particle":"","parse-names":false,"suffix":""},{"dropping-particle":"","family":"Callahan","given":"Benjamin J.","non-dropping-particle":"","parse-names":false,"suffix":""},{"dropping-particle":"","family":"Caraballo-Rodríguez","given":"Andrés Mauricio","non-dropping-particle":"","parse-names":false,"suffix":""},{"dropping-particle":"","family":"Silva","given":"Ricardo","non-dropping-particle":"Da","parse-names":false,"suffix":""},{"dropping-particle":"","family":"Dorrestein","given":"Pieter C.","non-dropping-particle":"","parse-names":false,"suffix":""},{"dropping-particle":"","family":"Ernst","given":"Madeleine","non-dropping-particle":"","parse-names":false,"suffix":""},{"dropping-particle":"","family":"Gauglitz","given":"Julia M.","non-dropping-particle":"","parse-names":false,"suffix":""},{"dropping-particle":"","family":"Jarmusch","given":"Alan K.","non-dropping-particle":"","parse-names":false,"suffix":""},{"dropping-particle":"Bin","family":"Kang","given":"Kyo","non-dropping-particle":"","parse-names":false,"suffix":""},{"dropping-particle":"","family":"Koester","given":"Irina","non-dropping-particle":"","parse-names":false,"suffix":""},{"dropping-particle":"V.","family":"Melnik","given":"Alexey","non-dropping-particle":"","parse-names":false,"suffix":""},{"dropping-particle":"","family":"Nothias","given":"Louis Felix","non-dropping-particle":"","parse-names":false,"suffix":""},{"dropping-particle":"","family":"Petras","given":"Daniel","non-dropping-particle":"","parse-names":false,"suffix":""},{"dropping-particle":"","family":"Tripathi","given":"Anupriya","non-dropping-particle":"","parse-names":false,"suffix":""},{"dropping-particle":"","family":"Wang","given":"Mingxun","non-dropping-particle":"","parse-names":false,"suffix":""},{"dropping-particle":"","family":"Caporaso","given":"J. Gregory","non-dropping-particle":"","parse-names":false,"suffix":""},{"dropping-particle":"","family":"Diener","given":"Christian","non-dropping-particle":"","parse-names":false,"suffix":""},{"dropping-particle":"","family":"Gibbons","given":"Sean M.","non-dropping-particle":"","parse-names":false,"suffix":""},{"dropping-particle":"","family":"Douglas","given":"Gavin M.","non-dropping-particle":"","parse-names":false,"suffix":""},{"dropping-particle":"","family":"Durall","given":"Daniel M.","non-dropping-particle":"","parse-names":false,"suffix":""},{"dropping-particle":"","family":"Edwardson","given":"Christian F.","non-dropping-particle":"","parse-names":false,"suffix":""},{"dropping-particle":"","family":"Estaki","given":"Mehrbod","non-dropping-particle":"","parse-names":false,"suffix":""},{"dropping-particle":"","family":"Fouquier","given":"Jennifer","non-dropping-particle":"","parse-names":false,"suffix":""},{"dropping-particle":"","family":"Shaffer","given":"Michael","non-dropping-particle":"","parse-names":false,"suffix":""},{"dropping-particle":"","family":"Fouquier","given":"Jennifer","non-dropping-particle":"","parse-names":false,"suffix":""},{"dropping-particle":"","family":"Lozupone","given":"Catherine","non-dropping-particle":"","parse-names":false,"suffix":""},{"dropping-particle":"","family":"Pruesse","given":"Elmar","non-dropping-particle":"","parse-names":false,"suffix":""},{"dropping-particle":"","family":"Gibbons","given":"Sean M.","non-dropping-particle":"","parse-names":false,"suffix":""},{"dropping-particle":"","family":"Gibson","given":"Deanna L.","non-dropping-particle":"","parse-names":false,"suffix":""},{"dropping-particle":"","family":"Gonzalez","given":"Antonio","non-dropping-particle":"","parse-names":false,"suffix":""},{"dropping-particle":"","family":"Holste","given":"Hannes","non-dropping-particle":"","parse-names":false,"suffix":""},{"dropping-particle":"","family":"Marotz","given":"Clarisse","non-dropping-particle":"","parse-names":false,"suffix":""},{"dropping-particle":"","family":"McDonald","given":"Daniel","non-dropping-particle":"","parse-names":false,"suffix":""},{"dropping-particle":"","family":"Morton","given":"Jamie T.","non-dropping-particle":"","parse-names":false,"suffix":""},{"dropping-particle":"","family":"Navas-Molina","given":"Jose A.","non-dropping-particle":"","parse-names":false,"suffix":""},{"dropping-particle":"","family":"Song","given":"Se Jin","non-dropping-particle":"","parse-names":false,"suffix":""},{"dropping-particle":"","family":"Vázquez-Baeza","given":"Yoshiki","non-dropping-particle":"","parse-names":false,"suffix":""},{"dropping-particle":"","family":"Xu","given":"Zhenjiang Zech","non-dropping-particle":"","parse-names":false,"suffix":""},{"dropping-particle":"","family":"Zhu","given":"Qiyun","non-dropping-particle":"","parse-names":false,"suffix":""},{"dropping-particle":"","family":"Knight","given":"Rob","non-dropping-particle":"","parse-names":false,"suffix":""},{"dropping-particle":"","family":"Guo","given":"Jiarong","non-dropping-particle":"","parse-names":false,"suffix":""},{"dropping-particle":"","family":"Hillmann","given":"Benjamin","non-dropping-particle":"","parse-names":false,"suffix":""},{"dropping-particle":"","family":"Knights","given":"Dan","non-dropping-particle":"","parse-names":false,"suffix":""},{"dropping-particle":"","family":"Holmes","given":"Susan","non-dropping-particle":"","parse-names":false,"suffix":""},{"dropping-particle":"","family":"Holste","given":"Hannes","non-dropping-particle":"","parse-names":false,"suffix":""},{"dropping-particle":"","family":"Huttenhower","given":"Curtis","non-dropping-particle":"","parse-names":false,"suffix":""},{"dropping-particle":"","family":"McIver","given":"Lauren J.","non-dropping-particle":"","parse-names":false,"suffix":""},{"dropping-particle":"","family":"Huttenhower","given":"Curtis","non-dropping-particle":"","parse-names":false,"suffix":""},{"dropping-particle":"","family":"Huttley","given":"Gavin A.","non-dropping-particle":"","parse-names":false,"suffix":""},{"dropping-particle":"","family":"Kaehler","given":"Benjamin D.","non-dropping-particle":"","parse-names":false,"suffix":""},{"dropping-particle":"","family":"Janssen","given":"Stefan","non-dropping-particle":"","parse-names":false,"suffix":""},{"dropping-particle":"","family":"Jiang","given":"Lingjing","non-dropping-particle":"","parse-names":false,"suffix":""},{"dropping-particle":"Bin","family":"Kang","given":"Kyo","non-dropping-particle":"","parse-names":false,"suffix":""},{"dropping-particle":"","family":"Kelley","given":"Scott T.","non-dropping-particle":"","parse-names":false,"suffix":""},{"dropping-particle":"","family":"Kosciolek","given":"Tomasz","non-dropping-particle":"","parse-names":false,"suffix":""},{"dropping-particle":"","family":"Langille","given":"Morgan G.I.","non-dropping-particle":"","parse-names":false,"suffix":""},{"dropping-particle":"","family":"Lee","given":"Joslynn","non-dropping-particle":"","parse-names":false,"suffix":""},{"dropping-particle":"","family":"Ley","given":"Ruth","non-dropping-particle":"","parse-names":false,"suffix":""},{"dropping-particle":"","family":"Walters","given":"William","non-dropping-particle":"","parse-names":false,"suffix":""},{"dropping-particle":"","family":"Maher","given":"Massoud","non-dropping-particle":"","parse-names":false,"suffix":""},{"dropping-particle":"","family":"Navas-Molina","given":"Jose A.","non-dropping-particle":"","parse-names":false,"suffix":""},{"dropping-particle":"","family":"Martin","given":"Bryan D.","non-dropping-particle":"","parse-names":false,"suffix":""},{"dropping-particle":"","family":"Metcalf","given":"Jessica L.","non-dropping-particle":"","parse-names":false,"suffix":""}],"container-title":"Nature Biotechnology","id":"ITEM-1","issue":"8","issued":{"date-parts":[["2019"]]},"page":"852-857","title":"Reproducible, interactive, scalable and extensible microbiome data science using QIIME 2 (Nature Biotechnology, (2019), 37, 8, (852-857), 10.1038/s41587-019-0209-9)","type":"article-journal","volume":"37"},"uris":["http://www.mendeley.com/documents/?uuid=b7705651-ee9e-4678-a140-70ed567d4bb4"]}],"mendeley":{"formattedCitation":"&lt;sup&gt;41&lt;/sup&gt;","plainTextFormattedCitation":"41","previouslyFormattedCitation":"[41]"},"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41</w:t>
      </w:r>
      <w:r w:rsidRPr="00D23BF1">
        <w:rPr>
          <w:rFonts w:ascii="Times" w:hAnsi="Times"/>
        </w:rPr>
        <w:fldChar w:fldCharType="end"/>
      </w:r>
      <w:r w:rsidRPr="00D23BF1">
        <w:rPr>
          <w:rFonts w:ascii="Times" w:hAnsi="Times"/>
        </w:rPr>
        <w:t xml:space="preserve">. We used the Divisive Amplicon Denoising Algorithm (DADA) to remove sequence errors, and trim primers from sequences </w:t>
      </w:r>
      <w:r w:rsidRPr="00D23BF1">
        <w:rPr>
          <w:rFonts w:ascii="Times" w:hAnsi="Times"/>
        </w:rPr>
        <w:fldChar w:fldCharType="begin" w:fldLock="1"/>
      </w:r>
      <w:r w:rsidRPr="00D23BF1">
        <w:rPr>
          <w:rFonts w:ascii="Times" w:hAnsi="Times"/>
        </w:rPr>
        <w:instrText>ADDIN CSL_CITATION {"citationItems":[{"id":"ITEM-1","itemData":{"DOI":"10.1186/1471-2105-13-283","ISBN":"1471-2105 (Electronic)\\r1471-2105 (Linking)","ISSN":"14712105","PMID":"23113967","abstract":"BACKGROUND: PCR amplification and high-throughput sequencing theoretically enable the characterization of the finest-scale diversity in natural microbial and viral populations, but each of these methods introduces random errors that are difficult to distinguish from genuine biological diversity. Several approaches have been proposed to denoise these data but lack either speed or accuracy.\\n\\nRESULTS: We introduce a new denoising algorithm that we call DADA (Divisive Amplicon Denoising Algorithm). Without training data, DADA infers both the sample genotypes and error parameters that produced a metagenome data set. We demonstrate performance on control data sequenced on Roche's 454 platform, and compare the results to the most accurate denoising software currently available, AmpliconNoise.\\n\\nCONCLUSIONS: DADA is more accurate and over an order of magnitude faster than AmpliconNoise. It eliminates the need for training data to establish error parameters, fully utilizes sequence-abundance information, and enables inclusion of context-dependent PCR error rates. It should be readily extensible to other sequencing platforms such as Illumina.","author":[{"dropping-particle":"","family":"Rosen","given":"Michael J.","non-dropping-particle":"","parse-names":false,"suffix":""},{"dropping-particle":"","family":"Callahan","given":"Benjamin J.","non-dropping-particle":"","parse-names":false,"suffix":""},{"dropping-particle":"","family":"Fisher","given":"Daniel S.","non-dropping-particle":"","parse-names":false,"suffix":""},{"dropping-particle":"","family":"Holmes","given":"Susan P.","non-dropping-particle":"","parse-names":false,"suffix":""}],"container-title":"BMC Bioinformatics","id":"ITEM-1","issue":"1","issued":{"date-parts":[["2012"]]},"title":"Denoising PCR-amplified metagenome data","type":"article-journal","volume":"13"},"uris":["http://www.mendeley.com/documents/?uuid=c0247592-7a1b-4692-bcbe-9409a9e2e452"]}],"mendeley":{"formattedCitation":"&lt;sup&gt;42&lt;/sup&gt;","plainTextFormattedCitation":"42","previouslyFormattedCitation":"[42]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42</w:t>
      </w:r>
      <w:r w:rsidRPr="00D23BF1">
        <w:rPr>
          <w:rFonts w:ascii="Times" w:hAnsi="Times"/>
        </w:rPr>
        <w:fldChar w:fldCharType="end"/>
      </w:r>
      <w:r w:rsidRPr="00D23BF1">
        <w:rPr>
          <w:rFonts w:ascii="Times" w:hAnsi="Times"/>
        </w:rPr>
        <w:t xml:space="preserve">. We aligned sequences, then generated a phylogeny using FastTree, then rooted the tree at the midpoint </w:t>
      </w:r>
      <w:r w:rsidRPr="00D23BF1">
        <w:rPr>
          <w:rFonts w:ascii="Times" w:hAnsi="Times"/>
        </w:rPr>
        <w:fldChar w:fldCharType="begin" w:fldLock="1"/>
      </w:r>
      <w:r w:rsidRPr="00D23BF1">
        <w:rPr>
          <w:rFonts w:ascii="Times" w:hAnsi="Times"/>
        </w:rPr>
        <w:instrText>ADDIN CSL_CITATION {"citationItems":[{"id":"ITEM-1","itemData":{"DOI":"10.1371/journal.pone.0009490","ISBN":"1932-6203","ISSN":"19326203","PMID":"20224823","abstract":"We recently described FastTree, a tool for inferring phylogenies for alignments with up to hundreds of thousands of sequences. Here, we describe improvements to FastTree that improve its accuracy without sacrificing scalability.","author":[{"dropping-particle":"","family":"Price","given":"Morgan N.","non-dropping-particle":"","parse-names":false,"suffix":""},{"dropping-particle":"","family":"Dehal","given":"Paramvir S.","non-dropping-particle":"","parse-names":false,"suffix":""},{"dropping-particle":"","family":"Arkin","given":"Adam P.","non-dropping-particle":"","parse-names":false,"suffix":""}],"container-title":"PLoS ONE","id":"ITEM-1","issue":"3","issued":{"date-parts":[["2010"]]},"title":"FastTree 2 - Approximately maximum-likelihood trees for large alignments","type":"article-journal","volume":"5"},"uris":["http://www.mendeley.com/documents/?uuid=66bfd12e-4dad-496c-80f0-81e66cdd86bc"]}],"mendeley":{"formattedCitation":"&lt;sup&gt;43&lt;/sup&gt;","plainTextFormattedCitation":"43","previouslyFormattedCitation":"[43]"},"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43</w:t>
      </w:r>
      <w:r w:rsidRPr="00D23BF1">
        <w:rPr>
          <w:rFonts w:ascii="Times" w:hAnsi="Times"/>
        </w:rPr>
        <w:fldChar w:fldCharType="end"/>
      </w:r>
      <w:r w:rsidRPr="00D23BF1">
        <w:rPr>
          <w:rFonts w:ascii="Times" w:hAnsi="Times"/>
        </w:rPr>
        <w:t xml:space="preserve">. Sequences were grouped at 100% similarity (i.e. amplicon sequence variants). We assigned taxonomy using GreenGenes </w:t>
      </w:r>
      <w:r w:rsidRPr="00D23BF1">
        <w:rPr>
          <w:rFonts w:ascii="Times" w:hAnsi="Times"/>
        </w:rPr>
        <w:fldChar w:fldCharType="begin" w:fldLock="1"/>
      </w:r>
      <w:r w:rsidRPr="00D23BF1">
        <w:rPr>
          <w:rFonts w:ascii="Times" w:hAnsi="Times"/>
        </w:rPr>
        <w:instrText>ADDIN CSL_CITATION {"citationItems":[{"id":"ITEM-1","itemData":{"DOI":"10.1038/ismej.2011.139","ISBN":"1751-7370 (Electronic)\\r1751-7362 (Linking)","ISSN":"17517362","PMID":"22134646","abstract":"Reference phylogenies are crucial for providing a taxonomic framework for interpretation of marker gene and metagenomic surveys, which continue to reveal novel species at a remarkable rate. Greengenes is a dedicated full-length 16S rRNA gene database that provides users with a curated taxonomy based on de novo tree inference. We developed a 'taxonomy to tree' approach for transferring group names from an existing taxonomy to a tree topology, and used it to apply the Greengenes, National Center for Biotechnology Information (NCBI) and cyanoDB (Cyanobacteria only) taxonomies to a de novo tree comprising 408,315 sequences. We also incorporated explicit rank information provided by the NCBI taxonomy to group names (by prefixing rank designations) for better user orientation and classification consistency. The resulting merged taxonomy improved the classification of 75% of the sequences by one or more ranks relative to the original NCBI taxonomy with the most pronounced improvements occurring in under-classified environmental sequences. We also assessed candidate phyla (divisions) currently defined by NCBI and present recommendations for consolidation of 34 redundantly named groups. All intermediate results from the pipeline, which includes tree inference, jackknifing and transfer of a donor taxonomy to a recipient tree (tax2tree) are available for download. The improved Greengenes taxonomy should provide important infrastructure for a wide range of megasequencing projects studying ecosystems on scales ranging from our own bodies (the Human Microbiome Project) to the entire planet (the Earth Microbiome Project). The implementation of the software can be obtained from http://sourceforge.net/projects/tax2tree/.","author":[{"dropping-particle":"","family":"McDonald","given":"Daniel","non-dropping-particle":"","parse-names":false,"suffix":""},{"dropping-particle":"","family":"Price","given":"Morgan N.","non-dropping-particle":"","parse-names":false,"suffix":""},{"dropping-particle":"","family":"Goodrich","given":"Julia","non-dropping-particle":"","parse-names":false,"suffix":""},{"dropping-particle":"","family":"Nawrocki","given":"Eric P.","non-dropping-particle":"","parse-names":false,"suffix":""},{"dropping-particle":"","family":"Desantis","given":"Todd Z.","non-dropping-particle":"","parse-names":false,"suffix":""},{"dropping-particle":"","family":"Probst","given":"Alexander","non-dropping-particle":"","parse-names":false,"suffix":""},{"dropping-particle":"","family":"Andersen","given":"Gary L.","non-dropping-particle":"","parse-names":false,"suffix":""},{"dropping-particle":"","family":"Knight","given":"Rob","non-dropping-particle":"","parse-names":false,"suffix":""},{"dropping-particle":"","family":"Hugenholtz","given":"Philip","non-dropping-particle":"","parse-names":false,"suffix":""}],"container-title":"ISME Journal","id":"ITEM-1","issue":"3","issued":{"date-parts":[["2012"]]},"page":"610-618","publisher":"Nature Publishing Group","title":"An improved Greengenes taxonomy with explicit ranks for ecological and evolutionary analyses of bacteria and archaea","type":"article-journal","volume":"6"},"uris":["http://www.mendeley.com/documents/?uuid=4a678056-a5fc-4252-aafc-ac905e44194d"]}],"mendeley":{"formattedCitation":"&lt;sup&gt;44&lt;/sup&gt;","plainTextFormattedCitation":"44","previouslyFormattedCitation":"[44]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44</w:t>
      </w:r>
      <w:r w:rsidRPr="00D23BF1">
        <w:rPr>
          <w:rFonts w:ascii="Times" w:hAnsi="Times"/>
        </w:rPr>
        <w:fldChar w:fldCharType="end"/>
      </w:r>
      <w:r w:rsidRPr="00D23BF1">
        <w:rPr>
          <w:rFonts w:ascii="Times" w:hAnsi="Times"/>
        </w:rPr>
        <w:t>. Finally, we filtered out all mitochondrial, chloroplast, and archaeal sequences. We obtained a total of 5,973,986 sequences (mean=104,859, SD=73,186; see Table S1 for sequence and OTU counts for each sample). All sequences are available on the NCBI sequence repository (PRJNA634155). Scripts for processing sequences and replicating all analyses are available on Git Hub (https://github.com/mBerlow/urbangutmicrob2020).</w:t>
      </w:r>
    </w:p>
    <w:p w14:paraId="5B2C2F40" w14:textId="77777777" w:rsidR="00041ADB" w:rsidRPr="00D23BF1" w:rsidRDefault="00041ADB" w:rsidP="00F20BE1">
      <w:pPr>
        <w:rPr>
          <w:rFonts w:ascii="Times" w:hAnsi="Times"/>
        </w:rPr>
      </w:pPr>
    </w:p>
    <w:p w14:paraId="491D90FA" w14:textId="77777777" w:rsidR="00041ADB" w:rsidRPr="00D23BF1" w:rsidRDefault="00041ADB" w:rsidP="00F20BE1">
      <w:pPr>
        <w:rPr>
          <w:rFonts w:ascii="Times" w:hAnsi="Times"/>
          <w:b/>
          <w:bCs/>
        </w:rPr>
      </w:pPr>
      <w:r w:rsidRPr="00D23BF1">
        <w:rPr>
          <w:rFonts w:ascii="Times" w:hAnsi="Times"/>
          <w:b/>
          <w:bCs/>
        </w:rPr>
        <w:t>Data Analyses</w:t>
      </w:r>
    </w:p>
    <w:p w14:paraId="0E4FA1C9" w14:textId="77777777" w:rsidR="00041ADB" w:rsidRPr="00D23BF1" w:rsidRDefault="00041ADB" w:rsidP="00F20BE1">
      <w:pPr>
        <w:rPr>
          <w:rFonts w:ascii="Times" w:hAnsi="Times"/>
          <w:i/>
          <w:color w:val="000000"/>
        </w:rPr>
      </w:pPr>
      <w:r w:rsidRPr="00D23BF1">
        <w:rPr>
          <w:rFonts w:ascii="Times" w:hAnsi="Times"/>
          <w:i/>
          <w:color w:val="000000"/>
        </w:rPr>
        <w:t>Environmental and morphological variables</w:t>
      </w:r>
    </w:p>
    <w:p w14:paraId="1FFE6321" w14:textId="77777777" w:rsidR="00041ADB" w:rsidRPr="00D23BF1" w:rsidRDefault="00041ADB" w:rsidP="00F20BE1">
      <w:pPr>
        <w:rPr>
          <w:rFonts w:ascii="Times" w:hAnsi="Times"/>
          <w:color w:val="000000"/>
        </w:rPr>
      </w:pPr>
      <w:r w:rsidRPr="00D23BF1">
        <w:rPr>
          <w:rFonts w:ascii="Times" w:hAnsi="Times"/>
          <w:color w:val="000000"/>
        </w:rPr>
        <w:t xml:space="preserve">We analyzed whether our measured environmental and morphological variables varied between urban and rural habitats and among the </w:t>
      </w:r>
      <w:r w:rsidRPr="00D23BF1">
        <w:rPr>
          <w:rFonts w:ascii="Times" w:hAnsi="Times"/>
        </w:rPr>
        <w:t>ten</w:t>
      </w:r>
      <w:r w:rsidRPr="00D23BF1">
        <w:rPr>
          <w:rFonts w:ascii="Times" w:hAnsi="Times"/>
          <w:color w:val="000000"/>
        </w:rPr>
        <w:t xml:space="preserve"> transects using Welch’s</w:t>
      </w:r>
      <w:r w:rsidRPr="00D23BF1">
        <w:rPr>
          <w:rFonts w:ascii="Times" w:hAnsi="Times"/>
        </w:rPr>
        <w:t xml:space="preserve"> two sample t-tests</w:t>
      </w:r>
      <w:r w:rsidRPr="00D23BF1">
        <w:rPr>
          <w:rFonts w:ascii="Times" w:hAnsi="Times"/>
          <w:color w:val="000000"/>
        </w:rPr>
        <w:t>.</w:t>
      </w:r>
    </w:p>
    <w:p w14:paraId="7D2DAAEC" w14:textId="77777777" w:rsidR="00041ADB" w:rsidRPr="00D23BF1" w:rsidRDefault="00041ADB" w:rsidP="00F20BE1">
      <w:pPr>
        <w:rPr>
          <w:rFonts w:ascii="Times" w:hAnsi="Times"/>
          <w:i/>
        </w:rPr>
      </w:pPr>
    </w:p>
    <w:p w14:paraId="5C0319F1" w14:textId="77777777" w:rsidR="00041ADB" w:rsidRPr="00D23BF1" w:rsidRDefault="00041ADB" w:rsidP="00F20BE1">
      <w:pPr>
        <w:rPr>
          <w:rFonts w:ascii="Times" w:hAnsi="Times"/>
          <w:i/>
          <w:iCs/>
        </w:rPr>
      </w:pPr>
      <w:r w:rsidRPr="00D23BF1">
        <w:rPr>
          <w:rFonts w:ascii="Times" w:hAnsi="Times"/>
          <w:i/>
          <w:iCs/>
        </w:rPr>
        <w:t>Bacteria taxa</w:t>
      </w:r>
    </w:p>
    <w:p w14:paraId="7E071647" w14:textId="77777777" w:rsidR="00041ADB" w:rsidRPr="00D23BF1" w:rsidRDefault="00041ADB" w:rsidP="00F20BE1">
      <w:pPr>
        <w:rPr>
          <w:rFonts w:ascii="Times" w:hAnsi="Times"/>
        </w:rPr>
      </w:pPr>
      <w:r w:rsidRPr="00D23BF1">
        <w:rPr>
          <w:rFonts w:ascii="Times" w:hAnsi="Times"/>
        </w:rPr>
        <w:t xml:space="preserve">To identify bacterial taxa that are differentially abundant between urban and rural populations we performed linear discriminant analysis effect size (LEfSe). This was accomplished by uploading a rarefied ASV table to the Galaxy project platform, and using the LEfSe module by the Huttenhower lab </w:t>
      </w:r>
      <w:r w:rsidRPr="00D23BF1">
        <w:rPr>
          <w:rFonts w:ascii="Times" w:hAnsi="Times"/>
        </w:rPr>
        <w:fldChar w:fldCharType="begin" w:fldLock="1"/>
      </w:r>
      <w:r w:rsidRPr="00D23BF1">
        <w:rPr>
          <w:rFonts w:ascii="Times" w:hAnsi="Times"/>
        </w:rPr>
        <w:instrText>ADDIN CSL_CITATION {"citationItems":[{"id":"ITEM-1","itemData":{"DOI":"10.1186/gb-2011-12-6-r60","ISSN":"14747596","PMID":"21702898","abstract":"This study describes and validates a new method for metagenomic biomarker discovery by way of class comparison, tests of biological consistency and effect size estimation. This addresses the challenge of finding organisms, genes, or pathways that consistently explain the differences between two or more microbial communities, which is a central problem to the study of metagenomics. We extensively validate our method on several microbiomes and a convenient online interface for the method is provided at http://huttenhower.sph.harvard.edu/lefse/ . © 2011 Segata et al.; licensee BioMed Central Ltd.","author":[{"dropping-particle":"","family":"Segata","given":"Nicola","non-dropping-particle":"","parse-names":false,"suffix":""},{"dropping-particle":"","family":"Izard","given":"Jacques","non-dropping-particle":"","parse-names":false,"suffix":""},{"dropping-particle":"","family":"Waldron","given":"Levi","non-dropping-particle":"","parse-names":false,"suffix":""},{"dropping-particle":"","family":"Gevers","given":"Dirk","non-dropping-particle":"","parse-names":false,"suffix":""},{"dropping-particle":"","family":"Miropolsky","given":"Larisa","non-dropping-particle":"","parse-names":false,"suffix":""},{"dropping-particle":"","family":"Garrett","given":"Wendy S.","non-dropping-particle":"","parse-names":false,"suffix":""},{"dropping-particle":"","family":"Huttenhower","given":"Curtis","non-dropping-particle":"","parse-names":false,"suffix":""}],"container-title":"Genome Biology","id":"ITEM-1","issue":"6","issued":{"date-parts":[["2011"]]},"page":"R60","publisher":"BioMed Central Ltd","title":"Metagenomic biomarker discovery and explanation","type":"article-journal","volume":"12"},"uris":["http://www.mendeley.com/documents/?uuid=8eb1c30a-66df-4f5a-bf4d-bb925fc56b26"]}],"mendeley":{"formattedCitation":"&lt;sup&gt;45&lt;/sup&gt;","plainTextFormattedCitation":"45","previouslyFormattedCitation":"[45]"},"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45</w:t>
      </w:r>
      <w:r w:rsidRPr="00D23BF1">
        <w:rPr>
          <w:rFonts w:ascii="Times" w:hAnsi="Times"/>
        </w:rPr>
        <w:fldChar w:fldCharType="end"/>
      </w:r>
      <w:r w:rsidRPr="00D23BF1">
        <w:rPr>
          <w:rFonts w:ascii="Times" w:hAnsi="Times"/>
        </w:rPr>
        <w:t>. LEfSe uses a Kruskal-Wallis rank-sum test to identify taxa that differ between groups and to test for uniformity among groups. Last, to determine effect size of differential taxa, it uses linear discriminant analysis (LDA) and creates a histogram.</w:t>
      </w:r>
    </w:p>
    <w:p w14:paraId="70EE98ED" w14:textId="77777777" w:rsidR="00041ADB" w:rsidRPr="00D23BF1" w:rsidRDefault="00041ADB" w:rsidP="00F20BE1">
      <w:pPr>
        <w:rPr>
          <w:rFonts w:ascii="Times" w:hAnsi="Times"/>
        </w:rPr>
      </w:pPr>
    </w:p>
    <w:p w14:paraId="0C6DB51C" w14:textId="77777777" w:rsidR="00041ADB" w:rsidRPr="00D23BF1" w:rsidRDefault="00041ADB" w:rsidP="00F20BE1">
      <w:pPr>
        <w:rPr>
          <w:rFonts w:ascii="Times" w:hAnsi="Times"/>
          <w:i/>
          <w:iCs/>
        </w:rPr>
      </w:pPr>
      <w:r w:rsidRPr="00D23BF1">
        <w:rPr>
          <w:rFonts w:ascii="Times" w:hAnsi="Times"/>
          <w:i/>
          <w:iCs/>
        </w:rPr>
        <w:t>Alpha diversity analyses</w:t>
      </w:r>
    </w:p>
    <w:p w14:paraId="67C9B422" w14:textId="77777777" w:rsidR="00041ADB" w:rsidRPr="00D23BF1" w:rsidRDefault="00041ADB" w:rsidP="00F20BE1">
      <w:pPr>
        <w:rPr>
          <w:rFonts w:ascii="Times" w:hAnsi="Times"/>
        </w:rPr>
      </w:pPr>
      <w:r w:rsidRPr="00D23BF1">
        <w:rPr>
          <w:rFonts w:ascii="Times" w:hAnsi="Times"/>
        </w:rPr>
        <w:t xml:space="preserve">Alpha diversity metrics were calculated from an OTU table rarefied to a depth of 1000 sequences. Alpha diversity was measured using Hill numbers, which provide multiple measures of alpha diversity in the same units (effective number of species). Hill number transformations are calculated as orders of q, written as </w:t>
      </w:r>
      <w:r w:rsidRPr="00D23BF1">
        <w:rPr>
          <w:rFonts w:ascii="Times" w:hAnsi="Times"/>
          <w:vertAlign w:val="superscript"/>
        </w:rPr>
        <w:t>q</w:t>
      </w:r>
      <w:r w:rsidRPr="00D23BF1">
        <w:rPr>
          <w:rFonts w:ascii="Times" w:hAnsi="Times"/>
        </w:rPr>
        <w:t>D, with q of 0 (</w:t>
      </w:r>
      <w:r w:rsidRPr="00D23BF1">
        <w:rPr>
          <w:rFonts w:ascii="Times" w:hAnsi="Times"/>
          <w:vertAlign w:val="superscript"/>
        </w:rPr>
        <w:t>0</w:t>
      </w:r>
      <w:r w:rsidRPr="00D23BF1">
        <w:rPr>
          <w:rFonts w:ascii="Times" w:hAnsi="Times"/>
        </w:rPr>
        <w:t>D) representing bacterial richness, q of 1 (</w:t>
      </w:r>
      <w:r w:rsidRPr="00D23BF1">
        <w:rPr>
          <w:rFonts w:ascii="Times" w:hAnsi="Times"/>
          <w:vertAlign w:val="superscript"/>
        </w:rPr>
        <w:t>1</w:t>
      </w:r>
      <w:r w:rsidRPr="00D23BF1">
        <w:rPr>
          <w:rFonts w:ascii="Times" w:hAnsi="Times"/>
        </w:rPr>
        <w:t>D)</w:t>
      </w:r>
      <w:r w:rsidRPr="00D23BF1" w:rsidDel="00F83EBF">
        <w:rPr>
          <w:rFonts w:ascii="Times" w:hAnsi="Times"/>
        </w:rPr>
        <w:t xml:space="preserve"> </w:t>
      </w:r>
      <w:r w:rsidRPr="00D23BF1">
        <w:rPr>
          <w:rFonts w:ascii="Times" w:hAnsi="Times"/>
        </w:rPr>
        <w:t>representing exponential of Shannon entropy, including both richness and evenness, and q of 2 (</w:t>
      </w:r>
      <w:r w:rsidRPr="00D23BF1">
        <w:rPr>
          <w:rFonts w:ascii="Times" w:hAnsi="Times"/>
          <w:vertAlign w:val="superscript"/>
        </w:rPr>
        <w:t>2</w:t>
      </w:r>
      <w:r w:rsidRPr="00D23BF1">
        <w:rPr>
          <w:rFonts w:ascii="Times" w:hAnsi="Times"/>
        </w:rPr>
        <w:t>D)</w:t>
      </w:r>
      <w:r w:rsidRPr="00D23BF1" w:rsidDel="00F83EBF">
        <w:rPr>
          <w:rFonts w:ascii="Times" w:hAnsi="Times"/>
        </w:rPr>
        <w:t xml:space="preserve"> </w:t>
      </w:r>
      <w:r w:rsidRPr="00D23BF1">
        <w:rPr>
          <w:rFonts w:ascii="Times" w:hAnsi="Times"/>
        </w:rPr>
        <w:t xml:space="preserve">representing the inverse of Simpson’s index wherein species are weighted according to their abundance </w:t>
      </w:r>
      <w:r w:rsidRPr="00D23BF1">
        <w:rPr>
          <w:rFonts w:ascii="Times" w:hAnsi="Times"/>
        </w:rPr>
        <w:fldChar w:fldCharType="begin" w:fldLock="1"/>
      </w:r>
      <w:r w:rsidRPr="00D23BF1">
        <w:rPr>
          <w:rFonts w:ascii="Times" w:hAnsi="Times"/>
        </w:rPr>
        <w:instrText>ADDIN CSL_CITATION {"citationItems":[{"id":"ITEM-1","itemData":{"DOI":"10.1146/annurev-ecolsys-120213-091540","ISBN":"10.1146/annurev-ecolsys-120213-091540","ISSN":"1543-592X","abstract":"Hillnumbersor the effectivenumberof species are increasingly used to quan- tify species diversity of an assemblage. Hill numbers were recently extended to phylogenetic diversity, which incorporates species evolutionary history, as well as to functional diversity, which considers the differences among species traits. We review these extensions and integrate them into a frame- work of attribute diversity (the effective number of entities or total attribute value) based on Hill numbers of taxonomic entities (species), phylogenetic entities (branches of unit-length), or functional entities (species-pairs with unit-distance between species). This framework unifies ecologists’ measures of species diversity, phylogenetic diversity, and distance-based functional di- versity. It also provides a unified method of decomposing these diversities and constructing normalized taxonomic, phylogenetic, and functional sim- ilarity and differentiation measures, including N-assemblage phylogenetic or functional generalizations of the classic Jaccard, Sørensen, Horn, and Morisita-Horn indexes. A real example shows how this framework extracts ecological meaning from complex data. 297","author":[{"dropping-particle":"","family":"Chao","given":"Anne","non-dropping-particle":"","parse-names":false,"suffix":""},{"dropping-particle":"","family":"Chiu","given":"Chun-Huo","non-dropping-particle":"","parse-names":false,"suffix":""},{"dropping-particle":"","family":"Jost","given":"Lou","non-dropping-particle":"","parse-names":false,"suffix":""}],"container-title":"Annual Review of Ecology, Evolution, and Systematics","id":"ITEM-1","issue":"1","issued":{"date-parts":[["2014"]]},"page":"297-324","title":"Unifying Species Diversity, Phylogenetic Diversity, Functional Diversity, and Related Similarity and Differentiation Measures Through Hill Numbers","type":"article-journal","volume":"45"},"uris":["http://www.mendeley.com/documents/?uuid=81373d02-8d30-4903-9f15-db4279a7d52f"]}],"mendeley":{"formattedCitation":"&lt;sup&gt;46&lt;/sup&gt;","plainTextFormattedCitation":"46","previouslyFormattedCitation":"[46]"},"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46</w:t>
      </w:r>
      <w:r w:rsidRPr="00D23BF1">
        <w:rPr>
          <w:rFonts w:ascii="Times" w:hAnsi="Times"/>
        </w:rPr>
        <w:fldChar w:fldCharType="end"/>
      </w:r>
      <w:r w:rsidRPr="00D23BF1">
        <w:rPr>
          <w:rFonts w:ascii="Times" w:hAnsi="Times"/>
        </w:rPr>
        <w:t>. This means that the effective number of species</w:t>
      </w:r>
      <w:r w:rsidRPr="00D23BF1" w:rsidDel="00F83EBF">
        <w:rPr>
          <w:rFonts w:ascii="Times" w:hAnsi="Times"/>
        </w:rPr>
        <w:t xml:space="preserve"> </w:t>
      </w:r>
      <w:r w:rsidRPr="00D23BF1">
        <w:rPr>
          <w:rFonts w:ascii="Times" w:hAnsi="Times"/>
        </w:rPr>
        <w:t xml:space="preserve">is less sensitive to rare bacteria (diversity) as q increases. Hill numbers were calculated using the ‘d’ function in the R package ‘vegetarian’ </w:t>
      </w:r>
      <w:r w:rsidRPr="00D23BF1">
        <w:rPr>
          <w:rFonts w:ascii="Times" w:hAnsi="Times"/>
        </w:rPr>
        <w:fldChar w:fldCharType="begin" w:fldLock="1"/>
      </w:r>
      <w:r w:rsidRPr="00D23BF1">
        <w:rPr>
          <w:rFonts w:ascii="Times" w:hAnsi="Times"/>
        </w:rPr>
        <w:instrText>ADDIN CSL_CITATION {"citationItems":[{"id":"ITEM-1","itemData":{"ISBN":"0012-9658","author":[{"dropping-particle":"","family":"Jost","given":"Lou","non-dropping-particle":"","parse-names":false,"suffix":""}],"container-title":"Ecology","id":"ITEM-1","issue":"12","issued":{"date-parts":[["2009"]]},"page":"3593","title":"Partitioning diversity into independent alpha and beta components","type":"article-journal","volume":"90"},"uris":["http://www.mendeley.com/documents/?uuid=dabc5d93-0c57-4fa2-9247-08cb1d8f9767"]}],"mendeley":{"formattedCitation":"&lt;sup&gt;47&lt;/sup&gt;","plainTextFormattedCitation":"47","previouslyFormattedCitation":"[47]"},"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47</w:t>
      </w:r>
      <w:r w:rsidRPr="00D23BF1">
        <w:rPr>
          <w:rFonts w:ascii="Times" w:hAnsi="Times"/>
        </w:rPr>
        <w:fldChar w:fldCharType="end"/>
      </w:r>
      <w:r w:rsidRPr="00D23BF1">
        <w:rPr>
          <w:rFonts w:ascii="Times" w:hAnsi="Times"/>
        </w:rPr>
        <w:t xml:space="preserve">. We also calculated Faith’s Phylogenetic diversity in QIIME2 to account for phylogenetic relatedness of bacteria in alpha diversity </w:t>
      </w:r>
      <w:r w:rsidRPr="00D23BF1">
        <w:rPr>
          <w:rFonts w:ascii="Times" w:hAnsi="Times"/>
        </w:rPr>
        <w:fldChar w:fldCharType="begin" w:fldLock="1"/>
      </w:r>
      <w:r w:rsidRPr="00D23BF1">
        <w:rPr>
          <w:rFonts w:ascii="Times" w:hAnsi="Times"/>
        </w:rPr>
        <w:instrText>ADDIN CSL_CITATION {"citationItems":[{"id":"ITEM-1","itemData":{"DOI":"10.1038/s41587-019-0209-9","ISSN":"1546-1696","author":[{"dropping-particle":"","family":"Bolyen","given":"Evan","non-dropping-particle":"","parse-names":false,"suffix":""},{"dropping-particle":"","family":"Rideout","given":"Jai Ram","non-dropping-particle":"","parse-names":false,"suffix":""},{"dropping-particle":"","family":"Dillon","given":"Matthew R.","non-dropping-particle":"","parse-names":false,"suffix":""},{"dropping-particle":"","family":"Bokulich","given":"Nicholas A.","non-dropping-particle":"","parse-names":false,"suffix":""},{"dropping-particle":"","family":"Chase","given":"John","non-dropping-particle":"","parse-names":false,"suffix":""},{"dropping-particle":"","family":"Cope","given":"Emily K.","non-dropping-particle":"","parse-names":false,"suffix":""},{"dropping-particle":"","family":"Gorlick","given":"Kestrel","non-dropping-particle":"","parse-names":false,"suffix":""},{"dropping-particle":"","family":"Keefe","given":"Christopher R.","non-dropping-particle":"","parse-names":false,"suffix":""},{"dropping-particle":"","family":"Keim","given":"Paul","non-dropping-particle":"","parse-names":false,"suffix":""},{"dropping-particle":"","family":"Kreps","given":"Jorden","non-dropping-particle":"","parse-names":false,"suffix":""},{"dropping-particle":"","family":"Naimey","given":"Ahmad Turan","non-dropping-particle":"","parse-names":false,"suffix":""},{"dropping-particle":"","family":"Pearson","given":"Talima","non-dropping-particle":"","parse-names":false,"suffix":""},{"dropping-particle":"","family":"Shiffer","given":"Arron","non-dropping-particle":"","parse-names":false,"suffix":""},{"dropping-particle":"","family":"Caporaso","given":"J. Gregory","non-dropping-particle":"","parse-names":false,"suffix":""},{"dropping-particle":"","family":"Abnet","given":"Christian C.","non-dropping-particle":"","parse-names":false,"suffix":""},{"dropping-particle":"","family":"Loftfield","given":"Erikka","non-dropping-particle":"","parse-names":false,"suffix":""},{"dropping-particle":"","family":"Sinha","given":"Rashmi","non-dropping-particle":"","parse-names":false,"suffix":""},{"dropping-particle":"","family":"Vogtmann","given":"Emily","non-dropping-particle":"","parse-names":false,"suffix":""},{"dropping-particle":"","family":"Wan","given":"Yunhu","non-dropping-particle":"","parse-names":false,"suffix":""},{"dropping-particle":"","family":"Al-Ghalith","given":"Gabriel A.","non-dropping-particle":"","parse-names":false,"suffix":""},{"dropping-particle":"","family":"Alexander","given":"Harriet","non-dropping-particle":"","parse-names":false,"suffix":""},{"dropping-particle":"","family":"Brown","given":"C. Titus","non-dropping-particle":"","parse-names":false,"suffix":""},{"dropping-particle":"","family":"Alm","given":"Eric J.","non-dropping-particle":"","parse-names":false,"suffix":""},{"dropping-particle":"","family":"Duvallet","given":"Claire","non-dropping-particle":"","parse-names":false,"suffix":""},{"dropping-particle":"","family":"Alm","given":"Eric J.","non-dropping-particle":"","parse-names":false,"suffix":""},{"dropping-particle":"","family":"Arumugam","given":"Manimozhiyan","non-dropping-particle":"","parse-names":false,"suffix":""},{"dropping-particle":"","family":"Brejnrod","given":"Asker","non-dropping-particle":"","parse-names":false,"suffix":""},{"dropping-particle":"","family":"Rasmussen","given":"Lasse Buur","non-dropping-particle":"","parse-names":false,"suffix":""},{"dropping-particle":"","family":"Asnicar","given":"Francesco","non-dropping-particle":"","parse-names":false,"suffix":""},{"dropping-particle":"","family":"Segata","given":"Nicola","non-dropping-particle":"","parse-names":false,"suffix":""},{"dropping-particle":"","family":"Bai","given":"Yang","non-dropping-particle":"","parse-names":false,"suffix":""},{"dropping-particle":"","family":"Liu","given":"Yong Xin","non-dropping-particle":"","parse-names":false,"suffix":""},{"dropping-particle":"","family":"Bai","given":"Yang","non-dropping-particle":"","parse-names":false,"suffix":""},{"dropping-particle":"","family":"Liu","given":"Yong Xin","non-dropping-particle":"","parse-names":false,"suffix":""},{"dropping-particle":"","family":"Bisanz","given":"Jordan E.","non-dropping-particle":"","parse-names":false,"suffix":""},{"dropping-particle":"","family":"Bittinger","given":"Kyle","non-dropping-particle":"","parse-names":false,"suffix":""},{"dropping-particle":"","family":"Brislawn","given":"Colin J.","non-dropping-particle":"","parse-names":false,"suffix":""},{"dropping-particle":"","family":"Callahan","given":"Benjamin J.","non-dropping-particle":"","parse-names":false,"suffix":""},{"dropping-particle":"","family":"Callahan","given":"Benjamin J.","non-dropping-particle":"","parse-names":false,"suffix":""},{"dropping-particle":"","family":"Caraballo-Rodríguez","given":"Andrés Mauricio","non-dropping-particle":"","parse-names":false,"suffix":""},{"dropping-particle":"","family":"Silva","given":"Ricardo","non-dropping-particle":"Da","parse-names":false,"suffix":""},{"dropping-particle":"","family":"Dorrestein","given":"Pieter C.","non-dropping-particle":"","parse-names":false,"suffix":""},{"dropping-particle":"","family":"Ernst","given":"Madeleine","non-dropping-particle":"","parse-names":false,"suffix":""},{"dropping-particle":"","family":"Gauglitz","given":"Julia M.","non-dropping-particle":"","parse-names":false,"suffix":""},{"dropping-particle":"","family":"Jarmusch","given":"Alan K.","non-dropping-particle":"","parse-names":false,"suffix":""},{"dropping-particle":"Bin","family":"Kang","given":"Kyo","non-dropping-particle":"","parse-names":false,"suffix":""},{"dropping-particle":"","family":"Koester","given":"Irina","non-dropping-particle":"","parse-names":false,"suffix":""},{"dropping-particle":"V.","family":"Melnik","given":"Alexey","non-dropping-particle":"","parse-names":false,"suffix":""},{"dropping-particle":"","family":"Nothias","given":"Louis Felix","non-dropping-particle":"","parse-names":false,"suffix":""},{"dropping-particle":"","family":"Petras","given":"Daniel","non-dropping-particle":"","parse-names":false,"suffix":""},{"dropping-particle":"","family":"Tripathi","given":"Anupriya","non-dropping-particle":"","parse-names":false,"suffix":""},{"dropping-particle":"","family":"Wang","given":"Mingxun","non-dropping-particle":"","parse-names":false,"suffix":""},{"dropping-particle":"","family":"Caporaso","given":"J. Gregory","non-dropping-particle":"","parse-names":false,"suffix":""},{"dropping-particle":"","family":"Diener","given":"Christian","non-dropping-particle":"","parse-names":false,"suffix":""},{"dropping-particle":"","family":"Gibbons","given":"Sean M.","non-dropping-particle":"","parse-names":false,"suffix":""},{"dropping-particle":"","family":"Douglas","given":"Gavin M.","non-dropping-particle":"","parse-names":false,"suffix":""},{"dropping-particle":"","family":"Durall","given":"Daniel M.","non-dropping-particle":"","parse-names":false,"suffix":""},{"dropping-particle":"","family":"Edwardson","given":"Christian F.","non-dropping-particle":"","parse-names":false,"suffix":""},{"dropping-particle":"","family":"Estaki","given":"Mehrbod","non-dropping-particle":"","parse-names":false,"suffix":""},{"dropping-particle":"","family":"Fouquier","given":"Jennifer","non-dropping-particle":"","parse-names":false,"suffix":""},{"dropping-particle":"","family":"Shaffer","given":"Michael","non-dropping-particle":"","parse-names":false,"suffix":""},{"dropping-particle":"","family":"Fouquier","given":"Jennifer","non-dropping-particle":"","parse-names":false,"suffix":""},{"dropping-particle":"","family":"Lozupone","given":"Catherine","non-dropping-particle":"","parse-names":false,"suffix":""},{"dropping-particle":"","family":"Pruesse","given":"Elmar","non-dropping-particle":"","parse-names":false,"suffix":""},{"dropping-particle":"","family":"Gibbons","given":"Sean M.","non-dropping-particle":"","parse-names":false,"suffix":""},{"dropping-particle":"","family":"Gibson","given":"Deanna L.","non-dropping-particle":"","parse-names":false,"suffix":""},{"dropping-particle":"","family":"Gonzalez","given":"Antonio","non-dropping-particle":"","parse-names":false,"suffix":""},{"dropping-particle":"","family":"Holste","given":"Hannes","non-dropping-particle":"","parse-names":false,"suffix":""},{"dropping-particle":"","family":"Marotz","given":"Clarisse","non-dropping-particle":"","parse-names":false,"suffix":""},{"dropping-particle":"","family":"McDonald","given":"Daniel","non-dropping-particle":"","parse-names":false,"suffix":""},{"dropping-particle":"","family":"Morton","given":"Jamie T.","non-dropping-particle":"","parse-names":false,"suffix":""},{"dropping-particle":"","family":"Navas-Molina","given":"Jose A.","non-dropping-particle":"","parse-names":false,"suffix":""},{"dropping-particle":"","family":"Song","given":"Se Jin","non-dropping-particle":"","parse-names":false,"suffix":""},{"dropping-particle":"","family":"Vázquez-Baeza","given":"Yoshiki","non-dropping-particle":"","parse-names":false,"suffix":""},{"dropping-particle":"","family":"Xu","given":"Zhenjiang Zech","non-dropping-particle":"","parse-names":false,"suffix":""},{"dropping-particle":"","family":"Zhu","given":"Qiyun","non-dropping-particle":"","parse-names":false,"suffix":""},{"dropping-particle":"","family":"Knight","given":"Rob","non-dropping-particle":"","parse-names":false,"suffix":""},{"dropping-particle":"","family":"Guo","given":"Jiarong","non-dropping-particle":"","parse-names":false,"suffix":""},{"dropping-particle":"","family":"Hillmann","given":"Benjamin","non-dropping-particle":"","parse-names":false,"suffix":""},{"dropping-particle":"","family":"Knights","given":"Dan","non-dropping-particle":"","parse-names":false,"suffix":""},{"dropping-particle":"","family":"Holmes","given":"Susan","non-dropping-particle":"","parse-names":false,"suffix":""},{"dropping-particle":"","family":"Holste","given":"Hannes","non-dropping-particle":"","parse-names":false,"suffix":""},{"dropping-particle":"","family":"Huttenhower","given":"Curtis","non-dropping-particle":"","parse-names":false,"suffix":""},{"dropping-particle":"","family":"McIver","given":"Lauren J.","non-dropping-particle":"","parse-names":false,"suffix":""},{"dropping-particle":"","family":"Huttenhower","given":"Curtis","non-dropping-particle":"","parse-names":false,"suffix":""},{"dropping-particle":"","family":"Huttley","given":"Gavin A.","non-dropping-particle":"","parse-names":false,"suffix":""},{"dropping-particle":"","family":"Kaehler","given":"Benjamin D.","non-dropping-particle":"","parse-names":false,"suffix":""},{"dropping-particle":"","family":"Janssen","given":"Stefan","non-dropping-particle":"","parse-names":false,"suffix":""},{"dropping-particle":"","family":"Jiang","given":"Lingjing","non-dropping-particle":"","parse-names":false,"suffix":""},{"dropping-particle":"Bin","family":"Kang","given":"Kyo","non-dropping-particle":"","parse-names":false,"suffix":""},{"dropping-particle":"","family":"Kelley","given":"Scott T.","non-dropping-particle":"","parse-names":false,"suffix":""},{"dropping-particle":"","family":"Kosciolek","given":"Tomasz","non-dropping-particle":"","parse-names":false,"suffix":""},{"dropping-particle":"","family":"Langille","given":"Morgan G.I.","non-dropping-particle":"","parse-names":false,"suffix":""},{"dropping-particle":"","family":"Lee","given":"Joslynn","non-dropping-particle":"","parse-names":false,"suffix":""},{"dropping-particle":"","family":"Ley","given":"Ruth","non-dropping-particle":"","parse-names":false,"suffix":""},{"dropping-particle":"","family":"Walters","given":"William","non-dropping-particle":"","parse-names":false,"suffix":""},{"dropping-particle":"","family":"Maher","given":"Massoud","non-dropping-particle":"","parse-names":false,"suffix":""},{"dropping-particle":"","family":"Navas-Molina","given":"Jose A.","non-dropping-particle":"","parse-names":false,"suffix":""},{"dropping-particle":"","family":"Martin","given":"Bryan D.","non-dropping-particle":"","parse-names":false,"suffix":""},{"dropping-particle":"","family":"Metcalf","given":"Jessica L.","non-dropping-particle":"","parse-names":false,"suffix":""}],"container-title":"Nature Biotechnology","id":"ITEM-1","issue":"8","issued":{"date-parts":[["2019"]]},"page":"852-857","title":"Reproducible, interactive, scalable and extensible microbiome data science using QIIME 2 (Nature Biotechnology, (2019), 37, 8, (852-857), 10.1038/s41587-019-0209-9)","type":"article-journal","volume":"37"},"uris":["http://www.mendeley.com/documents/?uuid=b7705651-ee9e-4678-a140-70ed567d4bb4"]}],"mendeley":{"formattedCitation":"&lt;sup&gt;41&lt;/sup&gt;","plainTextFormattedCitation":"41","previouslyFormattedCitation":"[41]"},"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41</w:t>
      </w:r>
      <w:r w:rsidRPr="00D23BF1">
        <w:rPr>
          <w:rFonts w:ascii="Times" w:hAnsi="Times"/>
        </w:rPr>
        <w:fldChar w:fldCharType="end"/>
      </w:r>
      <w:r w:rsidRPr="00D23BF1">
        <w:rPr>
          <w:rFonts w:ascii="Times" w:hAnsi="Times"/>
        </w:rPr>
        <w:t xml:space="preserve">. Building on our previous work that found differences in Shannon diversity index between urban and rural gut bacterial communities </w:t>
      </w:r>
      <w:r w:rsidRPr="00D23BF1">
        <w:rPr>
          <w:rFonts w:ascii="Times" w:hAnsi="Times"/>
        </w:rPr>
        <w:fldChar w:fldCharType="begin" w:fldLock="1"/>
      </w:r>
      <w:r w:rsidRPr="00D23BF1">
        <w:rPr>
          <w:rFonts w:ascii="Times" w:hAnsi="Times"/>
        </w:rPr>
        <w:instrText>ADDIN CSL_CITATION {"citationItems":[{"id":"ITEM-1","itemData":{"DOI":"10.3389/fevo.2018.00148","ISSN":"2296-701X","abstract":"Urban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using spatial analyses of land cover (impervious, scrub, grass, and trees) at the regional level and territory level in urban San Francisco, CA and nearby rural Point Reyes, CA. We hypothesized that urbanization of habitats affects gut microbial composition and diversity through direct effects on diet and/or indirect environmental effects. We measured gut microbial community diversity from 16s rRNA sequences amplified from cloacal swabs. We find that the urban and rural microbiomes are significantly different, such that the urban microbiome is more diverse than the rural microbiome. This relationship may be due to a more variable landscape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provides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Evolution","id":"ITEM-1","issue":"September","issued":{"date-parts":[["2018"]]},"page":"1-10","title":"The Effects of Landscape Urbanization on the Gut Microbiome: An Exploration Into the Gut of Urban and Rural White-Crowned Sparrows","type":"article-journal","volume":"6"},"uris":["http://www.mendeley.com/documents/?uuid=57a5183b-159d-4236-8f35-16ec70fd1a5b"]}],"mendeley":{"formattedCitation":"&lt;sup&gt;12&lt;/sup&gt;","plainTextFormattedCitation":"12","previouslyFormattedCitation":"[12]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12</w:t>
      </w:r>
      <w:r w:rsidRPr="00D23BF1">
        <w:rPr>
          <w:rFonts w:ascii="Times" w:hAnsi="Times"/>
        </w:rPr>
        <w:fldChar w:fldCharType="end"/>
      </w:r>
      <w:r w:rsidRPr="00D23BF1">
        <w:rPr>
          <w:rFonts w:ascii="Times" w:hAnsi="Times"/>
        </w:rPr>
        <w:t>, we assessed whether urban and rural samples are different in all measures of alpha diversity (</w:t>
      </w:r>
      <w:r w:rsidRPr="00D23BF1">
        <w:rPr>
          <w:rFonts w:ascii="Times" w:hAnsi="Times"/>
          <w:vertAlign w:val="superscript"/>
        </w:rPr>
        <w:t>0</w:t>
      </w:r>
      <w:r w:rsidRPr="00D23BF1">
        <w:rPr>
          <w:rFonts w:ascii="Times" w:hAnsi="Times"/>
        </w:rPr>
        <w:t xml:space="preserve">D, </w:t>
      </w:r>
      <w:r w:rsidRPr="00D23BF1">
        <w:rPr>
          <w:rFonts w:ascii="Times" w:hAnsi="Times"/>
          <w:vertAlign w:val="superscript"/>
        </w:rPr>
        <w:t>1</w:t>
      </w:r>
      <w:r w:rsidRPr="00D23BF1">
        <w:rPr>
          <w:rFonts w:ascii="Times" w:hAnsi="Times"/>
        </w:rPr>
        <w:t xml:space="preserve">D, </w:t>
      </w:r>
      <w:r w:rsidRPr="00D23BF1">
        <w:rPr>
          <w:rFonts w:ascii="Times" w:hAnsi="Times"/>
          <w:vertAlign w:val="superscript"/>
        </w:rPr>
        <w:t>2</w:t>
      </w:r>
      <w:r w:rsidRPr="00D23BF1">
        <w:rPr>
          <w:rFonts w:ascii="Times" w:hAnsi="Times"/>
        </w:rPr>
        <w:t xml:space="preserve">D, and Faith’s pd) using t-tests. </w:t>
      </w:r>
    </w:p>
    <w:p w14:paraId="401068B3" w14:textId="77777777" w:rsidR="00041ADB" w:rsidRPr="00D23BF1" w:rsidRDefault="00041ADB" w:rsidP="00F20BE1">
      <w:pPr>
        <w:rPr>
          <w:rFonts w:ascii="Times" w:hAnsi="Times"/>
          <w:highlight w:val="white"/>
        </w:rPr>
      </w:pPr>
      <w:r w:rsidRPr="00D23BF1">
        <w:rPr>
          <w:rFonts w:ascii="Times" w:hAnsi="Times"/>
          <w:highlight w:val="white"/>
        </w:rPr>
        <w:t>We next ran model selection to determine the importance of environmental and morphological variables in explaining variation in bacterial alpha diversity. We did this first with urban and rural samples combined and then second with urban and rural samples treated separately.</w:t>
      </w:r>
      <w:r w:rsidRPr="00D23BF1">
        <w:rPr>
          <w:rFonts w:ascii="Times" w:hAnsi="Times"/>
        </w:rPr>
        <w:t xml:space="preserve"> We z-scaled all variables (response and predictor variables) before inputting them into our models. To determine if any of our predictor variables were collinear, we conducted a variance inflation factor analysis (VIF). VIF is a method of measuring multicollinearity between independent variables which can be used to inform adjustments to a model that will increase it’s ability to </w:t>
      </w:r>
      <w:r w:rsidRPr="00D23BF1">
        <w:rPr>
          <w:rFonts w:ascii="Times" w:hAnsi="Times"/>
        </w:rPr>
        <w:lastRenderedPageBreak/>
        <w:t xml:space="preserve">detect realtionships between dependant and independent variables. West coordinate, percent scrub, and distance to freeway had VIF scores above ten (high collinearity). We removed those variables and ran VIF analysis again, at which point no variables had a VIF above five. </w:t>
      </w:r>
      <w:r w:rsidRPr="00D23BF1">
        <w:rPr>
          <w:rFonts w:ascii="Times" w:hAnsi="Times"/>
          <w:highlight w:val="white"/>
        </w:rPr>
        <w:t>We ran model comparison using the remaining 14 variables (8 morphological: fat score, plumage wear and fade, wing chord, condition, bill length, width, and depth; 6 environmental: noise, north</w:t>
      </w:r>
      <w:r w:rsidRPr="00D23BF1">
        <w:rPr>
          <w:rFonts w:ascii="Times" w:hAnsi="Times"/>
        </w:rPr>
        <w:t xml:space="preserve"> coordinate</w:t>
      </w:r>
      <w:r w:rsidRPr="00D23BF1">
        <w:rPr>
          <w:rFonts w:ascii="Times" w:hAnsi="Times"/>
          <w:highlight w:val="white"/>
        </w:rPr>
        <w:t xml:space="preserve">, percent tree, grass and impervious surface cover, and distance to minor road). We ran all possible linear models (total 16,383) using the lm function from the “stats” package in R </w:t>
      </w:r>
      <w:r w:rsidRPr="00D23BF1">
        <w:rPr>
          <w:rFonts w:ascii="Times" w:hAnsi="Times"/>
          <w:highlight w:val="white"/>
        </w:rPr>
        <w:fldChar w:fldCharType="begin" w:fldLock="1"/>
      </w:r>
      <w:r w:rsidRPr="00D23BF1">
        <w:rPr>
          <w:rFonts w:ascii="Times" w:hAnsi="Times"/>
          <w:highlight w:val="white"/>
        </w:rPr>
        <w:instrText>ADDIN CSL_CITATION {"citationItems":[{"id":"ITEM-1","itemData":{"DOI":"10.1007/978-3-540-74686-7","ISBN":"3_900051_00_3","ISSN":"3-900051-07-0","PMID":"16106260","abstract":"R Core Team (2014). R: A language and environment for statistical computing. R Foundation for Statistical Computing, Vienna, Austria. URL http://www.R-project.org/.","author":[{"dropping-particle":"","family":"Team","given":"R Development Core","non-dropping-particle":"","parse-names":false,"suffix":""},{"dropping-particle":"","family":"R Development Core Team","given":"R","non-dropping-particle":"","parse-names":false,"suffix":""}],"container-title":"R Foundation for Statistical Computing","id":"ITEM-1","issued":{"date-parts":[["2016"]]},"title":"R: A Language and Environment for Statistical Computing","type":"article-journal"},"uris":["http://www.mendeley.com/documents/?uuid=06a69239-f93e-4826-a15e-44428afd8f61"]}],"mendeley":{"formattedCitation":"&lt;sup&gt;48&lt;/sup&gt;","plainTextFormattedCitation":"48","previouslyFormattedCitation":"[48]"},"properties":{"noteIndex":0},"schema":"https://github.com/citation-style-language/schema/raw/master/csl-citation.json"}</w:instrText>
      </w:r>
      <w:r w:rsidRPr="00D23BF1">
        <w:rPr>
          <w:rFonts w:ascii="Times" w:hAnsi="Times"/>
          <w:highlight w:val="white"/>
        </w:rPr>
        <w:fldChar w:fldCharType="separate"/>
      </w:r>
      <w:r w:rsidRPr="00D23BF1">
        <w:rPr>
          <w:rFonts w:ascii="Times" w:hAnsi="Times"/>
          <w:noProof/>
          <w:highlight w:val="white"/>
          <w:vertAlign w:val="superscript"/>
        </w:rPr>
        <w:t>48</w:t>
      </w:r>
      <w:r w:rsidRPr="00D23BF1">
        <w:rPr>
          <w:rFonts w:ascii="Times" w:hAnsi="Times"/>
          <w:highlight w:val="white"/>
        </w:rPr>
        <w:fldChar w:fldCharType="end"/>
      </w:r>
      <w:r w:rsidRPr="00D23BF1">
        <w:rPr>
          <w:rFonts w:ascii="Times" w:hAnsi="Times"/>
          <w:highlight w:val="white"/>
        </w:rPr>
        <w:t xml:space="preserve">. We then calculated AICc values and weights for all models using the function aictab from the “AICcmodavg” package in R </w:t>
      </w:r>
      <w:r w:rsidRPr="00D23BF1">
        <w:rPr>
          <w:rFonts w:ascii="Times" w:hAnsi="Times"/>
          <w:highlight w:val="white"/>
        </w:rPr>
        <w:fldChar w:fldCharType="begin" w:fldLock="1"/>
      </w:r>
      <w:r w:rsidRPr="00D23BF1">
        <w:rPr>
          <w:rFonts w:ascii="Times" w:hAnsi="Times"/>
          <w:highlight w:val="white"/>
        </w:rPr>
        <w:instrText>ADDIN CSL_CITATION {"citationItems":[{"id":"ITEM-1","itemData":{"author":[{"dropping-particle":"","family":"Mazerolle","given":"M","non-dropping-particle":"","parse-names":false,"suffix":""}],"id":"ITEM-1","issue":"c","issued":{"date-parts":[["2019"]]},"page":"1-212","title":"Model Selection and Multimodel Inference Based on (Q)AIC(c) Version 2.2-2 Date","type":"article-journal"},"uris":["http://www.mendeley.com/documents/?uuid=80deee79-cf2f-4595-93ce-1e09d4b44d11"]}],"mendeley":{"formattedCitation":"&lt;sup&gt;49&lt;/sup&gt;","plainTextFormattedCitation":"49","previouslyFormattedCitation":"[49]"},"properties":{"noteIndex":0},"schema":"https://github.com/citation-style-language/schema/raw/master/csl-citation.json"}</w:instrText>
      </w:r>
      <w:r w:rsidRPr="00D23BF1">
        <w:rPr>
          <w:rFonts w:ascii="Times" w:hAnsi="Times"/>
          <w:highlight w:val="white"/>
        </w:rPr>
        <w:fldChar w:fldCharType="separate"/>
      </w:r>
      <w:r w:rsidRPr="00D23BF1">
        <w:rPr>
          <w:rFonts w:ascii="Times" w:hAnsi="Times"/>
          <w:noProof/>
          <w:highlight w:val="white"/>
          <w:vertAlign w:val="superscript"/>
        </w:rPr>
        <w:t>49</w:t>
      </w:r>
      <w:r w:rsidRPr="00D23BF1">
        <w:rPr>
          <w:rFonts w:ascii="Times" w:hAnsi="Times"/>
          <w:highlight w:val="white"/>
        </w:rPr>
        <w:fldChar w:fldCharType="end"/>
      </w:r>
      <w:r w:rsidRPr="00D23BF1">
        <w:rPr>
          <w:rFonts w:ascii="Times" w:hAnsi="Times"/>
          <w:highlight w:val="white"/>
        </w:rPr>
        <w:t xml:space="preserve">. From these we calculated the weights of each predictor variable using the importance function, which adds the weights from all models including each variable to determine their overall contribution. We then unconditionally averaged all models using the modavg function from the “AICcmodavg” package to obtain our final model and variable weights </w:t>
      </w:r>
      <w:r w:rsidRPr="00D23BF1">
        <w:rPr>
          <w:rFonts w:ascii="Times" w:hAnsi="Times"/>
          <w:highlight w:val="white"/>
        </w:rPr>
        <w:fldChar w:fldCharType="begin" w:fldLock="1"/>
      </w:r>
      <w:r w:rsidRPr="00D23BF1">
        <w:rPr>
          <w:rFonts w:ascii="Times" w:hAnsi="Times"/>
          <w:highlight w:val="white"/>
        </w:rPr>
        <w:instrText>ADDIN CSL_CITATION {"citationItems":[{"id":"ITEM-1","itemData":{"author":[{"dropping-particle":"","family":"Mazerolle","given":"M","non-dropping-particle":"","parse-names":false,"suffix":""}],"id":"ITEM-1","issue":"c","issued":{"date-parts":[["2019"]]},"page":"1-212","title":"Model Selection and Multimodel Inference Based on (Q)AIC(c) Version 2.2-2 Date","type":"article-journal"},"uris":["http://www.mendeley.com/documents/?uuid=80deee79-cf2f-4595-93ce-1e09d4b44d11"]}],"mendeley":{"formattedCitation":"&lt;sup&gt;49&lt;/sup&gt;","plainTextFormattedCitation":"49","previouslyFormattedCitation":"[49]"},"properties":{"noteIndex":0},"schema":"https://github.com/citation-style-language/schema/raw/master/csl-citation.json"}</w:instrText>
      </w:r>
      <w:r w:rsidRPr="00D23BF1">
        <w:rPr>
          <w:rFonts w:ascii="Times" w:hAnsi="Times"/>
          <w:highlight w:val="white"/>
        </w:rPr>
        <w:fldChar w:fldCharType="separate"/>
      </w:r>
      <w:r w:rsidRPr="00D23BF1">
        <w:rPr>
          <w:rFonts w:ascii="Times" w:hAnsi="Times"/>
          <w:noProof/>
          <w:highlight w:val="white"/>
          <w:vertAlign w:val="superscript"/>
        </w:rPr>
        <w:t>49</w:t>
      </w:r>
      <w:r w:rsidRPr="00D23BF1">
        <w:rPr>
          <w:rFonts w:ascii="Times" w:hAnsi="Times"/>
          <w:highlight w:val="white"/>
        </w:rPr>
        <w:fldChar w:fldCharType="end"/>
      </w:r>
      <w:r w:rsidRPr="00D23BF1">
        <w:rPr>
          <w:rFonts w:ascii="Times" w:hAnsi="Times"/>
          <w:highlight w:val="white"/>
        </w:rPr>
        <w:t xml:space="preserve">. Important variable scatter plots were generated using ggplot 2 </w:t>
      </w:r>
      <w:r w:rsidRPr="00D23BF1">
        <w:rPr>
          <w:rFonts w:ascii="Times" w:hAnsi="Times"/>
          <w:highlight w:val="white"/>
        </w:rPr>
        <w:fldChar w:fldCharType="begin" w:fldLock="1"/>
      </w:r>
      <w:r w:rsidRPr="00D23BF1">
        <w:rPr>
          <w:rFonts w:ascii="Times" w:hAnsi="Times"/>
          <w:highlight w:val="white"/>
        </w:rPr>
        <w:instrText>ADDIN CSL_CITATION {"citationItems":[{"id":"ITEM-1","itemData":{"DOI":"10.1007/978-0-387-98141-3","ISBN":"9780387981406","ISSN":"0006341X","abstract":"This book describes ggplot2, a new data visualization package for R that uses the insights from Leland Wilkison's Grammar of Graphics to create a powerful and flexible system for creating data graphics. With ggplot2, it's easy to:produce handsome, publication-quality plots, with automatic legends created from the plot specificationsuperpose multiple layers (points, lines, maps, tiles, box plots to name a few) from different data sources, with automatically adjusted common scalesadd customisable smoothers that use the powerful modelling capabilities of R, such as loess, linear models, generalised additive models and robust regressionsave any ggplot2 plot (or part thereof) for later modification or reusecreate custom themes that capture in-house or journal style requirements, and that can easily be applied to multiple plotsapproach your graph from a visual perspective, thinking about how each component of the data is represented on the final plot.This book will be useful to everyone who has struggled with displaying their data in an informative and attractive way. You will need some basic knowledge of R (i.e. you should be able to get your data into R), but ggplot2 is a mini-language specifically tailored for producing graphics, and you'll learn everything you need in the book. After reading this book you'll be able to produce graphics customized precisely for your problems, to and you'll find it easy to get graphics out of your head and on to the screen or page.","author":[{"dropping-particle":"","family":"Wickham","given":"Hadley","non-dropping-particle":"","parse-names":false,"suffix":""}],"container-title":"Book","id":"ITEM-1","issue":"July","issued":{"date-parts":[["2009"]]},"page":"211","title":"ggplot2 : Elegant graphics for data analysis","type":"article-journal","volume":"35"},"uris":["http://www.mendeley.com/documents/?uuid=77bab338-15eb-4930-bd96-34e8a9bc1b15"]}],"mendeley":{"formattedCitation":"&lt;sup&gt;50&lt;/sup&gt;","plainTextFormattedCitation":"50","previouslyFormattedCitation":"[50]"},"properties":{"noteIndex":0},"schema":"https://github.com/citation-style-language/schema/raw/master/csl-citation.json"}</w:instrText>
      </w:r>
      <w:r w:rsidRPr="00D23BF1">
        <w:rPr>
          <w:rFonts w:ascii="Times" w:hAnsi="Times"/>
          <w:highlight w:val="white"/>
        </w:rPr>
        <w:fldChar w:fldCharType="separate"/>
      </w:r>
      <w:r w:rsidRPr="00D23BF1">
        <w:rPr>
          <w:rFonts w:ascii="Times" w:hAnsi="Times"/>
          <w:noProof/>
          <w:highlight w:val="white"/>
          <w:vertAlign w:val="superscript"/>
        </w:rPr>
        <w:t>50</w:t>
      </w:r>
      <w:r w:rsidRPr="00D23BF1">
        <w:rPr>
          <w:rFonts w:ascii="Times" w:hAnsi="Times"/>
          <w:highlight w:val="white"/>
        </w:rPr>
        <w:fldChar w:fldCharType="end"/>
      </w:r>
      <w:r w:rsidRPr="00D23BF1">
        <w:rPr>
          <w:rFonts w:ascii="Times" w:hAnsi="Times"/>
          <w:highlight w:val="white"/>
        </w:rPr>
        <w:t>.</w:t>
      </w:r>
    </w:p>
    <w:p w14:paraId="508D6787" w14:textId="77777777" w:rsidR="00041ADB" w:rsidRPr="00D23BF1" w:rsidRDefault="00041ADB" w:rsidP="00F20BE1">
      <w:pPr>
        <w:rPr>
          <w:rFonts w:ascii="Times" w:hAnsi="Times"/>
          <w:highlight w:val="white"/>
        </w:rPr>
      </w:pPr>
    </w:p>
    <w:p w14:paraId="5BC99157" w14:textId="77777777" w:rsidR="00041ADB" w:rsidRPr="00D23BF1" w:rsidRDefault="00041ADB" w:rsidP="00F20BE1">
      <w:pPr>
        <w:rPr>
          <w:rFonts w:ascii="Times" w:hAnsi="Times"/>
          <w:i/>
          <w:iCs/>
          <w:highlight w:val="white"/>
        </w:rPr>
      </w:pPr>
      <w:r w:rsidRPr="00D23BF1">
        <w:rPr>
          <w:rFonts w:ascii="Times" w:hAnsi="Times"/>
          <w:i/>
          <w:iCs/>
          <w:highlight w:val="white"/>
        </w:rPr>
        <w:t>Beta diversity – ordination and dbRDA</w:t>
      </w:r>
    </w:p>
    <w:p w14:paraId="5ED994A4" w14:textId="77777777" w:rsidR="00041ADB" w:rsidRPr="00D23BF1" w:rsidRDefault="00041ADB" w:rsidP="00F20BE1">
      <w:pPr>
        <w:rPr>
          <w:rFonts w:ascii="Times" w:hAnsi="Times"/>
          <w:highlight w:val="white"/>
        </w:rPr>
      </w:pPr>
      <w:r w:rsidRPr="00D23BF1">
        <w:rPr>
          <w:rFonts w:ascii="Times" w:hAnsi="Times"/>
          <w:highlight w:val="white"/>
        </w:rPr>
        <w:t xml:space="preserve"> </w:t>
      </w:r>
      <w:r w:rsidRPr="00D23BF1">
        <w:rPr>
          <w:rFonts w:ascii="Times" w:hAnsi="Times"/>
          <w:highlight w:val="white"/>
        </w:rPr>
        <w:tab/>
        <w:t xml:space="preserve">We next calculated beta diversity, a measure of how much of a community changes from one point to the next. We calculated four standard measures of beta diversity using QIIME2 </w:t>
      </w:r>
      <w:r w:rsidRPr="00D23BF1">
        <w:rPr>
          <w:rFonts w:ascii="Times" w:hAnsi="Times"/>
          <w:highlight w:val="white"/>
        </w:rPr>
        <w:fldChar w:fldCharType="begin" w:fldLock="1"/>
      </w:r>
      <w:r w:rsidRPr="00D23BF1">
        <w:rPr>
          <w:rFonts w:ascii="Times" w:hAnsi="Times"/>
          <w:highlight w:val="white"/>
        </w:rPr>
        <w:instrText>ADDIN CSL_CITATION {"citationItems":[{"id":"ITEM-1","itemData":{"DOI":"10.1038/s41587-019-0209-9","ISSN":"1546-1696","author":[{"dropping-particle":"","family":"Bolyen","given":"Evan","non-dropping-particle":"","parse-names":false,"suffix":""},{"dropping-particle":"","family":"Rideout","given":"Jai Ram","non-dropping-particle":"","parse-names":false,"suffix":""},{"dropping-particle":"","family":"Dillon","given":"Matthew R.","non-dropping-particle":"","parse-names":false,"suffix":""},{"dropping-particle":"","family":"Bokulich","given":"Nicholas A.","non-dropping-particle":"","parse-names":false,"suffix":""},{"dropping-particle":"","family":"Chase","given":"John","non-dropping-particle":"","parse-names":false,"suffix":""},{"dropping-particle":"","family":"Cope","given":"Emily K.","non-dropping-particle":"","parse-names":false,"suffix":""},{"dropping-particle":"","family":"Gorlick","given":"Kestrel","non-dropping-particle":"","parse-names":false,"suffix":""},{"dropping-particle":"","family":"Keefe","given":"Christopher R.","non-dropping-particle":"","parse-names":false,"suffix":""},{"dropping-particle":"","family":"Keim","given":"Paul","non-dropping-particle":"","parse-names":false,"suffix":""},{"dropping-particle":"","family":"Kreps","given":"Jorden","non-dropping-particle":"","parse-names":false,"suffix":""},{"dropping-particle":"","family":"Naimey","given":"Ahmad Turan","non-dropping-particle":"","parse-names":false,"suffix":""},{"dropping-particle":"","family":"Pearson","given":"Talima","non-dropping-particle":"","parse-names":false,"suffix":""},{"dropping-particle":"","family":"Shiffer","given":"Arron","non-dropping-particle":"","parse-names":false,"suffix":""},{"dropping-particle":"","family":"Caporaso","given":"J. Gregory","non-dropping-particle":"","parse-names":false,"suffix":""},{"dropping-particle":"","family":"Abnet","given":"Christian C.","non-dropping-particle":"","parse-names":false,"suffix":""},{"dropping-particle":"","family":"Loftfield","given":"Erikka","non-dropping-particle":"","parse-names":false,"suffix":""},{"dropping-particle":"","family":"Sinha","given":"Rashmi","non-dropping-particle":"","parse-names":false,"suffix":""},{"dropping-particle":"","family":"Vogtmann","given":"Emily","non-dropping-particle":"","parse-names":false,"suffix":""},{"dropping-particle":"","family":"Wan","given":"Yunhu","non-dropping-particle":"","parse-names":false,"suffix":""},{"dropping-particle":"","family":"Al-Ghalith","given":"Gabriel A.","non-dropping-particle":"","parse-names":false,"suffix":""},{"dropping-particle":"","family":"Alexander","given":"Harriet","non-dropping-particle":"","parse-names":false,"suffix":""},{"dropping-particle":"","family":"Brown","given":"C. Titus","non-dropping-particle":"","parse-names":false,"suffix":""},{"dropping-particle":"","family":"Alm","given":"Eric J.","non-dropping-particle":"","parse-names":false,"suffix":""},{"dropping-particle":"","family":"Duvallet","given":"Claire","non-dropping-particle":"","parse-names":false,"suffix":""},{"dropping-particle":"","family":"Alm","given":"Eric J.","non-dropping-particle":"","parse-names":false,"suffix":""},{"dropping-particle":"","family":"Arumugam","given":"Manimozhiyan","non-dropping-particle":"","parse-names":false,"suffix":""},{"dropping-particle":"","family":"Brejnrod","given":"Asker","non-dropping-particle":"","parse-names":false,"suffix":""},{"dropping-particle":"","family":"Rasmussen","given":"Lasse Buur","non-dropping-particle":"","parse-names":false,"suffix":""},{"dropping-particle":"","family":"Asnicar","given":"Francesco","non-dropping-particle":"","parse-names":false,"suffix":""},{"dropping-particle":"","family":"Segata","given":"Nicola","non-dropping-particle":"","parse-names":false,"suffix":""},{"dropping-particle":"","family":"Bai","given":"Yang","non-dropping-particle":"","parse-names":false,"suffix":""},{"dropping-particle":"","family":"Liu","given":"Yong Xin","non-dropping-particle":"","parse-names":false,"suffix":""},{"dropping-particle":"","family":"Bai","given":"Yang","non-dropping-particle":"","parse-names":false,"suffix":""},{"dropping-particle":"","family":"Liu","given":"Yong Xin","non-dropping-particle":"","parse-names":false,"suffix":""},{"dropping-particle":"","family":"Bisanz","given":"Jordan E.","non-dropping-particle":"","parse-names":false,"suffix":""},{"dropping-particle":"","family":"Bittinger","given":"Kyle","non-dropping-particle":"","parse-names":false,"suffix":""},{"dropping-particle":"","family":"Brislawn","given":"Colin J.","non-dropping-particle":"","parse-names":false,"suffix":""},{"dropping-particle":"","family":"Callahan","given":"Benjamin J.","non-dropping-particle":"","parse-names":false,"suffix":""},{"dropping-particle":"","family":"Callahan","given":"Benjamin J.","non-dropping-particle":"","parse-names":false,"suffix":""},{"dropping-particle":"","family":"Caraballo-Rodríguez","given":"Andrés Mauricio","non-dropping-particle":"","parse-names":false,"suffix":""},{"dropping-particle":"","family":"Silva","given":"Ricardo","non-dropping-particle":"Da","parse-names":false,"suffix":""},{"dropping-particle":"","family":"Dorrestein","given":"Pieter C.","non-dropping-particle":"","parse-names":false,"suffix":""},{"dropping-particle":"","family":"Ernst","given":"Madeleine","non-dropping-particle":"","parse-names":false,"suffix":""},{"dropping-particle":"","family":"Gauglitz","given":"Julia M.","non-dropping-particle":"","parse-names":false,"suffix":""},{"dropping-particle":"","family":"Jarmusch","given":"Alan K.","non-dropping-particle":"","parse-names":false,"suffix":""},{"dropping-particle":"Bin","family":"Kang","given":"Kyo","non-dropping-particle":"","parse-names":false,"suffix":""},{"dropping-particle":"","family":"Koester","given":"Irina","non-dropping-particle":"","parse-names":false,"suffix":""},{"dropping-particle":"V.","family":"Melnik","given":"Alexey","non-dropping-particle":"","parse-names":false,"suffix":""},{"dropping-particle":"","family":"Nothias","given":"Louis Felix","non-dropping-particle":"","parse-names":false,"suffix":""},{"dropping-particle":"","family":"Petras","given":"Daniel","non-dropping-particle":"","parse-names":false,"suffix":""},{"dropping-particle":"","family":"Tripathi","given":"Anupriya","non-dropping-particle":"","parse-names":false,"suffix":""},{"dropping-particle":"","family":"Wang","given":"Mingxun","non-dropping-particle":"","parse-names":false,"suffix":""},{"dropping-particle":"","family":"Caporaso","given":"J. Gregory","non-dropping-particle":"","parse-names":false,"suffix":""},{"dropping-particle":"","family":"Diener","given":"Christian","non-dropping-particle":"","parse-names":false,"suffix":""},{"dropping-particle":"","family":"Gibbons","given":"Sean M.","non-dropping-particle":"","parse-names":false,"suffix":""},{"dropping-particle":"","family":"Douglas","given":"Gavin M.","non-dropping-particle":"","parse-names":false,"suffix":""},{"dropping-particle":"","family":"Durall","given":"Daniel M.","non-dropping-particle":"","parse-names":false,"suffix":""},{"dropping-particle":"","family":"Edwardson","given":"Christian F.","non-dropping-particle":"","parse-names":false,"suffix":""},{"dropping-particle":"","family":"Estaki","given":"Mehrbod","non-dropping-particle":"","parse-names":false,"suffix":""},{"dropping-particle":"","family":"Fouquier","given":"Jennifer","non-dropping-particle":"","parse-names":false,"suffix":""},{"dropping-particle":"","family":"Shaffer","given":"Michael","non-dropping-particle":"","parse-names":false,"suffix":""},{"dropping-particle":"","family":"Fouquier","given":"Jennifer","non-dropping-particle":"","parse-names":false,"suffix":""},{"dropping-particle":"","family":"Lozupone","given":"Catherine","non-dropping-particle":"","parse-names":false,"suffix":""},{"dropping-particle":"","family":"Pruesse","given":"Elmar","non-dropping-particle":"","parse-names":false,"suffix":""},{"dropping-particle":"","family":"Gibbons","given":"Sean M.","non-dropping-particle":"","parse-names":false,"suffix":""},{"dropping-particle":"","family":"Gibson","given":"Deanna L.","non-dropping-particle":"","parse-names":false,"suffix":""},{"dropping-particle":"","family":"Gonzalez","given":"Antonio","non-dropping-particle":"","parse-names":false,"suffix":""},{"dropping-particle":"","family":"Holste","given":"Hannes","non-dropping-particle":"","parse-names":false,"suffix":""},{"dropping-particle":"","family":"Marotz","given":"Clarisse","non-dropping-particle":"","parse-names":false,"suffix":""},{"dropping-particle":"","family":"McDonald","given":"Daniel","non-dropping-particle":"","parse-names":false,"suffix":""},{"dropping-particle":"","family":"Morton","given":"Jamie T.","non-dropping-particle":"","parse-names":false,"suffix":""},{"dropping-particle":"","family":"Navas-Molina","given":"Jose A.","non-dropping-particle":"","parse-names":false,"suffix":""},{"dropping-particle":"","family":"Song","given":"Se Jin","non-dropping-particle":"","parse-names":false,"suffix":""},{"dropping-particle":"","family":"Vázquez-Baeza","given":"Yoshiki","non-dropping-particle":"","parse-names":false,"suffix":""},{"dropping-particle":"","family":"Xu","given":"Zhenjiang Zech","non-dropping-particle":"","parse-names":false,"suffix":""},{"dropping-particle":"","family":"Zhu","given":"Qiyun","non-dropping-particle":"","parse-names":false,"suffix":""},{"dropping-particle":"","family":"Knight","given":"Rob","non-dropping-particle":"","parse-names":false,"suffix":""},{"dropping-particle":"","family":"Guo","given":"Jiarong","non-dropping-particle":"","parse-names":false,"suffix":""},{"dropping-particle":"","family":"Hillmann","given":"Benjamin","non-dropping-particle":"","parse-names":false,"suffix":""},{"dropping-particle":"","family":"Knights","given":"Dan","non-dropping-particle":"","parse-names":false,"suffix":""},{"dropping-particle":"","family":"Holmes","given":"Susan","non-dropping-particle":"","parse-names":false,"suffix":""},{"dropping-particle":"","family":"Holste","given":"Hannes","non-dropping-particle":"","parse-names":false,"suffix":""},{"dropping-particle":"","family":"Huttenhower","given":"Curtis","non-dropping-particle":"","parse-names":false,"suffix":""},{"dropping-particle":"","family":"McIver","given":"Lauren J.","non-dropping-particle":"","parse-names":false,"suffix":""},{"dropping-particle":"","family":"Huttenhower","given":"Curtis","non-dropping-particle":"","parse-names":false,"suffix":""},{"dropping-particle":"","family":"Huttley","given":"Gavin A.","non-dropping-particle":"","parse-names":false,"suffix":""},{"dropping-particle":"","family":"Kaehler","given":"Benjamin D.","non-dropping-particle":"","parse-names":false,"suffix":""},{"dropping-particle":"","family":"Janssen","given":"Stefan","non-dropping-particle":"","parse-names":false,"suffix":""},{"dropping-particle":"","family":"Jiang","given":"Lingjing","non-dropping-particle":"","parse-names":false,"suffix":""},{"dropping-particle":"Bin","family":"Kang","given":"Kyo","non-dropping-particle":"","parse-names":false,"suffix":""},{"dropping-particle":"","family":"Kelley","given":"Scott T.","non-dropping-particle":"","parse-names":false,"suffix":""},{"dropping-particle":"","family":"Kosciolek","given":"Tomasz","non-dropping-particle":"","parse-names":false,"suffix":""},{"dropping-particle":"","family":"Langille","given":"Morgan G.I.","non-dropping-particle":"","parse-names":false,"suffix":""},{"dropping-particle":"","family":"Lee","given":"Joslynn","non-dropping-particle":"","parse-names":false,"suffix":""},{"dropping-particle":"","family":"Ley","given":"Ruth","non-dropping-particle":"","parse-names":false,"suffix":""},{"dropping-particle":"","family":"Walters","given":"William","non-dropping-particle":"","parse-names":false,"suffix":""},{"dropping-particle":"","family":"Maher","given":"Massoud","non-dropping-particle":"","parse-names":false,"suffix":""},{"dropping-particle":"","family":"Navas-Molina","given":"Jose A.","non-dropping-particle":"","parse-names":false,"suffix":""},{"dropping-particle":"","family":"Martin","given":"Bryan D.","non-dropping-particle":"","parse-names":false,"suffix":""},{"dropping-particle":"","family":"Metcalf","given":"Jessica L.","non-dropping-particle":"","parse-names":false,"suffix":""}],"container-title":"Nature Biotechnology","id":"ITEM-1","issue":"8","issued":{"date-parts":[["2019"]]},"page":"852-857","title":"Reproducible, interactive, scalable and extensible microbiome data science using QIIME 2 (Nature Biotechnology, (2019), 37, 8, (852-857), 10.1038/s41587-019-0209-9)","type":"article-journal","volume":"37"},"uris":["http://www.mendeley.com/documents/?uuid=b7705651-ee9e-4678-a140-70ed567d4bb4"]}],"mendeley":{"formattedCitation":"&lt;sup&gt;41&lt;/sup&gt;","plainTextFormattedCitation":"41","previouslyFormattedCitation":"[41]"},"properties":{"noteIndex":0},"schema":"https://github.com/citation-style-language/schema/raw/master/csl-citation.json"}</w:instrText>
      </w:r>
      <w:r w:rsidRPr="00D23BF1">
        <w:rPr>
          <w:rFonts w:ascii="Times" w:hAnsi="Times"/>
          <w:highlight w:val="white"/>
        </w:rPr>
        <w:fldChar w:fldCharType="separate"/>
      </w:r>
      <w:r w:rsidRPr="00D23BF1">
        <w:rPr>
          <w:rFonts w:ascii="Times" w:hAnsi="Times"/>
          <w:noProof/>
          <w:highlight w:val="white"/>
          <w:vertAlign w:val="superscript"/>
        </w:rPr>
        <w:t>41</w:t>
      </w:r>
      <w:r w:rsidRPr="00D23BF1">
        <w:rPr>
          <w:rFonts w:ascii="Times" w:hAnsi="Times"/>
          <w:highlight w:val="white"/>
        </w:rPr>
        <w:fldChar w:fldCharType="end"/>
      </w:r>
      <w:r w:rsidRPr="00D23BF1">
        <w:rPr>
          <w:rFonts w:ascii="Times" w:hAnsi="Times"/>
          <w:highlight w:val="white"/>
        </w:rPr>
        <w:t xml:space="preserve">: weighted UniFrac, Jaccard, unweighted UniFrac, and Bray-Curtis distances. The former two can be considered to represent microbial community membership, and the latter two to represent microbial community structure </w:t>
      </w:r>
      <w:r w:rsidRPr="00D23BF1">
        <w:rPr>
          <w:rFonts w:ascii="Times" w:hAnsi="Times"/>
          <w:highlight w:val="white"/>
        </w:rPr>
        <w:fldChar w:fldCharType="begin" w:fldLock="1"/>
      </w:r>
      <w:r w:rsidRPr="00D23BF1">
        <w:rPr>
          <w:rFonts w:ascii="Times" w:hAnsi="Times"/>
          <w:highlight w:val="white"/>
        </w:rPr>
        <w:instrText>ADDIN CSL_CITATION {"citationItems":[{"id":"ITEM-1","itemData":{"DOI":"10.1128/AEM.71.12.8228","ISBN":"0099-2240 (Print)\\n0099-2240 (Linking)","ISSN":"0099-2240","PMID":"16332807","abstract":"We introduce here a new method for computing differences between microbial communities based on phylogenetic information. This method, UniFrac, measures the phylogenetic distance between sets of taxa in a phylogenetic tree as the fraction of the branch length of the tree that leads to descendants from either one environment or the other, but not both. UniFrac can be used to determine whether communities are signifi- cantly different, to compare many communities simultaneously using clustering and ordination techniques, and to measure the relative contributions of different factors, such as chemistry and geography, to similarities between samples. We demonstrate the utility of UniFrac by applying it to published 16S rRNA gene libraries from cultured isolates and environmental clones of bacteria in marine sediment, water, and ice. Our results reveal that (i) cultured isolates from ice, water, and sediment resemble each other and environmental clone sequences from sea ice, but not environmental clone sequences from sediment and water; (ii) the geographical location does not correlate strongly with bacterial community differences in ice and sediment from the Arctic and Antarctic; and (iii) bacterial communities differ between terrestrially impacted seawater (whether polar or temperate) and warm oligotrophic seawater, whereas those in individual seawater samples are not more similar to each other than to those in sediment or ice samples. These results illustrate that UniFrac provides a new way of characterizing microbial communities, using the wealth of environmental rRNA sequences, and allows quantitative insight into the factors that underlie the distribution of lineages among environments.","author":[{"dropping-particle":"","family":"Lozupone","given":"Catherine","non-dropping-particle":"","parse-names":false,"suffix":""},{"dropping-particle":"","family":"Knight","given":"Rob","non-dropping-particle":"","parse-names":false,"suffix":""}],"container-title":"Applied and environmental microbiology","id":"ITEM-1","issue":"12","issued":{"date-parts":[["2005"]]},"page":"8228-8235","title":"UniFrac : a New Phylogenetic Method for Comparing Microbial Communities UniFrac : a New Phylogenetic Method for Comparing Microbial Communities","type":"article-journal","volume":"71"},"uris":["http://www.mendeley.com/documents/?uuid=3754f6db-1236-47aa-b3ea-bbe53b42a552"]}],"mendeley":{"formattedCitation":"&lt;sup&gt;51&lt;/sup&gt;","plainTextFormattedCitation":"51","previouslyFormattedCitation":"[51]"},"properties":{"noteIndex":0},"schema":"https://github.com/citation-style-language/schema/raw/master/csl-citation.json"}</w:instrText>
      </w:r>
      <w:r w:rsidRPr="00D23BF1">
        <w:rPr>
          <w:rFonts w:ascii="Times" w:hAnsi="Times"/>
          <w:highlight w:val="white"/>
        </w:rPr>
        <w:fldChar w:fldCharType="separate"/>
      </w:r>
      <w:r w:rsidRPr="00D23BF1">
        <w:rPr>
          <w:rFonts w:ascii="Times" w:hAnsi="Times"/>
          <w:noProof/>
          <w:highlight w:val="white"/>
          <w:vertAlign w:val="superscript"/>
        </w:rPr>
        <w:t>51</w:t>
      </w:r>
      <w:r w:rsidRPr="00D23BF1">
        <w:rPr>
          <w:rFonts w:ascii="Times" w:hAnsi="Times"/>
          <w:highlight w:val="white"/>
        </w:rPr>
        <w:fldChar w:fldCharType="end"/>
      </w:r>
      <w:r w:rsidRPr="00D23BF1">
        <w:rPr>
          <w:rFonts w:ascii="Times" w:hAnsi="Times"/>
          <w:highlight w:val="white"/>
        </w:rPr>
        <w:t xml:space="preserve">. UniFrac distances account for phylogenetic relatedness. Using QIIME2, we created dissimilarity matrixes for each distance measure and reduced dimensionality using principal coordinates analyses (PCoA). To assess dissimilarities in community membership and structure between urban and rural birds, we visualized the first two PCoAs for each distance measure, using ggplot2 </w:t>
      </w:r>
      <w:r w:rsidRPr="00D23BF1">
        <w:rPr>
          <w:rFonts w:ascii="Times" w:hAnsi="Times"/>
          <w:highlight w:val="white"/>
        </w:rPr>
        <w:fldChar w:fldCharType="begin" w:fldLock="1"/>
      </w:r>
      <w:r w:rsidRPr="00D23BF1">
        <w:rPr>
          <w:rFonts w:ascii="Times" w:hAnsi="Times"/>
          <w:highlight w:val="white"/>
        </w:rPr>
        <w:instrText>ADDIN CSL_CITATION {"citationItems":[{"id":"ITEM-1","itemData":{"DOI":"10.1007/978-0-387-98141-3","ISBN":"9780387981406","ISSN":"0006341X","abstract":"This book describes ggplot2, a new data visualization package for R that uses the insights from Leland Wilkison's Grammar of Graphics to create a powerful and flexible system for creating data graphics. With ggplot2, it's easy to:produce handsome, publication-quality plots, with automatic legends created from the plot specificationsuperpose multiple layers (points, lines, maps, tiles, box plots to name a few) from different data sources, with automatically adjusted common scalesadd customisable smoothers that use the powerful modelling capabilities of R, such as loess, linear models, generalised additive models and robust regressionsave any ggplot2 plot (or part thereof) for later modification or reusecreate custom themes that capture in-house or journal style requirements, and that can easily be applied to multiple plotsapproach your graph from a visual perspective, thinking about how each component of the data is represented on the final plot.This book will be useful to everyone who has struggled with displaying their data in an informative and attractive way. You will need some basic knowledge of R (i.e. you should be able to get your data into R), but ggplot2 is a mini-language specifically tailored for producing graphics, and you'll learn everything you need in the book. After reading this book you'll be able to produce graphics customized precisely for your problems, to and you'll find it easy to get graphics out of your head and on to the screen or page.","author":[{"dropping-particle":"","family":"Wickham","given":"Hadley","non-dropping-particle":"","parse-names":false,"suffix":""}],"container-title":"Book","id":"ITEM-1","issue":"July","issued":{"date-parts":[["2009"]]},"page":"211","title":"ggplot2 : Elegant graphics for data analysis","type":"article-journal","volume":"35"},"uris":["http://www.mendeley.com/documents/?uuid=77bab338-15eb-4930-bd96-34e8a9bc1b15"]}],"mendeley":{"formattedCitation":"&lt;sup&gt;50&lt;/sup&gt;","plainTextFormattedCitation":"50","previouslyFormattedCitation":"[50]"},"properties":{"noteIndex":0},"schema":"https://github.com/citation-style-language/schema/raw/master/csl-citation.json"}</w:instrText>
      </w:r>
      <w:r w:rsidRPr="00D23BF1">
        <w:rPr>
          <w:rFonts w:ascii="Times" w:hAnsi="Times"/>
          <w:highlight w:val="white"/>
        </w:rPr>
        <w:fldChar w:fldCharType="separate"/>
      </w:r>
      <w:r w:rsidRPr="00D23BF1">
        <w:rPr>
          <w:rFonts w:ascii="Times" w:hAnsi="Times"/>
          <w:noProof/>
          <w:highlight w:val="white"/>
          <w:vertAlign w:val="superscript"/>
        </w:rPr>
        <w:t>50</w:t>
      </w:r>
      <w:r w:rsidRPr="00D23BF1">
        <w:rPr>
          <w:rFonts w:ascii="Times" w:hAnsi="Times"/>
          <w:highlight w:val="white"/>
        </w:rPr>
        <w:fldChar w:fldCharType="end"/>
      </w:r>
      <w:r w:rsidRPr="00D23BF1">
        <w:rPr>
          <w:rFonts w:ascii="Times" w:hAnsi="Times"/>
          <w:highlight w:val="white"/>
        </w:rPr>
        <w:t xml:space="preserve">. </w:t>
      </w:r>
    </w:p>
    <w:p w14:paraId="5C282FD8" w14:textId="77777777" w:rsidR="00041ADB" w:rsidRPr="00D23BF1" w:rsidRDefault="00041ADB" w:rsidP="00F20BE1">
      <w:pPr>
        <w:rPr>
          <w:rFonts w:ascii="Times" w:hAnsi="Times"/>
          <w:highlight w:val="white"/>
        </w:rPr>
      </w:pPr>
      <w:r w:rsidRPr="00D23BF1">
        <w:rPr>
          <w:rFonts w:ascii="Times" w:hAnsi="Times"/>
          <w:highlight w:val="white"/>
        </w:rPr>
        <w:tab/>
        <w:t xml:space="preserve">Next, we examined variation in beta diversity in terms of community membership and structure. In this context, we are examining how much microbial community membership and structure are changing from one bird to the next. We examined beta diversity both across all birds and separately for urban and rural birds using all four measures of distance.  We first asked whether groups differed according to habitat using a PERMANOVA performed with the function adonis in the R package vegan </w:t>
      </w:r>
      <w:r w:rsidRPr="00D23BF1">
        <w:rPr>
          <w:rFonts w:ascii="Times" w:hAnsi="Times"/>
          <w:highlight w:val="white"/>
        </w:rPr>
        <w:fldChar w:fldCharType="begin" w:fldLock="1"/>
      </w:r>
      <w:r w:rsidRPr="00D23BF1">
        <w:rPr>
          <w:rFonts w:ascii="Times" w:hAnsi="Times"/>
          <w:highlight w:val="white"/>
        </w:rPr>
        <w:instrText>ADDIN CSL_CITATION {"citationItems":[{"id":"ITEM-1","itemData":{"DOI":"10.1038/sj.leu.2402722","ISBN":"0887-6924 (Print)\\r0887-6924 (Linking)","ISSN":"0887-6924","PMID":"12357343","abstract":"PML is the most frequent fusion partner of the RARalpha in the specific translocations associated with acute promyelocytic leukemia (APL). Models to explain the origin of this leukemia propose a block in cell differentiation due to aberrant repression of retinoic acid responsive genes and/or disruption of the function of the PML-containing nuclear bodies. Recently, PML has been identified as a regulator of replicative senescence and the premature senescence that occurs in response to oncogenic ras. This review discusses the idea that senescence is a general tumor suppressor mechanism related to terminal differentiation and disrupted during the establishment of APL and other cancers. According to this idea the PML-RARalpha fusion protein promotes leukemogenesis not only through repression of retinoic acid responsive genes, but also by way of interfering with several tumor suppressor proteins that cooperate to establish senescence. Retinoids and other drugs effective against APL do so by re-establishment of the senescence program, which also includes features of cell differentiation.","author":[{"dropping-particle":"","family":"Oksanen","given":"Jari","non-dropping-particle":"","parse-names":false,"suffix":""}],"container-title":"https://CRAN.R-project.org/package=vegan","id":"ITEM-1","issued":{"date-parts":[["2015"]]},"title":"Vegan: Community Ecology Package. R package version 2.4-3.","type":"article-journal"},"uris":["http://www.mendeley.com/documents/?uuid=c027f890-1620-4434-bde6-dde2c47d7ab2"]}],"mendeley":{"formattedCitation":"&lt;sup&gt;52&lt;/sup&gt;","plainTextFormattedCitation":"52","previouslyFormattedCitation":"[52]"},"properties":{"noteIndex":0},"schema":"https://github.com/citation-style-language/schema/raw/master/csl-citation.json"}</w:instrText>
      </w:r>
      <w:r w:rsidRPr="00D23BF1">
        <w:rPr>
          <w:rFonts w:ascii="Times" w:hAnsi="Times"/>
          <w:highlight w:val="white"/>
        </w:rPr>
        <w:fldChar w:fldCharType="separate"/>
      </w:r>
      <w:r w:rsidRPr="00D23BF1">
        <w:rPr>
          <w:rFonts w:ascii="Times" w:hAnsi="Times"/>
          <w:noProof/>
          <w:highlight w:val="white"/>
          <w:vertAlign w:val="superscript"/>
        </w:rPr>
        <w:t>52</w:t>
      </w:r>
      <w:r w:rsidRPr="00D23BF1">
        <w:rPr>
          <w:rFonts w:ascii="Times" w:hAnsi="Times"/>
          <w:highlight w:val="white"/>
        </w:rPr>
        <w:fldChar w:fldCharType="end"/>
      </w:r>
      <w:r w:rsidRPr="00D23BF1">
        <w:rPr>
          <w:rFonts w:ascii="Times" w:hAnsi="Times"/>
          <w:highlight w:val="white"/>
        </w:rPr>
        <w:t xml:space="preserve">. We then asked whether environmental and morphological variables can explain beta diversity using ANOVAs within the distance-based redundancy analyses (dbRDA) with 10,000 permutations in the vegan package in R </w:t>
      </w:r>
      <w:r w:rsidRPr="00D23BF1">
        <w:rPr>
          <w:rFonts w:ascii="Times" w:hAnsi="Times"/>
          <w:highlight w:val="white"/>
        </w:rPr>
        <w:fldChar w:fldCharType="begin" w:fldLock="1"/>
      </w:r>
      <w:r w:rsidRPr="00D23BF1">
        <w:rPr>
          <w:rFonts w:ascii="Times" w:hAnsi="Times"/>
          <w:highlight w:val="white"/>
        </w:rPr>
        <w:instrText>ADDIN CSL_CITATION {"citationItems":[{"id":"ITEM-1","itemData":{"DOI":"10.1038/sj.leu.2402722","ISBN":"0887-6924 (Print)\\r0887-6924 (Linking)","ISSN":"0887-6924","PMID":"12357343","abstract":"PML is the most frequent fusion partner of the RARalpha in the specific translocations associated with acute promyelocytic leukemia (APL). Models to explain the origin of this leukemia propose a block in cell differentiation due to aberrant repression of retinoic acid responsive genes and/or disruption of the function of the PML-containing nuclear bodies. Recently, PML has been identified as a regulator of replicative senescence and the premature senescence that occurs in response to oncogenic ras. This review discusses the idea that senescence is a general tumor suppressor mechanism related to terminal differentiation and disrupted during the establishment of APL and other cancers. According to this idea the PML-RARalpha fusion protein promotes leukemogenesis not only through repression of retinoic acid responsive genes, but also by way of interfering with several tumor suppressor proteins that cooperate to establish senescence. Retinoids and other drugs effective against APL do so by re-establishment of the senescence program, which also includes features of cell differentiation.","author":[{"dropping-particle":"","family":"Oksanen","given":"Jari","non-dropping-particle":"","parse-names":false,"suffix":""}],"container-title":"https://CRAN.R-project.org/package=vegan","id":"ITEM-1","issued":{"date-parts":[["2015"]]},"title":"Vegan: Community Ecology Package. R package version 2.4-3.","type":"article-journal"},"uris":["http://www.mendeley.com/documents/?uuid=c027f890-1620-4434-bde6-dde2c47d7ab2"]}],"mendeley":{"formattedCitation":"&lt;sup&gt;52&lt;/sup&gt;","plainTextFormattedCitation":"52","previouslyFormattedCitation":"[52]"},"properties":{"noteIndex":0},"schema":"https://github.com/citation-style-language/schema/raw/master/csl-citation.json"}</w:instrText>
      </w:r>
      <w:r w:rsidRPr="00D23BF1">
        <w:rPr>
          <w:rFonts w:ascii="Times" w:hAnsi="Times"/>
          <w:highlight w:val="white"/>
        </w:rPr>
        <w:fldChar w:fldCharType="separate"/>
      </w:r>
      <w:r w:rsidRPr="00D23BF1">
        <w:rPr>
          <w:rFonts w:ascii="Times" w:hAnsi="Times"/>
          <w:noProof/>
          <w:highlight w:val="white"/>
          <w:vertAlign w:val="superscript"/>
        </w:rPr>
        <w:t>52</w:t>
      </w:r>
      <w:r w:rsidRPr="00D23BF1">
        <w:rPr>
          <w:rFonts w:ascii="Times" w:hAnsi="Times"/>
          <w:highlight w:val="white"/>
        </w:rPr>
        <w:fldChar w:fldCharType="end"/>
      </w:r>
      <w:r w:rsidRPr="00D23BF1">
        <w:rPr>
          <w:rFonts w:ascii="Times" w:hAnsi="Times"/>
          <w:highlight w:val="white"/>
        </w:rPr>
        <w:t xml:space="preserve">. </w:t>
      </w:r>
    </w:p>
    <w:p w14:paraId="0CC04A43" w14:textId="77777777" w:rsidR="00041ADB" w:rsidRPr="00D23BF1" w:rsidRDefault="00041ADB" w:rsidP="00F20BE1">
      <w:pPr>
        <w:rPr>
          <w:rFonts w:ascii="Times" w:hAnsi="Times"/>
          <w:highlight w:val="white"/>
        </w:rPr>
      </w:pPr>
    </w:p>
    <w:p w14:paraId="47EDA92E" w14:textId="77777777" w:rsidR="00041ADB" w:rsidRPr="00D23BF1" w:rsidRDefault="00041ADB" w:rsidP="00F20BE1">
      <w:pPr>
        <w:rPr>
          <w:rFonts w:ascii="Times" w:hAnsi="Times"/>
          <w:highlight w:val="white"/>
        </w:rPr>
      </w:pPr>
    </w:p>
    <w:p w14:paraId="03803670" w14:textId="77777777" w:rsidR="00041ADB" w:rsidRPr="00D23BF1" w:rsidRDefault="00041ADB" w:rsidP="00F20BE1">
      <w:pPr>
        <w:pStyle w:val="Heading2"/>
        <w:rPr>
          <w:rFonts w:ascii="Times" w:hAnsi="Times"/>
        </w:rPr>
      </w:pPr>
      <w:bookmarkStart w:id="100" w:name="_Toc69393570"/>
      <w:bookmarkStart w:id="101" w:name="_Toc69396343"/>
      <w:bookmarkStart w:id="102" w:name="_Toc69396378"/>
      <w:bookmarkStart w:id="103" w:name="_Toc69396567"/>
      <w:bookmarkStart w:id="104" w:name="_Toc69972879"/>
      <w:r w:rsidRPr="00D23BF1">
        <w:rPr>
          <w:rFonts w:ascii="Times" w:hAnsi="Times"/>
        </w:rPr>
        <w:t>Results</w:t>
      </w:r>
      <w:bookmarkEnd w:id="100"/>
      <w:bookmarkEnd w:id="101"/>
      <w:bookmarkEnd w:id="102"/>
      <w:bookmarkEnd w:id="103"/>
      <w:bookmarkEnd w:id="104"/>
    </w:p>
    <w:p w14:paraId="68B5094D" w14:textId="77777777" w:rsidR="00041ADB" w:rsidRPr="00D23BF1" w:rsidRDefault="00041ADB" w:rsidP="00F20BE1">
      <w:pPr>
        <w:rPr>
          <w:rFonts w:ascii="Times" w:hAnsi="Times"/>
          <w:i/>
        </w:rPr>
      </w:pPr>
    </w:p>
    <w:p w14:paraId="0432CC08" w14:textId="77777777" w:rsidR="00041ADB" w:rsidRPr="00D23BF1" w:rsidRDefault="00041ADB" w:rsidP="00F20BE1">
      <w:pPr>
        <w:rPr>
          <w:rFonts w:ascii="Times" w:hAnsi="Times"/>
          <w:i/>
          <w:iCs/>
        </w:rPr>
      </w:pPr>
      <w:r w:rsidRPr="00D23BF1">
        <w:rPr>
          <w:rFonts w:ascii="Times" w:hAnsi="Times"/>
          <w:i/>
          <w:iCs/>
        </w:rPr>
        <w:t>Environmental and morphological variables</w:t>
      </w:r>
    </w:p>
    <w:p w14:paraId="2BCA0874" w14:textId="77777777" w:rsidR="00041ADB" w:rsidRPr="00D23BF1" w:rsidRDefault="00041ADB" w:rsidP="00F20BE1">
      <w:pPr>
        <w:rPr>
          <w:rFonts w:ascii="Times" w:hAnsi="Times"/>
        </w:rPr>
      </w:pPr>
      <w:r w:rsidRPr="00D23BF1">
        <w:rPr>
          <w:rFonts w:ascii="Times" w:hAnsi="Times"/>
          <w:color w:val="000000"/>
        </w:rPr>
        <w:t xml:space="preserve">Our sample sites were chosen as either rural or urban sites, and to quantify this categorization we measured many potential indicators of urbanization. All of the measured environmental variables were significantly different between urban and rural locations (Welch’s t-test, p &lt; 0.05; Table 3), except for percent grass (t=-1.53, </w:t>
      </w:r>
      <w:r w:rsidRPr="00D23BF1">
        <w:rPr>
          <w:rFonts w:ascii="Times" w:hAnsi="Times"/>
          <w:i/>
          <w:iCs/>
        </w:rPr>
        <w:t>P</w:t>
      </w:r>
      <w:r w:rsidRPr="00D23BF1">
        <w:rPr>
          <w:rFonts w:ascii="Times" w:hAnsi="Times"/>
        </w:rPr>
        <w:t>=0.134</w:t>
      </w:r>
      <w:r w:rsidRPr="00D23BF1">
        <w:rPr>
          <w:rFonts w:ascii="Times" w:hAnsi="Times"/>
          <w:color w:val="000000"/>
        </w:rPr>
        <w:t xml:space="preserve">). Percent tree (t=6.14, </w:t>
      </w:r>
      <w:r w:rsidRPr="00D23BF1">
        <w:rPr>
          <w:rFonts w:ascii="Times" w:hAnsi="Times"/>
          <w:i/>
          <w:iCs/>
        </w:rPr>
        <w:t>P</w:t>
      </w:r>
      <w:r w:rsidRPr="00D23BF1">
        <w:rPr>
          <w:rFonts w:ascii="Times" w:hAnsi="Times"/>
        </w:rPr>
        <w:t>&lt;0.001</w:t>
      </w:r>
      <w:r w:rsidRPr="00D23BF1">
        <w:rPr>
          <w:rFonts w:ascii="Times" w:hAnsi="Times"/>
          <w:color w:val="000000"/>
        </w:rPr>
        <w:t xml:space="preserve">) and </w:t>
      </w:r>
      <w:r w:rsidRPr="00D23BF1">
        <w:rPr>
          <w:rFonts w:ascii="Times" w:hAnsi="Times"/>
        </w:rPr>
        <w:t xml:space="preserve">impervious surface cover (t=4.83, </w:t>
      </w:r>
      <w:r w:rsidRPr="00D23BF1">
        <w:rPr>
          <w:rFonts w:ascii="Times" w:hAnsi="Times"/>
          <w:i/>
          <w:iCs/>
        </w:rPr>
        <w:t>P</w:t>
      </w:r>
      <w:r w:rsidRPr="00D23BF1">
        <w:rPr>
          <w:rFonts w:ascii="Times" w:hAnsi="Times"/>
        </w:rPr>
        <w:t xml:space="preserve">&lt;0.001), and noise (t=7.33, </w:t>
      </w:r>
      <w:r w:rsidRPr="00D23BF1">
        <w:rPr>
          <w:rFonts w:ascii="Times" w:hAnsi="Times"/>
          <w:i/>
          <w:iCs/>
        </w:rPr>
        <w:t>P</w:t>
      </w:r>
      <w:r w:rsidRPr="00D23BF1">
        <w:rPr>
          <w:rFonts w:ascii="Times" w:hAnsi="Times"/>
        </w:rPr>
        <w:t xml:space="preserve">&lt;0.001) were significantly higher in urban areas, whereas percent scrub cover (t=-4.46, </w:t>
      </w:r>
      <w:r w:rsidRPr="00D23BF1">
        <w:rPr>
          <w:rFonts w:ascii="Times" w:hAnsi="Times"/>
          <w:i/>
          <w:iCs/>
        </w:rPr>
        <w:t>P</w:t>
      </w:r>
      <w:r w:rsidRPr="00D23BF1">
        <w:rPr>
          <w:rFonts w:ascii="Times" w:hAnsi="Times"/>
        </w:rPr>
        <w:t>&lt;0.001) was significantly higher in rural areas.</w:t>
      </w:r>
      <w:r w:rsidRPr="00D23BF1">
        <w:rPr>
          <w:rFonts w:ascii="Times" w:hAnsi="Times"/>
          <w:color w:val="000000"/>
        </w:rPr>
        <w:t xml:space="preserve"> The only morphological feature different between urban and rural areas, after Bonferroni correction for multiple tests, was plumage wear </w:t>
      </w:r>
      <w:r w:rsidRPr="00D23BF1">
        <w:rPr>
          <w:rFonts w:ascii="Times" w:hAnsi="Times"/>
        </w:rPr>
        <w:t xml:space="preserve">(Welch’s t-test, p &lt; 0.001; Table 3). Bill size, </w:t>
      </w:r>
      <w:r w:rsidRPr="00D23BF1">
        <w:rPr>
          <w:rFonts w:ascii="Times" w:hAnsi="Times"/>
        </w:rPr>
        <w:lastRenderedPageBreak/>
        <w:t>plumage fade, wing chord, cloacal protuberance, fat scores and body condition were not significantly different between urban and rural areas.</w:t>
      </w:r>
    </w:p>
    <w:p w14:paraId="00B310CD" w14:textId="77777777" w:rsidR="00041ADB" w:rsidRPr="00D23BF1" w:rsidRDefault="00041ADB" w:rsidP="00F20BE1">
      <w:pPr>
        <w:rPr>
          <w:rFonts w:ascii="Times" w:hAnsi="Times"/>
          <w:i/>
        </w:rPr>
      </w:pPr>
    </w:p>
    <w:p w14:paraId="709846F6" w14:textId="77777777" w:rsidR="00041ADB" w:rsidRPr="00D23BF1" w:rsidRDefault="00041ADB" w:rsidP="00F20BE1">
      <w:pPr>
        <w:rPr>
          <w:rFonts w:ascii="Times" w:hAnsi="Times"/>
          <w:i/>
          <w:iCs/>
        </w:rPr>
      </w:pPr>
      <w:r w:rsidRPr="00D23BF1">
        <w:rPr>
          <w:rFonts w:ascii="Times" w:hAnsi="Times"/>
          <w:i/>
          <w:iCs/>
        </w:rPr>
        <w:t>Bacterial taxa</w:t>
      </w:r>
    </w:p>
    <w:p w14:paraId="1CE737F1" w14:textId="77777777" w:rsidR="00041ADB" w:rsidRPr="00D23BF1" w:rsidRDefault="00041ADB" w:rsidP="00F20BE1">
      <w:pPr>
        <w:rPr>
          <w:rFonts w:ascii="Times" w:hAnsi="Times"/>
        </w:rPr>
      </w:pPr>
      <w:r w:rsidRPr="00D23BF1">
        <w:rPr>
          <w:rFonts w:ascii="Times" w:hAnsi="Times"/>
        </w:rPr>
        <w:tab/>
        <w:t xml:space="preserve">We found 23 families to be differentially abundant between urban and rural birds (LDA scores &gt; 3, Fig. 8). Urban birds had significantly higher abundances of Enterobacteriaceae, Camplylobacteraceae, Phormidiaceae and 11 others. Rural birds had significantly more Mycoplasmataceae, Ktedonovacteraceae, Diplorickettsiaceae, and six others. </w:t>
      </w:r>
    </w:p>
    <w:p w14:paraId="6D59DF35" w14:textId="77777777" w:rsidR="00041ADB" w:rsidRPr="00D23BF1" w:rsidRDefault="00041ADB" w:rsidP="00F20BE1">
      <w:pPr>
        <w:rPr>
          <w:rFonts w:ascii="Times" w:hAnsi="Times"/>
          <w:i/>
        </w:rPr>
      </w:pPr>
    </w:p>
    <w:p w14:paraId="2BD4D91C" w14:textId="77777777" w:rsidR="00041ADB" w:rsidRPr="00D23BF1" w:rsidRDefault="00041ADB" w:rsidP="00F20BE1">
      <w:pPr>
        <w:rPr>
          <w:rFonts w:ascii="Times" w:hAnsi="Times"/>
          <w:i/>
          <w:iCs/>
        </w:rPr>
      </w:pPr>
      <w:r w:rsidRPr="00D23BF1">
        <w:rPr>
          <w:rFonts w:ascii="Times" w:hAnsi="Times"/>
          <w:i/>
          <w:iCs/>
        </w:rPr>
        <w:t>Bacterial richness is higher in urbanized landscapes</w:t>
      </w:r>
    </w:p>
    <w:p w14:paraId="1F99CD88" w14:textId="77777777" w:rsidR="00041ADB" w:rsidRPr="00D23BF1" w:rsidRDefault="00041ADB" w:rsidP="00F20BE1">
      <w:pPr>
        <w:rPr>
          <w:rFonts w:ascii="Times" w:hAnsi="Times"/>
        </w:rPr>
      </w:pPr>
      <w:r w:rsidRPr="00D23BF1">
        <w:rPr>
          <w:rFonts w:ascii="Times" w:hAnsi="Times"/>
        </w:rPr>
        <w:tab/>
        <w:t>We found support for our prediction that alpha diversity is higher in the urban as compared to the rural habitat; however, this pattern was significant only for bacterial richness (</w:t>
      </w:r>
      <w:r w:rsidRPr="00D23BF1">
        <w:rPr>
          <w:rFonts w:ascii="Times" w:hAnsi="Times"/>
          <w:vertAlign w:val="superscript"/>
        </w:rPr>
        <w:t>0</w:t>
      </w:r>
      <w:r w:rsidRPr="00D23BF1">
        <w:rPr>
          <w:rFonts w:ascii="Times" w:hAnsi="Times"/>
        </w:rPr>
        <w:t xml:space="preserve">D) (t=2.077, </w:t>
      </w:r>
      <w:r w:rsidRPr="00D23BF1">
        <w:rPr>
          <w:rFonts w:ascii="Times" w:hAnsi="Times"/>
          <w:i/>
          <w:iCs/>
        </w:rPr>
        <w:t>P</w:t>
      </w:r>
      <w:r w:rsidRPr="00D23BF1">
        <w:rPr>
          <w:rFonts w:ascii="Times" w:hAnsi="Times"/>
        </w:rPr>
        <w:t xml:space="preserve">=0.041, urban mean=107.2, rural mean=80; Fig. 9; Table S2). We did not find a significant difference in </w:t>
      </w:r>
      <w:r w:rsidRPr="00D23BF1">
        <w:rPr>
          <w:rFonts w:ascii="Times" w:hAnsi="Times"/>
          <w:vertAlign w:val="superscript"/>
        </w:rPr>
        <w:t>1</w:t>
      </w:r>
      <w:r w:rsidRPr="00D23BF1">
        <w:rPr>
          <w:rFonts w:ascii="Times" w:hAnsi="Times"/>
        </w:rPr>
        <w:t>D,</w:t>
      </w:r>
      <w:r w:rsidRPr="00D23BF1" w:rsidDel="00E614C6">
        <w:rPr>
          <w:rFonts w:ascii="Times" w:hAnsi="Times"/>
        </w:rPr>
        <w:t xml:space="preserve"> </w:t>
      </w:r>
      <w:r w:rsidRPr="00D23BF1">
        <w:rPr>
          <w:rFonts w:ascii="Times" w:hAnsi="Times"/>
          <w:vertAlign w:val="superscript"/>
        </w:rPr>
        <w:t>2</w:t>
      </w:r>
      <w:r w:rsidRPr="00D23BF1">
        <w:rPr>
          <w:rFonts w:ascii="Times" w:hAnsi="Times"/>
        </w:rPr>
        <w:t xml:space="preserve">D, or Faith’s phylogenetic diversity between birds from urban and rural habitats (t=1.174, 0.884, &amp; -1.8484 respectively, </w:t>
      </w:r>
      <w:r w:rsidRPr="00D23BF1">
        <w:rPr>
          <w:rFonts w:ascii="Times" w:hAnsi="Times"/>
          <w:i/>
          <w:iCs/>
        </w:rPr>
        <w:t>P</w:t>
      </w:r>
      <w:r w:rsidRPr="00D23BF1">
        <w:rPr>
          <w:rFonts w:ascii="Times" w:hAnsi="Times"/>
        </w:rPr>
        <w:t>=1.174, 0.379, &amp; 0.071, urban mean=21.6, 11.6 &amp; 9.31, rural mean=16, 9.2 &amp; 7.76; Fig. 9; Table S2).</w:t>
      </w:r>
    </w:p>
    <w:p w14:paraId="6A6EA362" w14:textId="77777777" w:rsidR="00041ADB" w:rsidRPr="00D23BF1" w:rsidRDefault="00041ADB" w:rsidP="00F20BE1">
      <w:pPr>
        <w:rPr>
          <w:rFonts w:ascii="Times" w:hAnsi="Times"/>
        </w:rPr>
      </w:pPr>
    </w:p>
    <w:p w14:paraId="317EE3A8" w14:textId="77777777" w:rsidR="00041ADB" w:rsidRPr="00D23BF1" w:rsidRDefault="00041ADB" w:rsidP="00F20BE1">
      <w:pPr>
        <w:rPr>
          <w:rFonts w:ascii="Times" w:hAnsi="Times"/>
          <w:i/>
          <w:iCs/>
        </w:rPr>
      </w:pPr>
      <w:r w:rsidRPr="00D23BF1">
        <w:rPr>
          <w:rFonts w:ascii="Times" w:hAnsi="Times"/>
          <w:i/>
          <w:iCs/>
        </w:rPr>
        <w:t xml:space="preserve">Alpha diversity predictors differ according to weight of rare bacteria </w:t>
      </w:r>
    </w:p>
    <w:p w14:paraId="6BF083F0" w14:textId="77777777" w:rsidR="00041ADB" w:rsidRPr="00D23BF1" w:rsidRDefault="00041ADB" w:rsidP="00F20BE1">
      <w:pPr>
        <w:rPr>
          <w:rFonts w:ascii="Times" w:hAnsi="Times"/>
        </w:rPr>
      </w:pPr>
      <w:r w:rsidRPr="00D23BF1">
        <w:rPr>
          <w:rFonts w:ascii="Times" w:hAnsi="Times"/>
        </w:rPr>
        <w:tab/>
        <w:t>In the final overall averaged model combining urban and rural samples, percent grass cover was the most important predictor for richness (</w:t>
      </w:r>
      <w:r w:rsidRPr="00D23BF1">
        <w:rPr>
          <w:rFonts w:ascii="Times" w:hAnsi="Times"/>
          <w:vertAlign w:val="superscript"/>
        </w:rPr>
        <w:t>0</w:t>
      </w:r>
      <w:r w:rsidRPr="00D23BF1">
        <w:rPr>
          <w:rFonts w:ascii="Times" w:hAnsi="Times"/>
        </w:rPr>
        <w:t>D w</w:t>
      </w:r>
      <w:r w:rsidRPr="00D23BF1">
        <w:rPr>
          <w:rFonts w:ascii="Times" w:hAnsi="Times"/>
          <w:vertAlign w:val="superscript"/>
        </w:rPr>
        <w:t xml:space="preserve">+ </w:t>
      </w:r>
      <w:r w:rsidRPr="00D23BF1">
        <w:rPr>
          <w:rFonts w:ascii="Times" w:hAnsi="Times"/>
        </w:rPr>
        <w:t xml:space="preserve">=1; Table S3&amp;4, Fig. 10). North coordinate i.e. geographic location was the most important predictor for </w:t>
      </w:r>
      <w:r w:rsidRPr="00D23BF1">
        <w:rPr>
          <w:rFonts w:ascii="Times" w:hAnsi="Times"/>
          <w:vertAlign w:val="superscript"/>
        </w:rPr>
        <w:t>1</w:t>
      </w:r>
      <w:r w:rsidRPr="00D23BF1">
        <w:rPr>
          <w:rFonts w:ascii="Times" w:hAnsi="Times"/>
        </w:rPr>
        <w:t>D</w:t>
      </w:r>
      <w:r w:rsidRPr="00D23BF1" w:rsidDel="00E614C6">
        <w:rPr>
          <w:rFonts w:ascii="Times" w:hAnsi="Times"/>
        </w:rPr>
        <w:t xml:space="preserve"> </w:t>
      </w:r>
      <w:r w:rsidRPr="00D23BF1">
        <w:rPr>
          <w:rFonts w:ascii="Times" w:hAnsi="Times"/>
        </w:rPr>
        <w:t xml:space="preserve">and </w:t>
      </w:r>
      <w:r w:rsidRPr="00D23BF1">
        <w:rPr>
          <w:rFonts w:ascii="Times" w:hAnsi="Times"/>
          <w:vertAlign w:val="superscript"/>
        </w:rPr>
        <w:t>2</w:t>
      </w:r>
      <w:r w:rsidRPr="00D23BF1">
        <w:rPr>
          <w:rFonts w:ascii="Times" w:hAnsi="Times"/>
        </w:rPr>
        <w:t>D (</w:t>
      </w:r>
      <w:r w:rsidRPr="00D23BF1">
        <w:rPr>
          <w:rFonts w:ascii="Times" w:hAnsi="Times"/>
          <w:vertAlign w:val="superscript"/>
        </w:rPr>
        <w:t>1</w:t>
      </w:r>
      <w:r w:rsidRPr="00D23BF1">
        <w:rPr>
          <w:rFonts w:ascii="Times" w:hAnsi="Times"/>
        </w:rPr>
        <w:t>D w</w:t>
      </w:r>
      <w:r w:rsidRPr="00D23BF1">
        <w:rPr>
          <w:rFonts w:ascii="Times" w:hAnsi="Times"/>
          <w:vertAlign w:val="superscript"/>
        </w:rPr>
        <w:t xml:space="preserve">+ </w:t>
      </w:r>
      <w:r w:rsidRPr="00D23BF1">
        <w:rPr>
          <w:rFonts w:ascii="Times" w:hAnsi="Times"/>
        </w:rPr>
        <w:t xml:space="preserve">=0.71; </w:t>
      </w:r>
      <w:r w:rsidRPr="00D23BF1">
        <w:rPr>
          <w:rFonts w:ascii="Times" w:hAnsi="Times"/>
          <w:vertAlign w:val="superscript"/>
        </w:rPr>
        <w:t>2</w:t>
      </w:r>
      <w:r w:rsidRPr="00D23BF1">
        <w:rPr>
          <w:rFonts w:ascii="Times" w:hAnsi="Times"/>
        </w:rPr>
        <w:t>D w</w:t>
      </w:r>
      <w:r w:rsidRPr="00D23BF1">
        <w:rPr>
          <w:rFonts w:ascii="Times" w:hAnsi="Times"/>
          <w:vertAlign w:val="superscript"/>
        </w:rPr>
        <w:t xml:space="preserve">+ </w:t>
      </w:r>
      <w:r w:rsidRPr="00D23BF1">
        <w:rPr>
          <w:rFonts w:ascii="Times" w:hAnsi="Times"/>
        </w:rPr>
        <w:t>=0.61; Table S3&amp;4, Fig. 10) The next three most important predictors for bacterial richness (</w:t>
      </w:r>
      <w:r w:rsidRPr="00D23BF1">
        <w:rPr>
          <w:rFonts w:ascii="Times" w:hAnsi="Times"/>
          <w:vertAlign w:val="superscript"/>
        </w:rPr>
        <w:t>0</w:t>
      </w:r>
      <w:r w:rsidRPr="00D23BF1">
        <w:rPr>
          <w:rFonts w:ascii="Times" w:hAnsi="Times"/>
        </w:rPr>
        <w:t>D) were bill depth (w</w:t>
      </w:r>
      <w:r w:rsidRPr="00D23BF1">
        <w:rPr>
          <w:rFonts w:ascii="Times" w:hAnsi="Times"/>
          <w:vertAlign w:val="superscript"/>
        </w:rPr>
        <w:t>+</w:t>
      </w:r>
      <w:r w:rsidRPr="00D23BF1">
        <w:rPr>
          <w:rFonts w:ascii="Times" w:hAnsi="Times"/>
        </w:rPr>
        <w:t>=0.73), north coordinate, (w</w:t>
      </w:r>
      <w:r w:rsidRPr="00D23BF1">
        <w:rPr>
          <w:rFonts w:ascii="Times" w:hAnsi="Times"/>
          <w:vertAlign w:val="superscript"/>
        </w:rPr>
        <w:t>+</w:t>
      </w:r>
      <w:r w:rsidRPr="00D23BF1">
        <w:rPr>
          <w:rFonts w:ascii="Times" w:hAnsi="Times"/>
        </w:rPr>
        <w:t>=0.7) and noise (w</w:t>
      </w:r>
      <w:r w:rsidRPr="00D23BF1">
        <w:rPr>
          <w:rFonts w:ascii="Times" w:hAnsi="Times"/>
          <w:vertAlign w:val="superscript"/>
        </w:rPr>
        <w:t>+</w:t>
      </w:r>
      <w:r w:rsidRPr="00D23BF1">
        <w:rPr>
          <w:rFonts w:ascii="Times" w:hAnsi="Times"/>
        </w:rPr>
        <w:t xml:space="preserve">=0.58). For both </w:t>
      </w:r>
      <w:r w:rsidRPr="00D23BF1">
        <w:rPr>
          <w:rFonts w:ascii="Times" w:hAnsi="Times"/>
          <w:vertAlign w:val="superscript"/>
        </w:rPr>
        <w:t>1</w:t>
      </w:r>
      <w:r w:rsidRPr="00D23BF1">
        <w:rPr>
          <w:rFonts w:ascii="Times" w:hAnsi="Times"/>
        </w:rPr>
        <w:t>D</w:t>
      </w:r>
      <w:r w:rsidRPr="00D23BF1" w:rsidDel="00E614C6">
        <w:rPr>
          <w:rFonts w:ascii="Times" w:hAnsi="Times"/>
        </w:rPr>
        <w:t xml:space="preserve"> </w:t>
      </w:r>
      <w:r w:rsidRPr="00D23BF1">
        <w:rPr>
          <w:rFonts w:ascii="Times" w:hAnsi="Times"/>
        </w:rPr>
        <w:t xml:space="preserve">and </w:t>
      </w:r>
      <w:r w:rsidRPr="00D23BF1">
        <w:rPr>
          <w:rFonts w:ascii="Times" w:hAnsi="Times"/>
          <w:vertAlign w:val="superscript"/>
        </w:rPr>
        <w:t>2</w:t>
      </w:r>
      <w:r w:rsidRPr="00D23BF1">
        <w:rPr>
          <w:rFonts w:ascii="Times" w:hAnsi="Times"/>
        </w:rPr>
        <w:t>D</w:t>
      </w:r>
      <w:r w:rsidRPr="00D23BF1" w:rsidDel="00E614C6">
        <w:rPr>
          <w:rFonts w:ascii="Times" w:hAnsi="Times"/>
        </w:rPr>
        <w:t xml:space="preserve"> </w:t>
      </w:r>
      <w:r w:rsidRPr="00D23BF1">
        <w:rPr>
          <w:rFonts w:ascii="Times" w:hAnsi="Times"/>
        </w:rPr>
        <w:t>the next three most important predictor variables after north coordinate were wing chord (w</w:t>
      </w:r>
      <w:r w:rsidRPr="00D23BF1">
        <w:rPr>
          <w:rFonts w:ascii="Times" w:hAnsi="Times"/>
          <w:vertAlign w:val="superscript"/>
        </w:rPr>
        <w:t>+</w:t>
      </w:r>
      <w:r w:rsidRPr="00D23BF1">
        <w:rPr>
          <w:rFonts w:ascii="Times" w:hAnsi="Times"/>
        </w:rPr>
        <w:t>=0.56, 0.56; respectively), noise (w</w:t>
      </w:r>
      <w:r w:rsidRPr="00D23BF1">
        <w:rPr>
          <w:rFonts w:ascii="Times" w:hAnsi="Times"/>
          <w:vertAlign w:val="superscript"/>
        </w:rPr>
        <w:t>+</w:t>
      </w:r>
      <w:r w:rsidRPr="00D23BF1">
        <w:rPr>
          <w:rFonts w:ascii="Times" w:hAnsi="Times"/>
        </w:rPr>
        <w:t>=0.54, 0.52), and bill depth (w</w:t>
      </w:r>
      <w:r w:rsidRPr="00D23BF1">
        <w:rPr>
          <w:rFonts w:ascii="Times" w:hAnsi="Times"/>
          <w:vertAlign w:val="superscript"/>
        </w:rPr>
        <w:t>+</w:t>
      </w:r>
      <w:r w:rsidRPr="00D23BF1">
        <w:rPr>
          <w:rFonts w:ascii="Times" w:hAnsi="Times"/>
        </w:rPr>
        <w:t>=0.51, 0.46). All other predictor variables for all levels of q were less than 0.5. Three of these environmental variables (percent grass, north coordinate, and noise) drop in importance, as rare species are down-weighted. We also ran our models with Faith’s PD as the response variable, but the results did not differ notably from those of the hill numbers (Table S2, S3).</w:t>
      </w:r>
    </w:p>
    <w:p w14:paraId="05027B36" w14:textId="77777777" w:rsidR="00041ADB" w:rsidRPr="00D23BF1" w:rsidRDefault="00041ADB" w:rsidP="00F20BE1">
      <w:pPr>
        <w:rPr>
          <w:rFonts w:ascii="Times" w:hAnsi="Times"/>
        </w:rPr>
      </w:pPr>
      <w:r w:rsidRPr="00D23BF1">
        <w:rPr>
          <w:rFonts w:ascii="Times" w:hAnsi="Times"/>
        </w:rPr>
        <w:t>To further examine patterns in alpha diversity, we plotted important variables separately against orders of q, for all birds combined (Fig. S2; Fig. S3). These ordinations showed us that although some variables – such as percent grass cover – were the most important variable in our averaged model, most of these variables alone were not tightly correlated with alpha diversity. Richness (</w:t>
      </w:r>
      <w:r w:rsidRPr="00D23BF1">
        <w:rPr>
          <w:rFonts w:ascii="Times" w:hAnsi="Times"/>
          <w:vertAlign w:val="superscript"/>
        </w:rPr>
        <w:t>0</w:t>
      </w:r>
      <w:r w:rsidRPr="00D23BF1">
        <w:rPr>
          <w:rFonts w:ascii="Times" w:hAnsi="Times"/>
        </w:rPr>
        <w:t>D) had a relatively high R</w:t>
      </w:r>
      <w:r w:rsidRPr="00D23BF1">
        <w:rPr>
          <w:rFonts w:ascii="Times" w:hAnsi="Times"/>
          <w:vertAlign w:val="superscript"/>
        </w:rPr>
        <w:t>2</w:t>
      </w:r>
      <w:r w:rsidRPr="00D23BF1">
        <w:rPr>
          <w:rFonts w:ascii="Times" w:hAnsi="Times"/>
        </w:rPr>
        <w:t xml:space="preserve"> value when plotted against bill depth. </w:t>
      </w:r>
    </w:p>
    <w:p w14:paraId="4B3D852F" w14:textId="77777777" w:rsidR="00041ADB" w:rsidRPr="00D23BF1" w:rsidRDefault="00041ADB" w:rsidP="00F20BE1">
      <w:pPr>
        <w:rPr>
          <w:rFonts w:ascii="Times" w:hAnsi="Times"/>
          <w:i/>
        </w:rPr>
      </w:pPr>
    </w:p>
    <w:p w14:paraId="122B2941" w14:textId="77777777" w:rsidR="00041ADB" w:rsidRPr="00D23BF1" w:rsidRDefault="00041ADB" w:rsidP="00F20BE1">
      <w:pPr>
        <w:rPr>
          <w:rFonts w:ascii="Times" w:hAnsi="Times"/>
          <w:i/>
          <w:iCs/>
        </w:rPr>
      </w:pPr>
      <w:r w:rsidRPr="00D23BF1">
        <w:rPr>
          <w:rFonts w:ascii="Times" w:hAnsi="Times"/>
          <w:i/>
          <w:iCs/>
        </w:rPr>
        <w:t>Predictors of alpha diversity differ for urban and rural birds</w:t>
      </w:r>
    </w:p>
    <w:p w14:paraId="1CDA598A" w14:textId="77777777" w:rsidR="00041ADB" w:rsidRPr="00D23BF1" w:rsidRDefault="00041ADB" w:rsidP="00F20BE1">
      <w:pPr>
        <w:rPr>
          <w:rFonts w:ascii="Times" w:hAnsi="Times"/>
        </w:rPr>
      </w:pPr>
      <w:r w:rsidRPr="00D23BF1">
        <w:rPr>
          <w:rFonts w:ascii="Times" w:hAnsi="Times"/>
        </w:rPr>
        <w:tab/>
        <w:t>We next ran all possible models separately for urban and rural samples. We found that the most important predictors of alpha diversity were not the same for urban and rural samples (Fig. 10). For bacterial richness (</w:t>
      </w:r>
      <w:r w:rsidRPr="00D23BF1">
        <w:rPr>
          <w:rFonts w:ascii="Times" w:hAnsi="Times"/>
          <w:vertAlign w:val="superscript"/>
        </w:rPr>
        <w:t>0</w:t>
      </w:r>
      <w:r w:rsidRPr="00D23BF1">
        <w:rPr>
          <w:rFonts w:ascii="Times" w:hAnsi="Times"/>
        </w:rPr>
        <w:t>D) in urban models, bill depth was the most important variable (w</w:t>
      </w:r>
      <w:r w:rsidRPr="00D23BF1">
        <w:rPr>
          <w:rFonts w:ascii="Times" w:hAnsi="Times"/>
          <w:vertAlign w:val="superscript"/>
        </w:rPr>
        <w:t>+</w:t>
      </w:r>
      <w:r w:rsidRPr="00D23BF1">
        <w:rPr>
          <w:rFonts w:ascii="Times" w:hAnsi="Times"/>
        </w:rPr>
        <w:t>=0.72), followed by bill length (w</w:t>
      </w:r>
      <w:r w:rsidRPr="00D23BF1">
        <w:rPr>
          <w:rFonts w:ascii="Times" w:hAnsi="Times"/>
          <w:vertAlign w:val="superscript"/>
        </w:rPr>
        <w:t>+</w:t>
      </w:r>
      <w:r w:rsidRPr="00D23BF1">
        <w:rPr>
          <w:rFonts w:ascii="Times" w:hAnsi="Times"/>
        </w:rPr>
        <w:t>=0.58), percent tree cover (w</w:t>
      </w:r>
      <w:r w:rsidRPr="00D23BF1">
        <w:rPr>
          <w:rFonts w:ascii="Times" w:hAnsi="Times"/>
          <w:vertAlign w:val="superscript"/>
        </w:rPr>
        <w:t>+</w:t>
      </w:r>
      <w:r w:rsidRPr="00D23BF1">
        <w:rPr>
          <w:rFonts w:ascii="Times" w:hAnsi="Times"/>
        </w:rPr>
        <w:t>=0.57), and noise  (w</w:t>
      </w:r>
      <w:r w:rsidRPr="00D23BF1">
        <w:rPr>
          <w:rFonts w:ascii="Times" w:hAnsi="Times"/>
          <w:vertAlign w:val="superscript"/>
        </w:rPr>
        <w:t>+</w:t>
      </w:r>
      <w:r w:rsidRPr="00D23BF1">
        <w:rPr>
          <w:rFonts w:ascii="Times" w:hAnsi="Times"/>
        </w:rPr>
        <w:t>=0.54). However, in rural samples, percent grass (w</w:t>
      </w:r>
      <w:r w:rsidRPr="00D23BF1">
        <w:rPr>
          <w:rFonts w:ascii="Times" w:hAnsi="Times"/>
          <w:vertAlign w:val="superscript"/>
        </w:rPr>
        <w:t>+</w:t>
      </w:r>
      <w:r w:rsidRPr="00D23BF1">
        <w:rPr>
          <w:rFonts w:ascii="Times" w:hAnsi="Times"/>
        </w:rPr>
        <w:t>=0.99) and tree cover (w</w:t>
      </w:r>
      <w:r w:rsidRPr="00D23BF1">
        <w:rPr>
          <w:rFonts w:ascii="Times" w:hAnsi="Times"/>
          <w:vertAlign w:val="superscript"/>
        </w:rPr>
        <w:t>+</w:t>
      </w:r>
      <w:r w:rsidRPr="00D23BF1">
        <w:rPr>
          <w:rFonts w:ascii="Times" w:hAnsi="Times"/>
        </w:rPr>
        <w:t>=0.57) best predicted species richness. When rare bacteria are down-weighted (</w:t>
      </w:r>
      <w:r w:rsidRPr="00D23BF1">
        <w:rPr>
          <w:rFonts w:ascii="Times" w:hAnsi="Times"/>
          <w:vertAlign w:val="superscript"/>
        </w:rPr>
        <w:t>1</w:t>
      </w:r>
      <w:r w:rsidRPr="00D23BF1">
        <w:rPr>
          <w:rFonts w:ascii="Times" w:hAnsi="Times"/>
        </w:rPr>
        <w:t>D</w:t>
      </w:r>
      <w:r w:rsidRPr="00D23BF1" w:rsidDel="00E614C6">
        <w:rPr>
          <w:rFonts w:ascii="Times" w:hAnsi="Times"/>
        </w:rPr>
        <w:t xml:space="preserve"> </w:t>
      </w:r>
      <w:r w:rsidRPr="00D23BF1">
        <w:rPr>
          <w:rFonts w:ascii="Times" w:hAnsi="Times"/>
        </w:rPr>
        <w:t xml:space="preserve">or the exponential of Shannon index, </w:t>
      </w:r>
      <w:r w:rsidRPr="00D23BF1">
        <w:rPr>
          <w:rFonts w:ascii="Times" w:hAnsi="Times"/>
          <w:vertAlign w:val="superscript"/>
        </w:rPr>
        <w:t>2</w:t>
      </w:r>
      <w:r w:rsidRPr="00D23BF1">
        <w:rPr>
          <w:rFonts w:ascii="Times" w:hAnsi="Times"/>
        </w:rPr>
        <w:t>D or inverse Simpson’s index) urban gut bacterial alpha diversity is best predicted by bill length (</w:t>
      </w:r>
      <w:r w:rsidRPr="00D23BF1">
        <w:rPr>
          <w:rFonts w:ascii="Times" w:hAnsi="Times"/>
          <w:vertAlign w:val="superscript"/>
        </w:rPr>
        <w:t>1</w:t>
      </w:r>
      <w:r w:rsidRPr="00D23BF1">
        <w:rPr>
          <w:rFonts w:ascii="Times" w:hAnsi="Times"/>
        </w:rPr>
        <w:t>D</w:t>
      </w:r>
      <w:r w:rsidRPr="00D23BF1" w:rsidDel="00E614C6">
        <w:rPr>
          <w:rFonts w:ascii="Times" w:hAnsi="Times"/>
        </w:rPr>
        <w:t xml:space="preserve"> </w:t>
      </w:r>
      <w:r w:rsidRPr="00D23BF1">
        <w:rPr>
          <w:rFonts w:ascii="Times" w:hAnsi="Times"/>
        </w:rPr>
        <w:t>w</w:t>
      </w:r>
      <w:r w:rsidRPr="00D23BF1">
        <w:rPr>
          <w:rFonts w:ascii="Times" w:hAnsi="Times"/>
          <w:vertAlign w:val="superscript"/>
        </w:rPr>
        <w:t>+</w:t>
      </w:r>
      <w:r w:rsidRPr="00D23BF1">
        <w:rPr>
          <w:rFonts w:ascii="Times" w:hAnsi="Times"/>
        </w:rPr>
        <w:t xml:space="preserve">=0.93, </w:t>
      </w:r>
      <w:r w:rsidRPr="00D23BF1">
        <w:rPr>
          <w:rFonts w:ascii="Times" w:hAnsi="Times"/>
          <w:vertAlign w:val="superscript"/>
        </w:rPr>
        <w:t>2</w:t>
      </w:r>
      <w:r w:rsidRPr="00D23BF1">
        <w:rPr>
          <w:rFonts w:ascii="Times" w:hAnsi="Times"/>
        </w:rPr>
        <w:t>D</w:t>
      </w:r>
      <w:r w:rsidRPr="00D23BF1" w:rsidDel="00E614C6">
        <w:rPr>
          <w:rFonts w:ascii="Times" w:hAnsi="Times"/>
        </w:rPr>
        <w:t xml:space="preserve"> </w:t>
      </w:r>
      <w:r w:rsidRPr="00D23BF1">
        <w:rPr>
          <w:rFonts w:ascii="Times" w:hAnsi="Times"/>
        </w:rPr>
        <w:t>w</w:t>
      </w:r>
      <w:r w:rsidRPr="00D23BF1">
        <w:rPr>
          <w:rFonts w:ascii="Times" w:hAnsi="Times"/>
          <w:vertAlign w:val="superscript"/>
        </w:rPr>
        <w:t>+</w:t>
      </w:r>
      <w:r w:rsidRPr="00D23BF1">
        <w:rPr>
          <w:rFonts w:ascii="Times" w:hAnsi="Times"/>
        </w:rPr>
        <w:t>=0.93) and depth (</w:t>
      </w:r>
      <w:r w:rsidRPr="00D23BF1">
        <w:rPr>
          <w:rFonts w:ascii="Times" w:hAnsi="Times"/>
          <w:vertAlign w:val="superscript"/>
        </w:rPr>
        <w:t>1</w:t>
      </w:r>
      <w:r w:rsidRPr="00D23BF1">
        <w:rPr>
          <w:rFonts w:ascii="Times" w:hAnsi="Times"/>
        </w:rPr>
        <w:t>D</w:t>
      </w:r>
      <w:r w:rsidRPr="00D23BF1" w:rsidDel="00E614C6">
        <w:rPr>
          <w:rFonts w:ascii="Times" w:hAnsi="Times"/>
        </w:rPr>
        <w:t xml:space="preserve"> </w:t>
      </w:r>
      <w:r w:rsidRPr="00D23BF1">
        <w:rPr>
          <w:rFonts w:ascii="Times" w:hAnsi="Times"/>
        </w:rPr>
        <w:t>w</w:t>
      </w:r>
      <w:r w:rsidRPr="00D23BF1">
        <w:rPr>
          <w:rFonts w:ascii="Times" w:hAnsi="Times"/>
          <w:vertAlign w:val="superscript"/>
        </w:rPr>
        <w:t>+</w:t>
      </w:r>
      <w:r w:rsidRPr="00D23BF1">
        <w:rPr>
          <w:rFonts w:ascii="Times" w:hAnsi="Times"/>
        </w:rPr>
        <w:t xml:space="preserve">=0.59, </w:t>
      </w:r>
      <w:r w:rsidRPr="00D23BF1">
        <w:rPr>
          <w:rFonts w:ascii="Times" w:hAnsi="Times"/>
          <w:vertAlign w:val="superscript"/>
        </w:rPr>
        <w:t>2</w:t>
      </w:r>
      <w:r w:rsidRPr="00D23BF1">
        <w:rPr>
          <w:rFonts w:ascii="Times" w:hAnsi="Times"/>
        </w:rPr>
        <w:t>D</w:t>
      </w:r>
      <w:r w:rsidRPr="00D23BF1" w:rsidDel="00E614C6">
        <w:rPr>
          <w:rFonts w:ascii="Times" w:hAnsi="Times"/>
        </w:rPr>
        <w:t xml:space="preserve"> </w:t>
      </w:r>
      <w:r w:rsidRPr="00D23BF1">
        <w:rPr>
          <w:rFonts w:ascii="Times" w:hAnsi="Times"/>
        </w:rPr>
        <w:t>w</w:t>
      </w:r>
      <w:r w:rsidRPr="00D23BF1">
        <w:rPr>
          <w:rFonts w:ascii="Times" w:hAnsi="Times"/>
          <w:vertAlign w:val="superscript"/>
        </w:rPr>
        <w:t>+</w:t>
      </w:r>
      <w:r w:rsidRPr="00D23BF1">
        <w:rPr>
          <w:rFonts w:ascii="Times" w:hAnsi="Times"/>
        </w:rPr>
        <w:t>=0.58), and wing chord (</w:t>
      </w:r>
      <w:r w:rsidRPr="00D23BF1">
        <w:rPr>
          <w:rFonts w:ascii="Times" w:hAnsi="Times"/>
          <w:vertAlign w:val="superscript"/>
        </w:rPr>
        <w:t>1</w:t>
      </w:r>
      <w:r w:rsidRPr="00D23BF1">
        <w:rPr>
          <w:rFonts w:ascii="Times" w:hAnsi="Times"/>
        </w:rPr>
        <w:t>D</w:t>
      </w:r>
      <w:r w:rsidRPr="00D23BF1" w:rsidDel="00554C14">
        <w:rPr>
          <w:rFonts w:ascii="Times" w:hAnsi="Times"/>
        </w:rPr>
        <w:t xml:space="preserve"> </w:t>
      </w:r>
      <w:r w:rsidRPr="00D23BF1">
        <w:rPr>
          <w:rFonts w:ascii="Times" w:hAnsi="Times"/>
        </w:rPr>
        <w:t>w</w:t>
      </w:r>
      <w:r w:rsidRPr="00D23BF1">
        <w:rPr>
          <w:rFonts w:ascii="Times" w:hAnsi="Times"/>
          <w:vertAlign w:val="superscript"/>
        </w:rPr>
        <w:t>+</w:t>
      </w:r>
      <w:r w:rsidRPr="00D23BF1">
        <w:rPr>
          <w:rFonts w:ascii="Times" w:hAnsi="Times"/>
        </w:rPr>
        <w:t xml:space="preserve">=0.67, </w:t>
      </w:r>
      <w:r w:rsidRPr="00D23BF1">
        <w:rPr>
          <w:rFonts w:ascii="Times" w:hAnsi="Times"/>
          <w:vertAlign w:val="superscript"/>
        </w:rPr>
        <w:t>2</w:t>
      </w:r>
      <w:r w:rsidRPr="00D23BF1">
        <w:rPr>
          <w:rFonts w:ascii="Times" w:hAnsi="Times"/>
        </w:rPr>
        <w:t>D</w:t>
      </w:r>
      <w:r w:rsidRPr="00D23BF1" w:rsidDel="00554C14">
        <w:rPr>
          <w:rFonts w:ascii="Times" w:hAnsi="Times"/>
        </w:rPr>
        <w:t xml:space="preserve"> </w:t>
      </w:r>
      <w:r w:rsidRPr="00D23BF1">
        <w:rPr>
          <w:rFonts w:ascii="Times" w:hAnsi="Times"/>
        </w:rPr>
        <w:t>w</w:t>
      </w:r>
      <w:r w:rsidRPr="00D23BF1">
        <w:rPr>
          <w:rFonts w:ascii="Times" w:hAnsi="Times"/>
          <w:vertAlign w:val="superscript"/>
        </w:rPr>
        <w:t>+</w:t>
      </w:r>
      <w:r w:rsidRPr="00D23BF1">
        <w:rPr>
          <w:rFonts w:ascii="Times" w:hAnsi="Times"/>
        </w:rPr>
        <w:t xml:space="preserve"> =0.65). In contrast, in rural areas, alpha diversity is best predicted by percent grass (</w:t>
      </w:r>
      <w:r w:rsidRPr="00D23BF1">
        <w:rPr>
          <w:rFonts w:ascii="Times" w:hAnsi="Times"/>
          <w:vertAlign w:val="superscript"/>
        </w:rPr>
        <w:t>1</w:t>
      </w:r>
      <w:r w:rsidRPr="00D23BF1">
        <w:rPr>
          <w:rFonts w:ascii="Times" w:hAnsi="Times"/>
        </w:rPr>
        <w:t>D</w:t>
      </w:r>
      <w:r w:rsidRPr="00D23BF1" w:rsidDel="00554C14">
        <w:rPr>
          <w:rFonts w:ascii="Times" w:hAnsi="Times"/>
        </w:rPr>
        <w:t xml:space="preserve"> </w:t>
      </w:r>
      <w:r w:rsidRPr="00D23BF1">
        <w:rPr>
          <w:rFonts w:ascii="Times" w:hAnsi="Times"/>
        </w:rPr>
        <w:t>w</w:t>
      </w:r>
      <w:r w:rsidRPr="00D23BF1">
        <w:rPr>
          <w:rFonts w:ascii="Times" w:hAnsi="Times"/>
          <w:vertAlign w:val="superscript"/>
        </w:rPr>
        <w:t>+</w:t>
      </w:r>
      <w:r w:rsidRPr="00D23BF1">
        <w:rPr>
          <w:rFonts w:ascii="Times" w:hAnsi="Times"/>
        </w:rPr>
        <w:t xml:space="preserve">=0.95, </w:t>
      </w:r>
      <w:r w:rsidRPr="00D23BF1">
        <w:rPr>
          <w:rFonts w:ascii="Times" w:hAnsi="Times"/>
          <w:vertAlign w:val="superscript"/>
        </w:rPr>
        <w:t>2</w:t>
      </w:r>
      <w:r w:rsidRPr="00D23BF1">
        <w:rPr>
          <w:rFonts w:ascii="Times" w:hAnsi="Times"/>
        </w:rPr>
        <w:t>D</w:t>
      </w:r>
      <w:r w:rsidRPr="00D23BF1" w:rsidDel="00554C14">
        <w:rPr>
          <w:rFonts w:ascii="Times" w:hAnsi="Times"/>
        </w:rPr>
        <w:t xml:space="preserve"> </w:t>
      </w:r>
      <w:r w:rsidRPr="00D23BF1">
        <w:rPr>
          <w:rFonts w:ascii="Times" w:hAnsi="Times"/>
        </w:rPr>
        <w:t>w</w:t>
      </w:r>
      <w:r w:rsidRPr="00D23BF1">
        <w:rPr>
          <w:rFonts w:ascii="Times" w:hAnsi="Times"/>
          <w:vertAlign w:val="superscript"/>
        </w:rPr>
        <w:t>+</w:t>
      </w:r>
      <w:r w:rsidRPr="00D23BF1">
        <w:rPr>
          <w:rFonts w:ascii="Times" w:hAnsi="Times"/>
        </w:rPr>
        <w:t>=0.79) and tree cover (</w:t>
      </w:r>
      <w:r w:rsidRPr="00D23BF1">
        <w:rPr>
          <w:rFonts w:ascii="Times" w:hAnsi="Times"/>
          <w:vertAlign w:val="superscript"/>
        </w:rPr>
        <w:t>1</w:t>
      </w:r>
      <w:r w:rsidRPr="00D23BF1">
        <w:rPr>
          <w:rFonts w:ascii="Times" w:hAnsi="Times"/>
        </w:rPr>
        <w:t>D</w:t>
      </w:r>
      <w:r w:rsidRPr="00D23BF1" w:rsidDel="00554C14">
        <w:rPr>
          <w:rFonts w:ascii="Times" w:hAnsi="Times"/>
        </w:rPr>
        <w:t xml:space="preserve"> </w:t>
      </w:r>
      <w:r w:rsidRPr="00D23BF1">
        <w:rPr>
          <w:rFonts w:ascii="Times" w:hAnsi="Times"/>
        </w:rPr>
        <w:t>w</w:t>
      </w:r>
      <w:r w:rsidRPr="00D23BF1">
        <w:rPr>
          <w:rFonts w:ascii="Times" w:hAnsi="Times"/>
          <w:vertAlign w:val="superscript"/>
        </w:rPr>
        <w:t>+</w:t>
      </w:r>
      <w:r w:rsidRPr="00D23BF1">
        <w:rPr>
          <w:rFonts w:ascii="Times" w:hAnsi="Times"/>
        </w:rPr>
        <w:t xml:space="preserve">=0.5, </w:t>
      </w:r>
      <w:r w:rsidRPr="00D23BF1">
        <w:rPr>
          <w:rFonts w:ascii="Times" w:hAnsi="Times"/>
          <w:vertAlign w:val="superscript"/>
        </w:rPr>
        <w:t>2</w:t>
      </w:r>
      <w:r w:rsidRPr="00D23BF1">
        <w:rPr>
          <w:rFonts w:ascii="Times" w:hAnsi="Times"/>
        </w:rPr>
        <w:t>D w</w:t>
      </w:r>
      <w:r w:rsidRPr="00D23BF1">
        <w:rPr>
          <w:rFonts w:ascii="Times" w:hAnsi="Times"/>
          <w:vertAlign w:val="superscript"/>
        </w:rPr>
        <w:t>+</w:t>
      </w:r>
      <w:r w:rsidRPr="00D23BF1">
        <w:rPr>
          <w:rFonts w:ascii="Times" w:hAnsi="Times"/>
        </w:rPr>
        <w:t xml:space="preserve">=0.57), </w:t>
      </w:r>
      <w:r w:rsidRPr="00D23BF1">
        <w:rPr>
          <w:rFonts w:ascii="Times" w:hAnsi="Times"/>
        </w:rPr>
        <w:lastRenderedPageBreak/>
        <w:t>north coordinate (</w:t>
      </w:r>
      <w:r w:rsidRPr="00D23BF1">
        <w:rPr>
          <w:rFonts w:ascii="Times" w:hAnsi="Times"/>
          <w:vertAlign w:val="superscript"/>
        </w:rPr>
        <w:t>1</w:t>
      </w:r>
      <w:r w:rsidRPr="00D23BF1">
        <w:rPr>
          <w:rFonts w:ascii="Times" w:hAnsi="Times"/>
        </w:rPr>
        <w:t>D</w:t>
      </w:r>
      <w:r w:rsidRPr="00D23BF1" w:rsidDel="00554C14">
        <w:rPr>
          <w:rFonts w:ascii="Times" w:hAnsi="Times"/>
        </w:rPr>
        <w:t xml:space="preserve"> </w:t>
      </w:r>
      <w:r w:rsidRPr="00D23BF1">
        <w:rPr>
          <w:rFonts w:ascii="Times" w:hAnsi="Times"/>
        </w:rPr>
        <w:t>w</w:t>
      </w:r>
      <w:r w:rsidRPr="00D23BF1">
        <w:rPr>
          <w:rFonts w:ascii="Times" w:hAnsi="Times"/>
          <w:vertAlign w:val="superscript"/>
        </w:rPr>
        <w:t>+</w:t>
      </w:r>
      <w:r w:rsidRPr="00D23BF1">
        <w:rPr>
          <w:rFonts w:ascii="Times" w:hAnsi="Times"/>
        </w:rPr>
        <w:t xml:space="preserve">=0.89, </w:t>
      </w:r>
      <w:r w:rsidRPr="00D23BF1">
        <w:rPr>
          <w:rFonts w:ascii="Times" w:hAnsi="Times"/>
          <w:vertAlign w:val="superscript"/>
        </w:rPr>
        <w:t>2</w:t>
      </w:r>
      <w:r w:rsidRPr="00D23BF1">
        <w:rPr>
          <w:rFonts w:ascii="Times" w:hAnsi="Times"/>
        </w:rPr>
        <w:t>D</w:t>
      </w:r>
      <w:r w:rsidRPr="00D23BF1" w:rsidDel="00554C14">
        <w:rPr>
          <w:rFonts w:ascii="Times" w:hAnsi="Times"/>
        </w:rPr>
        <w:t xml:space="preserve"> </w:t>
      </w:r>
      <w:r w:rsidRPr="00D23BF1">
        <w:rPr>
          <w:rFonts w:ascii="Times" w:hAnsi="Times"/>
        </w:rPr>
        <w:t>w</w:t>
      </w:r>
      <w:r w:rsidRPr="00D23BF1">
        <w:rPr>
          <w:rFonts w:ascii="Times" w:hAnsi="Times"/>
          <w:vertAlign w:val="superscript"/>
        </w:rPr>
        <w:t>+</w:t>
      </w:r>
      <w:r w:rsidRPr="00D23BF1">
        <w:rPr>
          <w:rFonts w:ascii="Times" w:hAnsi="Times"/>
        </w:rPr>
        <w:t>=0.83), and distance to minor road (</w:t>
      </w:r>
      <w:r w:rsidRPr="00D23BF1">
        <w:rPr>
          <w:rFonts w:ascii="Times" w:hAnsi="Times"/>
          <w:vertAlign w:val="superscript"/>
        </w:rPr>
        <w:t>2</w:t>
      </w:r>
      <w:r w:rsidRPr="00D23BF1">
        <w:rPr>
          <w:rFonts w:ascii="Times" w:hAnsi="Times"/>
        </w:rPr>
        <w:t>D</w:t>
      </w:r>
      <w:r w:rsidRPr="00D23BF1" w:rsidDel="00554C14">
        <w:rPr>
          <w:rFonts w:ascii="Times" w:hAnsi="Times"/>
        </w:rPr>
        <w:t xml:space="preserve"> </w:t>
      </w:r>
      <w:r w:rsidRPr="00D23BF1">
        <w:rPr>
          <w:rFonts w:ascii="Times" w:hAnsi="Times"/>
        </w:rPr>
        <w:t>w</w:t>
      </w:r>
      <w:r w:rsidRPr="00D23BF1">
        <w:rPr>
          <w:rFonts w:ascii="Times" w:hAnsi="Times"/>
          <w:vertAlign w:val="superscript"/>
        </w:rPr>
        <w:t>+</w:t>
      </w:r>
      <w:r w:rsidRPr="00D23BF1">
        <w:rPr>
          <w:rFonts w:ascii="Times" w:hAnsi="Times"/>
        </w:rPr>
        <w:t xml:space="preserve">=0.78) as rare bacteria are down-weighted. Altogether, we find that urban gut alpha diversity is best explained by morphological variables whereas rural gut alpha diversity is best explained by environmental variables. </w:t>
      </w:r>
    </w:p>
    <w:p w14:paraId="7FA9BC13" w14:textId="77777777" w:rsidR="00041ADB" w:rsidRPr="00D23BF1" w:rsidRDefault="00041ADB" w:rsidP="00F20BE1">
      <w:pPr>
        <w:rPr>
          <w:rFonts w:ascii="Times" w:hAnsi="Times"/>
        </w:rPr>
      </w:pPr>
      <w:r w:rsidRPr="00D23BF1">
        <w:rPr>
          <w:rFonts w:ascii="Times" w:hAnsi="Times"/>
        </w:rPr>
        <w:tab/>
        <w:t xml:space="preserve">We then considered how predictor variables change in importance, as rare species are down-weighted within urban and rural samples. We find that for urban samples, the morphological variables increase or stay the same in importance as rare species are down-weighted. In contrast, the environmental variables are only above 0.5 in importance for </w:t>
      </w:r>
      <w:r w:rsidRPr="00D23BF1">
        <w:rPr>
          <w:rFonts w:ascii="Times" w:hAnsi="Times"/>
          <w:vertAlign w:val="superscript"/>
        </w:rPr>
        <w:t>0</w:t>
      </w:r>
      <w:r w:rsidRPr="00D23BF1">
        <w:rPr>
          <w:rFonts w:ascii="Times" w:hAnsi="Times"/>
        </w:rPr>
        <w:t>D</w:t>
      </w:r>
      <w:r w:rsidRPr="00D23BF1" w:rsidDel="00554C14">
        <w:rPr>
          <w:rFonts w:ascii="Times" w:hAnsi="Times"/>
        </w:rPr>
        <w:t xml:space="preserve"> </w:t>
      </w:r>
      <w:r w:rsidRPr="00D23BF1">
        <w:rPr>
          <w:rFonts w:ascii="Times" w:hAnsi="Times"/>
        </w:rPr>
        <w:t xml:space="preserve">and drop precipitously for higher orders of q. We find that for rural samples, percent grass and percent tree cover decrease slightly as q increases but north coordinate increases in importance as q increases. This latter pattern is nearly the opposite of what was found for environmental variables when urban and rural samples were combined. </w:t>
      </w:r>
    </w:p>
    <w:p w14:paraId="2DA126E8" w14:textId="77777777" w:rsidR="00041ADB" w:rsidRPr="00D23BF1" w:rsidRDefault="00041ADB" w:rsidP="00F20BE1">
      <w:pPr>
        <w:rPr>
          <w:rFonts w:ascii="Times" w:hAnsi="Times"/>
        </w:rPr>
      </w:pPr>
      <w:r w:rsidRPr="00D23BF1">
        <w:rPr>
          <w:rFonts w:ascii="Times" w:hAnsi="Times"/>
        </w:rPr>
        <w:tab/>
        <w:t>To further examine patterns in alpha diversity, we plotted important variables separately against orders of q, for both rural and urban birds (Fig. S2, Fig. 9). These ordinations showed us that although some variables – such as percent grass cover – were the most important variable in our averaged model, most of these variables alone were not tightly correlated with alpha diversity. Richness (</w:t>
      </w:r>
      <w:r w:rsidRPr="00D23BF1">
        <w:rPr>
          <w:rFonts w:ascii="Times" w:hAnsi="Times"/>
          <w:vertAlign w:val="superscript"/>
        </w:rPr>
        <w:t>0</w:t>
      </w:r>
      <w:r w:rsidRPr="00D23BF1">
        <w:rPr>
          <w:rFonts w:ascii="Times" w:hAnsi="Times"/>
        </w:rPr>
        <w:t>D) had a relatively high R</w:t>
      </w:r>
      <w:r w:rsidRPr="00D23BF1">
        <w:rPr>
          <w:rFonts w:ascii="Times" w:hAnsi="Times"/>
          <w:vertAlign w:val="superscript"/>
        </w:rPr>
        <w:t>2</w:t>
      </w:r>
      <w:r w:rsidRPr="00D23BF1">
        <w:rPr>
          <w:rFonts w:ascii="Times" w:hAnsi="Times"/>
        </w:rPr>
        <w:t xml:space="preserve"> value when plotted against bill depth and bill length for urban birds, such that richness increases with increase in bill size, whereas percent tree cover had relatively high R</w:t>
      </w:r>
      <w:r w:rsidRPr="00D23BF1">
        <w:rPr>
          <w:rFonts w:ascii="Times" w:hAnsi="Times"/>
          <w:vertAlign w:val="superscript"/>
        </w:rPr>
        <w:t>2</w:t>
      </w:r>
      <w:r w:rsidRPr="00D23BF1">
        <w:rPr>
          <w:rFonts w:ascii="Times" w:hAnsi="Times"/>
        </w:rPr>
        <w:t xml:space="preserve"> for all orders of q in rural birds, but the direction of the relationship varied with Hill number. This pattern is consistent with the overall pattern we see in model averages, that urban gut bacterial communities are best predicted by morphological variables, whereas environmental variables are more important for rural gut bacteria.</w:t>
      </w:r>
    </w:p>
    <w:p w14:paraId="1A5E4B74" w14:textId="77777777" w:rsidR="00041ADB" w:rsidRPr="00D23BF1" w:rsidRDefault="00041ADB" w:rsidP="00F20BE1">
      <w:pPr>
        <w:rPr>
          <w:rFonts w:ascii="Times" w:hAnsi="Times"/>
        </w:rPr>
      </w:pPr>
    </w:p>
    <w:p w14:paraId="2E816B52" w14:textId="77777777" w:rsidR="00041ADB" w:rsidRPr="00D23BF1" w:rsidRDefault="00041ADB" w:rsidP="00F20BE1">
      <w:pPr>
        <w:rPr>
          <w:rFonts w:ascii="Times" w:hAnsi="Times"/>
          <w:i/>
          <w:iCs/>
        </w:rPr>
      </w:pPr>
      <w:r w:rsidRPr="00D23BF1">
        <w:rPr>
          <w:rFonts w:ascii="Times" w:hAnsi="Times"/>
          <w:i/>
          <w:iCs/>
        </w:rPr>
        <w:t>Beta diversity is greater in community membership than structure between urban and rural birds</w:t>
      </w:r>
    </w:p>
    <w:p w14:paraId="35FEFBE3" w14:textId="77777777" w:rsidR="00041ADB" w:rsidRPr="00D23BF1" w:rsidRDefault="00041ADB" w:rsidP="00F20BE1">
      <w:pPr>
        <w:rPr>
          <w:rFonts w:ascii="Times" w:hAnsi="Times"/>
        </w:rPr>
      </w:pPr>
      <w:r w:rsidRPr="00D23BF1">
        <w:rPr>
          <w:rFonts w:ascii="Times" w:hAnsi="Times"/>
          <w:i/>
        </w:rPr>
        <w:tab/>
      </w:r>
      <w:r w:rsidRPr="00D23BF1">
        <w:rPr>
          <w:rFonts w:ascii="Times" w:hAnsi="Times"/>
        </w:rPr>
        <w:t xml:space="preserve">Our principal coordinates ordinations of community membership showed some grouping of urban versus rural birds (Fig. 11 a&amp;b; unweighted UniFrac and Jaccard). In other words, the beta diversity in gut microbial community membership is higher between urban and rural birds than it is within those groups, as we predicted. This visualization is supported by the PERMANOVA results that show a significant difference in community membership beta diversity between urban and rural birds (Table 4). In contrast, there was no obvious clustering according to urban versus rural sites for distance measures of community </w:t>
      </w:r>
      <w:r w:rsidRPr="00D23BF1">
        <w:rPr>
          <w:rFonts w:ascii="Times" w:hAnsi="Times"/>
          <w:i/>
        </w:rPr>
        <w:t>structure</w:t>
      </w:r>
      <w:r w:rsidRPr="00D23BF1">
        <w:rPr>
          <w:rFonts w:ascii="Times" w:hAnsi="Times"/>
        </w:rPr>
        <w:t xml:space="preserve"> (Fig. 11 c&amp;d). This means that the beta diversity in gut microbial community structure is not greater between urban and rural birds as compared to within those groups. This visualization is supported by PERMANOVA results. We found no significant differences between communities in different habitat types when phylogenetic relatedness was accounted for (i.e., Bray-Curtis and weighted UniFrac) (Table 4). Altogether, urban and rural birds differ more in terms of beta diversity of community membership (i.e. presence/absence of taxa), and less so in terms of beta diversity of community structure (i.e. accounting for relative abundance).</w:t>
      </w:r>
    </w:p>
    <w:p w14:paraId="1211F7CD" w14:textId="77777777" w:rsidR="00041ADB" w:rsidRPr="00D23BF1" w:rsidRDefault="00041ADB" w:rsidP="00F20BE1">
      <w:pPr>
        <w:rPr>
          <w:rFonts w:ascii="Times" w:hAnsi="Times"/>
        </w:rPr>
      </w:pPr>
      <w:r w:rsidRPr="00D23BF1">
        <w:rPr>
          <w:rFonts w:ascii="Times" w:hAnsi="Times"/>
        </w:rPr>
        <w:t xml:space="preserve">We ran distance based redundancy analysis (dbRDA) with a full model for all samples together including all non-covarying variables (as determined by VIF above) for each of our four distance measures (Jaccard, Bray-Curtis, unweighted and weighted UniFrac distances, Table 5). For all distance measures, the full model consistently explained about 17% of variation in beta diversity of gut microbial communities among individuals (Table S5a-d). We found that percent tree cover explained a significant amount of variation in phylogenetic community membership (unweighted UniFrac, ANOVA </w:t>
      </w:r>
      <w:r w:rsidRPr="00D23BF1">
        <w:rPr>
          <w:rFonts w:ascii="Times" w:hAnsi="Times"/>
          <w:i/>
          <w:iCs/>
        </w:rPr>
        <w:t>P</w:t>
      </w:r>
      <w:r w:rsidRPr="00D23BF1">
        <w:rPr>
          <w:rFonts w:ascii="Times" w:hAnsi="Times"/>
        </w:rPr>
        <w:t xml:space="preserve">=0.03). No variable explained variation in beta diversity of community structure (Jaccard, Bray-Curtis, weighted UniFrac). When urban and rural populations were </w:t>
      </w:r>
      <w:r w:rsidRPr="00D23BF1">
        <w:rPr>
          <w:rFonts w:ascii="Times" w:hAnsi="Times"/>
        </w:rPr>
        <w:lastRenderedPageBreak/>
        <w:t xml:space="preserve">examined separately, only urban weighted UniFrac distances were significantly explained by one of our variables (bill width, ANOVA </w:t>
      </w:r>
      <w:r w:rsidRPr="00D23BF1">
        <w:rPr>
          <w:rFonts w:ascii="Times" w:hAnsi="Times"/>
          <w:i/>
          <w:iCs/>
        </w:rPr>
        <w:t>P</w:t>
      </w:r>
      <w:r w:rsidRPr="00D23BF1">
        <w:rPr>
          <w:rFonts w:ascii="Times" w:hAnsi="Times"/>
        </w:rPr>
        <w:t>=0.04).</w:t>
      </w:r>
    </w:p>
    <w:p w14:paraId="565C4020" w14:textId="77777777" w:rsidR="00041ADB" w:rsidRPr="00D23BF1" w:rsidRDefault="00041ADB" w:rsidP="00F20BE1">
      <w:pPr>
        <w:rPr>
          <w:rFonts w:ascii="Times" w:hAnsi="Times"/>
        </w:rPr>
      </w:pPr>
      <w:r w:rsidRPr="00D23BF1">
        <w:rPr>
          <w:rFonts w:ascii="Times" w:hAnsi="Times"/>
        </w:rPr>
        <w:tab/>
        <w:t xml:space="preserve">To examine if drivers of bacterial beta diversity differ for urban and rural birds, we repeated these dbRDA analyses for urban and rural birds separately for both community membership and structure. A model including all non-covarying environmental and morphological variables explained approximately 25% of the variation in beta diversity of gut bacterial communities for urban sites, and about 55% of variation in beta diversity for rural sites, for all measures of community membership and structure. None of the environmental or morphological variables explained beta diversity in bacterial community membership or structure among rural birds (dbRDA ANOVA, all </w:t>
      </w:r>
      <w:r w:rsidRPr="00D23BF1">
        <w:rPr>
          <w:rFonts w:ascii="Times" w:hAnsi="Times"/>
          <w:i/>
        </w:rPr>
        <w:t>P</w:t>
      </w:r>
      <w:r w:rsidRPr="00D23BF1">
        <w:rPr>
          <w:rFonts w:ascii="Times" w:hAnsi="Times"/>
        </w:rPr>
        <w:t xml:space="preserve">&gt;0.05; Table 5; Table S5a-d). In contrast, bill width explained some of the beta diversity in bacterial community structure among urban birds (dbRDA ANOVA </w:t>
      </w:r>
      <w:r w:rsidRPr="00D23BF1">
        <w:rPr>
          <w:rFonts w:ascii="Times" w:hAnsi="Times"/>
          <w:i/>
        </w:rPr>
        <w:t>P</w:t>
      </w:r>
      <w:r w:rsidRPr="00D23BF1">
        <w:rPr>
          <w:rFonts w:ascii="Times" w:hAnsi="Times"/>
        </w:rPr>
        <w:t>=0.04; Table 5; Table S5d). However, overall, not much of the variation in beta diversity among urban birds or among rural birds is explained by the environmental or morphological variables measured in this study.</w:t>
      </w:r>
    </w:p>
    <w:p w14:paraId="2C14DE7F" w14:textId="77777777" w:rsidR="00041ADB" w:rsidRPr="00D23BF1" w:rsidRDefault="00041ADB" w:rsidP="00F20BE1">
      <w:pPr>
        <w:rPr>
          <w:rFonts w:ascii="Times" w:hAnsi="Times"/>
        </w:rPr>
      </w:pPr>
      <w:r w:rsidRPr="00D23BF1">
        <w:rPr>
          <w:rFonts w:ascii="Times" w:hAnsi="Times"/>
        </w:rPr>
        <w:t xml:space="preserve">  </w:t>
      </w:r>
    </w:p>
    <w:p w14:paraId="37A883EE" w14:textId="77777777" w:rsidR="00041ADB" w:rsidRPr="00D23BF1" w:rsidRDefault="00041ADB" w:rsidP="00F20BE1">
      <w:pPr>
        <w:pStyle w:val="Heading2"/>
        <w:rPr>
          <w:rFonts w:ascii="Times" w:hAnsi="Times"/>
        </w:rPr>
      </w:pPr>
      <w:bookmarkStart w:id="105" w:name="_Toc69972880"/>
      <w:r w:rsidRPr="00D23BF1">
        <w:rPr>
          <w:rFonts w:ascii="Times" w:hAnsi="Times"/>
        </w:rPr>
        <w:t>Discussion</w:t>
      </w:r>
      <w:bookmarkEnd w:id="105"/>
    </w:p>
    <w:p w14:paraId="56DA1A7A" w14:textId="77777777" w:rsidR="00041ADB" w:rsidRPr="00D23BF1" w:rsidRDefault="00041ADB" w:rsidP="00F20BE1">
      <w:pPr>
        <w:rPr>
          <w:rFonts w:ascii="Times" w:hAnsi="Times"/>
        </w:rPr>
      </w:pPr>
    </w:p>
    <w:p w14:paraId="08368C12" w14:textId="77777777" w:rsidR="00041ADB" w:rsidRPr="00D23BF1" w:rsidRDefault="00041ADB" w:rsidP="00F20BE1">
      <w:pPr>
        <w:rPr>
          <w:rFonts w:ascii="Times" w:hAnsi="Times"/>
        </w:rPr>
      </w:pPr>
      <w:r w:rsidRPr="00D23BF1">
        <w:rPr>
          <w:rFonts w:ascii="Times" w:hAnsi="Times"/>
        </w:rPr>
        <w:tab/>
        <w:t xml:space="preserve">Our intent was to understand how gut bacterial communities vary along an urban-rural gradient for a native species persisting in urban environments (Fig. 7), and whether the host's environment and morphology co-vary with their gut bacterial community. As predicted, we found significant differences between urban and rural locations in hosts' gut microbial communities (abundance of different bacterial families (Fig. 8), alpha (Fig. 9) and beta diversity (Fig. 11), and these differences appeared driven mainly by rare bacteria (Fig. 9). We also found significant differences among urban and rural birds in their territory's land cover (such as tree cover) and degree of urbanization (such as noise levels) as well as in their morphological and physiological characteristics (mainly measures of beak size and body condition) (Table 3). We also found evidence that some of these environmental factors and morphological characteristics can explain variation in host gut microbial communities. Consistent with our previous work </w:t>
      </w:r>
      <w:r w:rsidRPr="00D23BF1">
        <w:rPr>
          <w:rFonts w:ascii="Times" w:hAnsi="Times"/>
        </w:rPr>
        <w:fldChar w:fldCharType="begin" w:fldLock="1"/>
      </w:r>
      <w:r w:rsidRPr="00D23BF1">
        <w:rPr>
          <w:rFonts w:ascii="Times" w:hAnsi="Times"/>
        </w:rPr>
        <w:instrText>ADDIN CSL_CITATION {"citationItems":[{"id":"ITEM-1","itemData":{"DOI":"10.3389/fevo.2018.00148","ISSN":"2296-701X","abstract":"Urban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using spatial analyses of land cover (impervious, scrub, grass, and trees) at the regional level and territory level in urban San Francisco, CA and nearby rural Point Reyes, CA. We hypothesized that urbanization of habitats affects gut microbial composition and diversity through direct effects on diet and/or indirect environmental effects. We measured gut microbial community diversity from 16s rRNA sequences amplified from cloacal swabs. We find that the urban and rural microbiomes are significantly different, such that the urban microbiome is more diverse than the rural microbiome. This relationship may be due to a more variable landscape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provides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Evolution","id":"ITEM-1","issue":"September","issued":{"date-parts":[["2018"]]},"page":"1-10","title":"The Effects of Landscape Urbanization on the Gut Microbiome: An Exploration Into the Gut of Urban and Rural White-Crowned Sparrows","type":"article-journal","volume":"6"},"uris":["http://www.mendeley.com/documents/?uuid=57a5183b-159d-4236-8f35-16ec70fd1a5b"]}],"mendeley":{"formattedCitation":"&lt;sup&gt;12&lt;/sup&gt;","plainTextFormattedCitation":"12","previouslyFormattedCitation":"[12]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12</w:t>
      </w:r>
      <w:r w:rsidRPr="00D23BF1">
        <w:rPr>
          <w:rFonts w:ascii="Times" w:hAnsi="Times"/>
        </w:rPr>
        <w:fldChar w:fldCharType="end"/>
      </w:r>
      <w:r w:rsidRPr="00D23BF1">
        <w:rPr>
          <w:rFonts w:ascii="Times" w:hAnsi="Times"/>
        </w:rPr>
        <w:t xml:space="preserve">, alpha diversity was higher in urban areas (Fig 9); however, not for the reasons we expected. We predicted that environmental factors associated with urbanized landscapes, such as impervious surface and noise levels, would be most important in explaining higher alpha diversity in urban areas. Instead, environmental factors such as grass and tree cover were more important (Fig. 10, 11), with urban areas having higher tree cover and higher levels of alpha diversity (Table 3). Further, we found no association between alpha diversity and body condition, counter to our predictions.  Most unexpected was finding that different types of variables explain variation in alpha diversity within urban versus within rural areas – specifically environmental factors (such as grass cover) appear more important within rural areas whereas morphological factors (such as bill size) are more important within urban areas in explaining host gut microbial community diversity (Fig. 10, 11). As we predicted, beta diversity (beta diversity) was greater between, rather than within, urban and rural populations, but only for community membership, not structure (Table 4, Fig. 11). The key difference among urban and rural habitats that appeared to explain this beta diversity was an environmental variable, percent tree cover (Table 5) similar to our findings for alpha diversity. On further examination of predictive variables for beta diversity within urban and rural areas separately revealed subtle but informative associations between beta diversity across urban individuals and host body condition and bill width (Table 5), also in line with our findings that morphological factors are important in explaining alpha diversity in </w:t>
      </w:r>
      <w:r w:rsidRPr="00D23BF1">
        <w:rPr>
          <w:rFonts w:ascii="Times" w:hAnsi="Times"/>
        </w:rPr>
        <w:lastRenderedPageBreak/>
        <w:t>urban gut microbiomes. Altogether, our analyses provided insight into how urbanization is shaping gut bacterial communities of a songbird that persists in both urban and rural habitats.</w:t>
      </w:r>
    </w:p>
    <w:p w14:paraId="2FA84889" w14:textId="77777777" w:rsidR="00041ADB" w:rsidRPr="00D23BF1" w:rsidRDefault="00041ADB" w:rsidP="00F20BE1">
      <w:pPr>
        <w:rPr>
          <w:rFonts w:ascii="Times" w:hAnsi="Times"/>
        </w:rPr>
      </w:pPr>
    </w:p>
    <w:p w14:paraId="65F379DF" w14:textId="77777777" w:rsidR="00041ADB" w:rsidRPr="00D23BF1" w:rsidRDefault="00041ADB" w:rsidP="00F20BE1">
      <w:pPr>
        <w:rPr>
          <w:rFonts w:ascii="Times" w:hAnsi="Times"/>
          <w:i/>
          <w:iCs/>
        </w:rPr>
      </w:pPr>
      <w:r w:rsidRPr="00D23BF1">
        <w:rPr>
          <w:rFonts w:ascii="Times" w:hAnsi="Times"/>
          <w:i/>
          <w:iCs/>
        </w:rPr>
        <w:t>Urban and rural songbirds differ in morphology, physiology and territory features</w:t>
      </w:r>
    </w:p>
    <w:p w14:paraId="48975280" w14:textId="77777777" w:rsidR="00041ADB" w:rsidRPr="00D23BF1" w:rsidRDefault="00041ADB" w:rsidP="00F20BE1">
      <w:pPr>
        <w:rPr>
          <w:rFonts w:ascii="Times" w:hAnsi="Times"/>
          <w:bCs/>
          <w:color w:val="000000" w:themeColor="text1"/>
        </w:rPr>
      </w:pPr>
      <w:r w:rsidRPr="00D23BF1">
        <w:rPr>
          <w:rFonts w:ascii="Times" w:hAnsi="Times"/>
          <w:bCs/>
          <w:color w:val="000000" w:themeColor="text1"/>
        </w:rPr>
        <w:t>Our previous work in this system provided good evidence that we would find significant differences among urban and rural White-Crowned Sparrows in their morphology, and physiology; however, we had never before compared together this number of different morphological, physiological and environmental factors. Urban and rural territories were significantly different along nearly all of the dimensions of environmental variables we considered, including noise levels and different types of cover (scrub, tree, and impervious surfaces; Table 3). Only the relative level of grass cover was similar, on average, between urban and rural territories. We found many fewer significant differences among morphological features and condition measures, with only bill length slightly longer and plumage wear greater in more rural populations. These comparisons demonstrate the many dimensions along which these urban and rural locations differ from one another, all of which could contribute to differences in host gut microbial communities.</w:t>
      </w:r>
    </w:p>
    <w:p w14:paraId="7044E751" w14:textId="77777777" w:rsidR="00041ADB" w:rsidRPr="00D23BF1" w:rsidRDefault="00041ADB" w:rsidP="00F20BE1">
      <w:pPr>
        <w:rPr>
          <w:rFonts w:ascii="Times" w:hAnsi="Times"/>
          <w:b/>
          <w:bCs/>
          <w:color w:val="000000" w:themeColor="text1"/>
        </w:rPr>
      </w:pPr>
    </w:p>
    <w:p w14:paraId="1E6B0112" w14:textId="77777777" w:rsidR="00041ADB" w:rsidRPr="00D23BF1" w:rsidRDefault="00041ADB" w:rsidP="00F20BE1">
      <w:pPr>
        <w:rPr>
          <w:rFonts w:ascii="Times" w:hAnsi="Times"/>
          <w:i/>
          <w:iCs/>
        </w:rPr>
      </w:pPr>
      <w:r w:rsidRPr="00D23BF1">
        <w:rPr>
          <w:rFonts w:ascii="Times" w:hAnsi="Times"/>
          <w:i/>
          <w:iCs/>
        </w:rPr>
        <w:t>Urban and rural songbirds differ in bacterial communities</w:t>
      </w:r>
    </w:p>
    <w:p w14:paraId="0A14BFB9" w14:textId="77777777" w:rsidR="00041ADB" w:rsidRPr="00D23BF1" w:rsidRDefault="00041ADB" w:rsidP="00F20BE1">
      <w:pPr>
        <w:rPr>
          <w:rFonts w:ascii="Times" w:hAnsi="Times"/>
        </w:rPr>
      </w:pPr>
      <w:r w:rsidRPr="00D23BF1">
        <w:rPr>
          <w:rFonts w:ascii="Times" w:hAnsi="Times"/>
        </w:rPr>
        <w:t xml:space="preserve">Urban and rural male White-Crowned Sparrows share many of the same bacterial taxa, despite holding territories in different locations, consistent with findings from other studies comparing urban and rural songbirds </w:t>
      </w:r>
      <w:r w:rsidRPr="00D23BF1">
        <w:rPr>
          <w:rFonts w:ascii="Times" w:hAnsi="Times"/>
        </w:rPr>
        <w:fldChar w:fldCharType="begin" w:fldLock="1"/>
      </w:r>
      <w:r w:rsidRPr="00D23BF1">
        <w:rPr>
          <w:rFonts w:ascii="Times" w:hAnsi="Times"/>
        </w:rPr>
        <w:instrText>ADDIN CSL_CITATION {"citationItems":[{"id":"ITEM-1","itemData":{"DOI":"10.1016/j.cbpb.2019.110332","ISSN":"18791107","abstract":"Urbanization influences food quality and availability for many wild species, but our knowledge of the consequences urbanization has on the nutritional physiology of these animals is currently limited. To fill this gap, we captured House Sparrows (Passer domesticus) from rural and urban environments and hypothesized that increased access to human refuse in urban areas may significantly alter the gut microbiome and nutritional physiology of Sparrows. While there were no significant differences in circulating triglycerides or free glycerol concentrations between populations, urban birds had significantly greater blood glucose concentrations, which suggests greater circulating glucagon concentrations, accessibility to carbohydrates, and/or higher rates of gluconeogenesis in an urban setting. Rural birds had significantly more plasma uric acid, suggesting that they may metabolize more proteins or experience lower inflammation than urban birds. Rural birds also had significantly higher liver free glycerol concentrations, indicating that they metabolize more fat than urban birds. There were no significant differences in the relative abundance of gut microbial taxa at the phyla level between the two populations, but linear discriminant analysis effect size (LEfSe) showed that urban House Sparrows were more enriched with class- and order-level microbes from the phylum Proteobacteria, which are implicated in several mammalian intestinal and extra-intestinal diseases. These findings demonstrate that urbanization significantly alters the nutritional physiology and the composition of the gut microbiome of House Sparrows.","author":[{"dropping-particle":"","family":"Gadau","given":"Alice","non-dropping-particle":"","parse-names":false,"suffix":""},{"dropping-particle":"","family":"Crawford","given":"Meli'sa S.","non-dropping-particle":"","parse-names":false,"suffix":""},{"dropping-particle":"","family":"Mayek","given":"Roman","non-dropping-particle":"","parse-names":false,"suffix":""},{"dropping-particle":"","family":"Giraudeau","given":"Mathieu","non-dropping-particle":"","parse-names":false,"suffix":""},{"dropping-particle":"","family":"McGraw","given":"Kevin J.","non-dropping-particle":"","parse-names":false,"suffix":""},{"dropping-particle":"","family":"Whisner","given":"Corrie M.","non-dropping-particle":"","parse-names":false,"suffix":""},{"dropping-particle":"","family":"Kondrat-Smith","given":"Christina","non-dropping-particle":"","parse-names":false,"suffix":""},{"dropping-particle":"","family":"Sweazea","given":"Karen L.","non-dropping-particle":"","parse-names":false,"suffix":""}],"container-title":"Comparative Biochemistry and Physiology Part - B: Biochemistry and Molecular Biology","id":"ITEM-1","issue":"May","issued":{"date-parts":[["2019"]]},"page":"110332","publisher":"Elsevier","title":"A comparison of the nutritional physiology and gut microbiome of urban and rural house sparrows (Passer domesticus)","type":"article-journal","volume":"237"},"uris":["http://www.mendeley.com/documents/?uuid=6e257b03-eeb3-45b4-94c0-15beda2e7e1f"]}],"mendeley":{"formattedCitation":"&lt;sup&gt;8&lt;/sup&gt;","plainTextFormattedCitation":"8","previouslyFormattedCitation":"[8]"},"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8</w:t>
      </w:r>
      <w:r w:rsidRPr="00D23BF1">
        <w:rPr>
          <w:rFonts w:ascii="Times" w:hAnsi="Times"/>
        </w:rPr>
        <w:fldChar w:fldCharType="end"/>
      </w:r>
      <w:r w:rsidRPr="00D23BF1">
        <w:rPr>
          <w:rFonts w:ascii="Times" w:hAnsi="Times"/>
        </w:rPr>
        <w:t xml:space="preserve">. However, we did find 23 families to be differentially abundant between urban and rural birds (Fig. 8). Because our data on bacterial taxa comes from 16S sequencing, we cannot make functional interpretations. However, urban birds did have a significantly higher abundance of Camplylobacteraceae, and some members of this family are pathogenic </w:t>
      </w:r>
      <w:r w:rsidRPr="00D23BF1">
        <w:rPr>
          <w:rFonts w:ascii="Times" w:hAnsi="Times"/>
        </w:rPr>
        <w:fldChar w:fldCharType="begin" w:fldLock="1"/>
      </w:r>
      <w:r w:rsidRPr="00D23BF1">
        <w:rPr>
          <w:rFonts w:ascii="Times" w:hAnsi="Times"/>
        </w:rPr>
        <w:instrText>ADDIN CSL_CITATION {"citationItems":[{"id":"ITEM-1","itemData":{"DOI":"10.7589/0090-3558-40.4.639","ISSN":"00903558","PMID":"15650082","abstract":"The potential for transport and dissemination of certain pathogenic microorganisms by migratory birds is of concern. Migratory birds might be involved in dispersal of microorganisms as their biological carriers, mechanical carriers, or as carriers of infected hematophagous ectoparasites (e.g., ixodid ticks). Many species of microorganisms pathogenic to homeothermic vertebrates including humans have been associated with free-living migratory birds. Migratory birds of diverse species can play significant roles in the ecology and circulation of some arboviruses (e.g., eastern and western equine encephalomyelitis and Sindbis alphaviruses, West Nile and St. Louis encephalitis flaviviruses), influenza A virus, Newcastle disease virus, duck plague herpesvirus, Chlamydophila psittaci, Anaplasma phagocytophilum, Borrelia burgdorferi sensu lato, Campylobacter jejuni, Salmonella enterica, Pasteurella multocida, Mycobacterium avium, Candida spp., and avian hematozoans. The efficiency of dispersal of pathogenic microorganisms depends on a wide variety of biotic and abiotic factors affecting the survival of the agent in, or disappearance from, a habitat or ecosystem in a new geographic area. © Wildlife Disease Association 2004.","author":[{"dropping-particle":"","family":"Hubálek","given":"Zdenek","non-dropping-particle":"","parse-names":false,"suffix":""}],"container-title":"Journal of Wildlife Diseases","id":"ITEM-1","issue":"4","issued":{"date-parts":[["2004"]]},"page":"639-659","title":"An annotated checklist of pathogenic microorganisms associated with migratory birds","type":"article-journal","volume":"40"},"uris":["http://www.mendeley.com/documents/?uuid=060c141f-4f40-4fc3-9688-a5a9715bee61"]}],"mendeley":{"formattedCitation":"&lt;sup&gt;53&lt;/sup&gt;","plainTextFormattedCitation":"53","previouslyFormattedCitation":"[53]"},"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53</w:t>
      </w:r>
      <w:r w:rsidRPr="00D23BF1">
        <w:rPr>
          <w:rFonts w:ascii="Times" w:hAnsi="Times"/>
        </w:rPr>
        <w:fldChar w:fldCharType="end"/>
      </w:r>
      <w:r w:rsidRPr="00D23BF1">
        <w:rPr>
          <w:rFonts w:ascii="Times" w:hAnsi="Times"/>
        </w:rPr>
        <w:t xml:space="preserve">. This finding is broadly consistent with that of other work in urban songbirds. For example, urban house sparrow gut microbial communities are enriched with microbes from the phylum </w:t>
      </w:r>
      <w:r w:rsidRPr="00D23BF1">
        <w:rPr>
          <w:rFonts w:ascii="Times" w:hAnsi="Times"/>
          <w:i/>
        </w:rPr>
        <w:t>Proteobacteria</w:t>
      </w:r>
      <w:r w:rsidRPr="00D23BF1">
        <w:rPr>
          <w:rFonts w:ascii="Times" w:hAnsi="Times"/>
        </w:rPr>
        <w:t xml:space="preserve">, which can cause intestinal diseases in mammals </w:t>
      </w:r>
      <w:r w:rsidRPr="00D23BF1">
        <w:rPr>
          <w:rFonts w:ascii="Times" w:hAnsi="Times"/>
        </w:rPr>
        <w:fldChar w:fldCharType="begin" w:fldLock="1"/>
      </w:r>
      <w:r w:rsidRPr="00D23BF1">
        <w:rPr>
          <w:rFonts w:ascii="Times" w:hAnsi="Times"/>
        </w:rPr>
        <w:instrText>ADDIN CSL_CITATION {"citationItems":[{"id":"ITEM-1","itemData":{"DOI":"10.1016/j.cbpb.2019.110332","ISSN":"18791107","abstract":"Urbanization influences food quality and availability for many wild species, but our knowledge of the consequences urbanization has on the nutritional physiology of these animals is currently limited. To fill this gap, we captured House Sparrows (Passer domesticus) from rural and urban environments and hypothesized that increased access to human refuse in urban areas may significantly alter the gut microbiome and nutritional physiology of Sparrows. While there were no significant differences in circulating triglycerides or free glycerol concentrations between populations, urban birds had significantly greater blood glucose concentrations, which suggests greater circulating glucagon concentrations, accessibility to carbohydrates, and/or higher rates of gluconeogenesis in an urban setting. Rural birds had significantly more plasma uric acid, suggesting that they may metabolize more proteins or experience lower inflammation than urban birds. Rural birds also had significantly higher liver free glycerol concentrations, indicating that they metabolize more fat than urban birds. There were no significant differences in the relative abundance of gut microbial taxa at the phyla level between the two populations, but linear discriminant analysis effect size (LEfSe) showed that urban House Sparrows were more enriched with class- and order-level microbes from the phylum Proteobacteria, which are implicated in several mammalian intestinal and extra-intestinal diseases. These findings demonstrate that urbanization significantly alters the nutritional physiology and the composition of the gut microbiome of House Sparrows.","author":[{"dropping-particle":"","family":"Gadau","given":"Alice","non-dropping-particle":"","parse-names":false,"suffix":""},{"dropping-particle":"","family":"Crawford","given":"Meli'sa S.","non-dropping-particle":"","parse-names":false,"suffix":""},{"dropping-particle":"","family":"Mayek","given":"Roman","non-dropping-particle":"","parse-names":false,"suffix":""},{"dropping-particle":"","family":"Giraudeau","given":"Mathieu","non-dropping-particle":"","parse-names":false,"suffix":""},{"dropping-particle":"","family":"McGraw","given":"Kevin J.","non-dropping-particle":"","parse-names":false,"suffix":""},{"dropping-particle":"","family":"Whisner","given":"Corrie M.","non-dropping-particle":"","parse-names":false,"suffix":""},{"dropping-particle":"","family":"Kondrat-Smith","given":"Christina","non-dropping-particle":"","parse-names":false,"suffix":""},{"dropping-particle":"","family":"Sweazea","given":"Karen L.","non-dropping-particle":"","parse-names":false,"suffix":""}],"container-title":"Comparative Biochemistry and Physiology Part - B: Biochemistry and Molecular Biology","id":"ITEM-1","issue":"May","issued":{"date-parts":[["2019"]]},"page":"110332","publisher":"Elsevier","title":"A comparison of the nutritional physiology and gut microbiome of urban and rural house sparrows (Passer domesticus)","type":"article-journal","volume":"237"},"uris":["http://www.mendeley.com/documents/?uuid=6e257b03-eeb3-45b4-94c0-15beda2e7e1f"]}],"mendeley":{"formattedCitation":"&lt;sup&gt;8&lt;/sup&gt;","plainTextFormattedCitation":"8","previouslyFormattedCitation":"[8]"},"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8</w:t>
      </w:r>
      <w:r w:rsidRPr="00D23BF1">
        <w:rPr>
          <w:rFonts w:ascii="Times" w:hAnsi="Times"/>
        </w:rPr>
        <w:fldChar w:fldCharType="end"/>
      </w:r>
      <w:r w:rsidRPr="00D23BF1">
        <w:rPr>
          <w:rFonts w:ascii="Times" w:hAnsi="Times"/>
        </w:rPr>
        <w:t xml:space="preserve">. Future work is needed to examine potential functional differences, or differences that might impact host health, in the gut microbial communities of urban and rural songbirds. </w:t>
      </w:r>
      <w:r w:rsidRPr="00D23BF1">
        <w:rPr>
          <w:rFonts w:ascii="Times" w:hAnsi="Times"/>
        </w:rPr>
        <w:tab/>
      </w:r>
    </w:p>
    <w:p w14:paraId="590BC7D0" w14:textId="77777777" w:rsidR="00041ADB" w:rsidRPr="00D23BF1" w:rsidRDefault="00041ADB" w:rsidP="00F20BE1">
      <w:pPr>
        <w:rPr>
          <w:rFonts w:ascii="Times" w:hAnsi="Times"/>
        </w:rPr>
      </w:pPr>
      <w:r w:rsidRPr="00D23BF1">
        <w:rPr>
          <w:rFonts w:ascii="Times" w:hAnsi="Times"/>
        </w:rPr>
        <w:t>Urban birds also have higher gut bacterial richness (</w:t>
      </w:r>
      <w:r w:rsidRPr="00D23BF1">
        <w:rPr>
          <w:rFonts w:ascii="Times" w:hAnsi="Times"/>
          <w:vertAlign w:val="superscript"/>
        </w:rPr>
        <w:t>0</w:t>
      </w:r>
      <w:r w:rsidRPr="00D23BF1">
        <w:rPr>
          <w:rFonts w:ascii="Times" w:hAnsi="Times"/>
        </w:rPr>
        <w:t>D) than rural birds (Fig. 11). These findings are also similar to those of urban Eastern Water Dragons (</w:t>
      </w:r>
      <w:r w:rsidRPr="00D23BF1">
        <w:rPr>
          <w:rFonts w:ascii="Times" w:hAnsi="Times"/>
          <w:i/>
          <w:iCs/>
        </w:rPr>
        <w:t>Intellagama lesueurii</w:t>
      </w:r>
      <w:r w:rsidRPr="00D23BF1">
        <w:rPr>
          <w:rFonts w:ascii="Times" w:hAnsi="Times"/>
        </w:rPr>
        <w:t xml:space="preserve">), which have higher bacterial richness than eastern water dragons in native habitats </w:t>
      </w:r>
      <w:r w:rsidRPr="00D23BF1">
        <w:rPr>
          <w:rFonts w:ascii="Times" w:hAnsi="Times"/>
        </w:rPr>
        <w:fldChar w:fldCharType="begin" w:fldLock="1"/>
      </w:r>
      <w:r w:rsidRPr="00D23BF1">
        <w:rPr>
          <w:rFonts w:ascii="Times" w:hAnsi="Times"/>
        </w:rPr>
        <w:instrText>ADDIN CSL_CITATION {"citationItems":[{"id":"ITEM-1","itemData":{"DOI":"10.1111/mec.15240","ISSN":"1365294X","abstract":"Urbanisation is one of the most significant threats to biodiversity, due to the rapid and large-scale environmental alterations it imposes on the natural landscape. It is, therefore, imperative that we understand the consequences of and mechanisms by which, species can respond to it. In recent years, research has shown that plasticity of the gut microbiome may be an important mechanism by which animals can adapt to environmental change, yet empirical evidence of this in wild non-model species remains sparse. Using an empirical replicated study system, we show that city life alters the gut microbiome and stable isotope profiling of a wild native non-model species – the eastern water dragon (Intellagama lesueurii) in Queensland, Australia. City dragons exhibit a more diverse gut microbiome than their native habitat counterparts and show gut microbial signatures of a high fat and plant rich diet. Additionally, we also show that city dragons have elevated levels of the Nitrogen-15 isotope in their blood suggesting that a city diet, which incorporates novel anthropogenic food sources, may also be richer in protein. These results highlight the role that gut microbial plasticity plays in an animals' response to human-altered landscapes.","author":[{"dropping-particle":"","family":"Littleford-Colquhoun","given":"Bethan L.","non-dropping-particle":"","parse-names":false,"suffix":""},{"dropping-particle":"","family":"Weyrich","given":"Laura S.","non-dropping-particle":"","parse-names":false,"suffix":""},{"dropping-particle":"","family":"Kent","given":"Nicola","non-dropping-particle":"","parse-names":false,"suffix":""},{"dropping-particle":"","family":"Frere","given":"Celine H.","non-dropping-particle":"","parse-names":false,"suffix":""}],"container-title":"Molecular Ecology","id":"ITEM-1","issue":"20","issued":{"date-parts":[["2019"]]},"page":"4592-4607","title":"City life alters the gut microbiome and stable isotope profiling of the eastern water dragon (Intellagama lesueurii)","type":"article-journal","volume":"28"},"uris":["http://www.mendeley.com/documents/?uuid=a3f34b8b-b9b9-3c82-a021-64c6a6b70fa4"]}],"mendeley":{"formattedCitation":"&lt;sup&gt;10&lt;/sup&gt;","plainTextFormattedCitation":"10","previouslyFormattedCitation":"[10]"},"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10</w:t>
      </w:r>
      <w:r w:rsidRPr="00D23BF1">
        <w:rPr>
          <w:rFonts w:ascii="Times" w:hAnsi="Times"/>
        </w:rPr>
        <w:fldChar w:fldCharType="end"/>
      </w:r>
      <w:r w:rsidRPr="00D23BF1">
        <w:rPr>
          <w:rFonts w:ascii="Times" w:hAnsi="Times"/>
        </w:rPr>
        <w:t>. However, the opposite is the case in other songbirds, including house sparrows (</w:t>
      </w:r>
      <w:r w:rsidRPr="00D23BF1">
        <w:rPr>
          <w:rFonts w:ascii="Times" w:hAnsi="Times"/>
          <w:i/>
          <w:iCs/>
        </w:rPr>
        <w:t>Passer domesticus</w:t>
      </w:r>
      <w:r w:rsidRPr="00D23BF1">
        <w:rPr>
          <w:rFonts w:ascii="Times" w:hAnsi="Times"/>
        </w:rPr>
        <w:t xml:space="preserve">) </w:t>
      </w:r>
      <w:r w:rsidRPr="00D23BF1">
        <w:rPr>
          <w:rFonts w:ascii="Times" w:hAnsi="Times"/>
        </w:rPr>
        <w:fldChar w:fldCharType="begin" w:fldLock="1"/>
      </w:r>
      <w:r w:rsidRPr="00D23BF1">
        <w:rPr>
          <w:rFonts w:ascii="Times" w:hAnsi="Times"/>
        </w:rPr>
        <w:instrText>ADDIN CSL_CITATION {"citationItems":[{"id":"ITEM-1","itemData":{"DOI":"10.1016/j.scitotenv.2017.09.035","ISSN":"00489697","abstract":"Urbanisation represents one of the most radical forms of terrestrial land use change and has been shown to lead to alterations in ecosystem functioning and community dynamics and changes in individual phenotypic traits. While the recent surge in microbiome studies has brought about a paradigm shift by which individuals cannot truly be considered independently of the bacterial communities they host, the role of gut microbiota in organismal response to human-induced environmental change is still scarcely studied. Here, we applied a metabarcoding approach to examine the impact of urbanisation on the gut microbiota of Passer domesticus. We found urbanisation to be associated to lower microbiota species diversity, modifications in taxonomic composition and community structure, and changes in functional composition. The strength of these relationships, however, depended on the spatial scale and season at which they were considered. Such spatio-temporal effect suggests that urbanisation may dampen the natural seasonal variation of the gut microbiota observed in more pristine habitats, potentially influencing the fitness of urban organisms. Our results hence shed light on a hitherto little considered perspective, i.e. that the negative effects of urbanisation on city-dwelling organisms may extend to their microbiomes, causing potential dysbioses.","author":[{"dropping-particle":"","family":"Teyssier","given":"Aimeric","non-dropping-particle":"","parse-names":false,"suffix":""},{"dropping-particle":"","family":"Rouffaer","given":"Lieze Oscar","non-dropping-particle":"","parse-names":false,"suffix":""},{"dropping-particle":"","family":"Saleh Hudin","given":"Noraine","non-dropping-particle":"","parse-names":false,"suffix":""},{"dropping-particle":"","family":"Strubbe","given":"Diederik","non-dropping-particle":"","parse-names":false,"suffix":""},{"dropping-particle":"","family":"Matthysen","given":"Erik","non-dropping-particle":"","parse-names":false,"suffix":""},{"dropping-particle":"","family":"Lens","given":"Luc","non-dropping-particle":"","parse-names":false,"suffix":""},{"dropping-particle":"","family":"White","given":"Joël","non-dropping-particle":"","parse-names":false,"suffix":""}],"container-title":"Science of The Total Environment","id":"ITEM-1","issued":{"date-parts":[["2018"]]},"page":"1276-1286","publisher":"Elsevier B.V.","title":"Inside the guts of the city: Urban-induced alterations of the gut microbiota in a wild passerine","type":"article-journal","volume":"612"},"uris":["http://www.mendeley.com/documents/?uuid=0a16ed80-e088-46cb-8182-f6ebba9f38d7"]}],"mendeley":{"formattedCitation":"&lt;sup&gt;11&lt;/sup&gt;","plainTextFormattedCitation":"11","previouslyFormattedCitation":"[11]"},"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11</w:t>
      </w:r>
      <w:r w:rsidRPr="00D23BF1">
        <w:rPr>
          <w:rFonts w:ascii="Times" w:hAnsi="Times"/>
        </w:rPr>
        <w:fldChar w:fldCharType="end"/>
      </w:r>
      <w:r w:rsidRPr="00D23BF1">
        <w:rPr>
          <w:rFonts w:ascii="Times" w:hAnsi="Times"/>
        </w:rPr>
        <w:t xml:space="preserve"> and Darwin's finches (</w:t>
      </w:r>
      <w:r w:rsidRPr="00D23BF1">
        <w:rPr>
          <w:rFonts w:ascii="Times" w:hAnsi="Times"/>
          <w:i/>
          <w:iCs/>
        </w:rPr>
        <w:t>Geospiza fuliginosa</w:t>
      </w:r>
      <w:r w:rsidRPr="00D23BF1">
        <w:rPr>
          <w:rFonts w:ascii="Times" w:hAnsi="Times"/>
        </w:rPr>
        <w:t xml:space="preserve"> &amp; </w:t>
      </w:r>
      <w:r w:rsidRPr="00D23BF1">
        <w:rPr>
          <w:rFonts w:ascii="Times" w:hAnsi="Times"/>
          <w:i/>
          <w:iCs/>
        </w:rPr>
        <w:t>Geospiza fortis</w:t>
      </w:r>
      <w:r w:rsidRPr="00D23BF1">
        <w:rPr>
          <w:rFonts w:ascii="Times" w:hAnsi="Times"/>
        </w:rPr>
        <w:t xml:space="preserve">) </w:t>
      </w:r>
      <w:r w:rsidRPr="00D23BF1">
        <w:rPr>
          <w:rFonts w:ascii="Times" w:hAnsi="Times"/>
        </w:rPr>
        <w:fldChar w:fldCharType="begin" w:fldLock="1"/>
      </w:r>
      <w:r w:rsidRPr="00D23BF1">
        <w:rPr>
          <w:rFonts w:ascii="Times" w:hAnsi="Times"/>
        </w:rPr>
        <w:instrText>ADDIN CSL_CITATION {"citationItems":[{"id":"ITEM-1","itemData":{"DOI":"10.1111/mec.15088","ISSN":"1365294X","abstract":"The gut microbiota of animal hosts can be influenced by environmental factors, such as unnatural food items that are introduced by humans. Over the past 30 years, human presence has grown exponentially in the Galapagos Islands, which are home to endemic Darwin's finches. Consequently, humans have changed the environment and diet of Darwin's finches, which in turn, could affect their gut microbiota. In this study, we compared the gut microbiota of two species of Darwin's finches, small ground finches (Geospiza fuliginosa) and medium ground finches (Geospiza fortis), across sites with and without human presence, where finches prefer human</w:instrText>
      </w:r>
      <w:r w:rsidRPr="00D23BF1">
        <w:rPr>
          <w:rFonts w:ascii="Cambria Math" w:hAnsi="Cambria Math" w:cs="Cambria Math"/>
        </w:rPr>
        <w:instrText>‐</w:instrText>
      </w:r>
      <w:r w:rsidRPr="00D23BF1">
        <w:rPr>
          <w:rFonts w:ascii="Times" w:hAnsi="Times"/>
        </w:rPr>
        <w:instrText>processed and natural food, respectively. We predicted that: (a) finch microbiota would differ between sites with and without humans due to differences in diet, and (b) gut microbiota of each finch species would be most similar where finches have the highest niche overlap (areas with humans) compared to the lowest niche overlap (areas without humans). We found that gut bacterial community structure differed across sites and host species. Gut bacterial diversity was most distinct between the two species at the site with human presence compared to the site without human presence, which contradicted our predictions. Within host species, medium ground finches had lower bacterial diversity at the site with human presence compared to the site without human presence and bacterial diversity of small ground finches did not differ between sites. Our results show that the gut microbiota of Darwin's finches is affected differently across sites with varying human presence.","author":[{"dropping-particle":"","family":"Knutie","given":"Sarah A.","non-dropping-particle":"","parse-names":false,"suffix":""},{"dropping-particle":"","family":"Chaves","given":"Jaime A.","non-dropping-particle":"","parse-names":false,"suffix":""},{"dropping-particle":"","family":"Gotanda","given":"Kiyoko M.","non-dropping-particle":"","parse-names":false,"suffix":""}],"container-title":"Molecular Ecology","id":"ITEM-1","issue":"9","issued":{"date-parts":[["2019"]]},"page":"2441-2450","title":"Human activity can influence the gut microbiota of Darwin's finches in the Galapagos Islands","type":"article-journal","volume":"28"},"uris":["http://www.mendeley.com/documents/?uuid=8d77c8a6-e5e7-4a62-a1d4-35a3a2f16017"]}],"mendeley":{"formattedCitation":"&lt;sup&gt;54&lt;/sup&gt;","plainTextFormattedCitation":"54","previouslyFormattedCitation":"[54]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54</w:t>
      </w:r>
      <w:r w:rsidRPr="00D23BF1">
        <w:rPr>
          <w:rFonts w:ascii="Times" w:hAnsi="Times"/>
        </w:rPr>
        <w:fldChar w:fldCharType="end"/>
      </w:r>
      <w:r w:rsidRPr="00D23BF1">
        <w:rPr>
          <w:rFonts w:ascii="Times" w:hAnsi="Times"/>
        </w:rPr>
        <w:t>. Both of these songbirds have lower bacterial richness in more urbanized areas. It is particularly interesting that although both house sparrows and White-Crowned Sparrows persist and to a certain extent thrive in urban environments, they show different effects of urbanization on bacterial richness. These differences may be due to how selection pressures for each species vary across urban and rural habitats. Additionally, there is a wide range of landscape compositions among urban areas around the world with some comprised of more greenspace than others, therefore it may not be useful to draw comparisons between urban areas with drastically different environmental features. More work is needed to assess why some hosts have higher bacterial richness in urban environments while others have lower richness. Our results on bacterial richness add to the growing number of studies investigating gut bacterial communities across urbanization gradients, which could contribute to future meta- or comparative analyses.</w:t>
      </w:r>
    </w:p>
    <w:p w14:paraId="33FD6BD4" w14:textId="77777777" w:rsidR="00041ADB" w:rsidRPr="00D23BF1" w:rsidRDefault="00041ADB" w:rsidP="00F20BE1">
      <w:pPr>
        <w:rPr>
          <w:rFonts w:ascii="Times" w:hAnsi="Times"/>
        </w:rPr>
      </w:pPr>
      <w:r w:rsidRPr="00D23BF1">
        <w:rPr>
          <w:rFonts w:ascii="Times" w:hAnsi="Times"/>
        </w:rPr>
        <w:lastRenderedPageBreak/>
        <w:t xml:space="preserve">When we examined beta diversity (beta diversity), we found significant differences between urban and rural males (Fig. 11, Table 4).  These differences were driven by community membership (i.e. presence/absence), not structure (i.e. accounting for relative abundance). Other studies that have examined beta diversity in urban versus rural locations have found similar results. For example, in both Darwin's finches and Eastern waterdragons there are more differences in beta diversity between urban and rural areas in community membership than structure </w:t>
      </w:r>
      <w:r w:rsidRPr="00D23BF1">
        <w:rPr>
          <w:rFonts w:ascii="Times" w:hAnsi="Times"/>
        </w:rPr>
        <w:fldChar w:fldCharType="begin" w:fldLock="1"/>
      </w:r>
      <w:r w:rsidRPr="00D23BF1">
        <w:rPr>
          <w:rFonts w:ascii="Times" w:hAnsi="Times"/>
        </w:rPr>
        <w:instrText>ADDIN CSL_CITATION {"citationItems":[{"id":"ITEM-1","itemData":{"DOI":"10.1111/mec.15088","ISSN":"1365294X","abstract":"The gut microbiota of animal hosts can be influenced by environmental factors, such as unnatural food items that are introduced by humans. Over the past 30 years, human presence has grown exponentially in the Galapagos Islands, which are home to endemic Darwin's finches. Consequently, humans have changed the environment and diet of Darwin's finches, which in turn, could affect their gut microbiota. In this study, we compared the gut microbiota of two species of Darwin's finches, small ground finches (Geospiza fuliginosa) and medium ground finches (Geospiza fortis), across sites with and without human presence, where finches prefer human</w:instrText>
      </w:r>
      <w:r w:rsidRPr="00D23BF1">
        <w:rPr>
          <w:rFonts w:ascii="Cambria Math" w:hAnsi="Cambria Math" w:cs="Cambria Math"/>
        </w:rPr>
        <w:instrText>‐</w:instrText>
      </w:r>
      <w:r w:rsidRPr="00D23BF1">
        <w:rPr>
          <w:rFonts w:ascii="Times" w:hAnsi="Times"/>
        </w:rPr>
        <w:instrText>processed and natural food, respectively. We predicted that: (a) finch microbiota would differ between sites with and without humans due to differences in diet, and (b) gut microbiota of each finch species would be most similar where finches have the highest niche overlap (areas with humans) compared to the lowest niche overlap (areas without humans). We found that gut bacterial community structure differed across sites and host species. Gut bacterial diversity was most distinct between the two species at the site with human presence compared to the site without human presence, which contradicted our predictions. Within host species, medium ground finches had lower bacterial diversity at the site with human presence compared to the site without human presence and bacterial diversity of small ground finches did not differ between sites. Our results show that the gut microbiota of Darwin's finches is affected differently across sites with varying human presence.","author":[{"dropping-particle":"","family":"Knutie","given":"Sarah A.","non-dropping-particle":"","parse-names":false,"suffix":""},{"dropping-particle":"","family":"Chaves","given":"Jaime A.","non-dropping-particle":"","parse-names":false,"suffix":""},{"dropping-particle":"","family":"Gotanda","given":"Kiyoko M.","non-dropping-particle":"","parse-names":false,"suffix":""}],"container-title":"Molecular Ecology","id":"ITEM-1","issue":"9","issued":{"date-parts":[["2019"]]},"page":"2441-2450","title":"Human activity can influence the gut microbiota of Darwin's finches in the Galapagos Islands","type":"article-journal","volume":"28"},"uris":["http://www.mendeley.com/documents/?uuid=8d77c8a6-e5e7-4a62-a1d4-35a3a2f16017"]},{"id":"ITEM-2","itemData":{"DOI":"10.1111/mec.15240","ISSN":"1365294X","abstract":"Urbanisation is one of the most significant threats to biodiversity, due to the rapid and large-scale environmental alterations it imposes on the natural landscape. It is, therefore, imperative that we understand the consequences of and mechanisms by which, species can respond to it. In recent years, research has shown that plasticity of the gut microbiome may be an important mechanism by which animals can adapt to environmental change, yet empirical evidence of this in wild non-model species remains sparse. Using an empirical replicated study system, we show that city life alters the gut microbiome and stable isotope profiling of a wild native non-model species – the eastern water dragon (Intellagama lesueurii) in Queensland, Australia. City dragons exhibit a more diverse gut microbiome than their native habitat counterparts and show gut microbial signatures of a high fat and plant rich diet. Additionally, we also show that city dragons have elevated levels of the Nitrogen-15 isotope in their blood suggesting that a city diet, which incorporates novel anthropogenic food sources, may also be richer in protein. These results highlight the role that gut microbial plasticity plays in an animals' response to human-altered landscapes.","author":[{"dropping-particle":"","family":"Littleford-Colquhoun","given":"Bethan L.","non-dropping-particle":"","parse-names":false,"suffix":""},{"dropping-particle":"","family":"Weyrich","given":"Laura S.","non-dropping-particle":"","parse-names":false,"suffix":""},{"dropping-particle":"","family":"Kent","given":"Nicola","non-dropping-particle":"","parse-names":false,"suffix":""},{"dropping-particle":"","family":"Frere","given":"Celine H.","non-dropping-particle":"","parse-names":false,"suffix":""}],"container-title":"Molecular Ecology","id":"ITEM-2","issue":"20","issued":{"date-parts":[["2019"]]},"page":"4592-4607","title":"City life alters the gut microbiome and stable isotope profiling of the eastern water dragon (Intellagama lesueurii)","type":"article-journal","volume":"28"},"uris":["http://www.mendeley.com/documents/?uuid=a3f34b8b-b9b9-3c82-a021-64c6a6b70fa4"]}],"mendeley":{"formattedCitation":"&lt;sup&gt;10,54&lt;/sup&gt;","plainTextFormattedCitation":"10,54","previouslyFormattedCitation":"[10, 54]"},"properties":{"noteIndex":0},"schema":"https://github.com/citation-style-language/schema/raw/master/csl-citation.json"}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10,54</w:t>
      </w:r>
      <w:r w:rsidRPr="00D23BF1">
        <w:rPr>
          <w:rFonts w:ascii="Times" w:hAnsi="Times"/>
        </w:rPr>
        <w:fldChar w:fldCharType="end"/>
      </w:r>
      <w:r w:rsidRPr="00D23BF1">
        <w:rPr>
          <w:rFonts w:ascii="Times" w:hAnsi="Times"/>
        </w:rPr>
        <w:t xml:space="preserve">, similar to our findings. Finding differences in membership and not structure suggest that rare bacteria drive these differences. Thus, rare bacteria may be a key component of the gut bacterial community to examine in urban environments. </w:t>
      </w:r>
    </w:p>
    <w:p w14:paraId="1C1E61C2" w14:textId="77777777" w:rsidR="00041ADB" w:rsidRPr="00D23BF1" w:rsidRDefault="00041ADB" w:rsidP="00F20BE1">
      <w:pPr>
        <w:rPr>
          <w:rFonts w:ascii="Times" w:hAnsi="Times"/>
          <w:color w:val="000000" w:themeColor="text1"/>
        </w:rPr>
      </w:pPr>
    </w:p>
    <w:p w14:paraId="54991CBA" w14:textId="77777777" w:rsidR="00041ADB" w:rsidRPr="00D23BF1" w:rsidRDefault="00041ADB" w:rsidP="00F20BE1">
      <w:pPr>
        <w:rPr>
          <w:rFonts w:ascii="Times" w:hAnsi="Times"/>
          <w:i/>
          <w:iCs/>
        </w:rPr>
      </w:pPr>
      <w:r w:rsidRPr="00D23BF1">
        <w:rPr>
          <w:rFonts w:ascii="Times" w:hAnsi="Times"/>
          <w:i/>
          <w:iCs/>
        </w:rPr>
        <w:t>Differences between urban and rural bacterial communities driven by rare bacteria</w:t>
      </w:r>
    </w:p>
    <w:p w14:paraId="10EFEFD4" w14:textId="77777777" w:rsidR="00041ADB" w:rsidRPr="00D23BF1" w:rsidRDefault="00041ADB" w:rsidP="00F20BE1">
      <w:pPr>
        <w:rPr>
          <w:rFonts w:ascii="Times" w:hAnsi="Times"/>
        </w:rPr>
      </w:pPr>
      <w:r w:rsidRPr="00D23BF1">
        <w:rPr>
          <w:rFonts w:ascii="Times" w:hAnsi="Times"/>
        </w:rPr>
        <w:t xml:space="preserve">Our results show differences between urban and rural populations in alpha diversity and beta diversity decreased as rare species were down weighted (i.e., higher orders of q). This means that rare bacteria drive the differences found in gut microbial communities between urban and rural White-Crowned Sparrows (Fig 9 &amp; 11). A similar pattern is seen in house sparrows, such that urban and rural birds are not different in alpha diversity as rare species are down-weighted </w:t>
      </w:r>
      <w:r w:rsidRPr="00D23BF1">
        <w:rPr>
          <w:rFonts w:ascii="Times" w:hAnsi="Times"/>
        </w:rPr>
        <w:fldChar w:fldCharType="begin" w:fldLock="1"/>
      </w:r>
      <w:r w:rsidRPr="00D23BF1">
        <w:rPr>
          <w:rFonts w:ascii="Times" w:hAnsi="Times"/>
        </w:rPr>
        <w:instrText>ADDIN CSL_CITATION {"citationItems":[{"id":"ITEM-1","itemData":{"DOI":"10.1016/j.cbpb.2019.110332","ISSN":"18791107","abstract":"Urbanization influences food quality and availability for many wild species, but our knowledge of the consequences urbanization has on the nutritional physiology of these animals is currently limited. To fill this gap, we captured House Sparrows (Passer domesticus) from rural and urban environments and hypothesized that increased access to human refuse in urban areas may significantly alter the gut microbiome and nutritional physiology of Sparrows. While there were no significant differences in circulating triglycerides or free glycerol concentrations between populations, urban birds had significantly greater blood glucose concentrations, which suggests greater circulating glucagon concentrations, accessibility to carbohydrates, and/or higher rates of gluconeogenesis in an urban setting. Rural birds had significantly more plasma uric acid, suggesting that they may metabolize more proteins or experience lower inflammation than urban birds. Rural birds also had significantly higher liver free glycerol concentrations, indicating that they metabolize more fat than urban birds. There were no significant differences in the relative abundance of gut microbial taxa at the phyla level between the two populations, but linear discriminant analysis effect size (LEfSe) showed that urban House Sparrows were more enriched with class- and order-level microbes from the phylum Proteobacteria, which are implicated in several mammalian intestinal and extra-intestinal diseases. These findings demonstrate that urbanization significantly alters the nutritional physiology and the composition of the gut microbiome of House Sparrows.","author":[{"dropping-particle":"","family":"Gadau","given":"Alice","non-dropping-particle":"","parse-names":false,"suffix":""},{"dropping-particle":"","family":"Crawford","given":"Meli'sa S.","non-dropping-particle":"","parse-names":false,"suffix":""},{"dropping-particle":"","family":"Mayek","given":"Roman","non-dropping-particle":"","parse-names":false,"suffix":""},{"dropping-particle":"","family":"Giraudeau","given":"Mathieu","non-dropping-particle":"","parse-names":false,"suffix":""},{"dropping-particle":"","family":"McGraw","given":"Kevin J.","non-dropping-particle":"","parse-names":false,"suffix":""},{"dropping-particle":"","family":"Whisner","given":"Corrie M.","non-dropping-particle":"","parse-names":false,"suffix":""},{"dropping-particle":"","family":"Kondrat-Smith","given":"Christina","non-dropping-particle":"","parse-names":false,"suffix":""},{"dropping-particle":"","family":"Sweazea","given":"Karen L.","non-dropping-particle":"","parse-names":false,"suffix":""}],"container-title":"Comparative Biochemistry and Physiology Part - B: Biochemistry and Molecular Biology","id":"ITEM-1","issue":"May","issued":{"date-parts":[["2019"]]},"page":"110332","publisher":"Elsevier","title":"A comparison of the nutritional physiology and gut microbiome of urban and rural house sparrows (Passer domesticus)","type":"article-journal","volume":"237"},"uris":["http://www.mendeley.com/documents/?uuid=6e257b03-eeb3-45b4-94c0-15beda2e7e1f"]}],"mendeley":{"formattedCitation":"&lt;sup&gt;8&lt;/sup&gt;","plainTextFormattedCitation":"8","previouslyFormattedCitation":"[8]"},"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8</w:t>
      </w:r>
      <w:r w:rsidRPr="00D23BF1">
        <w:rPr>
          <w:rFonts w:ascii="Times" w:hAnsi="Times"/>
        </w:rPr>
        <w:fldChar w:fldCharType="end"/>
      </w:r>
      <w:r w:rsidRPr="00D23BF1">
        <w:rPr>
          <w:rFonts w:ascii="Times" w:hAnsi="Times"/>
        </w:rPr>
        <w:t xml:space="preserve">.  Therefore, because measures of alpha and beta diversity that account for relative abundance show weakened differences between urban and rural populations, our results suggests that dominant bacteria are present in relatively similar proportions across birds in these populations. Why might rare species drive observed differences in gut microbial communities? Rare bacteria may be transient and sourced from the environment. If urban and rural habitats have different environmental bacteria, then this could explain why rare species are driving these apparent differences in gut bacterial communities. Urban areas have been shown to host different bacterial communities on different surface types, and thus differences in urban and rural surfaces may explain differing rare gut bacteria </w:t>
      </w:r>
      <w:r w:rsidRPr="00D23BF1">
        <w:rPr>
          <w:rFonts w:ascii="Times" w:hAnsi="Times"/>
        </w:rPr>
        <w:fldChar w:fldCharType="begin" w:fldLock="1"/>
      </w:r>
      <w:r w:rsidRPr="00D23BF1">
        <w:rPr>
          <w:rFonts w:ascii="Times" w:hAnsi="Times"/>
        </w:rPr>
        <w:instrText>ADDIN CSL_CITATION {"citationItems":[{"id":"ITEM-1","itemData":{"DOI":"10.1128/mSystems.00018-16","ISBN":"2379-5077","ISSN":"2379-5077","PMID":"27822528","abstract":"&lt;p&gt; Public transit systems are ideal for studying the urban microbiome and interindividual community transfer. In this study, we used 16S amplicon and shotgun metagenomic sequencing to profile microbial communities on multiple transit surfaces across train lines and stations in the Boston metropolitan transit system. The greatest determinant of microbial community structure was the transit surface type. In contrast, little variation was observed between geographically distinct train lines and stations serving different demographics. All surfaces were dominated by human skin and oral commensals such as &lt;italic&gt;Propionibacterium&lt;/italic&gt; , &lt;italic&gt;Corynebacterium&lt;/italic&gt; , &lt;italic&gt;Staphylococcus&lt;/italic&gt; , and &lt;italic&gt;Streptococcus&lt;/italic&gt; . The detected taxa not associated with humans included generalists from alphaproteobacteria, which were especially abundant on outdoor touchscreens. Shotgun metagenomics further identified viral and eukaryotic microbes, including &lt;italic&gt;Propionibacterium&lt;/italic&gt; phage and &lt;italic&gt;Malassezia globosa&lt;/italic&gt; . Functional profiling showed that &lt;italic&gt;Propionibacterium acnes&lt;/italic&gt; pathways such as propionate production and porphyrin synthesis were enriched on train holding surfaces (holds), while electron transport chain components for aerobic respiration were enriched on touchscreens and seats. Lastly, the transit environment was not found to be a reservoir of antimicrobial resistance and virulence genes. Our results suggest that microbial communities on transit surfaces are maintained from a metapopulation of human skin commensals and environmental generalists, with enrichments corresponding to local interactions with the human body and environmental exposures. &lt;/p&gt;","author":[{"dropping-particle":"","family":"Hsu","given":"Tiffany","non-dropping-particle":"","parse-names":false,"suffix":""},{"dropping-particle":"","family":"Joice","given":"Regina","non-dropping-particle":"","parse-names":false,"suffix":""},{"dropping-particle":"","family":"Vallarino","given":"Jose","non-dropping-particle":"","parse-names":false,"suffix":""},{"dropping-particle":"","family":"Abu-Ali","given":"Galeb","non-dropping-particle":"","parse-names":false,"suffix":""},{"dropping-particle":"","family":"Hartmann","given":"Erica M.","non-dropping-particle":"","parse-names":false,"suffix":""},{"dropping-particle":"","family":"Shafquat","given":"Afrah","non-dropping-particle":"","parse-names":false,"suffix":""},{"dropping-particle":"","family":"DuLong","given":"Casey","non-dropping-particle":"","parse-names":false,"suffix":""},{"dropping-particle":"","family":"Baranowski","given":"Catherine","non-dropping-particle":"","parse-names":false,"suffix":""},{"dropping-particle":"","family":"Gevers","given":"Dirk","non-dropping-particle":"","parse-names":false,"suffix":""},{"dropping-particle":"","family":"Green","given":"Jessica L.","non-dropping-particle":"","parse-names":false,"suffix":""},{"dropping-particle":"","family":"Morgan","given":"Xochitl C.","non-dropping-particle":"","parse-names":false,"suffix":""},{"dropping-particle":"","family":"Spengler","given":"John D.","non-dropping-particle":"","parse-names":false,"suffix":""},{"dropping-particle":"","family":"Huttenhower","given":"Curtis","non-dropping-particle":"","parse-names":false,"suffix":""}],"container-title":"mSystems","id":"ITEM-1","issue":"3","issued":{"date-parts":[["2016"]]},"page":"e00018-16","title":"Urban Transit System Microbial Communities Differ by Surface Type and Interaction with Humans and the Environment","type":"article-journal","volume":"1"},"uris":["http://www.mendeley.com/documents/?uuid=6e7773dd-4dc6-4c13-94ab-d83339c64ae4"]}],"mendeley":{"formattedCitation":"&lt;sup&gt;55&lt;/sup&gt;","plainTextFormattedCitation":"55","previouslyFormattedCitation":"[55]"},"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55</w:t>
      </w:r>
      <w:r w:rsidRPr="00D23BF1">
        <w:rPr>
          <w:rFonts w:ascii="Times" w:hAnsi="Times"/>
        </w:rPr>
        <w:fldChar w:fldCharType="end"/>
      </w:r>
      <w:r w:rsidRPr="00D23BF1">
        <w:rPr>
          <w:rFonts w:ascii="Times" w:hAnsi="Times"/>
        </w:rPr>
        <w:t>. We do not know what role these rare and potentially transient bacteria play in host health and development; the differences we see may be neutral, or could be the result of novel pathogen exposure in urban birds. Future research is needed to examine functional components of shared bacterial communities between urban and rural birds to determine what essential functions ubiquitous bacteria might serve, and if perhaps more rare bacteria that differ are occupying similar or different functional roles.</w:t>
      </w:r>
    </w:p>
    <w:p w14:paraId="5FD04CD7" w14:textId="77777777" w:rsidR="00041ADB" w:rsidRPr="00D23BF1" w:rsidRDefault="00041ADB" w:rsidP="00F20BE1">
      <w:pPr>
        <w:rPr>
          <w:rFonts w:ascii="Times" w:hAnsi="Times"/>
          <w:color w:val="A8D08D" w:themeColor="accent6" w:themeTint="99"/>
        </w:rPr>
      </w:pPr>
    </w:p>
    <w:p w14:paraId="5520B01E" w14:textId="77777777" w:rsidR="00041ADB" w:rsidRPr="00D23BF1" w:rsidRDefault="00041ADB" w:rsidP="00F20BE1">
      <w:pPr>
        <w:rPr>
          <w:rFonts w:ascii="Times" w:hAnsi="Times"/>
          <w:i/>
          <w:iCs/>
        </w:rPr>
      </w:pPr>
      <w:r w:rsidRPr="00D23BF1">
        <w:rPr>
          <w:rFonts w:ascii="Times" w:hAnsi="Times"/>
          <w:i/>
          <w:iCs/>
        </w:rPr>
        <w:t>Drivers of gut diversity reveal potential mechanisms of urban impacts</w:t>
      </w:r>
    </w:p>
    <w:p w14:paraId="62114AD5" w14:textId="77777777" w:rsidR="00041ADB" w:rsidRPr="00D23BF1" w:rsidRDefault="00041ADB" w:rsidP="00F20BE1">
      <w:pPr>
        <w:rPr>
          <w:rFonts w:ascii="Times" w:hAnsi="Times"/>
          <w:iCs/>
        </w:rPr>
      </w:pPr>
      <w:r w:rsidRPr="00D23BF1">
        <w:rPr>
          <w:rFonts w:ascii="Times" w:hAnsi="Times"/>
          <w:i/>
          <w:iCs/>
          <w:color w:val="A8D08D" w:themeColor="accent6" w:themeTint="99"/>
        </w:rPr>
        <w:tab/>
      </w:r>
      <w:r w:rsidRPr="00D23BF1">
        <w:rPr>
          <w:rFonts w:ascii="Times" w:hAnsi="Times"/>
          <w:iCs/>
        </w:rPr>
        <w:t>Our central question was whether any environmental or morphological characteristics of these wild songbirds might explain differences in their gut microbial communities between urban and rural habitats. A number of the factors we measured were important in explaining bacterial alpha diversity, specifically bill size (length and depth), territory noise level, percent tree cover and percent grass cover (Fig. 10).  Bacterial richness (</w:t>
      </w:r>
      <w:r w:rsidRPr="00D23BF1">
        <w:rPr>
          <w:rFonts w:ascii="Times" w:hAnsi="Times"/>
          <w:vertAlign w:val="superscript"/>
        </w:rPr>
        <w:t>0</w:t>
      </w:r>
      <w:r w:rsidRPr="00D23BF1">
        <w:rPr>
          <w:rFonts w:ascii="Times" w:hAnsi="Times"/>
        </w:rPr>
        <w:t>D</w:t>
      </w:r>
      <w:r w:rsidRPr="00D23BF1">
        <w:rPr>
          <w:rFonts w:ascii="Times" w:hAnsi="Times"/>
          <w:iCs/>
        </w:rPr>
        <w:t xml:space="preserve">) increased with bill size and percent tree cover and decreased with territory noise levels and percent grass cover (Fig. 11).  When we examined how these factors varied between urban and rural hosts, we found that rural birds tend to have larger bills, lower noise levels and slightly higher amounts of grass whereas urban birds have territories with significantly more trees (Table 3). Taken together, the higher levels of alpha diversity in urban hosts seem most likely to be associated with differences in tree cover between urban and rural territories. Urban birds have more trees on their territories, and bacterial richness increases with tree cover in both urban and rural habitats (Fig. 11).  Grass cover may also contribute to this pattern, as bacterial richness decreases with grass cover, and rural birds have slightly more grass cover, but this relationship is not as strong, even though grass cover is </w:t>
      </w:r>
      <w:r w:rsidRPr="00D23BF1">
        <w:rPr>
          <w:rFonts w:ascii="Times" w:hAnsi="Times"/>
          <w:iCs/>
        </w:rPr>
        <w:lastRenderedPageBreak/>
        <w:t xml:space="preserve">important, overall, in explaining variation in bacterial richness. Bill size and noise levels seem unlikely to explain divergence in bacterial richness between urban and rural hosts, as urban birds have higher richness but also higher noise levels on their territories as well as smaller bills. Originally, we predicted that it would be urbanized features of the landscape (such as distance from roads or noise levels) that would explain differences in bacterial richness between urban and rural habitats, but our results suggest the opposite. Instead, shifts in more 'natural' features of the landscape seem to be most important. White-Crowned Sparrows are thriving in the big city, but their territories are becoming more and more restricted to urban park boundaries over time </w:t>
      </w:r>
      <w:r w:rsidRPr="00D23BF1">
        <w:rPr>
          <w:rFonts w:ascii="Times" w:hAnsi="Times"/>
          <w:iCs/>
        </w:rPr>
        <w:fldChar w:fldCharType="begin" w:fldLock="1"/>
      </w:r>
      <w:r w:rsidRPr="00D23BF1">
        <w:rPr>
          <w:rFonts w:ascii="Times" w:hAnsi="Times"/>
          <w:iCs/>
        </w:rPr>
        <w:instrText>ADDIN CSL_CITATION {"citationItems":[{"id":"ITEM-1","itemData":{"DOI":"10.1002/ecs2.2440","ISSN":"21508925","abstract":"Anthropogenic landscapes and soundscapes impose strong selective pressures on a number of species, which can manifest in changes in vocalizations, foraging strategies, predator vigilance, and reproductive success. However, few studies have examined survival rates, a major component of fitness, across urban landscapes and soundscapes. White-crowned sparrows (Zonotrichia leucophrys) persist in both urban and rural landscapes and change their behavior in response to the soundscape. We color-banded adult white-crowned sparrows and collected noise levels on their territories in the urban San Francisco Bay Area and adjacent rural Point Reyes National Seashore in California. We collected mark-encounter data on territorial males from 2014 to 2017. Using the Program MARK, we tested the effects of habitat (urban/rural) and territory noise level on annual survival rates and body condition. We predicted that survival and body condition would be lower in urban habitats and decrease with increasing background noise level on territories. We found that survival estimates vary according to year, and males in urban landscapes have higher survival. Noise levels best predict body condition, such that soundscape negatively correlates with male body condition. Taken together, the urban landscape and soundscape shape the survival and health of birds in and near cities.","author":[{"dropping-particle":"","family":"Phillips","given":"Jennifer N.","non-dropping-particle":"","parse-names":false,"suffix":""},{"dropping-particle":"","family":"Gentry","given":"Katherine E.","non-dropping-particle":"","parse-names":false,"suffix":""},{"dropping-particle":"","family":"Luther","given":"David A.","non-dropping-particle":"","parse-names":false,"suffix":""},{"dropping-particle":"","family":"Derryberry","given":"Elizabeth P.","non-dropping-particle":"","parse-names":false,"suffix":""}],"container-title":"Ecosphere","id":"ITEM-1","issue":"9","issued":{"date-parts":[["2018"]]},"page":"1-12","title":"Surviving in the city: higher apparent survival for urban birds but worse condition on noisy territories","type":"article-journal","volume":"9"},"uris":["http://www.mendeley.com/documents/?uuid=bea4092a-84a3-40f1-bf10-9157064997e8"]}],"mendeley":{"formattedCitation":"&lt;sup&gt;34&lt;/sup&gt;","plainTextFormattedCitation":"34","previouslyFormattedCitation":"[34]"},"properties":{"noteIndex":0},"schema":"https://github.com/citation-style-language/schema/raw/master/csl-citation.json"}</w:instrText>
      </w:r>
      <w:r w:rsidRPr="00D23BF1">
        <w:rPr>
          <w:rFonts w:ascii="Times" w:hAnsi="Times"/>
          <w:iCs/>
        </w:rPr>
        <w:fldChar w:fldCharType="separate"/>
      </w:r>
      <w:r w:rsidRPr="00D23BF1">
        <w:rPr>
          <w:rFonts w:ascii="Times" w:hAnsi="Times"/>
          <w:iCs/>
          <w:noProof/>
          <w:vertAlign w:val="superscript"/>
        </w:rPr>
        <w:t>34</w:t>
      </w:r>
      <w:r w:rsidRPr="00D23BF1">
        <w:rPr>
          <w:rFonts w:ascii="Times" w:hAnsi="Times"/>
          <w:iCs/>
        </w:rPr>
        <w:fldChar w:fldCharType="end"/>
      </w:r>
      <w:r w:rsidRPr="00D23BF1">
        <w:rPr>
          <w:rFonts w:ascii="Times" w:hAnsi="Times"/>
          <w:iCs/>
        </w:rPr>
        <w:t>. This means that the composition and management of urban parks is becoming ever more important to their persistence and the types of selective pressures these sparrows are experiencing.</w:t>
      </w:r>
    </w:p>
    <w:p w14:paraId="4C70C8B6" w14:textId="77777777" w:rsidR="00041ADB" w:rsidRPr="00D23BF1" w:rsidRDefault="00041ADB" w:rsidP="00F20BE1">
      <w:pPr>
        <w:rPr>
          <w:rFonts w:ascii="Times" w:hAnsi="Times"/>
        </w:rPr>
      </w:pPr>
      <w:r w:rsidRPr="00D23BF1">
        <w:rPr>
          <w:rFonts w:ascii="Times" w:hAnsi="Times"/>
          <w:iCs/>
        </w:rPr>
        <w:tab/>
        <w:t xml:space="preserve">When we examined urban and rural birds separately, however, we found that different factors are important for each type of habitat – morphology in urban hosts and environment in rural hosts. </w:t>
      </w:r>
      <w:r w:rsidRPr="00D23BF1">
        <w:rPr>
          <w:rFonts w:ascii="Times" w:hAnsi="Times"/>
        </w:rPr>
        <w:t xml:space="preserve">Alpha diversity in urban males was best predicted by morphological traits like bill length and depth (Fig. 11). Although Knutie et al. 2019 did not find an association between body mass or bill size and the gut microbiome of Darwin’s Finches, they did find that body mass was impacted by human activity </w:t>
      </w:r>
      <w:r w:rsidRPr="00D23BF1">
        <w:rPr>
          <w:rFonts w:ascii="Times" w:hAnsi="Times"/>
        </w:rPr>
        <w:fldChar w:fldCharType="begin" w:fldLock="1"/>
      </w:r>
      <w:r w:rsidRPr="00D23BF1">
        <w:rPr>
          <w:rFonts w:ascii="Times" w:hAnsi="Times"/>
        </w:rPr>
        <w:instrText>ADDIN CSL_CITATION {"citationItems":[{"id":"ITEM-1","itemData":{"DOI":"10.1111/mec.15088","ISSN":"1365294X","abstract":"The gut microbiota of animal hosts can be influenced by environmental factors, such as unnatural food items that are introduced by humans. Over the past 30 years, human presence has grown exponentially in the Galapagos Islands, which are home to endemic Darwin's finches. Consequently, humans have changed the environment and diet of Darwin's finches, which in turn, could affect their gut microbiota. In this study, we compared the gut microbiota of two species of Darwin's finches, small ground finches (Geospiza fuliginosa) and medium ground finches (Geospiza fortis), across sites with and without human presence, where finches prefer human</w:instrText>
      </w:r>
      <w:r w:rsidRPr="00D23BF1">
        <w:rPr>
          <w:rFonts w:ascii="Cambria Math" w:hAnsi="Cambria Math" w:cs="Cambria Math"/>
        </w:rPr>
        <w:instrText>‐</w:instrText>
      </w:r>
      <w:r w:rsidRPr="00D23BF1">
        <w:rPr>
          <w:rFonts w:ascii="Times" w:hAnsi="Times"/>
        </w:rPr>
        <w:instrText>processed and natural food, respectively. We predicted that: (a) finch microbiota would differ between sites with and without humans due to differences in diet, and (b) gut microbiota of each finch species would be most similar where finches have the highest niche overlap (areas with humans) compared to the lowest niche overlap (areas without humans). We found that gut bacterial community structure differed across sites and host species. Gut bacterial diversity was most distinct between the two species at the site with human presence compared to the site without human presence, which contradicted our predictions. Within host species, medium ground finches had lower bacterial diversity at the site with human presence compared to the site without human presence and bacterial diversity of small ground finches did not differ between sites. Our results show that the gut microbiota of Darwin's finches is affected differently across sites with varying human presence.","author":[{"dropping-particle":"","family":"Knutie","given":"Sarah A.","non-dropping-particle":"","parse-names":false,"suffix":""},{"dropping-particle":"","family":"Chaves","given":"Jaime A.","non-dropping-particle":"","parse-names":false,"suffix":""},{"dropping-particle":"","family":"Gotanda","given":"Kiyoko M.","non-dropping-particle":"","parse-names":false,"suffix":""}],"container-title":"Molecular Ecology","id":"ITEM-1","issue":"9","issued":{"date-parts":[["2019"]]},"page":"2441-2450","title":"Human activity can influence the gut microbiota of Darwin's finches in the Galapagos Islands","type":"article-journal","volume":"28"},"uris":["http://www.mendeley.com/documents/?uuid=8d77c8a6-e5e7-4a62-a1d4-35a3a2f16017"]}],"mendeley":{"formattedCitation":"&lt;sup&gt;54&lt;/sup&gt;","plainTextFormattedCitation":"54","previouslyFormattedCitation":"[54]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54</w:t>
      </w:r>
      <w:r w:rsidRPr="00D23BF1">
        <w:rPr>
          <w:rFonts w:ascii="Times" w:hAnsi="Times"/>
        </w:rPr>
        <w:fldChar w:fldCharType="end"/>
      </w:r>
      <w:r w:rsidRPr="00D23BF1">
        <w:rPr>
          <w:rFonts w:ascii="Times" w:hAnsi="Times"/>
        </w:rPr>
        <w:t>.</w:t>
      </w:r>
      <w:r w:rsidRPr="00D23BF1">
        <w:rPr>
          <w:rFonts w:ascii="Times" w:hAnsi="Times"/>
          <w:i/>
          <w:iCs/>
          <w:color w:val="A8D08D" w:themeColor="accent6" w:themeTint="99"/>
        </w:rPr>
        <w:t xml:space="preserve"> </w:t>
      </w:r>
      <w:r w:rsidRPr="00D23BF1">
        <w:rPr>
          <w:rFonts w:ascii="Times" w:hAnsi="Times"/>
        </w:rPr>
        <w:t xml:space="preserve">Urban birds may have a more diverse diet available to them as a result of human development as with human activity comes food litter, and the insects that follow. Which food sources a bird can exploit can be determined by bill morphology </w:t>
      </w:r>
      <w:r w:rsidRPr="00D23BF1">
        <w:rPr>
          <w:rFonts w:ascii="Times" w:hAnsi="Times"/>
        </w:rPr>
        <w:fldChar w:fldCharType="begin" w:fldLock="1"/>
      </w:r>
      <w:r w:rsidRPr="00D23BF1">
        <w:rPr>
          <w:rFonts w:ascii="Times" w:hAnsi="Times"/>
        </w:rPr>
        <w:instrText>ADDIN CSL_CITATION {"citationItems":[{"id":"ITEM-1","itemData":{"abstract":"I studied the diets of a banded population of Darwin's Medium Ground Finches (Geospizafortis) on Isla Daphne Major, Galapagos, between 1979 and 1981. I was able to show how an individual's diet was constrained to a subset of the foods that the population as a whole exploits, and considered how an individual selected from among the foods available to it. I examined both the evolutionary and short-term constraints on diet in the population. During times of food shortage there are essentially three food types on the island. These are small seeds, derived from several plant species, which are soft and easy for finches to handle, and two large seeds, derived from the cactus Opuntia echios and a semiannual plant Tribulus cistoides. The smallest finches are unable to crack the large seeds, while among those that crack large seeds, there are positive associations of seed handling ability and beak size. Generalization on all three seed types at the population level and some specialization of individuals on large or small seeds help to explain the high level of morphological variability observed in the population. Within the large-seed category some individuals specialized on Opuntia or Tribulus seeds, whereas others consumed both. Energy rewards from foraging on either seed appeared to be similar. Individuals did not behave in a manner suggesting that they were attempting to maximize energy returns when foraging on these seeds. Specialization on Opuntia or Tribulus is attributable to the patchy distribution of seeds on the island, and to a host of constraints on foraging, including microclimate and territorial behavior. If feeding abilities on each of the three seed types are considered as separate characters, then the joint evolution of the three feeding behaviors is tightly constrained through beak morphology, known to be highly heritable. This in turn implies high genetic correlations between the three feeding behaviors.","author":[{"dropping-particle":"","family":"Price","given":"Trevor","non-dropping-particle":"","parse-names":false,"suffix":""}],"id":"ITEM-1","issue":"4","issued":{"date-parts":[["1987"]]},"page":"1015-1028","title":"Diet Variation in a Population of Darwin ' s Finches","type":"article-journal","volume":"68"},"uris":["http://www.mendeley.com/documents/?uuid=8af70a75-325c-4d9b-9836-6565fce23f43"]}],"mendeley":{"formattedCitation":"&lt;sup&gt;56&lt;/sup&gt;","manualFormatting":"(Price, 1987)","plainTextFormattedCitation":"56","previouslyFormattedCitation":"[56]"},"properties":{"noteIndex":0},"schema":"https://github.com/citation-style-language/schema/raw/master/csl-citation.json"}</w:instrText>
      </w:r>
      <w:r w:rsidRPr="00D23BF1">
        <w:rPr>
          <w:rFonts w:ascii="Times" w:hAnsi="Times"/>
        </w:rPr>
        <w:fldChar w:fldCharType="separate"/>
      </w:r>
      <w:r w:rsidRPr="00D23BF1">
        <w:rPr>
          <w:rFonts w:ascii="Times" w:hAnsi="Times"/>
          <w:noProof/>
        </w:rPr>
        <w:t>(Price, 1987)</w:t>
      </w:r>
      <w:r w:rsidRPr="00D23BF1">
        <w:rPr>
          <w:rFonts w:ascii="Times" w:hAnsi="Times"/>
        </w:rPr>
        <w:fldChar w:fldCharType="end"/>
      </w:r>
      <w:r w:rsidRPr="00D23BF1">
        <w:rPr>
          <w:rFonts w:ascii="Times" w:hAnsi="Times"/>
        </w:rPr>
        <w:t>, and diet is likely a good predictor of gut microbiome. For example, in both lizards (</w:t>
      </w:r>
      <w:r w:rsidRPr="00D23BF1">
        <w:rPr>
          <w:rFonts w:ascii="Times" w:hAnsi="Times"/>
          <w:i/>
          <w:iCs/>
        </w:rPr>
        <w:t xml:space="preserve">Liolaemus </w:t>
      </w:r>
      <w:r w:rsidRPr="00D23BF1">
        <w:rPr>
          <w:rFonts w:ascii="Times" w:hAnsi="Times"/>
        </w:rPr>
        <w:t>sp</w:t>
      </w:r>
      <w:r w:rsidRPr="00D23BF1">
        <w:rPr>
          <w:rFonts w:ascii="Times" w:hAnsi="Times"/>
          <w:i/>
          <w:iCs/>
        </w:rPr>
        <w:t>.</w:t>
      </w:r>
      <w:r w:rsidRPr="00D23BF1">
        <w:rPr>
          <w:rFonts w:ascii="Times" w:hAnsi="Times"/>
        </w:rPr>
        <w:t>) and desert woodrats (</w:t>
      </w:r>
      <w:r w:rsidRPr="00D23BF1">
        <w:rPr>
          <w:rFonts w:ascii="Times" w:hAnsi="Times"/>
          <w:i/>
          <w:iCs/>
        </w:rPr>
        <w:t>Neotoma lepida</w:t>
      </w:r>
      <w:r w:rsidRPr="00D23BF1">
        <w:rPr>
          <w:rFonts w:ascii="Times" w:hAnsi="Times"/>
        </w:rPr>
        <w:t xml:space="preserve">) the gut microbiome has significant overlap with plants and insects comprising their diets </w:t>
      </w:r>
      <w:r w:rsidRPr="00D23BF1">
        <w:rPr>
          <w:rFonts w:ascii="Times" w:hAnsi="Times"/>
        </w:rPr>
        <w:fldChar w:fldCharType="begin" w:fldLock="1"/>
      </w:r>
      <w:r w:rsidRPr="00D23BF1">
        <w:rPr>
          <w:rFonts w:ascii="Times" w:hAnsi="Times"/>
        </w:rPr>
        <w:instrText>ADDIN CSL_CITATION {"citationItems":[{"id":"ITEM-1","itemData":{"DOI":"10.1111/mec.13921","ISSN":"1365294X","abstract":"Animals maintain complex associations with a diverse microbiota living in their guts. Our understanding of the ecology of these associations is extremely limited in reptiles. Here, we report an in-depth study into the microbial ecology of gut communities in three syntopic and viviparous lizard species (two omnivores: Liolaemus parvus and Liolaemus ruibali and an herbivore: Phymaturus williamsi). Using 16S rRNA gene sequencing to inventory various bacterial communities, we elucidate four major findings: (i) closely related lizard species harbour distinct gut bacterial microbiota that remain distinguishable in captivity; a considerable portion of gut bacterial diversity (39.1%) in nature overlap with that found on plant material, (ii) captivity changes bacterial community composition, although host-specific communities are retained, (iii) faecal samples are largely representative of the hindgut bacterial community and thus represent acceptable sources for nondestructive sampling, and (iv) lizards born in captivity and separated from their mothers within 24 h shared 34.3% of their gut bacterial diversity with their mothers, suggestive of maternal or environmental transmission. Each of these findings represents the first time such a topic has been investigated in lizard hosts. Taken together, our findings provide a foundation for comparative analyses of the faecal and gastrointestinal microbiota of reptile hosts.","author":[{"dropping-particle":"","family":"Kohl","given":"Kevin D.","non-dropping-particle":"","parse-names":false,"suffix":""},{"dropping-particle":"","family":"Brun","given":"Antonio","non-dropping-particle":"","parse-names":false,"suffix":""},{"dropping-particle":"","family":"Magallanes","given":"Melisa","non-dropping-particle":"","parse-names":false,"suffix":""},{"dropping-particle":"","family":"Brinkerhoff","given":"Joshua","non-dropping-particle":"","parse-names":false,"suffix":""},{"dropping-particle":"","family":"Laspiur","given":"Alejandro","non-dropping-particle":"","parse-names":false,"suffix":""},{"dropping-particle":"","family":"Acosta","given":"Juan Carlos","non-dropping-particle":"","parse-names":false,"suffix":""},{"dropping-particle":"","family":"Caviedes-Vidal","given":"Enrique","non-dropping-particle":"","parse-names":false,"suffix":""},{"dropping-particle":"","family":"Bordenstein","given":"Seth R.","non-dropping-particle":"","parse-names":false,"suffix":""}],"container-title":"Molecular Ecology","id":"ITEM-1","issue":"4","issued":{"date-parts":[["2017"]]},"page":"1175-1189","title":"Gut microbial ecology of lizards: insights into diversity in the wild, effects of captivity, variation across gut regions and transmission","type":"article-journal","volume":"26"},"uris":["http://www.mendeley.com/documents/?uuid=400f9310-495b-47ae-8cbd-653934328142"]},{"id":"ITEM-2","itemData":{"DOI":"10.1016/j.taap.2013.12.005","ISSN":"0041008X","abstract":"Mammalian detoxification processes have been the focus of intense research, but little is known about how wild herbivores process plant secondary compounds, many of which have medicinal value or are drugs. cDNA sequences that code for three enzymes of the cytochrome P450 (CYP) 2B subfamily, here termed 2B35, 2B36, and 2B37 have been recently identified from a wild rodent, the desert woodrat (Malenke et al., 2012). Two variant clones of each enzyme were engineered to increase protein solubility and to facilitate purification, as reported for CYP2B enzymes from multiple species. When expressed in Escherichia coli each of the woodrat proteins gave the characteristic maximum at 450. nm in a reduced carbon monoxide difference spectrum but generally expressed at lower levels than rat CYP2B1. Two enzymes, 2B36 and 2B37, showed dealkylation activity with the model substrates 7-ethoxy-4-(trifluoromethyl)coumarin and 7-benzyloxyresorufin, whereas 2B35 was inactive. Binding of the monoterpene (+)-α-pinene produced a Type I shift in the absorbance spectrum of each enzyme. Mutation of 2B37 at residues 114, 262, or 480, key residues governing ligand interactions with other CYP2B enzymes, did not significantly change expression levels or produce the expected functional changes. In summary, two catalytic and one ligand-binding assay are sufficient to distinguish among CYP2B35, 2B36, and 2B37. Differences in functional profiles between 2B36 and 2B37 are partially explained by changes in substrate recognition site residue 114, but not 480. The results advance our understanding of the mechanisms of detoxification in wild mammalian herbivores and highlight the complexity of this system. © 2013 Elsevier Inc.","author":[{"dropping-particle":"","family":"Wilderman","given":"P. Ross","non-dropping-particle":"","parse-names":false,"suffix":""},{"dropping-particle":"","family":"Jang","given":"Hyun Hee","non-dropping-particle":"","parse-names":false,"suffix":""},{"dropping-particle":"","family":"Malenke","given":"Jael R.","non-dropping-particle":"","parse-names":false,"suffix":""},{"dropping-particle":"","family":"Salib","given":"Mariam","non-dropping-particle":"","parse-names":false,"suffix":""},{"dropping-particle":"","family":"Angermeier","given":"Elisabeth","non-dropping-particle":"","parse-names":false,"suffix":""},{"dropping-particle":"","family":"Lamime","given":"Sonia","non-dropping-particle":"","parse-names":false,"suffix":""},{"dropping-particle":"","family":"Dearing","given":"M. Denise","non-dropping-particle":"","parse-names":false,"suffix":""},{"dropping-particle":"","family":"Halpert","given":"James R.","non-dropping-particle":"","parse-names":false,"suffix":""}],"container-title":"Toxicology and Applied Pharmacology","id":"ITEM-2","issue":"3","issued":{"date-parts":[["2014"]]},"page":"393-401","title":"Functional characterization of cytochromes P450 2B from the desert woodrat Neotoma lepida","type":"article-journal","volume":"274"},"uris":["http://www.mendeley.com/documents/?uuid=9a6aa4cd-e343-4a12-bf11-549a3d52f2fd"]}],"mendeley":{"formattedCitation":"&lt;sup&gt;57,58&lt;/sup&gt;","plainTextFormattedCitation":"57,58","previouslyFormattedCitation":"[57, 58]"},"properties":{"noteIndex":0},"schema":"https://github.com/citation-style-language/schema/raw/master/csl-citation.json"}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57,58</w:t>
      </w:r>
      <w:r w:rsidRPr="00D23BF1">
        <w:rPr>
          <w:rFonts w:ascii="Times" w:hAnsi="Times"/>
        </w:rPr>
        <w:fldChar w:fldCharType="end"/>
      </w:r>
      <w:r w:rsidRPr="00D23BF1">
        <w:rPr>
          <w:rFonts w:ascii="Times" w:hAnsi="Times"/>
        </w:rPr>
        <w:t>. Altogether, this may explain the link between urban microbiomes and urban host morphology. Another possible explanation is that a more diverse diet affects the microbiome as we see here, which then affects developmental growth, leading to changes in bill morphology. While our study doesn’t provide data on how specific bacteria affect bird development, this would be a ripe direction for future research. In contrast, alpha diversity was best predicted by environmental traits like percent of territory covered by grass or trees for rural males (Fig. 11). A number of other studies in non-urbanized habitats – including in fish, birds and salamanders – have also found evidence for environmental factors explaining alpha diversity in gut microbial communities. Experimental work in fish, such as carp (</w:t>
      </w:r>
      <w:r w:rsidRPr="00D23BF1">
        <w:rPr>
          <w:rFonts w:ascii="Times" w:hAnsi="Times"/>
          <w:i/>
          <w:iCs/>
        </w:rPr>
        <w:t xml:space="preserve">Hypophthalamichthys </w:t>
      </w:r>
      <w:r w:rsidRPr="00D23BF1">
        <w:rPr>
          <w:rFonts w:ascii="Times" w:hAnsi="Times"/>
        </w:rPr>
        <w:t>sp</w:t>
      </w:r>
      <w:r w:rsidRPr="00D23BF1">
        <w:rPr>
          <w:rFonts w:ascii="Times" w:hAnsi="Times"/>
          <w:i/>
          <w:iCs/>
        </w:rPr>
        <w:t>.</w:t>
      </w:r>
      <w:r w:rsidRPr="00D23BF1">
        <w:rPr>
          <w:rFonts w:ascii="Times" w:hAnsi="Times"/>
        </w:rPr>
        <w:t xml:space="preserve">), has demonstrated that the gut microbiome is often sourced from the environment </w:t>
      </w:r>
      <w:r w:rsidRPr="00D23BF1">
        <w:rPr>
          <w:rFonts w:ascii="Times" w:hAnsi="Times"/>
        </w:rPr>
        <w:fldChar w:fldCharType="begin" w:fldLock="1"/>
      </w:r>
      <w:r w:rsidRPr="00D23BF1">
        <w:rPr>
          <w:rFonts w:ascii="Times" w:hAnsi="Times"/>
        </w:rPr>
        <w:instrText>ADDIN CSL_CITATION {"citationItems":[{"id":"ITEM-1","itemData":{"DOI":"10.1016/j.aquaculture.2016.07.017","ISSN":"00448486","abstract":"Gut microbes are key players in host immune system priming, protection and development, as well as providing nutrients to the host that would be otherwise unavailable. Due to this importance, studies investigating the link between host and microbe are being initiated in farmed fish. The establishment, maintenance and subsequent changes of the intestinal microbiota are central to define fish physiology and nutrition in the future. In fish, unlike mammals, acquiring intestinal microbes is believed to occur around the time of first feeding mainly from the water surrounding them and their microbial composition over time is shaped therefore by their habitat. Here we compare the distal intestine microbiota of Atlantic salmon parr reared in a recirculating laboratory aquarium with that of age matched parr maintained in cage culture in an open freshwater loch environment of a commercial fish farm to establish the microbial profiles in the gut at the freshwater stage and investigate if there is a stable subset of bacteria present regardless of habitat type. We used deep sequencing across two variable regions of the 16S rRNA gene, with a mean read depth of 180,144 ± 12,096 raw sequences per sample. All individual fish used in this study had a minimum of 30,000 quality controlled reads, corresponding to an average of 342 ± 19 Operational Taxonomic Units (OTUs) per sample, which predominantly mapped to the phyla Firmicutes, Proteobacteria, and Tenericutes. The results indicate that species richness is comparable between both treatment groups, however, significant differences were found in the compositions of the gut microbiota between the rearing groups. Furthermore, a core microbiota of 19 OTUs was identified, shared by all samples regardless of treatment group, mainly consisting of members of the phyla Proteobacteria, Bacteroidetes and Firmicutes. Core microbiotas of the individual rearing groups were determined (aquarium fish: 19 + 4 (total 23) OTUs, loch fish: 19 + 13 (total 32) OTUs), indicating that microbe acquisition or loss is occurring differently in the two habitats, but also that selective forces are acting within the host, offering niches to specific bacterial taxa. The new information gathered in this study by the Illumina MiSeq approach will be useful to understand and define the gut microbiota of healthy Atlantic salmon in freshwater and expand on previous studies using DGGE, TGGE and T-RFPL. Monitoring deviations from these profiles, especially the…","author":[{"dropping-particle":"","family":"Dehler","given":"Carola E","non-dropping-particle":"","parse-names":false,"suffix":""},{"dropping-particle":"","family":"Secombes","given":"Christopher J","non-dropping-particle":"","parse-names":false,"suffix":""},{"dropping-particle":"","family":"Martin","given":"Samuel A.M.","non-dropping-particle":"","parse-names":false,"suffix":""}],"container-title":"Aquaculture","id":"ITEM-1","issued":{"date-parts":[["2017"]]},"page":"149-157","title":"Environmental and physiological factors shape the gut microbiota of Atlantic salmon parr (Salmo salar L.)","type":"article-journal","volume":"467"},"uris":["http://www.mendeley.com/documents/?uuid=a6f68ef5-4a6c-374c-9d94-266d5fffe444"]}],"mendeley":{"formattedCitation":"&lt;sup&gt;59&lt;/sup&gt;","plainTextFormattedCitation":"59","previouslyFormattedCitation":"[59]"},"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59</w:t>
      </w:r>
      <w:r w:rsidRPr="00D23BF1">
        <w:rPr>
          <w:rFonts w:ascii="Times" w:hAnsi="Times"/>
        </w:rPr>
        <w:fldChar w:fldCharType="end"/>
      </w:r>
      <w:r w:rsidRPr="00D23BF1">
        <w:rPr>
          <w:rFonts w:ascii="Times" w:hAnsi="Times"/>
        </w:rPr>
        <w:t>. Nest environment has been shown to be more important for cloacal bacterial community assemblage than genetic relationships in great tits (</w:t>
      </w:r>
      <w:r w:rsidRPr="00D23BF1">
        <w:rPr>
          <w:rFonts w:ascii="Times" w:hAnsi="Times"/>
          <w:i/>
          <w:iCs/>
        </w:rPr>
        <w:t>Parus major</w:t>
      </w:r>
      <w:r w:rsidRPr="00D23BF1">
        <w:rPr>
          <w:rFonts w:ascii="Times" w:hAnsi="Times"/>
        </w:rPr>
        <w:t>) and in blue tits (</w:t>
      </w:r>
      <w:r w:rsidRPr="00D23BF1">
        <w:rPr>
          <w:rFonts w:ascii="Times" w:hAnsi="Times"/>
          <w:i/>
          <w:iCs/>
        </w:rPr>
        <w:t>Parus caeruleus</w:t>
      </w:r>
      <w:r w:rsidRPr="00D23BF1">
        <w:rPr>
          <w:rFonts w:ascii="Times" w:hAnsi="Times"/>
        </w:rPr>
        <w:t>), providing evidence that a bird’s environment plays a large role in shaping their bacterial communities. A habitat signature was also found in fire salamanders (</w:t>
      </w:r>
      <w:r w:rsidRPr="00D23BF1">
        <w:rPr>
          <w:rFonts w:ascii="Times" w:hAnsi="Times"/>
          <w:i/>
          <w:iCs/>
        </w:rPr>
        <w:t>Salamandra salamandra</w:t>
      </w:r>
      <w:r w:rsidRPr="00D23BF1">
        <w:rPr>
          <w:rFonts w:ascii="Times" w:hAnsi="Times"/>
        </w:rPr>
        <w:t xml:space="preserve">), such that a change in environment induced a change in gut bacteria (Bletz 2016). Availability of certain food sources may be accurately reflected in landscape cover measures in rural areas, where the ground cover types occur naturally. However, in urban areas much of the landscape is artificially comprised, which may reduce the association between the gut microbiome and the host's environment. Thus, if landscape cover more closely maps onto diet for rural birds than urban ones, this could explain why landscape predicts the gut microbiome only for rural birds. Overall, our sampling of multiple sites within both urban and rural habitats allowed us to further elucidate the potential associations between landscape, host morphology and gut microbial alpha diversity. However, our findings also highlight the need to further investigate the link between urbanization, landscape cover and diet.  </w:t>
      </w:r>
    </w:p>
    <w:p w14:paraId="1DD0C736" w14:textId="77777777" w:rsidR="00041ADB" w:rsidRPr="00D23BF1" w:rsidRDefault="00041ADB" w:rsidP="00F20BE1">
      <w:pPr>
        <w:rPr>
          <w:rFonts w:ascii="Times" w:hAnsi="Times"/>
          <w:color w:val="F4B083" w:themeColor="accent2" w:themeTint="99"/>
        </w:rPr>
      </w:pPr>
      <w:r w:rsidRPr="00D23BF1">
        <w:rPr>
          <w:rFonts w:ascii="Times" w:hAnsi="Times"/>
        </w:rPr>
        <w:lastRenderedPageBreak/>
        <w:t xml:space="preserve">Gut bacterial community beta diversity was significantly correlated with a morphological feature (bill width) and a physiological one (body condition), although these features only explained a small portion of the variation in beta diversity between urban and rural hosts (Table 5). The other few studies of songbirds have not found any association between host morphology and beta diversity. For example, </w:t>
      </w:r>
      <w:r w:rsidRPr="00D23BF1">
        <w:rPr>
          <w:rFonts w:ascii="Times" w:hAnsi="Times"/>
          <w:color w:val="000000" w:themeColor="text1"/>
        </w:rPr>
        <w:t>barn swallow (</w:t>
      </w:r>
      <w:r w:rsidRPr="00D23BF1">
        <w:rPr>
          <w:rFonts w:ascii="Times" w:hAnsi="Times"/>
          <w:i/>
          <w:iCs/>
          <w:color w:val="000000" w:themeColor="text1"/>
        </w:rPr>
        <w:t>Hirundo rustica</w:t>
      </w:r>
      <w:r w:rsidRPr="00D23BF1">
        <w:rPr>
          <w:rFonts w:ascii="Times" w:hAnsi="Times"/>
          <w:color w:val="000000" w:themeColor="text1"/>
        </w:rPr>
        <w:t xml:space="preserve">) morphology was not correlated with beta diversity </w:t>
      </w:r>
      <w:r w:rsidRPr="00D23BF1">
        <w:rPr>
          <w:rFonts w:ascii="Times" w:hAnsi="Times"/>
          <w:color w:val="000000" w:themeColor="text1"/>
        </w:rPr>
        <w:fldChar w:fldCharType="begin" w:fldLock="1"/>
      </w:r>
      <w:r w:rsidRPr="00D23BF1">
        <w:rPr>
          <w:rFonts w:ascii="Times" w:hAnsi="Times"/>
          <w:color w:val="000000" w:themeColor="text1"/>
        </w:rPr>
        <w:instrText>ADDIN CSL_CITATION {"citationItems":[{"id":"ITEM-1","itemData":{"DOI":"10.1093/femsec/fiz061","ISSN":"15746941","abstract":"Microbiomes can be considered as 'second genomes' for the host, and can deeply affect its physiology, behaviour and fitness. We investigated the cloacal microbiomes (CMs) of adult and nestling barn swallows (Hirundo rustica), a small insectivorous migratory passerine bird, in order to assess whether CM structure was related to major ecological traits of individuals. Illumina sequencing of the V5-V6 hypervariable regions of the bacterial 16S rRNA gene showed that barn swallow CMs were dominated by Proteobacteria, Firmicutes, Actinobacteria, Tenericutes and Bacteroidetes. Nestling CMs were more similar to one another than adult ones, but showed higher alpha diversity. Sibling nestlings had more similar CMs than non-sibling ones. CMs of adult males also differed from those of adult females, but pair members had more similar CMs than expected by chance. In contrast, CMs did not differ between male and female nestlings. Finally, in adults, CMs strongly different from the 'average' CM were associated to lower survival prospects of the host. The CMs of a bird species in the wild are therefore related to important traits of individuals, such as survival, suggesting that microbiomes should be included among the traits examined in ecological studies.","author":[{"dropping-particle":"","family":"Ambrosini","given":"Roberto","non-dropping-particle":"","parse-names":false,"suffix":""},{"dropping-particle":"","family":"Corti","given":"Margherita","non-dropping-particle":"","parse-names":false,"suffix":""},{"dropping-particle":"","family":"Franzetti","given":"Andrea","non-dropping-particle":"","parse-names":false,"suffix":""},{"dropping-particle":"","family":"Caprioli","given":"Manuela","non-dropping-particle":"","parse-names":false,"suffix":""},{"dropping-particle":"","family":"Rubolini","given":"Diego","non-dropping-particle":"","parse-names":false,"suffix":""},{"dropping-particle":"","family":"Motta","given":"Veronica Maria","non-dropping-particle":"","parse-names":false,"suffix":""},{"dropping-particle":"","family":"Costanzo","given":"Alessandra","non-dropping-particle":"","parse-names":false,"suffix":""},{"dropping-particle":"","family":"Saino","given":"Nicola","non-dropping-particle":"","parse-names":false,"suffix":""},{"dropping-particle":"","family":"Gandolfi","given":"Isabella","non-dropping-particle":"","parse-names":false,"suffix":""}],"container-title":"FEMS Microbiology Ecology","id":"ITEM-1","issue":"6","issued":{"date-parts":[["2019"]]},"page":"1-13","publisher":"Oxford University Press","title":"Cloacal microbiomes and ecology of individual barn swallows","type":"article-journal","volume":"95"},"uris":["http://www.mendeley.com/documents/?uuid=9be96a0e-ec35-3a9f-8632-1001a91975dc"]}],"mendeley":{"formattedCitation":"&lt;sup&gt;60&lt;/sup&gt;","plainTextFormattedCitation":"60","previouslyFormattedCitation":"[60]"},"properties":{"noteIndex":0},"schema":"https://github.com/citation-style-language/schema/raw/master/csl-citation.json"}</w:instrText>
      </w:r>
      <w:r w:rsidRPr="00D23BF1">
        <w:rPr>
          <w:rFonts w:ascii="Times" w:hAnsi="Times"/>
          <w:color w:val="000000" w:themeColor="text1"/>
        </w:rPr>
        <w:fldChar w:fldCharType="separate"/>
      </w:r>
      <w:r w:rsidRPr="00D23BF1">
        <w:rPr>
          <w:rFonts w:ascii="Times" w:hAnsi="Times"/>
          <w:noProof/>
          <w:color w:val="000000" w:themeColor="text1"/>
          <w:vertAlign w:val="superscript"/>
        </w:rPr>
        <w:t>60</w:t>
      </w:r>
      <w:r w:rsidRPr="00D23BF1">
        <w:rPr>
          <w:rFonts w:ascii="Times" w:hAnsi="Times"/>
          <w:color w:val="000000" w:themeColor="text1"/>
        </w:rPr>
        <w:fldChar w:fldCharType="end"/>
      </w:r>
      <w:r w:rsidRPr="00D23BF1">
        <w:rPr>
          <w:rFonts w:ascii="Times" w:hAnsi="Times"/>
          <w:color w:val="000000" w:themeColor="text1"/>
        </w:rPr>
        <w:t xml:space="preserve"> and in Darwin’s finches (</w:t>
      </w:r>
      <w:r w:rsidRPr="00D23BF1">
        <w:rPr>
          <w:rFonts w:ascii="Times" w:hAnsi="Times"/>
          <w:i/>
          <w:iCs/>
          <w:color w:val="000000" w:themeColor="text1"/>
        </w:rPr>
        <w:t xml:space="preserve">Geospiza fuliginosa </w:t>
      </w:r>
      <w:r w:rsidRPr="00D23BF1">
        <w:rPr>
          <w:rFonts w:ascii="Times" w:hAnsi="Times"/>
          <w:color w:val="000000" w:themeColor="text1"/>
        </w:rPr>
        <w:t xml:space="preserve">and </w:t>
      </w:r>
      <w:r w:rsidRPr="00D23BF1">
        <w:rPr>
          <w:rFonts w:ascii="Times" w:hAnsi="Times"/>
          <w:i/>
          <w:iCs/>
          <w:color w:val="000000" w:themeColor="text1"/>
        </w:rPr>
        <w:t>fortis</w:t>
      </w:r>
      <w:r w:rsidRPr="00D23BF1">
        <w:rPr>
          <w:rFonts w:ascii="Times" w:hAnsi="Times"/>
          <w:color w:val="000000" w:themeColor="text1"/>
        </w:rPr>
        <w:t xml:space="preserve">), bacterial beta diversity was explained by host species but not bill morphology or body mass </w:t>
      </w:r>
      <w:r w:rsidRPr="00D23BF1">
        <w:rPr>
          <w:rFonts w:ascii="Times" w:hAnsi="Times"/>
          <w:color w:val="000000" w:themeColor="text1"/>
        </w:rPr>
        <w:fldChar w:fldCharType="begin" w:fldLock="1"/>
      </w:r>
      <w:r w:rsidRPr="00D23BF1">
        <w:rPr>
          <w:rFonts w:ascii="Times" w:hAnsi="Times"/>
          <w:color w:val="000000" w:themeColor="text1"/>
        </w:rPr>
        <w:instrText>ADDIN CSL_CITATION {"citationItems":[{"id":"ITEM-1","itemData":{"DOI":"10.1111/mec.15088","ISSN":"1365294X","abstract":"The gut microbiota of animal hosts can be influenced by environmental factors, such as unnatural food items that are introduced by humans. Over the past 30 years, human presence has grown exponentially in the Galapagos Islands, which are home to endemic Darwin's finches. Consequently, humans have changed the environment and diet of Darwin's finches, which in turn, could affect their gut microbiota. In this study, we compared the gut microbiota of two species of Darwin's finches, small ground finches (Geospiza fuliginosa) and medium ground finches (Geospiza fortis), across sites with and without human presence, where finches prefer human</w:instrText>
      </w:r>
      <w:r w:rsidRPr="00D23BF1">
        <w:rPr>
          <w:rFonts w:ascii="Cambria Math" w:hAnsi="Cambria Math" w:cs="Cambria Math"/>
          <w:color w:val="000000" w:themeColor="text1"/>
        </w:rPr>
        <w:instrText>‐</w:instrText>
      </w:r>
      <w:r w:rsidRPr="00D23BF1">
        <w:rPr>
          <w:rFonts w:ascii="Times" w:hAnsi="Times"/>
          <w:color w:val="000000" w:themeColor="text1"/>
        </w:rPr>
        <w:instrText>processed and natural food, respectively. We predicted that: (a) finch microbiota would differ between sites with and without humans due to differences in diet, and (b) gut microbiota of each finch species would be most similar where finches have the highest niche overlap (areas with humans) compared to the lowest niche overlap (areas without humans). We found that gut bacterial community structure differed across sites and host species. Gut bacterial diversity was most distinct between the two species at the site with human presence compared to the site without human presence, which contradicted our predictions. Within host species, medium ground finches had lower bacterial diversity at the site with human presence compared to the site without human presence and bacterial diversity of small ground finches did not differ between sites. Our results show that the gut microbiota of Darwin's finches is affected differently across sites with varying human presence.","author":[{"dropping-particle":"","family":"Knutie","given":"Sarah A.","non-dropping-particle":"","parse-names":false,"suffix":""},{"dropping-particle":"","family":"Chaves","given":"Jaime A.","non-dropping-particle":"","parse-names":false,"suffix":""},{"dropping-particle":"","family":"Gotanda","given":"Kiyoko M.","non-dropping-particle":"","parse-names":false,"suffix":""}],"container-title":"Molecular Ecology","id":"ITEM-1","issue":"9","issued":{"date-parts":[["2019"]]},"page":"2441-2450","title":"Human activity can influence the gut microbiota of Darwin's finches in the Galapagos Islands","type":"article-journal","volume":"28"},"uris":["http://www.mendeley.com/documents/?uuid=8d77c8a6-e5e7-4a62-a1d4-35a3a2f16017"]}],"mendeley":{"formattedCitation":"&lt;sup&gt;54&lt;/sup&gt;","plainTextFormattedCitation":"54","previouslyFormattedCitation":"[54]"},"properties":{"noteIndex":0},"schema":"https://github.com/citation-style-language/schema/raw/master/csl-citation.json"}</w:instrText>
      </w:r>
      <w:r w:rsidRPr="00D23BF1">
        <w:rPr>
          <w:rFonts w:ascii="Times" w:hAnsi="Times"/>
          <w:color w:val="000000" w:themeColor="text1"/>
        </w:rPr>
        <w:fldChar w:fldCharType="separate"/>
      </w:r>
      <w:r w:rsidRPr="00D23BF1">
        <w:rPr>
          <w:rFonts w:ascii="Times" w:hAnsi="Times"/>
          <w:noProof/>
          <w:color w:val="000000" w:themeColor="text1"/>
          <w:vertAlign w:val="superscript"/>
        </w:rPr>
        <w:t>54</w:t>
      </w:r>
      <w:r w:rsidRPr="00D23BF1">
        <w:rPr>
          <w:rFonts w:ascii="Times" w:hAnsi="Times"/>
          <w:color w:val="000000" w:themeColor="text1"/>
        </w:rPr>
        <w:fldChar w:fldCharType="end"/>
      </w:r>
      <w:r w:rsidRPr="00D23BF1">
        <w:rPr>
          <w:rFonts w:ascii="Times" w:hAnsi="Times"/>
          <w:color w:val="000000" w:themeColor="text1"/>
        </w:rPr>
        <w:t xml:space="preserve">. These results tell us that bacterial beta diversity between songbirds in general may not be sensitive to differences in host morphology, although our results offer an intriguing suggestion that such associations may be detectable with enough sampling.  </w:t>
      </w:r>
      <w:r w:rsidRPr="00D23BF1">
        <w:rPr>
          <w:rFonts w:ascii="Times" w:hAnsi="Times"/>
        </w:rPr>
        <w:t xml:space="preserve">Within urban birds alone, measures of condition (body condition and plumage fade) also explained significant albeit small amounts of variation in beta diversity across urban individuals. One reason plumage fade might be important is that urban birds have higher tree coverage (e.g. lower levels of sunlight) on their territories which might explain why urban birds have lower plumage fade. A number of experimental studies suggest condition and gut microbial communities should be associated, and our study of a free-living bird finds some evidence of this predicted association. </w:t>
      </w:r>
    </w:p>
    <w:p w14:paraId="6D7714F7" w14:textId="77777777" w:rsidR="00041ADB" w:rsidRPr="00D23BF1" w:rsidRDefault="00041ADB" w:rsidP="00F20BE1">
      <w:pPr>
        <w:rPr>
          <w:rFonts w:ascii="Times" w:hAnsi="Times"/>
          <w:i/>
        </w:rPr>
      </w:pPr>
    </w:p>
    <w:p w14:paraId="0C6C4A55" w14:textId="77777777" w:rsidR="00041ADB" w:rsidRPr="00D23BF1" w:rsidRDefault="00041ADB" w:rsidP="00F20BE1">
      <w:pPr>
        <w:rPr>
          <w:rFonts w:ascii="Times" w:hAnsi="Times"/>
          <w:b/>
          <w:bCs/>
        </w:rPr>
      </w:pPr>
      <w:r w:rsidRPr="00D23BF1">
        <w:rPr>
          <w:rFonts w:ascii="Times" w:hAnsi="Times"/>
          <w:b/>
          <w:bCs/>
        </w:rPr>
        <w:t>Conclusions</w:t>
      </w:r>
    </w:p>
    <w:p w14:paraId="316C696F" w14:textId="77777777" w:rsidR="00041ADB" w:rsidRPr="00D23BF1" w:rsidRDefault="00041ADB" w:rsidP="00F20BE1">
      <w:pPr>
        <w:rPr>
          <w:rFonts w:ascii="Times" w:hAnsi="Times"/>
        </w:rPr>
      </w:pPr>
      <w:r w:rsidRPr="00D23BF1">
        <w:rPr>
          <w:rFonts w:ascii="Times" w:hAnsi="Times"/>
        </w:rPr>
        <w:t xml:space="preserve">Together, our results present a detailed picture of the potential drivers of avian gut biodiversity in urbanized landscapes. Our approach of sampling multiple transects in urban and rural locations across an environmental gradient allowed us to tease apart the relative contribution of environmental factors and morphological traits in explain alpha and beta diversity of the gut microbiome. Although a growing number of studies are beginning to examine urban wildlife gut microbiomes, few have examined as many potential contributing variables limiting our understanding of what is driving gut microbial variation across urbanized landscapes. Perhaps most notable is our work found that different factors are important in urban versus rural landscapes, suggesting that the selective forces shaping avian gut microbiomes are different in cities than in the rural landscapes in which these species evolved. More studies similar to this are needed to understand the degree to which these patterns are consistent or not across species as well as experimental work to begin to test causal relationships.  </w:t>
      </w:r>
    </w:p>
    <w:p w14:paraId="271596E6" w14:textId="77777777" w:rsidR="00041ADB" w:rsidRPr="00D23BF1" w:rsidRDefault="00041ADB" w:rsidP="00F20BE1">
      <w:pPr>
        <w:rPr>
          <w:rFonts w:ascii="Times" w:hAnsi="Times"/>
        </w:rPr>
      </w:pPr>
    </w:p>
    <w:p w14:paraId="024ACBA7" w14:textId="77777777" w:rsidR="00041ADB" w:rsidRPr="00D23BF1" w:rsidRDefault="00041ADB" w:rsidP="00F20BE1">
      <w:pPr>
        <w:rPr>
          <w:rFonts w:ascii="Times" w:hAnsi="Times"/>
        </w:rPr>
      </w:pPr>
    </w:p>
    <w:p w14:paraId="0A736DD5" w14:textId="77777777" w:rsidR="00041ADB" w:rsidRPr="00D23BF1" w:rsidRDefault="00041ADB" w:rsidP="00F20BE1">
      <w:pPr>
        <w:rPr>
          <w:rFonts w:ascii="Times" w:hAnsi="Times"/>
          <w:b/>
          <w:bCs/>
        </w:rPr>
      </w:pPr>
      <w:bookmarkStart w:id="106" w:name="_Toc69393572"/>
      <w:bookmarkStart w:id="107" w:name="_Toc69396345"/>
      <w:bookmarkStart w:id="108" w:name="_Toc69396380"/>
      <w:bookmarkStart w:id="109" w:name="_Toc69396569"/>
      <w:r w:rsidRPr="00D23BF1">
        <w:rPr>
          <w:rFonts w:ascii="Times" w:hAnsi="Times"/>
          <w:b/>
          <w:bCs/>
        </w:rPr>
        <w:t>Acknowledgements</w:t>
      </w:r>
      <w:bookmarkEnd w:id="106"/>
      <w:bookmarkEnd w:id="107"/>
      <w:bookmarkEnd w:id="108"/>
      <w:bookmarkEnd w:id="109"/>
    </w:p>
    <w:p w14:paraId="094945A6" w14:textId="77777777" w:rsidR="00041ADB" w:rsidRPr="00D23BF1" w:rsidRDefault="00041ADB" w:rsidP="00F20BE1">
      <w:pPr>
        <w:rPr>
          <w:rFonts w:ascii="Times" w:hAnsi="Times"/>
        </w:rPr>
      </w:pPr>
      <w:r w:rsidRPr="00D23BF1">
        <w:rPr>
          <w:rFonts w:ascii="Times" w:hAnsi="Times"/>
        </w:rPr>
        <w:t>We would like to thank a number of undergraduates who helped collect data in the field and lab for this project, especially Siyang Hu, Leanne Norden, and Nicole Moody. We thank Dr. James Fordyce for his extensive help with analyses. We also thank the members of the UTK writing workshop group for help with our manuscript, particularly Jonathan Dickey for sharing his data analysis scripts. This study was supported in part by funding from the Ecology and Evolutionary Biology Department at Tulane University, Newcomb Scholars Grant to L. Norden, and a National Science Foundation award to EPD (NSF IOS 1827290).</w:t>
      </w:r>
    </w:p>
    <w:p w14:paraId="5B019D6D" w14:textId="77777777" w:rsidR="00041ADB" w:rsidRPr="00D23BF1" w:rsidRDefault="00041ADB" w:rsidP="00F20BE1">
      <w:pPr>
        <w:rPr>
          <w:rFonts w:ascii="Times" w:hAnsi="Times"/>
          <w:b/>
          <w:color w:val="000000"/>
        </w:rPr>
      </w:pPr>
      <w:bookmarkStart w:id="110" w:name="_Toc69393573"/>
      <w:bookmarkStart w:id="111" w:name="_Toc69396346"/>
      <w:bookmarkStart w:id="112" w:name="_Toc69396381"/>
      <w:bookmarkStart w:id="113" w:name="_Toc69396570"/>
    </w:p>
    <w:p w14:paraId="68014F04" w14:textId="77777777" w:rsidR="00041ADB" w:rsidRPr="00D23BF1" w:rsidRDefault="00041ADB" w:rsidP="00F20BE1">
      <w:pPr>
        <w:rPr>
          <w:rFonts w:ascii="Times" w:hAnsi="Times"/>
          <w:b/>
          <w:color w:val="000000"/>
        </w:rPr>
      </w:pPr>
      <w:r w:rsidRPr="00D23BF1">
        <w:rPr>
          <w:rFonts w:ascii="Times" w:hAnsi="Times"/>
          <w:b/>
          <w:color w:val="000000"/>
        </w:rPr>
        <w:br w:type="page"/>
      </w:r>
    </w:p>
    <w:p w14:paraId="15413F65" w14:textId="77777777" w:rsidR="00041ADB" w:rsidRPr="00D23BF1" w:rsidRDefault="00041ADB" w:rsidP="00F20BE1">
      <w:pPr>
        <w:rPr>
          <w:rFonts w:ascii="Times" w:hAnsi="Times"/>
          <w:b/>
          <w:color w:val="000000"/>
        </w:rPr>
      </w:pPr>
    </w:p>
    <w:p w14:paraId="0329D199" w14:textId="77777777" w:rsidR="00041ADB" w:rsidRPr="00D23BF1" w:rsidRDefault="00041ADB" w:rsidP="00F20BE1">
      <w:pPr>
        <w:pStyle w:val="Heading2"/>
        <w:jc w:val="center"/>
        <w:rPr>
          <w:rFonts w:ascii="Times" w:hAnsi="Times"/>
          <w:b/>
          <w:bCs/>
        </w:rPr>
      </w:pPr>
      <w:bookmarkStart w:id="114" w:name="_Toc69393575"/>
      <w:bookmarkStart w:id="115" w:name="_Toc69396348"/>
      <w:bookmarkStart w:id="116" w:name="_Toc69396383"/>
      <w:bookmarkStart w:id="117" w:name="_Toc69396572"/>
      <w:bookmarkStart w:id="118" w:name="_Toc69972881"/>
      <w:r w:rsidRPr="00D23BF1">
        <w:rPr>
          <w:rFonts w:ascii="Times" w:hAnsi="Times"/>
          <w:b/>
          <w:bCs/>
        </w:rPr>
        <w:t>References</w:t>
      </w:r>
      <w:bookmarkEnd w:id="114"/>
      <w:bookmarkEnd w:id="115"/>
      <w:bookmarkEnd w:id="116"/>
      <w:bookmarkEnd w:id="117"/>
      <w:bookmarkEnd w:id="118"/>
    </w:p>
    <w:p w14:paraId="765A8E21" w14:textId="77777777" w:rsidR="00041ADB" w:rsidRPr="00D23BF1" w:rsidRDefault="00041ADB" w:rsidP="00F20BE1">
      <w:pPr>
        <w:rPr>
          <w:rFonts w:ascii="Times" w:hAnsi="Times"/>
          <w:b/>
        </w:rPr>
      </w:pPr>
    </w:p>
    <w:p w14:paraId="0B0B86F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b/>
        </w:rPr>
        <w:fldChar w:fldCharType="begin" w:fldLock="1"/>
      </w:r>
      <w:r w:rsidRPr="00D23BF1">
        <w:rPr>
          <w:rFonts w:ascii="Times" w:hAnsi="Times"/>
          <w:b/>
        </w:rPr>
        <w:instrText xml:space="preserve">ADDIN Mendeley Bibliography CSL_BIBLIOGRAPHY </w:instrText>
      </w:r>
      <w:r w:rsidRPr="00D23BF1">
        <w:rPr>
          <w:rFonts w:ascii="Times" w:hAnsi="Times"/>
          <w:b/>
        </w:rPr>
        <w:fldChar w:fldCharType="separate"/>
      </w:r>
      <w:r w:rsidRPr="00D23BF1">
        <w:rPr>
          <w:rFonts w:ascii="Times" w:hAnsi="Times" w:cs="Times New Roman"/>
          <w:noProof/>
        </w:rPr>
        <w:t>1.</w:t>
      </w:r>
      <w:r w:rsidRPr="00D23BF1">
        <w:rPr>
          <w:rFonts w:ascii="Times" w:hAnsi="Times" w:cs="Times New Roman"/>
          <w:noProof/>
        </w:rPr>
        <w:tab/>
        <w:t xml:space="preserve">Liu, Z., He, C. &amp; Wu, J. General spatiotemporal patterns of urbanization: An examination of 16 world cities. </w:t>
      </w:r>
      <w:r w:rsidRPr="00D23BF1">
        <w:rPr>
          <w:rFonts w:ascii="Times" w:hAnsi="Times" w:cs="Times New Roman"/>
          <w:i/>
          <w:iCs/>
          <w:noProof/>
        </w:rPr>
        <w:t>Sustain.</w:t>
      </w:r>
      <w:r w:rsidRPr="00D23BF1">
        <w:rPr>
          <w:rFonts w:ascii="Times" w:hAnsi="Times" w:cs="Times New Roman"/>
          <w:noProof/>
        </w:rPr>
        <w:t xml:space="preserve"> </w:t>
      </w:r>
      <w:r w:rsidRPr="00D23BF1">
        <w:rPr>
          <w:rFonts w:ascii="Times" w:hAnsi="Times" w:cs="Times New Roman"/>
          <w:b/>
          <w:bCs/>
          <w:noProof/>
        </w:rPr>
        <w:t>8</w:t>
      </w:r>
      <w:r w:rsidRPr="00D23BF1">
        <w:rPr>
          <w:rFonts w:ascii="Times" w:hAnsi="Times" w:cs="Times New Roman"/>
          <w:noProof/>
        </w:rPr>
        <w:t>, 1–15 (2016).</w:t>
      </w:r>
    </w:p>
    <w:p w14:paraId="5446AA8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w:t>
      </w:r>
      <w:r w:rsidRPr="00D23BF1">
        <w:rPr>
          <w:rFonts w:ascii="Times" w:hAnsi="Times" w:cs="Times New Roman"/>
          <w:noProof/>
        </w:rPr>
        <w:tab/>
        <w:t xml:space="preserve">Blouin, D., Pellerin, S. &amp; Poulin, M. Increase in non-native species richness leads to biotic homogenization in vacant lots of a highly urbanized landscape. </w:t>
      </w:r>
      <w:r w:rsidRPr="00D23BF1">
        <w:rPr>
          <w:rFonts w:ascii="Times" w:hAnsi="Times" w:cs="Times New Roman"/>
          <w:i/>
          <w:iCs/>
          <w:noProof/>
        </w:rPr>
        <w:t>Urban Ecosyst.</w:t>
      </w:r>
      <w:r w:rsidRPr="00D23BF1">
        <w:rPr>
          <w:rFonts w:ascii="Times" w:hAnsi="Times" w:cs="Times New Roman"/>
          <w:noProof/>
        </w:rPr>
        <w:t xml:space="preserve"> </w:t>
      </w:r>
      <w:r w:rsidRPr="00D23BF1">
        <w:rPr>
          <w:rFonts w:ascii="Times" w:hAnsi="Times" w:cs="Times New Roman"/>
          <w:b/>
          <w:bCs/>
          <w:noProof/>
        </w:rPr>
        <w:t>22</w:t>
      </w:r>
      <w:r w:rsidRPr="00D23BF1">
        <w:rPr>
          <w:rFonts w:ascii="Times" w:hAnsi="Times" w:cs="Times New Roman"/>
          <w:noProof/>
        </w:rPr>
        <w:t>, 879–892 (2019).</w:t>
      </w:r>
    </w:p>
    <w:p w14:paraId="3609826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w:t>
      </w:r>
      <w:r w:rsidRPr="00D23BF1">
        <w:rPr>
          <w:rFonts w:ascii="Times" w:hAnsi="Times" w:cs="Times New Roman"/>
          <w:noProof/>
        </w:rPr>
        <w:tab/>
        <w:t xml:space="preserve">Swaddle, J. P. </w:t>
      </w:r>
      <w:r w:rsidRPr="00D23BF1">
        <w:rPr>
          <w:rFonts w:ascii="Times" w:hAnsi="Times" w:cs="Times New Roman"/>
          <w:i/>
          <w:iCs/>
          <w:noProof/>
        </w:rPr>
        <w:t>et al.</w:t>
      </w:r>
      <w:r w:rsidRPr="00D23BF1">
        <w:rPr>
          <w:rFonts w:ascii="Times" w:hAnsi="Times" w:cs="Times New Roman"/>
          <w:noProof/>
        </w:rPr>
        <w:t xml:space="preserve"> A framework to assess evolutionary responses to anthropogenic light and sound. </w:t>
      </w:r>
      <w:r w:rsidRPr="00D23BF1">
        <w:rPr>
          <w:rFonts w:ascii="Times" w:hAnsi="Times" w:cs="Times New Roman"/>
          <w:i/>
          <w:iCs/>
          <w:noProof/>
        </w:rPr>
        <w:t>Trends Ecol. Evol.</w:t>
      </w:r>
      <w:r w:rsidRPr="00D23BF1">
        <w:rPr>
          <w:rFonts w:ascii="Times" w:hAnsi="Times" w:cs="Times New Roman"/>
          <w:noProof/>
        </w:rPr>
        <w:t xml:space="preserve"> </w:t>
      </w:r>
      <w:r w:rsidRPr="00D23BF1">
        <w:rPr>
          <w:rFonts w:ascii="Times" w:hAnsi="Times" w:cs="Times New Roman"/>
          <w:b/>
          <w:bCs/>
          <w:noProof/>
        </w:rPr>
        <w:t>30</w:t>
      </w:r>
      <w:r w:rsidRPr="00D23BF1">
        <w:rPr>
          <w:rFonts w:ascii="Times" w:hAnsi="Times" w:cs="Times New Roman"/>
          <w:noProof/>
        </w:rPr>
        <w:t>, 550–560 (2015).</w:t>
      </w:r>
    </w:p>
    <w:p w14:paraId="25DC25C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w:t>
      </w:r>
      <w:r w:rsidRPr="00D23BF1">
        <w:rPr>
          <w:rFonts w:ascii="Times" w:hAnsi="Times" w:cs="Times New Roman"/>
          <w:noProof/>
        </w:rPr>
        <w:tab/>
        <w:t xml:space="preserve">Seress, G. </w:t>
      </w:r>
      <w:r w:rsidRPr="00D23BF1">
        <w:rPr>
          <w:rFonts w:ascii="Times" w:hAnsi="Times" w:cs="Times New Roman"/>
          <w:i/>
          <w:iCs/>
          <w:noProof/>
        </w:rPr>
        <w:t>et al.</w:t>
      </w:r>
      <w:r w:rsidRPr="00D23BF1">
        <w:rPr>
          <w:rFonts w:ascii="Times" w:hAnsi="Times" w:cs="Times New Roman"/>
          <w:noProof/>
        </w:rPr>
        <w:t xml:space="preserve"> Impact of urbanization on abundance and phenology of caterpillars and consequences for breeding in an insectivorous bird. </w:t>
      </w:r>
      <w:r w:rsidRPr="00D23BF1">
        <w:rPr>
          <w:rFonts w:ascii="Times" w:hAnsi="Times" w:cs="Times New Roman"/>
          <w:i/>
          <w:iCs/>
          <w:noProof/>
        </w:rPr>
        <w:t>Ecol. Appl.</w:t>
      </w:r>
      <w:r w:rsidRPr="00D23BF1">
        <w:rPr>
          <w:rFonts w:ascii="Times" w:hAnsi="Times" w:cs="Times New Roman"/>
          <w:noProof/>
        </w:rPr>
        <w:t xml:space="preserve"> </w:t>
      </w:r>
      <w:r w:rsidRPr="00D23BF1">
        <w:rPr>
          <w:rFonts w:ascii="Times" w:hAnsi="Times" w:cs="Times New Roman"/>
          <w:b/>
          <w:bCs/>
          <w:noProof/>
        </w:rPr>
        <w:t>28</w:t>
      </w:r>
      <w:r w:rsidRPr="00D23BF1">
        <w:rPr>
          <w:rFonts w:ascii="Times" w:hAnsi="Times" w:cs="Times New Roman"/>
          <w:noProof/>
        </w:rPr>
        <w:t>, 1143–1156 (2018).</w:t>
      </w:r>
    </w:p>
    <w:p w14:paraId="09A0EE0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w:t>
      </w:r>
      <w:r w:rsidRPr="00D23BF1">
        <w:rPr>
          <w:rFonts w:ascii="Times" w:hAnsi="Times" w:cs="Times New Roman"/>
          <w:noProof/>
        </w:rPr>
        <w:tab/>
        <w:t xml:space="preserve">Brans, K. I., Stoks, R. &amp; De Meester, L. Urbanization drives genetic differentiation in physiology and structures the evolution of pace-of-life syndromes in the water flea Daphnia magna. </w:t>
      </w:r>
      <w:r w:rsidRPr="00D23BF1">
        <w:rPr>
          <w:rFonts w:ascii="Times" w:hAnsi="Times" w:cs="Times New Roman"/>
          <w:i/>
          <w:iCs/>
          <w:noProof/>
        </w:rPr>
        <w:t>Proc. R. Soc. B Biol. Sci.</w:t>
      </w:r>
      <w:r w:rsidRPr="00D23BF1">
        <w:rPr>
          <w:rFonts w:ascii="Times" w:hAnsi="Times" w:cs="Times New Roman"/>
          <w:noProof/>
        </w:rPr>
        <w:t xml:space="preserve"> </w:t>
      </w:r>
      <w:r w:rsidRPr="00D23BF1">
        <w:rPr>
          <w:rFonts w:ascii="Times" w:hAnsi="Times" w:cs="Times New Roman"/>
          <w:b/>
          <w:bCs/>
          <w:noProof/>
        </w:rPr>
        <w:t>285</w:t>
      </w:r>
      <w:r w:rsidRPr="00D23BF1">
        <w:rPr>
          <w:rFonts w:ascii="Times" w:hAnsi="Times" w:cs="Times New Roman"/>
          <w:noProof/>
        </w:rPr>
        <w:t>, (2018).</w:t>
      </w:r>
    </w:p>
    <w:p w14:paraId="7DD91E2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w:t>
      </w:r>
      <w:r w:rsidRPr="00D23BF1">
        <w:rPr>
          <w:rFonts w:ascii="Times" w:hAnsi="Times" w:cs="Times New Roman"/>
          <w:noProof/>
        </w:rPr>
        <w:tab/>
        <w:t xml:space="preserve">Costantini, D., Greives, T. J., Hau, M. &amp; Partecke, J. Does urban life change blood oxidative status in birds? </w:t>
      </w:r>
      <w:r w:rsidRPr="00D23BF1">
        <w:rPr>
          <w:rFonts w:ascii="Times" w:hAnsi="Times" w:cs="Times New Roman"/>
          <w:i/>
          <w:iCs/>
          <w:noProof/>
        </w:rPr>
        <w:t>J. Exp. Biol.</w:t>
      </w:r>
      <w:r w:rsidRPr="00D23BF1">
        <w:rPr>
          <w:rFonts w:ascii="Times" w:hAnsi="Times" w:cs="Times New Roman"/>
          <w:noProof/>
        </w:rPr>
        <w:t xml:space="preserve"> </w:t>
      </w:r>
      <w:r w:rsidRPr="00D23BF1">
        <w:rPr>
          <w:rFonts w:ascii="Times" w:hAnsi="Times" w:cs="Times New Roman"/>
          <w:b/>
          <w:bCs/>
          <w:noProof/>
        </w:rPr>
        <w:t>217</w:t>
      </w:r>
      <w:r w:rsidRPr="00D23BF1">
        <w:rPr>
          <w:rFonts w:ascii="Times" w:hAnsi="Times" w:cs="Times New Roman"/>
          <w:noProof/>
        </w:rPr>
        <w:t>, 2994–2997 (2014).</w:t>
      </w:r>
    </w:p>
    <w:p w14:paraId="0D665ED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w:t>
      </w:r>
      <w:r w:rsidRPr="00D23BF1">
        <w:rPr>
          <w:rFonts w:ascii="Times" w:hAnsi="Times" w:cs="Times New Roman"/>
          <w:noProof/>
        </w:rPr>
        <w:tab/>
        <w:t xml:space="preserve">Putman, B. J., Gasca, M., Blumstein, D. T. &amp; Pauly, G. B. Downsizing for downtown: limb lengths, toe lengths, and scale counts decrease with urbanization in western fence lizards (Sceloporus occidentalis). </w:t>
      </w:r>
      <w:r w:rsidRPr="00D23BF1">
        <w:rPr>
          <w:rFonts w:ascii="Times" w:hAnsi="Times" w:cs="Times New Roman"/>
          <w:i/>
          <w:iCs/>
          <w:noProof/>
        </w:rPr>
        <w:t>Urban Ecosyst.</w:t>
      </w:r>
      <w:r w:rsidRPr="00D23BF1">
        <w:rPr>
          <w:rFonts w:ascii="Times" w:hAnsi="Times" w:cs="Times New Roman"/>
          <w:noProof/>
        </w:rPr>
        <w:t xml:space="preserve"> </w:t>
      </w:r>
      <w:r w:rsidRPr="00D23BF1">
        <w:rPr>
          <w:rFonts w:ascii="Times" w:hAnsi="Times" w:cs="Times New Roman"/>
          <w:b/>
          <w:bCs/>
          <w:noProof/>
        </w:rPr>
        <w:t>22</w:t>
      </w:r>
      <w:r w:rsidRPr="00D23BF1">
        <w:rPr>
          <w:rFonts w:ascii="Times" w:hAnsi="Times" w:cs="Times New Roman"/>
          <w:noProof/>
        </w:rPr>
        <w:t>, 1071–1081 (2019).</w:t>
      </w:r>
    </w:p>
    <w:p w14:paraId="2B51191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w:t>
      </w:r>
      <w:r w:rsidRPr="00D23BF1">
        <w:rPr>
          <w:rFonts w:ascii="Times" w:hAnsi="Times" w:cs="Times New Roman"/>
          <w:noProof/>
        </w:rPr>
        <w:tab/>
        <w:t xml:space="preserve">Gadau, A. </w:t>
      </w:r>
      <w:r w:rsidRPr="00D23BF1">
        <w:rPr>
          <w:rFonts w:ascii="Times" w:hAnsi="Times" w:cs="Times New Roman"/>
          <w:i/>
          <w:iCs/>
          <w:noProof/>
        </w:rPr>
        <w:t>et al.</w:t>
      </w:r>
      <w:r w:rsidRPr="00D23BF1">
        <w:rPr>
          <w:rFonts w:ascii="Times" w:hAnsi="Times" w:cs="Times New Roman"/>
          <w:noProof/>
        </w:rPr>
        <w:t xml:space="preserve"> A comparison of the nutritional physiology and gut microbiome of urban and rural house sparrows (Passer domesticus). </w:t>
      </w:r>
      <w:r w:rsidRPr="00D23BF1">
        <w:rPr>
          <w:rFonts w:ascii="Times" w:hAnsi="Times" w:cs="Times New Roman"/>
          <w:i/>
          <w:iCs/>
          <w:noProof/>
        </w:rPr>
        <w:t>Comp. Biochem. Physiol. Part - B Biochem. Mol. Biol.</w:t>
      </w:r>
      <w:r w:rsidRPr="00D23BF1">
        <w:rPr>
          <w:rFonts w:ascii="Times" w:hAnsi="Times" w:cs="Times New Roman"/>
          <w:noProof/>
        </w:rPr>
        <w:t xml:space="preserve"> </w:t>
      </w:r>
      <w:r w:rsidRPr="00D23BF1">
        <w:rPr>
          <w:rFonts w:ascii="Times" w:hAnsi="Times" w:cs="Times New Roman"/>
          <w:b/>
          <w:bCs/>
          <w:noProof/>
        </w:rPr>
        <w:t>237</w:t>
      </w:r>
      <w:r w:rsidRPr="00D23BF1">
        <w:rPr>
          <w:rFonts w:ascii="Times" w:hAnsi="Times" w:cs="Times New Roman"/>
          <w:noProof/>
        </w:rPr>
        <w:t>, 110332 (2019).</w:t>
      </w:r>
    </w:p>
    <w:p w14:paraId="613BC5D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w:t>
      </w:r>
      <w:r w:rsidRPr="00D23BF1">
        <w:rPr>
          <w:rFonts w:ascii="Times" w:hAnsi="Times" w:cs="Times New Roman"/>
          <w:noProof/>
        </w:rPr>
        <w:tab/>
        <w:t xml:space="preserve">Ayeni, F. A. </w:t>
      </w:r>
      <w:r w:rsidRPr="00D23BF1">
        <w:rPr>
          <w:rFonts w:ascii="Times" w:hAnsi="Times" w:cs="Times New Roman"/>
          <w:i/>
          <w:iCs/>
          <w:noProof/>
        </w:rPr>
        <w:t>et al.</w:t>
      </w:r>
      <w:r w:rsidRPr="00D23BF1">
        <w:rPr>
          <w:rFonts w:ascii="Times" w:hAnsi="Times" w:cs="Times New Roman"/>
          <w:noProof/>
        </w:rPr>
        <w:t xml:space="preserve"> Infant and Adult Gut Microbiome and Metabolome in Rural Bassa and Urban Settlers from Nigeria. </w:t>
      </w:r>
      <w:r w:rsidRPr="00D23BF1">
        <w:rPr>
          <w:rFonts w:ascii="Times" w:hAnsi="Times" w:cs="Times New Roman"/>
          <w:i/>
          <w:iCs/>
          <w:noProof/>
        </w:rPr>
        <w:t>Cell Rep.</w:t>
      </w:r>
      <w:r w:rsidRPr="00D23BF1">
        <w:rPr>
          <w:rFonts w:ascii="Times" w:hAnsi="Times" w:cs="Times New Roman"/>
          <w:noProof/>
        </w:rPr>
        <w:t xml:space="preserve"> </w:t>
      </w:r>
      <w:r w:rsidRPr="00D23BF1">
        <w:rPr>
          <w:rFonts w:ascii="Times" w:hAnsi="Times" w:cs="Times New Roman"/>
          <w:b/>
          <w:bCs/>
          <w:noProof/>
        </w:rPr>
        <w:t>23</w:t>
      </w:r>
      <w:r w:rsidRPr="00D23BF1">
        <w:rPr>
          <w:rFonts w:ascii="Times" w:hAnsi="Times" w:cs="Times New Roman"/>
          <w:noProof/>
        </w:rPr>
        <w:t>, 3056–3067 (2018).</w:t>
      </w:r>
    </w:p>
    <w:p w14:paraId="4D22B8E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10.</w:t>
      </w:r>
      <w:r w:rsidRPr="00D23BF1">
        <w:rPr>
          <w:rFonts w:ascii="Times" w:hAnsi="Times" w:cs="Times New Roman"/>
          <w:noProof/>
        </w:rPr>
        <w:tab/>
        <w:t xml:space="preserve">Littleford-Colquhoun, B. L., Weyrich, L. S., Kent, N. &amp; Frere, C. H. City life alters the gut microbiome and stable isotope profiling of the eastern water dragon (Intellagama lesueurii). </w:t>
      </w:r>
      <w:r w:rsidRPr="00D23BF1">
        <w:rPr>
          <w:rFonts w:ascii="Times" w:hAnsi="Times" w:cs="Times New Roman"/>
          <w:i/>
          <w:iCs/>
          <w:noProof/>
        </w:rPr>
        <w:t>Mol. Ecol.</w:t>
      </w:r>
      <w:r w:rsidRPr="00D23BF1">
        <w:rPr>
          <w:rFonts w:ascii="Times" w:hAnsi="Times" w:cs="Times New Roman"/>
          <w:noProof/>
        </w:rPr>
        <w:t xml:space="preserve"> </w:t>
      </w:r>
      <w:r w:rsidRPr="00D23BF1">
        <w:rPr>
          <w:rFonts w:ascii="Times" w:hAnsi="Times" w:cs="Times New Roman"/>
          <w:b/>
          <w:bCs/>
          <w:noProof/>
        </w:rPr>
        <w:t>28</w:t>
      </w:r>
      <w:r w:rsidRPr="00D23BF1">
        <w:rPr>
          <w:rFonts w:ascii="Times" w:hAnsi="Times" w:cs="Times New Roman"/>
          <w:noProof/>
        </w:rPr>
        <w:t>, 4592–4607 (2019).</w:t>
      </w:r>
    </w:p>
    <w:p w14:paraId="481D4FC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11.</w:t>
      </w:r>
      <w:r w:rsidRPr="00D23BF1">
        <w:rPr>
          <w:rFonts w:ascii="Times" w:hAnsi="Times" w:cs="Times New Roman"/>
          <w:noProof/>
        </w:rPr>
        <w:tab/>
        <w:t xml:space="preserve">Teyssier, A. </w:t>
      </w:r>
      <w:r w:rsidRPr="00D23BF1">
        <w:rPr>
          <w:rFonts w:ascii="Times" w:hAnsi="Times" w:cs="Times New Roman"/>
          <w:i/>
          <w:iCs/>
          <w:noProof/>
        </w:rPr>
        <w:t>et al.</w:t>
      </w:r>
      <w:r w:rsidRPr="00D23BF1">
        <w:rPr>
          <w:rFonts w:ascii="Times" w:hAnsi="Times" w:cs="Times New Roman"/>
          <w:noProof/>
        </w:rPr>
        <w:t xml:space="preserve"> Inside the guts of the city: Urban-induced alterations of the gut microbiota in a wild passerine. </w:t>
      </w:r>
      <w:r w:rsidRPr="00D23BF1">
        <w:rPr>
          <w:rFonts w:ascii="Times" w:hAnsi="Times" w:cs="Times New Roman"/>
          <w:i/>
          <w:iCs/>
          <w:noProof/>
        </w:rPr>
        <w:t>Sci. Total Environ.</w:t>
      </w:r>
      <w:r w:rsidRPr="00D23BF1">
        <w:rPr>
          <w:rFonts w:ascii="Times" w:hAnsi="Times" w:cs="Times New Roman"/>
          <w:noProof/>
        </w:rPr>
        <w:t xml:space="preserve"> </w:t>
      </w:r>
      <w:r w:rsidRPr="00D23BF1">
        <w:rPr>
          <w:rFonts w:ascii="Times" w:hAnsi="Times" w:cs="Times New Roman"/>
          <w:b/>
          <w:bCs/>
          <w:noProof/>
        </w:rPr>
        <w:t>612</w:t>
      </w:r>
      <w:r w:rsidRPr="00D23BF1">
        <w:rPr>
          <w:rFonts w:ascii="Times" w:hAnsi="Times" w:cs="Times New Roman"/>
          <w:noProof/>
        </w:rPr>
        <w:t>, 1276–1286 (2018).</w:t>
      </w:r>
    </w:p>
    <w:p w14:paraId="278ABD3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12.</w:t>
      </w:r>
      <w:r w:rsidRPr="00D23BF1">
        <w:rPr>
          <w:rFonts w:ascii="Times" w:hAnsi="Times" w:cs="Times New Roman"/>
          <w:noProof/>
        </w:rPr>
        <w:tab/>
        <w:t xml:space="preserve">Phillips, J. N., Berlow, M. &amp; Derryberry, E. P. The Effects of Landscape Urbanization on the Gut Microbiome: An Exploration Into the Gut of Urban and Rural White-Crowned Sparrows. </w:t>
      </w:r>
      <w:r w:rsidRPr="00D23BF1">
        <w:rPr>
          <w:rFonts w:ascii="Times" w:hAnsi="Times" w:cs="Times New Roman"/>
          <w:i/>
          <w:iCs/>
          <w:noProof/>
        </w:rPr>
        <w:t>Front. Ecol. Evol.</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1–10 (2018).</w:t>
      </w:r>
    </w:p>
    <w:p w14:paraId="108ACA9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13.</w:t>
      </w:r>
      <w:r w:rsidRPr="00D23BF1">
        <w:rPr>
          <w:rFonts w:ascii="Times" w:hAnsi="Times" w:cs="Times New Roman"/>
          <w:noProof/>
        </w:rPr>
        <w:tab/>
        <w:t xml:space="preserve">Heijtz, R. D. </w:t>
      </w:r>
      <w:r w:rsidRPr="00D23BF1">
        <w:rPr>
          <w:rFonts w:ascii="Times" w:hAnsi="Times" w:cs="Times New Roman"/>
          <w:i/>
          <w:iCs/>
          <w:noProof/>
        </w:rPr>
        <w:t>et al.</w:t>
      </w:r>
      <w:r w:rsidRPr="00D23BF1">
        <w:rPr>
          <w:rFonts w:ascii="Times" w:hAnsi="Times" w:cs="Times New Roman"/>
          <w:noProof/>
        </w:rPr>
        <w:t xml:space="preserve"> Normal gut microbiota modulates brain development and behavior. </w:t>
      </w:r>
      <w:r w:rsidRPr="00D23BF1">
        <w:rPr>
          <w:rFonts w:ascii="Times" w:hAnsi="Times" w:cs="Times New Roman"/>
          <w:i/>
          <w:iCs/>
          <w:noProof/>
        </w:rPr>
        <w:t>Proc. Natl. Acad. Sci.</w:t>
      </w:r>
      <w:r w:rsidRPr="00D23BF1">
        <w:rPr>
          <w:rFonts w:ascii="Times" w:hAnsi="Times" w:cs="Times New Roman"/>
          <w:noProof/>
        </w:rPr>
        <w:t xml:space="preserve"> </w:t>
      </w:r>
      <w:r w:rsidRPr="00D23BF1">
        <w:rPr>
          <w:rFonts w:ascii="Times" w:hAnsi="Times" w:cs="Times New Roman"/>
          <w:b/>
          <w:bCs/>
          <w:noProof/>
        </w:rPr>
        <w:t>108</w:t>
      </w:r>
      <w:r w:rsidRPr="00D23BF1">
        <w:rPr>
          <w:rFonts w:ascii="Times" w:hAnsi="Times" w:cs="Times New Roman"/>
          <w:noProof/>
        </w:rPr>
        <w:t>, 3047–3052 (2011).</w:t>
      </w:r>
    </w:p>
    <w:p w14:paraId="378ADF3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14.</w:t>
      </w:r>
      <w:r w:rsidRPr="00D23BF1">
        <w:rPr>
          <w:rFonts w:ascii="Times" w:hAnsi="Times" w:cs="Times New Roman"/>
          <w:noProof/>
        </w:rPr>
        <w:tab/>
        <w:t xml:space="preserve">Bäckhed, F., Ley, R. E., Sonnenburg, J. L., Peterson, D. A. &amp; Gordon, J. I. Host-bacterial mutualism in the human intestine. </w:t>
      </w:r>
      <w:r w:rsidRPr="00D23BF1">
        <w:rPr>
          <w:rFonts w:ascii="Times" w:hAnsi="Times" w:cs="Times New Roman"/>
          <w:i/>
          <w:iCs/>
          <w:noProof/>
        </w:rPr>
        <w:t>Science</w:t>
      </w:r>
      <w:r w:rsidRPr="00D23BF1">
        <w:rPr>
          <w:rFonts w:ascii="Times" w:hAnsi="Times" w:cs="Times New Roman"/>
          <w:noProof/>
        </w:rPr>
        <w:t xml:space="preserve"> </w:t>
      </w:r>
      <w:r w:rsidRPr="00D23BF1">
        <w:rPr>
          <w:rFonts w:ascii="Times" w:hAnsi="Times" w:cs="Times New Roman"/>
          <w:b/>
          <w:bCs/>
          <w:noProof/>
        </w:rPr>
        <w:t>307</w:t>
      </w:r>
      <w:r w:rsidRPr="00D23BF1">
        <w:rPr>
          <w:rFonts w:ascii="Times" w:hAnsi="Times" w:cs="Times New Roman"/>
          <w:noProof/>
        </w:rPr>
        <w:t>, 1915–1920 (2005).</w:t>
      </w:r>
    </w:p>
    <w:p w14:paraId="65A325F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15.</w:t>
      </w:r>
      <w:r w:rsidRPr="00D23BF1">
        <w:rPr>
          <w:rFonts w:ascii="Times" w:hAnsi="Times" w:cs="Times New Roman"/>
          <w:noProof/>
        </w:rPr>
        <w:tab/>
        <w:t xml:space="preserve">Lyte, M. The microbial organ in the gut as a driver of homeostasis and disease. </w:t>
      </w:r>
      <w:r w:rsidRPr="00D23BF1">
        <w:rPr>
          <w:rFonts w:ascii="Times" w:hAnsi="Times" w:cs="Times New Roman"/>
          <w:i/>
          <w:iCs/>
          <w:noProof/>
        </w:rPr>
        <w:t>Med. Hypotheses</w:t>
      </w:r>
      <w:r w:rsidRPr="00D23BF1">
        <w:rPr>
          <w:rFonts w:ascii="Times" w:hAnsi="Times" w:cs="Times New Roman"/>
          <w:noProof/>
        </w:rPr>
        <w:t xml:space="preserve"> </w:t>
      </w:r>
      <w:r w:rsidRPr="00D23BF1">
        <w:rPr>
          <w:rFonts w:ascii="Times" w:hAnsi="Times" w:cs="Times New Roman"/>
          <w:b/>
          <w:bCs/>
          <w:noProof/>
        </w:rPr>
        <w:t>74</w:t>
      </w:r>
      <w:r w:rsidRPr="00D23BF1">
        <w:rPr>
          <w:rFonts w:ascii="Times" w:hAnsi="Times" w:cs="Times New Roman"/>
          <w:noProof/>
        </w:rPr>
        <w:t>, 634–638 (2010).</w:t>
      </w:r>
    </w:p>
    <w:p w14:paraId="3EF34EE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16.</w:t>
      </w:r>
      <w:r w:rsidRPr="00D23BF1">
        <w:rPr>
          <w:rFonts w:ascii="Times" w:hAnsi="Times" w:cs="Times New Roman"/>
          <w:noProof/>
        </w:rPr>
        <w:tab/>
        <w:t xml:space="preserve">West, A. G. </w:t>
      </w:r>
      <w:r w:rsidRPr="00D23BF1">
        <w:rPr>
          <w:rFonts w:ascii="Times" w:hAnsi="Times" w:cs="Times New Roman"/>
          <w:i/>
          <w:iCs/>
          <w:noProof/>
        </w:rPr>
        <w:t>et al.</w:t>
      </w:r>
      <w:r w:rsidRPr="00D23BF1">
        <w:rPr>
          <w:rFonts w:ascii="Times" w:hAnsi="Times" w:cs="Times New Roman"/>
          <w:noProof/>
        </w:rPr>
        <w:t xml:space="preserve"> The microbiome in threatened species conservation. </w:t>
      </w:r>
      <w:r w:rsidRPr="00D23BF1">
        <w:rPr>
          <w:rFonts w:ascii="Times" w:hAnsi="Times" w:cs="Times New Roman"/>
          <w:i/>
          <w:iCs/>
          <w:noProof/>
        </w:rPr>
        <w:t>Biol. Conserv.</w:t>
      </w:r>
      <w:r w:rsidRPr="00D23BF1">
        <w:rPr>
          <w:rFonts w:ascii="Times" w:hAnsi="Times" w:cs="Times New Roman"/>
          <w:noProof/>
        </w:rPr>
        <w:t xml:space="preserve"> </w:t>
      </w:r>
      <w:r w:rsidRPr="00D23BF1">
        <w:rPr>
          <w:rFonts w:ascii="Times" w:hAnsi="Times" w:cs="Times New Roman"/>
          <w:b/>
          <w:bCs/>
          <w:noProof/>
        </w:rPr>
        <w:t>229</w:t>
      </w:r>
      <w:r w:rsidRPr="00D23BF1">
        <w:rPr>
          <w:rFonts w:ascii="Times" w:hAnsi="Times" w:cs="Times New Roman"/>
          <w:noProof/>
        </w:rPr>
        <w:t>, 85–98 (2019).</w:t>
      </w:r>
    </w:p>
    <w:p w14:paraId="172741F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17.</w:t>
      </w:r>
      <w:r w:rsidRPr="00D23BF1">
        <w:rPr>
          <w:rFonts w:ascii="Times" w:hAnsi="Times" w:cs="Times New Roman"/>
          <w:noProof/>
        </w:rPr>
        <w:tab/>
        <w:t xml:space="preserve">Trevelline, B. K., Fontaine, S. S., Hartup, B. K. &amp; Kohl, K. D. Conservation biology needs a microbial renaissance: A call for the consideration of host-associated microbiota in wildlife management practices. </w:t>
      </w:r>
      <w:r w:rsidRPr="00D23BF1">
        <w:rPr>
          <w:rFonts w:ascii="Times" w:hAnsi="Times" w:cs="Times New Roman"/>
          <w:i/>
          <w:iCs/>
          <w:noProof/>
        </w:rPr>
        <w:t>Proc. R. Soc. B Biol. Sci.</w:t>
      </w:r>
      <w:r w:rsidRPr="00D23BF1">
        <w:rPr>
          <w:rFonts w:ascii="Times" w:hAnsi="Times" w:cs="Times New Roman"/>
          <w:noProof/>
        </w:rPr>
        <w:t xml:space="preserve"> </w:t>
      </w:r>
      <w:r w:rsidRPr="00D23BF1">
        <w:rPr>
          <w:rFonts w:ascii="Times" w:hAnsi="Times" w:cs="Times New Roman"/>
          <w:b/>
          <w:bCs/>
          <w:noProof/>
        </w:rPr>
        <w:t>286</w:t>
      </w:r>
      <w:r w:rsidRPr="00D23BF1">
        <w:rPr>
          <w:rFonts w:ascii="Times" w:hAnsi="Times" w:cs="Times New Roman"/>
          <w:noProof/>
        </w:rPr>
        <w:t>, (2019).</w:t>
      </w:r>
    </w:p>
    <w:p w14:paraId="581AB49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18.</w:t>
      </w:r>
      <w:r w:rsidRPr="00D23BF1">
        <w:rPr>
          <w:rFonts w:ascii="Times" w:hAnsi="Times" w:cs="Times New Roman"/>
          <w:noProof/>
        </w:rPr>
        <w:tab/>
        <w:t xml:space="preserve">Leung, M. H. Y., Wilkins, D., Li, E. K. T., Kong, F. K. F. &amp; Lee, P. K. H. </w:t>
      </w:r>
      <w:r w:rsidRPr="00D23BF1">
        <w:rPr>
          <w:rFonts w:ascii="Times" w:hAnsi="Times" w:cs="Times New Roman"/>
          <w:noProof/>
        </w:rPr>
        <w:lastRenderedPageBreak/>
        <w:t xml:space="preserve">Indoor-air microbiome in an urban subway network: Diversity and dynamics. </w:t>
      </w:r>
      <w:r w:rsidRPr="00D23BF1">
        <w:rPr>
          <w:rFonts w:ascii="Times" w:hAnsi="Times" w:cs="Times New Roman"/>
          <w:i/>
          <w:iCs/>
          <w:noProof/>
        </w:rPr>
        <w:t>Appl. Environ. Microbiol.</w:t>
      </w:r>
      <w:r w:rsidRPr="00D23BF1">
        <w:rPr>
          <w:rFonts w:ascii="Times" w:hAnsi="Times" w:cs="Times New Roman"/>
          <w:noProof/>
        </w:rPr>
        <w:t xml:space="preserve"> </w:t>
      </w:r>
      <w:r w:rsidRPr="00D23BF1">
        <w:rPr>
          <w:rFonts w:ascii="Times" w:hAnsi="Times" w:cs="Times New Roman"/>
          <w:b/>
          <w:bCs/>
          <w:noProof/>
        </w:rPr>
        <w:t>80</w:t>
      </w:r>
      <w:r w:rsidRPr="00D23BF1">
        <w:rPr>
          <w:rFonts w:ascii="Times" w:hAnsi="Times" w:cs="Times New Roman"/>
          <w:noProof/>
        </w:rPr>
        <w:t>, 6760–6770 (2014).</w:t>
      </w:r>
    </w:p>
    <w:p w14:paraId="138DE09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19.</w:t>
      </w:r>
      <w:r w:rsidRPr="00D23BF1">
        <w:rPr>
          <w:rFonts w:ascii="Times" w:hAnsi="Times" w:cs="Times New Roman"/>
          <w:noProof/>
        </w:rPr>
        <w:tab/>
        <w:t xml:space="preserve">De Filippo, C. </w:t>
      </w:r>
      <w:r w:rsidRPr="00D23BF1">
        <w:rPr>
          <w:rFonts w:ascii="Times" w:hAnsi="Times" w:cs="Times New Roman"/>
          <w:i/>
          <w:iCs/>
          <w:noProof/>
        </w:rPr>
        <w:t>et al.</w:t>
      </w:r>
      <w:r w:rsidRPr="00D23BF1">
        <w:rPr>
          <w:rFonts w:ascii="Times" w:hAnsi="Times" w:cs="Times New Roman"/>
          <w:noProof/>
        </w:rPr>
        <w:t xml:space="preserve"> Impact of diet in shaping gut microbiota revealed by a comparative study in children from Europe and rural Africa. </w:t>
      </w:r>
      <w:r w:rsidRPr="00D23BF1">
        <w:rPr>
          <w:rFonts w:ascii="Times" w:hAnsi="Times" w:cs="Times New Roman"/>
          <w:i/>
          <w:iCs/>
          <w:noProof/>
        </w:rPr>
        <w:t>Proc. Natl. Acad. Sci.</w:t>
      </w:r>
      <w:r w:rsidRPr="00D23BF1">
        <w:rPr>
          <w:rFonts w:ascii="Times" w:hAnsi="Times" w:cs="Times New Roman"/>
          <w:noProof/>
        </w:rPr>
        <w:t xml:space="preserve"> </w:t>
      </w:r>
      <w:r w:rsidRPr="00D23BF1">
        <w:rPr>
          <w:rFonts w:ascii="Times" w:hAnsi="Times" w:cs="Times New Roman"/>
          <w:b/>
          <w:bCs/>
          <w:noProof/>
        </w:rPr>
        <w:t>107</w:t>
      </w:r>
      <w:r w:rsidRPr="00D23BF1">
        <w:rPr>
          <w:rFonts w:ascii="Times" w:hAnsi="Times" w:cs="Times New Roman"/>
          <w:noProof/>
        </w:rPr>
        <w:t>, 14691–14696 (2010).</w:t>
      </w:r>
    </w:p>
    <w:p w14:paraId="44EEBAE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20.</w:t>
      </w:r>
      <w:r w:rsidRPr="00D23BF1">
        <w:rPr>
          <w:rFonts w:ascii="Times" w:hAnsi="Times" w:cs="Times New Roman"/>
          <w:noProof/>
        </w:rPr>
        <w:tab/>
        <w:t xml:space="preserve">Kight, C. R. &amp; Swaddle, J. P. How and why environmental noise impacts animals: An integrative, mechanistic review. </w:t>
      </w:r>
      <w:r w:rsidRPr="00D23BF1">
        <w:rPr>
          <w:rFonts w:ascii="Times" w:hAnsi="Times" w:cs="Times New Roman"/>
          <w:i/>
          <w:iCs/>
          <w:noProof/>
        </w:rPr>
        <w:t>Ecol. Lett.</w:t>
      </w:r>
      <w:r w:rsidRPr="00D23BF1">
        <w:rPr>
          <w:rFonts w:ascii="Times" w:hAnsi="Times" w:cs="Times New Roman"/>
          <w:noProof/>
        </w:rPr>
        <w:t xml:space="preserve"> </w:t>
      </w:r>
      <w:r w:rsidRPr="00D23BF1">
        <w:rPr>
          <w:rFonts w:ascii="Times" w:hAnsi="Times" w:cs="Times New Roman"/>
          <w:b/>
          <w:bCs/>
          <w:noProof/>
        </w:rPr>
        <w:t>14</w:t>
      </w:r>
      <w:r w:rsidRPr="00D23BF1">
        <w:rPr>
          <w:rFonts w:ascii="Times" w:hAnsi="Times" w:cs="Times New Roman"/>
          <w:noProof/>
        </w:rPr>
        <w:t>, 1052–1061 (2011).</w:t>
      </w:r>
    </w:p>
    <w:p w14:paraId="15842D6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21.</w:t>
      </w:r>
      <w:r w:rsidRPr="00D23BF1">
        <w:rPr>
          <w:rFonts w:ascii="Times" w:hAnsi="Times" w:cs="Times New Roman"/>
          <w:noProof/>
        </w:rPr>
        <w:tab/>
        <w:t xml:space="preserve">Ellis, R. D., McWhorter, T. J. &amp; Maron, M. Integrating landscape ecology and conservation physiology. </w:t>
      </w:r>
      <w:r w:rsidRPr="00D23BF1">
        <w:rPr>
          <w:rFonts w:ascii="Times" w:hAnsi="Times" w:cs="Times New Roman"/>
          <w:i/>
          <w:iCs/>
          <w:noProof/>
        </w:rPr>
        <w:t>Landsc. Ecol.</w:t>
      </w:r>
      <w:r w:rsidRPr="00D23BF1">
        <w:rPr>
          <w:rFonts w:ascii="Times" w:hAnsi="Times" w:cs="Times New Roman"/>
          <w:noProof/>
        </w:rPr>
        <w:t xml:space="preserve"> </w:t>
      </w:r>
      <w:r w:rsidRPr="00D23BF1">
        <w:rPr>
          <w:rFonts w:ascii="Times" w:hAnsi="Times" w:cs="Times New Roman"/>
          <w:b/>
          <w:bCs/>
          <w:noProof/>
        </w:rPr>
        <w:t>27</w:t>
      </w:r>
      <w:r w:rsidRPr="00D23BF1">
        <w:rPr>
          <w:rFonts w:ascii="Times" w:hAnsi="Times" w:cs="Times New Roman"/>
          <w:noProof/>
        </w:rPr>
        <w:t>, 1–12 (2012).</w:t>
      </w:r>
    </w:p>
    <w:p w14:paraId="0ACE458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22.</w:t>
      </w:r>
      <w:r w:rsidRPr="00D23BF1">
        <w:rPr>
          <w:rFonts w:ascii="Times" w:hAnsi="Times" w:cs="Times New Roman"/>
          <w:noProof/>
        </w:rPr>
        <w:tab/>
        <w:t xml:space="preserve">Blickley, J. L. </w:t>
      </w:r>
      <w:r w:rsidRPr="00D23BF1">
        <w:rPr>
          <w:rFonts w:ascii="Times" w:hAnsi="Times" w:cs="Times New Roman"/>
          <w:i/>
          <w:iCs/>
          <w:noProof/>
        </w:rPr>
        <w:t>et al.</w:t>
      </w:r>
      <w:r w:rsidRPr="00D23BF1">
        <w:rPr>
          <w:rFonts w:ascii="Times" w:hAnsi="Times" w:cs="Times New Roman"/>
          <w:noProof/>
        </w:rPr>
        <w:t xml:space="preserve"> Experimental Chronic Noise Is Related to Elevated Fecal Corticosteroid Metabolites in Lekking Male Greater Sage-Grouse (Centrocercus urophasianus). </w:t>
      </w:r>
      <w:r w:rsidRPr="00D23BF1">
        <w:rPr>
          <w:rFonts w:ascii="Times" w:hAnsi="Times" w:cs="Times New Roman"/>
          <w:i/>
          <w:iCs/>
          <w:noProof/>
        </w:rPr>
        <w:t>PLoS One</w:t>
      </w:r>
      <w:r w:rsidRPr="00D23BF1">
        <w:rPr>
          <w:rFonts w:ascii="Times" w:hAnsi="Times" w:cs="Times New Roman"/>
          <w:noProof/>
        </w:rPr>
        <w:t xml:space="preserve"> </w:t>
      </w:r>
      <w:r w:rsidRPr="00D23BF1">
        <w:rPr>
          <w:rFonts w:ascii="Times" w:hAnsi="Times" w:cs="Times New Roman"/>
          <w:b/>
          <w:bCs/>
          <w:noProof/>
        </w:rPr>
        <w:t>7</w:t>
      </w:r>
      <w:r w:rsidRPr="00D23BF1">
        <w:rPr>
          <w:rFonts w:ascii="Times" w:hAnsi="Times" w:cs="Times New Roman"/>
          <w:noProof/>
        </w:rPr>
        <w:t>, (2012).</w:t>
      </w:r>
    </w:p>
    <w:p w14:paraId="264CEFC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23.</w:t>
      </w:r>
      <w:r w:rsidRPr="00D23BF1">
        <w:rPr>
          <w:rFonts w:ascii="Times" w:hAnsi="Times" w:cs="Times New Roman"/>
          <w:noProof/>
        </w:rPr>
        <w:tab/>
        <w:t xml:space="preserve">Elnif, J. &amp; Sangild, P. T. The role of glucocorticoids in the growth of the digestive tract in mink (Mustela vison). </w:t>
      </w:r>
      <w:r w:rsidRPr="00D23BF1">
        <w:rPr>
          <w:rFonts w:ascii="Times" w:hAnsi="Times" w:cs="Times New Roman"/>
          <w:i/>
          <w:iCs/>
          <w:noProof/>
        </w:rPr>
        <w:t>Comp. Biochem. Physiol. - A Physiol.</w:t>
      </w:r>
      <w:r w:rsidRPr="00D23BF1">
        <w:rPr>
          <w:rFonts w:ascii="Times" w:hAnsi="Times" w:cs="Times New Roman"/>
          <w:noProof/>
        </w:rPr>
        <w:t xml:space="preserve"> </w:t>
      </w:r>
      <w:r w:rsidRPr="00D23BF1">
        <w:rPr>
          <w:rFonts w:ascii="Times" w:hAnsi="Times" w:cs="Times New Roman"/>
          <w:b/>
          <w:bCs/>
          <w:noProof/>
        </w:rPr>
        <w:t>115</w:t>
      </w:r>
      <w:r w:rsidRPr="00D23BF1">
        <w:rPr>
          <w:rFonts w:ascii="Times" w:hAnsi="Times" w:cs="Times New Roman"/>
          <w:noProof/>
        </w:rPr>
        <w:t>, 37–42 (1996).</w:t>
      </w:r>
    </w:p>
    <w:p w14:paraId="7096980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24.</w:t>
      </w:r>
      <w:r w:rsidRPr="00D23BF1">
        <w:rPr>
          <w:rFonts w:ascii="Times" w:hAnsi="Times" w:cs="Times New Roman"/>
          <w:noProof/>
        </w:rPr>
        <w:tab/>
        <w:t xml:space="preserve">Potvin, D. a. &amp; MacDougall-Shackleton, S. a. Experimental chronic noise exposure affects adult song in zebra finches. </w:t>
      </w:r>
      <w:r w:rsidRPr="00D23BF1">
        <w:rPr>
          <w:rFonts w:ascii="Times" w:hAnsi="Times" w:cs="Times New Roman"/>
          <w:i/>
          <w:iCs/>
          <w:noProof/>
        </w:rPr>
        <w:t>Anim. Behav.</w:t>
      </w:r>
      <w:r w:rsidRPr="00D23BF1">
        <w:rPr>
          <w:rFonts w:ascii="Times" w:hAnsi="Times" w:cs="Times New Roman"/>
          <w:noProof/>
        </w:rPr>
        <w:t xml:space="preserve"> </w:t>
      </w:r>
      <w:r w:rsidRPr="00D23BF1">
        <w:rPr>
          <w:rFonts w:ascii="Times" w:hAnsi="Times" w:cs="Times New Roman"/>
          <w:b/>
          <w:bCs/>
          <w:noProof/>
        </w:rPr>
        <w:t>107</w:t>
      </w:r>
      <w:r w:rsidRPr="00D23BF1">
        <w:rPr>
          <w:rFonts w:ascii="Times" w:hAnsi="Times" w:cs="Times New Roman"/>
          <w:noProof/>
        </w:rPr>
        <w:t>, 201–207 (2015).</w:t>
      </w:r>
    </w:p>
    <w:p w14:paraId="5C541BD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25.</w:t>
      </w:r>
      <w:r w:rsidRPr="00D23BF1">
        <w:rPr>
          <w:rFonts w:ascii="Times" w:hAnsi="Times" w:cs="Times New Roman"/>
          <w:noProof/>
        </w:rPr>
        <w:tab/>
        <w:t xml:space="preserve">Senzaki, M., Yamaura, Y., Francis, C. D. &amp; Nakamura, F. Traffic noise reduces foraging efficiency in wild owls. </w:t>
      </w:r>
      <w:r w:rsidRPr="00D23BF1">
        <w:rPr>
          <w:rFonts w:ascii="Times" w:hAnsi="Times" w:cs="Times New Roman"/>
          <w:i/>
          <w:iCs/>
          <w:noProof/>
        </w:rPr>
        <w:t>Sci. Rep.</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30602 (2016).</w:t>
      </w:r>
    </w:p>
    <w:p w14:paraId="21BDD1E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26.</w:t>
      </w:r>
      <w:r w:rsidRPr="00D23BF1">
        <w:rPr>
          <w:rFonts w:ascii="Times" w:hAnsi="Times" w:cs="Times New Roman"/>
          <w:noProof/>
        </w:rPr>
        <w:tab/>
        <w:t xml:space="preserve">Phillips, J. N., Ruef, S. K., Garvin, C. M., Le, M. L. T. &amp; Francis, C. D. Background noise disrupts host–parasitoid interactions. </w:t>
      </w:r>
      <w:r w:rsidRPr="00D23BF1">
        <w:rPr>
          <w:rFonts w:ascii="Times" w:hAnsi="Times" w:cs="Times New Roman"/>
          <w:i/>
          <w:iCs/>
          <w:noProof/>
        </w:rPr>
        <w:t>R. Soc. Open Sci.</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(2019).</w:t>
      </w:r>
    </w:p>
    <w:p w14:paraId="0A2AD5A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27.</w:t>
      </w:r>
      <w:r w:rsidRPr="00D23BF1">
        <w:rPr>
          <w:rFonts w:ascii="Times" w:hAnsi="Times" w:cs="Times New Roman"/>
          <w:noProof/>
        </w:rPr>
        <w:tab/>
        <w:t xml:space="preserve">Archie, E. A. &amp; Tung, J. Social behavior and the microbiome. </w:t>
      </w:r>
      <w:r w:rsidRPr="00D23BF1">
        <w:rPr>
          <w:rFonts w:ascii="Times" w:hAnsi="Times" w:cs="Times New Roman"/>
          <w:i/>
          <w:iCs/>
          <w:noProof/>
        </w:rPr>
        <w:t>Curr. Opin. Behav. Sci.</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28–34 (2015).</w:t>
      </w:r>
    </w:p>
    <w:p w14:paraId="2854154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28.</w:t>
      </w:r>
      <w:r w:rsidRPr="00D23BF1">
        <w:rPr>
          <w:rFonts w:ascii="Times" w:hAnsi="Times" w:cs="Times New Roman"/>
          <w:noProof/>
        </w:rPr>
        <w:tab/>
        <w:t xml:space="preserve">Partecke, J., Schwabl, I. &amp; Gwinner, E. Stress and the city: Urbanization and its effects on the stress physiology in European Blackbirds. </w:t>
      </w:r>
      <w:r w:rsidRPr="00D23BF1">
        <w:rPr>
          <w:rFonts w:ascii="Times" w:hAnsi="Times" w:cs="Times New Roman"/>
          <w:i/>
          <w:iCs/>
          <w:noProof/>
        </w:rPr>
        <w:t>Ecology</w:t>
      </w:r>
      <w:r w:rsidRPr="00D23BF1">
        <w:rPr>
          <w:rFonts w:ascii="Times" w:hAnsi="Times" w:cs="Times New Roman"/>
          <w:noProof/>
        </w:rPr>
        <w:t xml:space="preserve"> </w:t>
      </w:r>
      <w:r w:rsidRPr="00D23BF1">
        <w:rPr>
          <w:rFonts w:ascii="Times" w:hAnsi="Times" w:cs="Times New Roman"/>
          <w:b/>
          <w:bCs/>
          <w:noProof/>
        </w:rPr>
        <w:t>87</w:t>
      </w:r>
      <w:r w:rsidRPr="00D23BF1">
        <w:rPr>
          <w:rFonts w:ascii="Times" w:hAnsi="Times" w:cs="Times New Roman"/>
          <w:noProof/>
        </w:rPr>
        <w:t>, 1945–1952 (2006).</w:t>
      </w:r>
    </w:p>
    <w:p w14:paraId="3CC03C6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29.</w:t>
      </w:r>
      <w:r w:rsidRPr="00D23BF1">
        <w:rPr>
          <w:rFonts w:ascii="Times" w:hAnsi="Times" w:cs="Times New Roman"/>
          <w:noProof/>
        </w:rPr>
        <w:tab/>
        <w:t xml:space="preserve">Godon, J. J., Arulazhagan, P., Steyer, J. P. &amp; Hamelin, J. Vertebrate bacterial gut diversity: Size also matters. </w:t>
      </w:r>
      <w:r w:rsidRPr="00D23BF1">
        <w:rPr>
          <w:rFonts w:ascii="Times" w:hAnsi="Times" w:cs="Times New Roman"/>
          <w:i/>
          <w:iCs/>
          <w:noProof/>
        </w:rPr>
        <w:t>BMC Ecol.</w:t>
      </w:r>
      <w:r w:rsidRPr="00D23BF1">
        <w:rPr>
          <w:rFonts w:ascii="Times" w:hAnsi="Times" w:cs="Times New Roman"/>
          <w:noProof/>
        </w:rPr>
        <w:t xml:space="preserve"> </w:t>
      </w:r>
      <w:r w:rsidRPr="00D23BF1">
        <w:rPr>
          <w:rFonts w:ascii="Times" w:hAnsi="Times" w:cs="Times New Roman"/>
          <w:b/>
          <w:bCs/>
          <w:noProof/>
        </w:rPr>
        <w:t>16</w:t>
      </w:r>
      <w:r w:rsidRPr="00D23BF1">
        <w:rPr>
          <w:rFonts w:ascii="Times" w:hAnsi="Times" w:cs="Times New Roman"/>
          <w:noProof/>
        </w:rPr>
        <w:t>, 1–9 (2016).</w:t>
      </w:r>
    </w:p>
    <w:p w14:paraId="35DAE4F6"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30.</w:t>
      </w:r>
      <w:r w:rsidRPr="00D23BF1">
        <w:rPr>
          <w:rFonts w:ascii="Times" w:hAnsi="Times" w:cs="Times New Roman"/>
          <w:noProof/>
        </w:rPr>
        <w:tab/>
        <w:t xml:space="preserve">Turnbaugh, P. J., Bäckhed, F., Fulton, L. &amp; Gordon, J. I. Diet-induced obesity is linked to marked but reversible alterations in the mouse distal gut microbiome. </w:t>
      </w:r>
      <w:r w:rsidRPr="00D23BF1">
        <w:rPr>
          <w:rFonts w:ascii="Times" w:hAnsi="Times" w:cs="Times New Roman"/>
          <w:i/>
          <w:iCs/>
          <w:noProof/>
        </w:rPr>
        <w:t>Cell Host Microbe</w:t>
      </w:r>
      <w:r w:rsidRPr="00D23BF1">
        <w:rPr>
          <w:rFonts w:ascii="Times" w:hAnsi="Times" w:cs="Times New Roman"/>
          <w:noProof/>
        </w:rPr>
        <w:t xml:space="preserve"> </w:t>
      </w:r>
      <w:r w:rsidRPr="00D23BF1">
        <w:rPr>
          <w:rFonts w:ascii="Times" w:hAnsi="Times" w:cs="Times New Roman"/>
          <w:b/>
          <w:bCs/>
          <w:noProof/>
        </w:rPr>
        <w:t>3</w:t>
      </w:r>
      <w:r w:rsidRPr="00D23BF1">
        <w:rPr>
          <w:rFonts w:ascii="Times" w:hAnsi="Times" w:cs="Times New Roman"/>
          <w:noProof/>
        </w:rPr>
        <w:t>, 213–23 (2008).</w:t>
      </w:r>
    </w:p>
    <w:p w14:paraId="298E702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31.</w:t>
      </w:r>
      <w:r w:rsidRPr="00D23BF1">
        <w:rPr>
          <w:rFonts w:ascii="Times" w:hAnsi="Times" w:cs="Times New Roman"/>
          <w:noProof/>
        </w:rPr>
        <w:tab/>
        <w:t xml:space="preserve">Meillère, A., Brischoux, F. &amp; Angelier, F. Impact of chronic noise exposure on antipredator behavior: An experiment in breeding house sparrows. </w:t>
      </w:r>
      <w:r w:rsidRPr="00D23BF1">
        <w:rPr>
          <w:rFonts w:ascii="Times" w:hAnsi="Times" w:cs="Times New Roman"/>
          <w:i/>
          <w:iCs/>
          <w:noProof/>
        </w:rPr>
        <w:t>Behav. Ecol.</w:t>
      </w:r>
      <w:r w:rsidRPr="00D23BF1">
        <w:rPr>
          <w:rFonts w:ascii="Times" w:hAnsi="Times" w:cs="Times New Roman"/>
          <w:noProof/>
        </w:rPr>
        <w:t xml:space="preserve"> </w:t>
      </w:r>
      <w:r w:rsidRPr="00D23BF1">
        <w:rPr>
          <w:rFonts w:ascii="Times" w:hAnsi="Times" w:cs="Times New Roman"/>
          <w:b/>
          <w:bCs/>
          <w:noProof/>
        </w:rPr>
        <w:t>26</w:t>
      </w:r>
      <w:r w:rsidRPr="00D23BF1">
        <w:rPr>
          <w:rFonts w:ascii="Times" w:hAnsi="Times" w:cs="Times New Roman"/>
          <w:noProof/>
        </w:rPr>
        <w:t>, 569–577 (2015).</w:t>
      </w:r>
    </w:p>
    <w:p w14:paraId="5871909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32.</w:t>
      </w:r>
      <w:r w:rsidRPr="00D23BF1">
        <w:rPr>
          <w:rFonts w:ascii="Times" w:hAnsi="Times" w:cs="Times New Roman"/>
          <w:noProof/>
        </w:rPr>
        <w:tab/>
        <w:t xml:space="preserve">Grossinger, R. M., Striplen, C. J., Askevold, R. A., Brewster, E. &amp; Beller, E. E. Historical landscape ecology of an urbanized California valley: Wetlands and woodlands in the Santa Clara Valley. </w:t>
      </w:r>
      <w:r w:rsidRPr="00D23BF1">
        <w:rPr>
          <w:rFonts w:ascii="Times" w:hAnsi="Times" w:cs="Times New Roman"/>
          <w:i/>
          <w:iCs/>
          <w:noProof/>
        </w:rPr>
        <w:t>Landsc. Ecol.</w:t>
      </w:r>
      <w:r w:rsidRPr="00D23BF1">
        <w:rPr>
          <w:rFonts w:ascii="Times" w:hAnsi="Times" w:cs="Times New Roman"/>
          <w:noProof/>
        </w:rPr>
        <w:t xml:space="preserve"> </w:t>
      </w:r>
      <w:r w:rsidRPr="00D23BF1">
        <w:rPr>
          <w:rFonts w:ascii="Times" w:hAnsi="Times" w:cs="Times New Roman"/>
          <w:b/>
          <w:bCs/>
          <w:noProof/>
        </w:rPr>
        <w:t>22</w:t>
      </w:r>
      <w:r w:rsidRPr="00D23BF1">
        <w:rPr>
          <w:rFonts w:ascii="Times" w:hAnsi="Times" w:cs="Times New Roman"/>
          <w:noProof/>
        </w:rPr>
        <w:t>, 103–120 (2007).</w:t>
      </w:r>
    </w:p>
    <w:p w14:paraId="17C5A7F6"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33.</w:t>
      </w:r>
      <w:r w:rsidRPr="00D23BF1">
        <w:rPr>
          <w:rFonts w:ascii="Times" w:hAnsi="Times" w:cs="Times New Roman"/>
          <w:noProof/>
        </w:rPr>
        <w:tab/>
        <w:t xml:space="preserve">Berlow, M., Kohl, K. D. &amp; Derryberry, E. P. Evaluation of non-lethal gut microbiome sampling methods in a passerine bird. </w:t>
      </w:r>
      <w:r w:rsidRPr="00D23BF1">
        <w:rPr>
          <w:rFonts w:ascii="Times" w:hAnsi="Times" w:cs="Times New Roman"/>
          <w:i/>
          <w:iCs/>
          <w:noProof/>
        </w:rPr>
        <w:t>Ibis (Lond. 1859).</w:t>
      </w:r>
      <w:r w:rsidRPr="00D23BF1">
        <w:rPr>
          <w:rFonts w:ascii="Times" w:hAnsi="Times" w:cs="Times New Roman"/>
          <w:noProof/>
        </w:rPr>
        <w:t xml:space="preserve"> ibi.12807 (2019) doi:10.1111/ibi.12807.</w:t>
      </w:r>
    </w:p>
    <w:p w14:paraId="14C9427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34.</w:t>
      </w:r>
      <w:r w:rsidRPr="00D23BF1">
        <w:rPr>
          <w:rFonts w:ascii="Times" w:hAnsi="Times" w:cs="Times New Roman"/>
          <w:noProof/>
        </w:rPr>
        <w:tab/>
        <w:t xml:space="preserve">Phillips, J. N., Gentry, K. E., Luther, D. A. &amp; Derryberry, E. P. Surviving in the city: higher apparent survival for urban birds but worse condition on noisy territories. </w:t>
      </w:r>
      <w:r w:rsidRPr="00D23BF1">
        <w:rPr>
          <w:rFonts w:ascii="Times" w:hAnsi="Times" w:cs="Times New Roman"/>
          <w:i/>
          <w:iCs/>
          <w:noProof/>
        </w:rPr>
        <w:t>Ecosphere</w:t>
      </w:r>
      <w:r w:rsidRPr="00D23BF1">
        <w:rPr>
          <w:rFonts w:ascii="Times" w:hAnsi="Times" w:cs="Times New Roman"/>
          <w:noProof/>
        </w:rPr>
        <w:t xml:space="preserve"> </w:t>
      </w:r>
      <w:r w:rsidRPr="00D23BF1">
        <w:rPr>
          <w:rFonts w:ascii="Times" w:hAnsi="Times" w:cs="Times New Roman"/>
          <w:b/>
          <w:bCs/>
          <w:noProof/>
        </w:rPr>
        <w:t>9</w:t>
      </w:r>
      <w:r w:rsidRPr="00D23BF1">
        <w:rPr>
          <w:rFonts w:ascii="Times" w:hAnsi="Times" w:cs="Times New Roman"/>
          <w:noProof/>
        </w:rPr>
        <w:t>, 1–12 (2018).</w:t>
      </w:r>
    </w:p>
    <w:p w14:paraId="080693C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35.</w:t>
      </w:r>
      <w:r w:rsidRPr="00D23BF1">
        <w:rPr>
          <w:rFonts w:ascii="Times" w:hAnsi="Times" w:cs="Times New Roman"/>
          <w:noProof/>
        </w:rPr>
        <w:tab/>
        <w:t xml:space="preserve">Bolnick, D. I. </w:t>
      </w:r>
      <w:r w:rsidRPr="00D23BF1">
        <w:rPr>
          <w:rFonts w:ascii="Times" w:hAnsi="Times" w:cs="Times New Roman"/>
          <w:i/>
          <w:iCs/>
          <w:noProof/>
        </w:rPr>
        <w:t>et al.</w:t>
      </w:r>
      <w:r w:rsidRPr="00D23BF1">
        <w:rPr>
          <w:rFonts w:ascii="Times" w:hAnsi="Times" w:cs="Times New Roman"/>
          <w:noProof/>
        </w:rPr>
        <w:t xml:space="preserve"> Individual diet has sex-dependent effects on vertebrate gut microbiota. </w:t>
      </w:r>
      <w:r w:rsidRPr="00D23BF1">
        <w:rPr>
          <w:rFonts w:ascii="Times" w:hAnsi="Times" w:cs="Times New Roman"/>
          <w:i/>
          <w:iCs/>
          <w:noProof/>
        </w:rPr>
        <w:t>Nat. Commun.</w:t>
      </w:r>
      <w:r w:rsidRPr="00D23BF1">
        <w:rPr>
          <w:rFonts w:ascii="Times" w:hAnsi="Times" w:cs="Times New Roman"/>
          <w:noProof/>
        </w:rPr>
        <w:t xml:space="preserve"> </w:t>
      </w:r>
      <w:r w:rsidRPr="00D23BF1">
        <w:rPr>
          <w:rFonts w:ascii="Times" w:hAnsi="Times" w:cs="Times New Roman"/>
          <w:b/>
          <w:bCs/>
          <w:noProof/>
        </w:rPr>
        <w:t>5</w:t>
      </w:r>
      <w:r w:rsidRPr="00D23BF1">
        <w:rPr>
          <w:rFonts w:ascii="Times" w:hAnsi="Times" w:cs="Times New Roman"/>
          <w:noProof/>
        </w:rPr>
        <w:t>, 4500 (2014).</w:t>
      </w:r>
    </w:p>
    <w:p w14:paraId="7F5F67D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36.</w:t>
      </w:r>
      <w:r w:rsidRPr="00D23BF1">
        <w:rPr>
          <w:rFonts w:ascii="Times" w:hAnsi="Times" w:cs="Times New Roman"/>
          <w:noProof/>
        </w:rPr>
        <w:tab/>
        <w:t>Pyle, P. Identification Guide to North American Birds. in (1997).</w:t>
      </w:r>
    </w:p>
    <w:p w14:paraId="0A1FB8A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37.</w:t>
      </w:r>
      <w:r w:rsidRPr="00D23BF1">
        <w:rPr>
          <w:rFonts w:ascii="Times" w:hAnsi="Times" w:cs="Times New Roman"/>
          <w:noProof/>
        </w:rPr>
        <w:tab/>
        <w:t xml:space="preserve">Peig, J. &amp; Green, A. J. New perspectives for estimating body condition from mass/length data: The scaled mass index as an alternative method. </w:t>
      </w:r>
      <w:r w:rsidRPr="00D23BF1">
        <w:rPr>
          <w:rFonts w:ascii="Times" w:hAnsi="Times" w:cs="Times New Roman"/>
          <w:i/>
          <w:iCs/>
          <w:noProof/>
        </w:rPr>
        <w:t>Oikos</w:t>
      </w:r>
      <w:r w:rsidRPr="00D23BF1">
        <w:rPr>
          <w:rFonts w:ascii="Times" w:hAnsi="Times" w:cs="Times New Roman"/>
          <w:noProof/>
        </w:rPr>
        <w:t xml:space="preserve"> </w:t>
      </w:r>
      <w:r w:rsidRPr="00D23BF1">
        <w:rPr>
          <w:rFonts w:ascii="Times" w:hAnsi="Times" w:cs="Times New Roman"/>
          <w:b/>
          <w:bCs/>
          <w:noProof/>
        </w:rPr>
        <w:t>118</w:t>
      </w:r>
      <w:r w:rsidRPr="00D23BF1">
        <w:rPr>
          <w:rFonts w:ascii="Times" w:hAnsi="Times" w:cs="Times New Roman"/>
          <w:noProof/>
        </w:rPr>
        <w:t>, 1883–</w:t>
      </w:r>
      <w:r w:rsidRPr="00D23BF1">
        <w:rPr>
          <w:rFonts w:ascii="Times" w:hAnsi="Times" w:cs="Times New Roman"/>
          <w:noProof/>
        </w:rPr>
        <w:lastRenderedPageBreak/>
        <w:t>1891 (2009).</w:t>
      </w:r>
    </w:p>
    <w:p w14:paraId="7DFC1A8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38.</w:t>
      </w:r>
      <w:r w:rsidRPr="00D23BF1">
        <w:rPr>
          <w:rFonts w:ascii="Times" w:hAnsi="Times" w:cs="Times New Roman"/>
          <w:noProof/>
        </w:rPr>
        <w:tab/>
        <w:t xml:space="preserve">Brumm, H. The impact of environmental noise on song amplitude in a territorial bird. </w:t>
      </w:r>
      <w:r w:rsidRPr="00D23BF1">
        <w:rPr>
          <w:rFonts w:ascii="Times" w:hAnsi="Times" w:cs="Times New Roman"/>
          <w:i/>
          <w:iCs/>
          <w:noProof/>
        </w:rPr>
        <w:t>J. Anim. Ecol.</w:t>
      </w:r>
      <w:r w:rsidRPr="00D23BF1">
        <w:rPr>
          <w:rFonts w:ascii="Times" w:hAnsi="Times" w:cs="Times New Roman"/>
          <w:noProof/>
        </w:rPr>
        <w:t xml:space="preserve"> </w:t>
      </w:r>
      <w:r w:rsidRPr="00D23BF1">
        <w:rPr>
          <w:rFonts w:ascii="Times" w:hAnsi="Times" w:cs="Times New Roman"/>
          <w:b/>
          <w:bCs/>
          <w:noProof/>
        </w:rPr>
        <w:t>73</w:t>
      </w:r>
      <w:r w:rsidRPr="00D23BF1">
        <w:rPr>
          <w:rFonts w:ascii="Times" w:hAnsi="Times" w:cs="Times New Roman"/>
          <w:noProof/>
        </w:rPr>
        <w:t>, 434–440 (2004).</w:t>
      </w:r>
    </w:p>
    <w:p w14:paraId="4B91FBB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39.</w:t>
      </w:r>
      <w:r w:rsidRPr="00D23BF1">
        <w:rPr>
          <w:rFonts w:ascii="Times" w:hAnsi="Times" w:cs="Times New Roman"/>
          <w:noProof/>
        </w:rPr>
        <w:tab/>
        <w:t xml:space="preserve">Vo,  a.-T. E. &amp; Jedlicka, J. a. Protocols for metagenomic DNA extraction and Illumina amplicon library preparation for faecal and swab samples. </w:t>
      </w:r>
      <w:r w:rsidRPr="00D23BF1">
        <w:rPr>
          <w:rFonts w:ascii="Times" w:hAnsi="Times" w:cs="Times New Roman"/>
          <w:i/>
          <w:iCs/>
          <w:noProof/>
        </w:rPr>
        <w:t>Mol. Ecol. Resour.</w:t>
      </w:r>
      <w:r w:rsidRPr="00D23BF1">
        <w:rPr>
          <w:rFonts w:ascii="Times" w:hAnsi="Times" w:cs="Times New Roman"/>
          <w:noProof/>
        </w:rPr>
        <w:t xml:space="preserve"> </w:t>
      </w:r>
      <w:r w:rsidRPr="00D23BF1">
        <w:rPr>
          <w:rFonts w:ascii="Times" w:hAnsi="Times" w:cs="Times New Roman"/>
          <w:b/>
          <w:bCs/>
          <w:noProof/>
        </w:rPr>
        <w:t>14</w:t>
      </w:r>
      <w:r w:rsidRPr="00D23BF1">
        <w:rPr>
          <w:rFonts w:ascii="Times" w:hAnsi="Times" w:cs="Times New Roman"/>
          <w:noProof/>
        </w:rPr>
        <w:t>, 1183–1197 (2014).</w:t>
      </w:r>
    </w:p>
    <w:p w14:paraId="3A736E1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40.</w:t>
      </w:r>
      <w:r w:rsidRPr="00D23BF1">
        <w:rPr>
          <w:rFonts w:ascii="Times" w:hAnsi="Times" w:cs="Times New Roman"/>
          <w:noProof/>
        </w:rPr>
        <w:tab/>
        <w:t xml:space="preserve">Caporaso, J. G. </w:t>
      </w:r>
      <w:r w:rsidRPr="00D23BF1">
        <w:rPr>
          <w:rFonts w:ascii="Times" w:hAnsi="Times" w:cs="Times New Roman"/>
          <w:i/>
          <w:iCs/>
          <w:noProof/>
        </w:rPr>
        <w:t>et al.</w:t>
      </w:r>
      <w:r w:rsidRPr="00D23BF1">
        <w:rPr>
          <w:rFonts w:ascii="Times" w:hAnsi="Times" w:cs="Times New Roman"/>
          <w:noProof/>
        </w:rPr>
        <w:t xml:space="preserve"> Ultra-high-throughput microbial community analysis on the Illumina HiSeq and MiSeq platforms. </w:t>
      </w:r>
      <w:r w:rsidRPr="00D23BF1">
        <w:rPr>
          <w:rFonts w:ascii="Times" w:hAnsi="Times" w:cs="Times New Roman"/>
          <w:i/>
          <w:iCs/>
          <w:noProof/>
        </w:rPr>
        <w:t>ISME J.</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1621–1624 (2012).</w:t>
      </w:r>
    </w:p>
    <w:p w14:paraId="7952EF1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41.</w:t>
      </w:r>
      <w:r w:rsidRPr="00D23BF1">
        <w:rPr>
          <w:rFonts w:ascii="Times" w:hAnsi="Times" w:cs="Times New Roman"/>
          <w:noProof/>
        </w:rPr>
        <w:tab/>
        <w:t xml:space="preserve">Bolyen, E. </w:t>
      </w:r>
      <w:r w:rsidRPr="00D23BF1">
        <w:rPr>
          <w:rFonts w:ascii="Times" w:hAnsi="Times" w:cs="Times New Roman"/>
          <w:i/>
          <w:iCs/>
          <w:noProof/>
        </w:rPr>
        <w:t>et al.</w:t>
      </w:r>
      <w:r w:rsidRPr="00D23BF1">
        <w:rPr>
          <w:rFonts w:ascii="Times" w:hAnsi="Times" w:cs="Times New Roman"/>
          <w:noProof/>
        </w:rPr>
        <w:t xml:space="preserve"> Reproducible, interactive, scalable and extensible microbiome data science using QIIME 2 (Nature Biotechnology, (2019), 37, 8, (852-857), 10.1038/s41587-019-0209-9). </w:t>
      </w:r>
      <w:r w:rsidRPr="00D23BF1">
        <w:rPr>
          <w:rFonts w:ascii="Times" w:hAnsi="Times" w:cs="Times New Roman"/>
          <w:i/>
          <w:iCs/>
          <w:noProof/>
        </w:rPr>
        <w:t>Nat. Biotechnol.</w:t>
      </w:r>
      <w:r w:rsidRPr="00D23BF1">
        <w:rPr>
          <w:rFonts w:ascii="Times" w:hAnsi="Times" w:cs="Times New Roman"/>
          <w:noProof/>
        </w:rPr>
        <w:t xml:space="preserve"> </w:t>
      </w:r>
      <w:r w:rsidRPr="00D23BF1">
        <w:rPr>
          <w:rFonts w:ascii="Times" w:hAnsi="Times" w:cs="Times New Roman"/>
          <w:b/>
          <w:bCs/>
          <w:noProof/>
        </w:rPr>
        <w:t>37</w:t>
      </w:r>
      <w:r w:rsidRPr="00D23BF1">
        <w:rPr>
          <w:rFonts w:ascii="Times" w:hAnsi="Times" w:cs="Times New Roman"/>
          <w:noProof/>
        </w:rPr>
        <w:t>, 852–857 (2019).</w:t>
      </w:r>
    </w:p>
    <w:p w14:paraId="7DAB794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42.</w:t>
      </w:r>
      <w:r w:rsidRPr="00D23BF1">
        <w:rPr>
          <w:rFonts w:ascii="Times" w:hAnsi="Times" w:cs="Times New Roman"/>
          <w:noProof/>
        </w:rPr>
        <w:tab/>
        <w:t xml:space="preserve">Rosen, M. J., Callahan, B. J., Fisher, D. S. &amp; Holmes, S. P. Denoising PCR-amplified metagenome data. </w:t>
      </w:r>
      <w:r w:rsidRPr="00D23BF1">
        <w:rPr>
          <w:rFonts w:ascii="Times" w:hAnsi="Times" w:cs="Times New Roman"/>
          <w:i/>
          <w:iCs/>
          <w:noProof/>
        </w:rPr>
        <w:t>BMC Bioinformatics</w:t>
      </w:r>
      <w:r w:rsidRPr="00D23BF1">
        <w:rPr>
          <w:rFonts w:ascii="Times" w:hAnsi="Times" w:cs="Times New Roman"/>
          <w:noProof/>
        </w:rPr>
        <w:t xml:space="preserve"> </w:t>
      </w:r>
      <w:r w:rsidRPr="00D23BF1">
        <w:rPr>
          <w:rFonts w:ascii="Times" w:hAnsi="Times" w:cs="Times New Roman"/>
          <w:b/>
          <w:bCs/>
          <w:noProof/>
        </w:rPr>
        <w:t>13</w:t>
      </w:r>
      <w:r w:rsidRPr="00D23BF1">
        <w:rPr>
          <w:rFonts w:ascii="Times" w:hAnsi="Times" w:cs="Times New Roman"/>
          <w:noProof/>
        </w:rPr>
        <w:t>, (2012).</w:t>
      </w:r>
    </w:p>
    <w:p w14:paraId="3657B776"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43.</w:t>
      </w:r>
      <w:r w:rsidRPr="00D23BF1">
        <w:rPr>
          <w:rFonts w:ascii="Times" w:hAnsi="Times" w:cs="Times New Roman"/>
          <w:noProof/>
        </w:rPr>
        <w:tab/>
        <w:t xml:space="preserve">Price, M. N., Dehal, P. S. &amp; Arkin, A. P. FastTree 2 - Approximately maximum-likelihood trees for large alignments. </w:t>
      </w:r>
      <w:r w:rsidRPr="00D23BF1">
        <w:rPr>
          <w:rFonts w:ascii="Times" w:hAnsi="Times" w:cs="Times New Roman"/>
          <w:i/>
          <w:iCs/>
          <w:noProof/>
        </w:rPr>
        <w:t>PLoS One</w:t>
      </w:r>
      <w:r w:rsidRPr="00D23BF1">
        <w:rPr>
          <w:rFonts w:ascii="Times" w:hAnsi="Times" w:cs="Times New Roman"/>
          <w:noProof/>
        </w:rPr>
        <w:t xml:space="preserve"> </w:t>
      </w:r>
      <w:r w:rsidRPr="00D23BF1">
        <w:rPr>
          <w:rFonts w:ascii="Times" w:hAnsi="Times" w:cs="Times New Roman"/>
          <w:b/>
          <w:bCs/>
          <w:noProof/>
        </w:rPr>
        <w:t>5</w:t>
      </w:r>
      <w:r w:rsidRPr="00D23BF1">
        <w:rPr>
          <w:rFonts w:ascii="Times" w:hAnsi="Times" w:cs="Times New Roman"/>
          <w:noProof/>
        </w:rPr>
        <w:t>, (2010).</w:t>
      </w:r>
    </w:p>
    <w:p w14:paraId="5E2605A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44.</w:t>
      </w:r>
      <w:r w:rsidRPr="00D23BF1">
        <w:rPr>
          <w:rFonts w:ascii="Times" w:hAnsi="Times" w:cs="Times New Roman"/>
          <w:noProof/>
        </w:rPr>
        <w:tab/>
        <w:t xml:space="preserve">McDonald, D. </w:t>
      </w:r>
      <w:r w:rsidRPr="00D23BF1">
        <w:rPr>
          <w:rFonts w:ascii="Times" w:hAnsi="Times" w:cs="Times New Roman"/>
          <w:i/>
          <w:iCs/>
          <w:noProof/>
        </w:rPr>
        <w:t>et al.</w:t>
      </w:r>
      <w:r w:rsidRPr="00D23BF1">
        <w:rPr>
          <w:rFonts w:ascii="Times" w:hAnsi="Times" w:cs="Times New Roman"/>
          <w:noProof/>
        </w:rPr>
        <w:t xml:space="preserve"> An improved Greengenes taxonomy with explicit ranks for ecological and evolutionary analyses of bacteria and archaea. </w:t>
      </w:r>
      <w:r w:rsidRPr="00D23BF1">
        <w:rPr>
          <w:rFonts w:ascii="Times" w:hAnsi="Times" w:cs="Times New Roman"/>
          <w:i/>
          <w:iCs/>
          <w:noProof/>
        </w:rPr>
        <w:t>ISME J.</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610–618 (2012).</w:t>
      </w:r>
    </w:p>
    <w:p w14:paraId="73B3C50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45.</w:t>
      </w:r>
      <w:r w:rsidRPr="00D23BF1">
        <w:rPr>
          <w:rFonts w:ascii="Times" w:hAnsi="Times" w:cs="Times New Roman"/>
          <w:noProof/>
        </w:rPr>
        <w:tab/>
        <w:t xml:space="preserve">Segata, N. </w:t>
      </w:r>
      <w:r w:rsidRPr="00D23BF1">
        <w:rPr>
          <w:rFonts w:ascii="Times" w:hAnsi="Times" w:cs="Times New Roman"/>
          <w:i/>
          <w:iCs/>
          <w:noProof/>
        </w:rPr>
        <w:t>et al.</w:t>
      </w:r>
      <w:r w:rsidRPr="00D23BF1">
        <w:rPr>
          <w:rFonts w:ascii="Times" w:hAnsi="Times" w:cs="Times New Roman"/>
          <w:noProof/>
        </w:rPr>
        <w:t xml:space="preserve"> Metagenomic biomarker discovery and explanation. </w:t>
      </w:r>
      <w:r w:rsidRPr="00D23BF1">
        <w:rPr>
          <w:rFonts w:ascii="Times" w:hAnsi="Times" w:cs="Times New Roman"/>
          <w:i/>
          <w:iCs/>
          <w:noProof/>
        </w:rPr>
        <w:t>Genome Biol.</w:t>
      </w:r>
      <w:r w:rsidRPr="00D23BF1">
        <w:rPr>
          <w:rFonts w:ascii="Times" w:hAnsi="Times" w:cs="Times New Roman"/>
          <w:noProof/>
        </w:rPr>
        <w:t xml:space="preserve"> </w:t>
      </w:r>
      <w:r w:rsidRPr="00D23BF1">
        <w:rPr>
          <w:rFonts w:ascii="Times" w:hAnsi="Times" w:cs="Times New Roman"/>
          <w:b/>
          <w:bCs/>
          <w:noProof/>
        </w:rPr>
        <w:t>12</w:t>
      </w:r>
      <w:r w:rsidRPr="00D23BF1">
        <w:rPr>
          <w:rFonts w:ascii="Times" w:hAnsi="Times" w:cs="Times New Roman"/>
          <w:noProof/>
        </w:rPr>
        <w:t>, R60 (2011).</w:t>
      </w:r>
    </w:p>
    <w:p w14:paraId="529BD82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46.</w:t>
      </w:r>
      <w:r w:rsidRPr="00D23BF1">
        <w:rPr>
          <w:rFonts w:ascii="Times" w:hAnsi="Times" w:cs="Times New Roman"/>
          <w:noProof/>
        </w:rPr>
        <w:tab/>
        <w:t xml:space="preserve">Chao, A., Chiu, C.-H. &amp; Jost, L. Unifying Species Diversity, Phylogenetic Diversity, Functional Diversity, and Related Similarity and Differentiation Measures Through Hill Numbers. </w:t>
      </w:r>
      <w:r w:rsidRPr="00D23BF1">
        <w:rPr>
          <w:rFonts w:ascii="Times" w:hAnsi="Times" w:cs="Times New Roman"/>
          <w:i/>
          <w:iCs/>
          <w:noProof/>
        </w:rPr>
        <w:t>Annu. Rev. Ecol. Evol. Syst.</w:t>
      </w:r>
      <w:r w:rsidRPr="00D23BF1">
        <w:rPr>
          <w:rFonts w:ascii="Times" w:hAnsi="Times" w:cs="Times New Roman"/>
          <w:noProof/>
        </w:rPr>
        <w:t xml:space="preserve"> </w:t>
      </w:r>
      <w:r w:rsidRPr="00D23BF1">
        <w:rPr>
          <w:rFonts w:ascii="Times" w:hAnsi="Times" w:cs="Times New Roman"/>
          <w:b/>
          <w:bCs/>
          <w:noProof/>
        </w:rPr>
        <w:t>45</w:t>
      </w:r>
      <w:r w:rsidRPr="00D23BF1">
        <w:rPr>
          <w:rFonts w:ascii="Times" w:hAnsi="Times" w:cs="Times New Roman"/>
          <w:noProof/>
        </w:rPr>
        <w:t>, 297–324 (2014).</w:t>
      </w:r>
    </w:p>
    <w:p w14:paraId="3FBFDB7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47.</w:t>
      </w:r>
      <w:r w:rsidRPr="00D23BF1">
        <w:rPr>
          <w:rFonts w:ascii="Times" w:hAnsi="Times" w:cs="Times New Roman"/>
          <w:noProof/>
        </w:rPr>
        <w:tab/>
        <w:t xml:space="preserve">Jost, L. Partitioning diversity into independent alpha and beta components. </w:t>
      </w:r>
      <w:r w:rsidRPr="00D23BF1">
        <w:rPr>
          <w:rFonts w:ascii="Times" w:hAnsi="Times" w:cs="Times New Roman"/>
          <w:i/>
          <w:iCs/>
          <w:noProof/>
        </w:rPr>
        <w:t>Ecology</w:t>
      </w:r>
      <w:r w:rsidRPr="00D23BF1">
        <w:rPr>
          <w:rFonts w:ascii="Times" w:hAnsi="Times" w:cs="Times New Roman"/>
          <w:noProof/>
        </w:rPr>
        <w:t xml:space="preserve"> </w:t>
      </w:r>
      <w:r w:rsidRPr="00D23BF1">
        <w:rPr>
          <w:rFonts w:ascii="Times" w:hAnsi="Times" w:cs="Times New Roman"/>
          <w:b/>
          <w:bCs/>
          <w:noProof/>
        </w:rPr>
        <w:t>90</w:t>
      </w:r>
      <w:r w:rsidRPr="00D23BF1">
        <w:rPr>
          <w:rFonts w:ascii="Times" w:hAnsi="Times" w:cs="Times New Roman"/>
          <w:noProof/>
        </w:rPr>
        <w:t>, 3593 (2009).</w:t>
      </w:r>
    </w:p>
    <w:p w14:paraId="3E53E7E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48.</w:t>
      </w:r>
      <w:r w:rsidRPr="00D23BF1">
        <w:rPr>
          <w:rFonts w:ascii="Times" w:hAnsi="Times" w:cs="Times New Roman"/>
          <w:noProof/>
        </w:rPr>
        <w:tab/>
        <w:t xml:space="preserve">Team, R. D. C. &amp; R Development Core Team, R. R: A Language and Environment for Statistical Computing. </w:t>
      </w:r>
      <w:r w:rsidRPr="00D23BF1">
        <w:rPr>
          <w:rFonts w:ascii="Times" w:hAnsi="Times" w:cs="Times New Roman"/>
          <w:i/>
          <w:iCs/>
          <w:noProof/>
        </w:rPr>
        <w:t>R Found. Stat. Comput.</w:t>
      </w:r>
      <w:r w:rsidRPr="00D23BF1">
        <w:rPr>
          <w:rFonts w:ascii="Times" w:hAnsi="Times" w:cs="Times New Roman"/>
          <w:noProof/>
        </w:rPr>
        <w:t xml:space="preserve"> (2016) doi:10.1007/978-3-540-74686-7.</w:t>
      </w:r>
    </w:p>
    <w:p w14:paraId="33F5850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49.</w:t>
      </w:r>
      <w:r w:rsidRPr="00D23BF1">
        <w:rPr>
          <w:rFonts w:ascii="Times" w:hAnsi="Times" w:cs="Times New Roman"/>
          <w:noProof/>
        </w:rPr>
        <w:tab/>
        <w:t>Mazerolle, M. Model Selection and Multimodel Inference Based on (Q)AIC(c) Version 2.2-2 Date. 1–212 (2019).</w:t>
      </w:r>
    </w:p>
    <w:p w14:paraId="6CFD492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50.</w:t>
      </w:r>
      <w:r w:rsidRPr="00D23BF1">
        <w:rPr>
          <w:rFonts w:ascii="Times" w:hAnsi="Times" w:cs="Times New Roman"/>
          <w:noProof/>
        </w:rPr>
        <w:tab/>
        <w:t>Wickham, H. ggplot2</w:t>
      </w:r>
      <w:r w:rsidRPr="00D23BF1">
        <w:rPr>
          <w:rFonts w:ascii="Times New Roman" w:hAnsi="Times New Roman" w:cs="Times New Roman"/>
          <w:noProof/>
        </w:rPr>
        <w:t> </w:t>
      </w:r>
      <w:r w:rsidRPr="00D23BF1">
        <w:rPr>
          <w:rFonts w:ascii="Times" w:hAnsi="Times" w:cs="Times New Roman"/>
          <w:noProof/>
        </w:rPr>
        <w:t xml:space="preserve">: Elegant graphics for data analysis. </w:t>
      </w:r>
      <w:r w:rsidRPr="00D23BF1">
        <w:rPr>
          <w:rFonts w:ascii="Times" w:hAnsi="Times" w:cs="Times New Roman"/>
          <w:i/>
          <w:iCs/>
          <w:noProof/>
        </w:rPr>
        <w:t>Book</w:t>
      </w:r>
      <w:r w:rsidRPr="00D23BF1">
        <w:rPr>
          <w:rFonts w:ascii="Times" w:hAnsi="Times" w:cs="Times New Roman"/>
          <w:noProof/>
        </w:rPr>
        <w:t xml:space="preserve"> </w:t>
      </w:r>
      <w:r w:rsidRPr="00D23BF1">
        <w:rPr>
          <w:rFonts w:ascii="Times" w:hAnsi="Times" w:cs="Times New Roman"/>
          <w:b/>
          <w:bCs/>
          <w:noProof/>
        </w:rPr>
        <w:t>35</w:t>
      </w:r>
      <w:r w:rsidRPr="00D23BF1">
        <w:rPr>
          <w:rFonts w:ascii="Times" w:hAnsi="Times" w:cs="Times New Roman"/>
          <w:noProof/>
        </w:rPr>
        <w:t>, 211 (2009).</w:t>
      </w:r>
    </w:p>
    <w:p w14:paraId="4BEBBD9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51.</w:t>
      </w:r>
      <w:r w:rsidRPr="00D23BF1">
        <w:rPr>
          <w:rFonts w:ascii="Times" w:hAnsi="Times" w:cs="Times New Roman"/>
          <w:noProof/>
        </w:rPr>
        <w:tab/>
        <w:t>Lozupone, C. &amp; Knight, R. UniFrac</w:t>
      </w:r>
      <w:r w:rsidRPr="00D23BF1">
        <w:rPr>
          <w:rFonts w:ascii="Times New Roman" w:hAnsi="Times New Roman" w:cs="Times New Roman"/>
          <w:noProof/>
        </w:rPr>
        <w:t> </w:t>
      </w:r>
      <w:r w:rsidRPr="00D23BF1">
        <w:rPr>
          <w:rFonts w:ascii="Times" w:hAnsi="Times" w:cs="Times New Roman"/>
          <w:noProof/>
        </w:rPr>
        <w:t>: a New Phylogenetic Method for Comparing Microbial Communities UniFrac</w:t>
      </w:r>
      <w:r w:rsidRPr="00D23BF1">
        <w:rPr>
          <w:rFonts w:ascii="Times New Roman" w:hAnsi="Times New Roman" w:cs="Times New Roman"/>
          <w:noProof/>
        </w:rPr>
        <w:t> </w:t>
      </w:r>
      <w:r w:rsidRPr="00D23BF1">
        <w:rPr>
          <w:rFonts w:ascii="Times" w:hAnsi="Times" w:cs="Times New Roman"/>
          <w:noProof/>
        </w:rPr>
        <w:t xml:space="preserve">: a New Phylogenetic Method for Comparing Microbial Communities. </w:t>
      </w:r>
      <w:r w:rsidRPr="00D23BF1">
        <w:rPr>
          <w:rFonts w:ascii="Times" w:hAnsi="Times" w:cs="Times New Roman"/>
          <w:i/>
          <w:iCs/>
          <w:noProof/>
        </w:rPr>
        <w:t>Appl. Environ. Microbiol.</w:t>
      </w:r>
      <w:r w:rsidRPr="00D23BF1">
        <w:rPr>
          <w:rFonts w:ascii="Times" w:hAnsi="Times" w:cs="Times New Roman"/>
          <w:noProof/>
        </w:rPr>
        <w:t xml:space="preserve"> </w:t>
      </w:r>
      <w:r w:rsidRPr="00D23BF1">
        <w:rPr>
          <w:rFonts w:ascii="Times" w:hAnsi="Times" w:cs="Times New Roman"/>
          <w:b/>
          <w:bCs/>
          <w:noProof/>
        </w:rPr>
        <w:t>71</w:t>
      </w:r>
      <w:r w:rsidRPr="00D23BF1">
        <w:rPr>
          <w:rFonts w:ascii="Times" w:hAnsi="Times" w:cs="Times New Roman"/>
          <w:noProof/>
        </w:rPr>
        <w:t>, 8228–8235 (2005).</w:t>
      </w:r>
    </w:p>
    <w:p w14:paraId="2DD66AF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52.</w:t>
      </w:r>
      <w:r w:rsidRPr="00D23BF1">
        <w:rPr>
          <w:rFonts w:ascii="Times" w:hAnsi="Times" w:cs="Times New Roman"/>
          <w:noProof/>
        </w:rPr>
        <w:tab/>
        <w:t xml:space="preserve">Oksanen, J. Vegan: Community Ecology Package. R package version 2.4-3. </w:t>
      </w:r>
      <w:r w:rsidRPr="00D23BF1">
        <w:rPr>
          <w:rFonts w:ascii="Times" w:hAnsi="Times" w:cs="Times New Roman"/>
          <w:i/>
          <w:iCs/>
          <w:noProof/>
        </w:rPr>
        <w:t>https://CRAN.R-project.org/package=vegan</w:t>
      </w:r>
      <w:r w:rsidRPr="00D23BF1">
        <w:rPr>
          <w:rFonts w:ascii="Times" w:hAnsi="Times" w:cs="Times New Roman"/>
          <w:noProof/>
        </w:rPr>
        <w:t xml:space="preserve"> (2015) doi:10.1038/sj.leu.2402722.</w:t>
      </w:r>
    </w:p>
    <w:p w14:paraId="15D3007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53.</w:t>
      </w:r>
      <w:r w:rsidRPr="00D23BF1">
        <w:rPr>
          <w:rFonts w:ascii="Times" w:hAnsi="Times" w:cs="Times New Roman"/>
          <w:noProof/>
        </w:rPr>
        <w:tab/>
        <w:t xml:space="preserve">Hubálek, Z. An annotated checklist of pathogenic microorganisms associated with migratory birds. </w:t>
      </w:r>
      <w:r w:rsidRPr="00D23BF1">
        <w:rPr>
          <w:rFonts w:ascii="Times" w:hAnsi="Times" w:cs="Times New Roman"/>
          <w:i/>
          <w:iCs/>
          <w:noProof/>
        </w:rPr>
        <w:t>J. Wildl. Dis.</w:t>
      </w:r>
      <w:r w:rsidRPr="00D23BF1">
        <w:rPr>
          <w:rFonts w:ascii="Times" w:hAnsi="Times" w:cs="Times New Roman"/>
          <w:noProof/>
        </w:rPr>
        <w:t xml:space="preserve"> </w:t>
      </w:r>
      <w:r w:rsidRPr="00D23BF1">
        <w:rPr>
          <w:rFonts w:ascii="Times" w:hAnsi="Times" w:cs="Times New Roman"/>
          <w:b/>
          <w:bCs/>
          <w:noProof/>
        </w:rPr>
        <w:t>40</w:t>
      </w:r>
      <w:r w:rsidRPr="00D23BF1">
        <w:rPr>
          <w:rFonts w:ascii="Times" w:hAnsi="Times" w:cs="Times New Roman"/>
          <w:noProof/>
        </w:rPr>
        <w:t>, 639–659 (2004).</w:t>
      </w:r>
    </w:p>
    <w:p w14:paraId="5AC4C00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54.</w:t>
      </w:r>
      <w:r w:rsidRPr="00D23BF1">
        <w:rPr>
          <w:rFonts w:ascii="Times" w:hAnsi="Times" w:cs="Times New Roman"/>
          <w:noProof/>
        </w:rPr>
        <w:tab/>
        <w:t xml:space="preserve">Knutie, S. A., Chaves, J. A. &amp; Gotanda, K. M. Human activity can influence the gut microbiota of Darwin’s finches in the Galapagos Islands. </w:t>
      </w:r>
      <w:r w:rsidRPr="00D23BF1">
        <w:rPr>
          <w:rFonts w:ascii="Times" w:hAnsi="Times" w:cs="Times New Roman"/>
          <w:i/>
          <w:iCs/>
          <w:noProof/>
        </w:rPr>
        <w:t>Mol. Ecol.</w:t>
      </w:r>
      <w:r w:rsidRPr="00D23BF1">
        <w:rPr>
          <w:rFonts w:ascii="Times" w:hAnsi="Times" w:cs="Times New Roman"/>
          <w:noProof/>
        </w:rPr>
        <w:t xml:space="preserve"> </w:t>
      </w:r>
      <w:r w:rsidRPr="00D23BF1">
        <w:rPr>
          <w:rFonts w:ascii="Times" w:hAnsi="Times" w:cs="Times New Roman"/>
          <w:b/>
          <w:bCs/>
          <w:noProof/>
        </w:rPr>
        <w:t>28</w:t>
      </w:r>
      <w:r w:rsidRPr="00D23BF1">
        <w:rPr>
          <w:rFonts w:ascii="Times" w:hAnsi="Times" w:cs="Times New Roman"/>
          <w:noProof/>
        </w:rPr>
        <w:t>, 2441–2450 (2019).</w:t>
      </w:r>
    </w:p>
    <w:p w14:paraId="490873C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55.</w:t>
      </w:r>
      <w:r w:rsidRPr="00D23BF1">
        <w:rPr>
          <w:rFonts w:ascii="Times" w:hAnsi="Times" w:cs="Times New Roman"/>
          <w:noProof/>
        </w:rPr>
        <w:tab/>
        <w:t xml:space="preserve">Hsu, T. </w:t>
      </w:r>
      <w:r w:rsidRPr="00D23BF1">
        <w:rPr>
          <w:rFonts w:ascii="Times" w:hAnsi="Times" w:cs="Times New Roman"/>
          <w:i/>
          <w:iCs/>
          <w:noProof/>
        </w:rPr>
        <w:t>et al.</w:t>
      </w:r>
      <w:r w:rsidRPr="00D23BF1">
        <w:rPr>
          <w:rFonts w:ascii="Times" w:hAnsi="Times" w:cs="Times New Roman"/>
          <w:noProof/>
        </w:rPr>
        <w:t xml:space="preserve"> Urban Transit System Microbial Communities Differ by Surface Type and Interaction with Humans and the Environment. </w:t>
      </w:r>
      <w:r w:rsidRPr="00D23BF1">
        <w:rPr>
          <w:rFonts w:ascii="Times" w:hAnsi="Times" w:cs="Times New Roman"/>
          <w:i/>
          <w:iCs/>
          <w:noProof/>
        </w:rPr>
        <w:t>mSystems</w:t>
      </w:r>
      <w:r w:rsidRPr="00D23BF1">
        <w:rPr>
          <w:rFonts w:ascii="Times" w:hAnsi="Times" w:cs="Times New Roman"/>
          <w:noProof/>
        </w:rPr>
        <w:t xml:space="preserve"> </w:t>
      </w:r>
      <w:r w:rsidRPr="00D23BF1">
        <w:rPr>
          <w:rFonts w:ascii="Times" w:hAnsi="Times" w:cs="Times New Roman"/>
          <w:b/>
          <w:bCs/>
          <w:noProof/>
        </w:rPr>
        <w:t>1</w:t>
      </w:r>
      <w:r w:rsidRPr="00D23BF1">
        <w:rPr>
          <w:rFonts w:ascii="Times" w:hAnsi="Times" w:cs="Times New Roman"/>
          <w:noProof/>
        </w:rPr>
        <w:t>, e00018-16 (2016).</w:t>
      </w:r>
    </w:p>
    <w:p w14:paraId="644DCCC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56.</w:t>
      </w:r>
      <w:r w:rsidRPr="00D23BF1">
        <w:rPr>
          <w:rFonts w:ascii="Times" w:hAnsi="Times" w:cs="Times New Roman"/>
          <w:noProof/>
        </w:rPr>
        <w:tab/>
        <w:t xml:space="preserve">Price, T. Diet Variation in a Population of Darwin ’ s Finches. </w:t>
      </w:r>
      <w:r w:rsidRPr="00D23BF1">
        <w:rPr>
          <w:rFonts w:ascii="Times" w:hAnsi="Times" w:cs="Times New Roman"/>
          <w:b/>
          <w:bCs/>
          <w:noProof/>
        </w:rPr>
        <w:t>68</w:t>
      </w:r>
      <w:r w:rsidRPr="00D23BF1">
        <w:rPr>
          <w:rFonts w:ascii="Times" w:hAnsi="Times" w:cs="Times New Roman"/>
          <w:noProof/>
        </w:rPr>
        <w:t>, 1015–1028 (1987).</w:t>
      </w:r>
    </w:p>
    <w:p w14:paraId="17B6502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57.</w:t>
      </w:r>
      <w:r w:rsidRPr="00D23BF1">
        <w:rPr>
          <w:rFonts w:ascii="Times" w:hAnsi="Times" w:cs="Times New Roman"/>
          <w:noProof/>
        </w:rPr>
        <w:tab/>
        <w:t xml:space="preserve">Kohl, K. D. </w:t>
      </w:r>
      <w:r w:rsidRPr="00D23BF1">
        <w:rPr>
          <w:rFonts w:ascii="Times" w:hAnsi="Times" w:cs="Times New Roman"/>
          <w:i/>
          <w:iCs/>
          <w:noProof/>
        </w:rPr>
        <w:t>et al.</w:t>
      </w:r>
      <w:r w:rsidRPr="00D23BF1">
        <w:rPr>
          <w:rFonts w:ascii="Times" w:hAnsi="Times" w:cs="Times New Roman"/>
          <w:noProof/>
        </w:rPr>
        <w:t xml:space="preserve"> Gut microbial ecology of lizards: insights into diversity in the wild, effects of captivity, variation across gut regions and transmission. </w:t>
      </w:r>
      <w:r w:rsidRPr="00D23BF1">
        <w:rPr>
          <w:rFonts w:ascii="Times" w:hAnsi="Times" w:cs="Times New Roman"/>
          <w:i/>
          <w:iCs/>
          <w:noProof/>
        </w:rPr>
        <w:t>Mol. Ecol.</w:t>
      </w:r>
      <w:r w:rsidRPr="00D23BF1">
        <w:rPr>
          <w:rFonts w:ascii="Times" w:hAnsi="Times" w:cs="Times New Roman"/>
          <w:noProof/>
        </w:rPr>
        <w:t xml:space="preserve"> </w:t>
      </w:r>
      <w:r w:rsidRPr="00D23BF1">
        <w:rPr>
          <w:rFonts w:ascii="Times" w:hAnsi="Times" w:cs="Times New Roman"/>
          <w:b/>
          <w:bCs/>
          <w:noProof/>
        </w:rPr>
        <w:t>26</w:t>
      </w:r>
      <w:r w:rsidRPr="00D23BF1">
        <w:rPr>
          <w:rFonts w:ascii="Times" w:hAnsi="Times" w:cs="Times New Roman"/>
          <w:noProof/>
        </w:rPr>
        <w:t xml:space="preserve">, </w:t>
      </w:r>
      <w:r w:rsidRPr="00D23BF1">
        <w:rPr>
          <w:rFonts w:ascii="Times" w:hAnsi="Times" w:cs="Times New Roman"/>
          <w:noProof/>
        </w:rPr>
        <w:lastRenderedPageBreak/>
        <w:t>1175–1189 (2017).</w:t>
      </w:r>
    </w:p>
    <w:p w14:paraId="482CC74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58.</w:t>
      </w:r>
      <w:r w:rsidRPr="00D23BF1">
        <w:rPr>
          <w:rFonts w:ascii="Times" w:hAnsi="Times" w:cs="Times New Roman"/>
          <w:noProof/>
        </w:rPr>
        <w:tab/>
        <w:t xml:space="preserve">Wilderman, P. R. </w:t>
      </w:r>
      <w:r w:rsidRPr="00D23BF1">
        <w:rPr>
          <w:rFonts w:ascii="Times" w:hAnsi="Times" w:cs="Times New Roman"/>
          <w:i/>
          <w:iCs/>
          <w:noProof/>
        </w:rPr>
        <w:t>et al.</w:t>
      </w:r>
      <w:r w:rsidRPr="00D23BF1">
        <w:rPr>
          <w:rFonts w:ascii="Times" w:hAnsi="Times" w:cs="Times New Roman"/>
          <w:noProof/>
        </w:rPr>
        <w:t xml:space="preserve"> Functional characterization of cytochromes P450 2B from the desert woodrat Neotoma lepida. </w:t>
      </w:r>
      <w:r w:rsidRPr="00D23BF1">
        <w:rPr>
          <w:rFonts w:ascii="Times" w:hAnsi="Times" w:cs="Times New Roman"/>
          <w:i/>
          <w:iCs/>
          <w:noProof/>
        </w:rPr>
        <w:t>Toxicol. Appl. Pharmacol.</w:t>
      </w:r>
      <w:r w:rsidRPr="00D23BF1">
        <w:rPr>
          <w:rFonts w:ascii="Times" w:hAnsi="Times" w:cs="Times New Roman"/>
          <w:noProof/>
        </w:rPr>
        <w:t xml:space="preserve"> </w:t>
      </w:r>
      <w:r w:rsidRPr="00D23BF1">
        <w:rPr>
          <w:rFonts w:ascii="Times" w:hAnsi="Times" w:cs="Times New Roman"/>
          <w:b/>
          <w:bCs/>
          <w:noProof/>
        </w:rPr>
        <w:t>274</w:t>
      </w:r>
      <w:r w:rsidRPr="00D23BF1">
        <w:rPr>
          <w:rFonts w:ascii="Times" w:hAnsi="Times" w:cs="Times New Roman"/>
          <w:noProof/>
        </w:rPr>
        <w:t>, 393–401 (2014).</w:t>
      </w:r>
    </w:p>
    <w:p w14:paraId="78E6891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59.</w:t>
      </w:r>
      <w:r w:rsidRPr="00D23BF1">
        <w:rPr>
          <w:rFonts w:ascii="Times" w:hAnsi="Times" w:cs="Times New Roman"/>
          <w:noProof/>
        </w:rPr>
        <w:tab/>
        <w:t xml:space="preserve">Dehler, C. E., Secombes, C. J. &amp; Martin, S. A. M. Environmental and physiological factors shape the gut microbiota of Atlantic salmon parr (Salmo salar L.). </w:t>
      </w:r>
      <w:r w:rsidRPr="00D23BF1">
        <w:rPr>
          <w:rFonts w:ascii="Times" w:hAnsi="Times" w:cs="Times New Roman"/>
          <w:i/>
          <w:iCs/>
          <w:noProof/>
        </w:rPr>
        <w:t>Aquaculture</w:t>
      </w:r>
      <w:r w:rsidRPr="00D23BF1">
        <w:rPr>
          <w:rFonts w:ascii="Times" w:hAnsi="Times" w:cs="Times New Roman"/>
          <w:noProof/>
        </w:rPr>
        <w:t xml:space="preserve"> </w:t>
      </w:r>
      <w:r w:rsidRPr="00D23BF1">
        <w:rPr>
          <w:rFonts w:ascii="Times" w:hAnsi="Times" w:cs="Times New Roman"/>
          <w:b/>
          <w:bCs/>
          <w:noProof/>
        </w:rPr>
        <w:t>467</w:t>
      </w:r>
      <w:r w:rsidRPr="00D23BF1">
        <w:rPr>
          <w:rFonts w:ascii="Times" w:hAnsi="Times" w:cs="Times New Roman"/>
          <w:noProof/>
        </w:rPr>
        <w:t>, 149–157 (2017).</w:t>
      </w:r>
    </w:p>
    <w:p w14:paraId="3F275449" w14:textId="77777777" w:rsidR="00041ADB" w:rsidRPr="00D23BF1" w:rsidRDefault="00041ADB" w:rsidP="00F20BE1">
      <w:pPr>
        <w:widowControl w:val="0"/>
        <w:autoSpaceDE w:val="0"/>
        <w:autoSpaceDN w:val="0"/>
        <w:adjustRightInd w:val="0"/>
        <w:ind w:left="640"/>
        <w:rPr>
          <w:rFonts w:ascii="Times" w:hAnsi="Times"/>
          <w:noProof/>
        </w:rPr>
      </w:pPr>
      <w:r w:rsidRPr="00D23BF1">
        <w:rPr>
          <w:rFonts w:ascii="Times" w:hAnsi="Times" w:cs="Times New Roman"/>
          <w:noProof/>
        </w:rPr>
        <w:t>60.</w:t>
      </w:r>
      <w:r w:rsidRPr="00D23BF1">
        <w:rPr>
          <w:rFonts w:ascii="Times" w:hAnsi="Times" w:cs="Times New Roman"/>
          <w:noProof/>
        </w:rPr>
        <w:tab/>
        <w:t xml:space="preserve">Ambrosini, R. </w:t>
      </w:r>
      <w:r w:rsidRPr="00D23BF1">
        <w:rPr>
          <w:rFonts w:ascii="Times" w:hAnsi="Times" w:cs="Times New Roman"/>
          <w:i/>
          <w:iCs/>
          <w:noProof/>
        </w:rPr>
        <w:t>et al.</w:t>
      </w:r>
      <w:r w:rsidRPr="00D23BF1">
        <w:rPr>
          <w:rFonts w:ascii="Times" w:hAnsi="Times" w:cs="Times New Roman"/>
          <w:noProof/>
        </w:rPr>
        <w:t xml:space="preserve"> Cloacal microbiomes and ecology of individual barn swallows. </w:t>
      </w:r>
      <w:r w:rsidRPr="00D23BF1">
        <w:rPr>
          <w:rFonts w:ascii="Times" w:hAnsi="Times" w:cs="Times New Roman"/>
          <w:i/>
          <w:iCs/>
          <w:noProof/>
        </w:rPr>
        <w:t>FEMS Microbiol. Ecol.</w:t>
      </w:r>
      <w:r w:rsidRPr="00D23BF1">
        <w:rPr>
          <w:rFonts w:ascii="Times" w:hAnsi="Times" w:cs="Times New Roman"/>
          <w:noProof/>
        </w:rPr>
        <w:t xml:space="preserve"> </w:t>
      </w:r>
      <w:r w:rsidRPr="00D23BF1">
        <w:rPr>
          <w:rFonts w:ascii="Times" w:hAnsi="Times" w:cs="Times New Roman"/>
          <w:b/>
          <w:bCs/>
          <w:noProof/>
        </w:rPr>
        <w:t>95</w:t>
      </w:r>
      <w:r w:rsidRPr="00D23BF1">
        <w:rPr>
          <w:rFonts w:ascii="Times" w:hAnsi="Times" w:cs="Times New Roman"/>
          <w:noProof/>
        </w:rPr>
        <w:t>, 1–13 (2019).</w:t>
      </w:r>
    </w:p>
    <w:p w14:paraId="62D94F42" w14:textId="77777777" w:rsidR="00041ADB" w:rsidRPr="00D23BF1" w:rsidRDefault="00041ADB" w:rsidP="00F20BE1">
      <w:pPr>
        <w:rPr>
          <w:rFonts w:ascii="Times" w:hAnsi="Times"/>
          <w:b/>
        </w:rPr>
      </w:pPr>
      <w:r w:rsidRPr="00D23BF1">
        <w:rPr>
          <w:rFonts w:ascii="Times" w:hAnsi="Times"/>
          <w:b/>
        </w:rPr>
        <w:fldChar w:fldCharType="end"/>
      </w:r>
    </w:p>
    <w:bookmarkEnd w:id="110"/>
    <w:bookmarkEnd w:id="111"/>
    <w:bookmarkEnd w:id="112"/>
    <w:bookmarkEnd w:id="113"/>
    <w:p w14:paraId="45C26F8B" w14:textId="77777777" w:rsidR="00041ADB" w:rsidRPr="00D23BF1" w:rsidRDefault="00041ADB" w:rsidP="00F20BE1">
      <w:pPr>
        <w:rPr>
          <w:rFonts w:ascii="Times" w:hAnsi="Times"/>
        </w:rPr>
      </w:pPr>
    </w:p>
    <w:p w14:paraId="3D2401D6" w14:textId="4F3DF5CC" w:rsidR="00041ADB" w:rsidRPr="00D23BF1" w:rsidRDefault="00041ADB" w:rsidP="00F20BE1">
      <w:pPr>
        <w:rPr>
          <w:rFonts w:ascii="Times" w:hAnsi="Times" w:cs="Times New Roman"/>
          <w:noProof/>
        </w:rPr>
      </w:pPr>
    </w:p>
    <w:p w14:paraId="16F982D0" w14:textId="77777777" w:rsidR="00041ADB" w:rsidRPr="00D23BF1" w:rsidRDefault="00041ADB" w:rsidP="00F20BE1">
      <w:pPr>
        <w:widowControl w:val="0"/>
        <w:autoSpaceDE w:val="0"/>
        <w:autoSpaceDN w:val="0"/>
        <w:adjustRightInd w:val="0"/>
        <w:ind w:left="640"/>
        <w:rPr>
          <w:rFonts w:ascii="Times" w:hAnsi="Times"/>
          <w:noProof/>
        </w:rPr>
      </w:pPr>
    </w:p>
    <w:p w14:paraId="6A0CF01C" w14:textId="5725CCAE" w:rsidR="009E4AFE" w:rsidRPr="00D23BF1" w:rsidRDefault="00041ADB" w:rsidP="00F20BE1">
      <w:pPr>
        <w:rPr>
          <w:rFonts w:ascii="Times" w:hAnsi="Times"/>
        </w:rPr>
      </w:pPr>
      <w:r w:rsidRPr="00D23BF1">
        <w:rPr>
          <w:rFonts w:ascii="Times" w:eastAsia="Times New Roman" w:hAnsi="Times" w:cs="Times New Roman"/>
        </w:rPr>
        <w:fldChar w:fldCharType="end"/>
      </w:r>
    </w:p>
    <w:bookmarkEnd w:id="1"/>
    <w:bookmarkEnd w:id="2"/>
    <w:bookmarkEnd w:id="3"/>
    <w:bookmarkEnd w:id="4"/>
    <w:bookmarkEnd w:id="5"/>
    <w:p w14:paraId="7EEB747A" w14:textId="0AC0E4A8" w:rsidR="00041ADB" w:rsidRPr="00D23BF1" w:rsidRDefault="00041ADB" w:rsidP="00F20BE1">
      <w:pPr>
        <w:pStyle w:val="Heading1"/>
        <w:jc w:val="left"/>
      </w:pPr>
      <w:r w:rsidRPr="00D23BF1">
        <w:rPr>
          <w:b w:val="0"/>
          <w:bCs/>
        </w:rPr>
        <w:br w:type="page"/>
      </w:r>
      <w:bookmarkStart w:id="119" w:name="_Toc69393576"/>
      <w:bookmarkStart w:id="120" w:name="_Toc69396349"/>
      <w:bookmarkStart w:id="121" w:name="_Toc69396384"/>
      <w:bookmarkStart w:id="122" w:name="_Toc69396573"/>
    </w:p>
    <w:p w14:paraId="29E070B8" w14:textId="77777777" w:rsidR="00041ADB" w:rsidRPr="00D23BF1" w:rsidRDefault="00041ADB" w:rsidP="00F20BE1">
      <w:pPr>
        <w:pStyle w:val="Heading1"/>
      </w:pPr>
    </w:p>
    <w:p w14:paraId="22511B30" w14:textId="77777777" w:rsidR="00041ADB" w:rsidRPr="00D23BF1" w:rsidRDefault="00041ADB" w:rsidP="00F20BE1">
      <w:pPr>
        <w:pStyle w:val="Heading1"/>
      </w:pPr>
    </w:p>
    <w:p w14:paraId="1C8CB9D6" w14:textId="77777777" w:rsidR="00041ADB" w:rsidRPr="00D23BF1" w:rsidRDefault="00041ADB" w:rsidP="00F20BE1">
      <w:pPr>
        <w:pStyle w:val="Heading1"/>
      </w:pPr>
    </w:p>
    <w:p w14:paraId="5DC1FF76" w14:textId="77777777" w:rsidR="00041ADB" w:rsidRPr="00D23BF1" w:rsidRDefault="00041ADB" w:rsidP="00F20BE1">
      <w:pPr>
        <w:pStyle w:val="Heading1"/>
      </w:pPr>
    </w:p>
    <w:p w14:paraId="76723EF6" w14:textId="77777777" w:rsidR="00041ADB" w:rsidRPr="00D23BF1" w:rsidRDefault="00041ADB" w:rsidP="00F20BE1">
      <w:pPr>
        <w:pStyle w:val="Heading1"/>
      </w:pPr>
    </w:p>
    <w:p w14:paraId="17E64F31" w14:textId="77777777" w:rsidR="00041ADB" w:rsidRPr="00D23BF1" w:rsidRDefault="00041ADB" w:rsidP="00F20BE1">
      <w:pPr>
        <w:pStyle w:val="Heading1"/>
      </w:pPr>
    </w:p>
    <w:p w14:paraId="7978CCF6" w14:textId="77777777" w:rsidR="00041ADB" w:rsidRPr="00D23BF1" w:rsidRDefault="00041ADB" w:rsidP="00F20BE1">
      <w:pPr>
        <w:pStyle w:val="Heading1"/>
      </w:pPr>
    </w:p>
    <w:p w14:paraId="2A5BE21E" w14:textId="77777777" w:rsidR="00041ADB" w:rsidRPr="00D23BF1" w:rsidRDefault="00041ADB" w:rsidP="00F20BE1">
      <w:pPr>
        <w:pStyle w:val="Heading1"/>
      </w:pPr>
    </w:p>
    <w:p w14:paraId="21FE7058" w14:textId="77777777" w:rsidR="00041ADB" w:rsidRPr="00D23BF1" w:rsidRDefault="00041ADB" w:rsidP="00F20BE1">
      <w:pPr>
        <w:pStyle w:val="Heading1"/>
      </w:pPr>
    </w:p>
    <w:p w14:paraId="39289279" w14:textId="77777777" w:rsidR="00041ADB" w:rsidRPr="00D23BF1" w:rsidRDefault="00041ADB" w:rsidP="00F20BE1">
      <w:pPr>
        <w:pStyle w:val="Heading1"/>
      </w:pPr>
    </w:p>
    <w:p w14:paraId="6487EFC4" w14:textId="77777777" w:rsidR="00041ADB" w:rsidRPr="00D23BF1" w:rsidRDefault="00041ADB" w:rsidP="00F20BE1">
      <w:pPr>
        <w:pStyle w:val="Heading1"/>
      </w:pPr>
    </w:p>
    <w:p w14:paraId="4E061ACD" w14:textId="77777777" w:rsidR="00041ADB" w:rsidRPr="00D23BF1" w:rsidRDefault="00041ADB" w:rsidP="00F20BE1">
      <w:pPr>
        <w:pStyle w:val="Heading1"/>
      </w:pPr>
    </w:p>
    <w:p w14:paraId="5B3F1A30" w14:textId="77777777" w:rsidR="00041ADB" w:rsidRPr="00D23BF1" w:rsidRDefault="00041ADB" w:rsidP="00F20BE1">
      <w:pPr>
        <w:pStyle w:val="Heading1"/>
      </w:pPr>
    </w:p>
    <w:p w14:paraId="1EDC9CF9" w14:textId="77777777" w:rsidR="00041ADB" w:rsidRPr="00D23BF1" w:rsidRDefault="00041ADB" w:rsidP="00F20BE1">
      <w:pPr>
        <w:pStyle w:val="Heading1"/>
      </w:pPr>
    </w:p>
    <w:p w14:paraId="107EC7C3" w14:textId="77777777" w:rsidR="00041ADB" w:rsidRPr="00D23BF1" w:rsidRDefault="00041ADB" w:rsidP="00F20BE1">
      <w:pPr>
        <w:pStyle w:val="Heading1"/>
      </w:pPr>
    </w:p>
    <w:p w14:paraId="6AC24C5E" w14:textId="77777777" w:rsidR="00041ADB" w:rsidRPr="00D23BF1" w:rsidRDefault="00041ADB" w:rsidP="00F20BE1">
      <w:pPr>
        <w:pStyle w:val="Heading1"/>
      </w:pPr>
    </w:p>
    <w:p w14:paraId="3AF8ABC2" w14:textId="77777777" w:rsidR="00041ADB" w:rsidRPr="00D23BF1" w:rsidRDefault="00041ADB" w:rsidP="00F20BE1">
      <w:pPr>
        <w:pStyle w:val="Heading1"/>
      </w:pPr>
    </w:p>
    <w:p w14:paraId="70E203BF" w14:textId="77777777" w:rsidR="00041ADB" w:rsidRPr="00D23BF1" w:rsidRDefault="00041ADB" w:rsidP="00F20BE1">
      <w:pPr>
        <w:pStyle w:val="Heading1"/>
      </w:pPr>
    </w:p>
    <w:p w14:paraId="29B6A129" w14:textId="77777777" w:rsidR="00041ADB" w:rsidRPr="00D23BF1" w:rsidRDefault="00041ADB" w:rsidP="00F20BE1">
      <w:pPr>
        <w:pStyle w:val="Heading1"/>
      </w:pPr>
    </w:p>
    <w:p w14:paraId="5E517597" w14:textId="77777777" w:rsidR="00041ADB" w:rsidRPr="00D23BF1" w:rsidRDefault="00041ADB" w:rsidP="00F20BE1">
      <w:pPr>
        <w:pStyle w:val="Heading1"/>
      </w:pPr>
      <w:bookmarkStart w:id="123" w:name="_Toc69972882"/>
      <w:r w:rsidRPr="00D23BF1">
        <w:t>Chapter 3 - Experimental exposure to noise alters gut microbiota in a songbird</w:t>
      </w:r>
      <w:bookmarkEnd w:id="119"/>
      <w:bookmarkEnd w:id="120"/>
      <w:bookmarkEnd w:id="121"/>
      <w:bookmarkEnd w:id="122"/>
      <w:bookmarkEnd w:id="123"/>
    </w:p>
    <w:p w14:paraId="7618F792" w14:textId="77777777" w:rsidR="00041ADB" w:rsidRPr="00D23BF1" w:rsidRDefault="00041ADB" w:rsidP="00F20BE1">
      <w:pPr>
        <w:rPr>
          <w:rFonts w:ascii="Times" w:hAnsi="Times" w:cstheme="minorHAnsi"/>
        </w:rPr>
      </w:pPr>
      <w:r w:rsidRPr="00D23BF1">
        <w:rPr>
          <w:rFonts w:ascii="Times" w:hAnsi="Times" w:cstheme="minorHAnsi"/>
        </w:rPr>
        <w:br w:type="page"/>
      </w:r>
    </w:p>
    <w:p w14:paraId="36DE9473" w14:textId="77777777" w:rsidR="00041ADB" w:rsidRPr="00D23BF1" w:rsidRDefault="00041ADB" w:rsidP="00F20BE1">
      <w:pPr>
        <w:pStyle w:val="Heading2"/>
        <w:rPr>
          <w:rFonts w:ascii="Times" w:hAnsi="Times"/>
        </w:rPr>
      </w:pPr>
      <w:bookmarkStart w:id="124" w:name="_Toc69972883"/>
      <w:r w:rsidRPr="00D23BF1">
        <w:rPr>
          <w:rFonts w:ascii="Times" w:hAnsi="Times"/>
        </w:rPr>
        <w:lastRenderedPageBreak/>
        <w:t>Abstract</w:t>
      </w:r>
      <w:bookmarkEnd w:id="124"/>
    </w:p>
    <w:p w14:paraId="13F1D5B9" w14:textId="77777777" w:rsidR="00041ADB" w:rsidRPr="00D23BF1" w:rsidRDefault="00041ADB" w:rsidP="00F20BE1">
      <w:pPr>
        <w:rPr>
          <w:rFonts w:ascii="Times" w:hAnsi="Times" w:cstheme="minorHAnsi"/>
          <w:u w:val="single"/>
        </w:rPr>
      </w:pPr>
    </w:p>
    <w:p w14:paraId="3FA0DACC" w14:textId="77777777" w:rsidR="00041ADB" w:rsidRPr="00D23BF1" w:rsidRDefault="00041ADB" w:rsidP="00F20BE1">
      <w:pPr>
        <w:rPr>
          <w:rFonts w:ascii="Times" w:hAnsi="Times" w:cstheme="minorHAnsi"/>
        </w:rPr>
      </w:pPr>
      <w:r w:rsidRPr="00D23BF1">
        <w:rPr>
          <w:rFonts w:ascii="Times" w:hAnsi="Times" w:cstheme="minorHAnsi"/>
        </w:rPr>
        <w:t>Noise pollution is an unprecedented evolutionary pressure on wild animals that can lead to alteration of stress hormone levels and changes in foraging behavior. Both corticosterone and feeding behavior can have direct effects on gut bacteria, as well as indirect effects through changes in gut physiology. Therefore, we hypothesized that exposure to noise will alter gut microbial communities via indirect effects on stress hormones and foraging behaviors. We exposed captive white-crowned sparrows to city-like noise and measured each individuals' corticosterone level, food intake and gut microbial diversity at the end of four treatments (acclimation, noise, recovery, and control) using a balanced repeated measures design. We found evidence to support our prediction for a causal, positive relationship between noise exposure and gut microbiota. We also found evidence that noise acts to increase corticosterone and decrease food intake. However, noise appeared to act directly on the gut microbiome or, more likely, through an unmeasured variable, rather than through indirect effects via corticosterone and food intake. Our results help to explain previous findings that urban, free-living white-crowned sparrows have higher bacterial richness than rural sparrows. Our findings also add to a growing body of research indicating noise exposure affects stress hormone levels and foraging behaviors. Altogether, our study indicates that noise affects plasma corticosterone, feeding behavior, and the gut microbiome in a songbird and raises new questions as to the mechanism linking noise exposure to gut microbial diversity.</w:t>
      </w:r>
    </w:p>
    <w:p w14:paraId="18F68D9E" w14:textId="77777777" w:rsidR="00041ADB" w:rsidRPr="00D23BF1" w:rsidRDefault="00041ADB" w:rsidP="00F20BE1">
      <w:pPr>
        <w:rPr>
          <w:rFonts w:ascii="Times" w:hAnsi="Times" w:cstheme="minorHAnsi"/>
        </w:rPr>
      </w:pPr>
    </w:p>
    <w:p w14:paraId="45A3A124" w14:textId="77777777" w:rsidR="00041ADB" w:rsidRPr="00D23BF1" w:rsidRDefault="00041ADB" w:rsidP="00F20BE1">
      <w:pPr>
        <w:pStyle w:val="Heading2"/>
        <w:rPr>
          <w:rFonts w:ascii="Times" w:hAnsi="Times"/>
        </w:rPr>
      </w:pPr>
    </w:p>
    <w:p w14:paraId="3169CB81" w14:textId="77777777" w:rsidR="00041ADB" w:rsidRPr="00D23BF1" w:rsidRDefault="00041ADB" w:rsidP="00F20BE1">
      <w:pPr>
        <w:pStyle w:val="Heading2"/>
        <w:rPr>
          <w:rFonts w:ascii="Times" w:hAnsi="Times"/>
        </w:rPr>
      </w:pPr>
    </w:p>
    <w:p w14:paraId="42B0DD25" w14:textId="77777777" w:rsidR="00041ADB" w:rsidRPr="00D23BF1" w:rsidRDefault="00041ADB" w:rsidP="00F20BE1">
      <w:pPr>
        <w:pStyle w:val="Heading2"/>
        <w:rPr>
          <w:rFonts w:ascii="Times" w:hAnsi="Times"/>
        </w:rPr>
      </w:pPr>
      <w:bookmarkStart w:id="125" w:name="_Toc69972884"/>
      <w:r w:rsidRPr="00D23BF1">
        <w:rPr>
          <w:rFonts w:ascii="Times" w:hAnsi="Times"/>
        </w:rPr>
        <w:t>Introduction</w:t>
      </w:r>
      <w:bookmarkEnd w:id="125"/>
    </w:p>
    <w:p w14:paraId="1620A0A5" w14:textId="77777777" w:rsidR="00041ADB" w:rsidRPr="00D23BF1" w:rsidRDefault="00041ADB" w:rsidP="00F20BE1">
      <w:pPr>
        <w:rPr>
          <w:rFonts w:ascii="Times" w:hAnsi="Times"/>
        </w:rPr>
      </w:pPr>
    </w:p>
    <w:p w14:paraId="7CBFA95D" w14:textId="77777777" w:rsidR="00041ADB" w:rsidRPr="00D23BF1" w:rsidRDefault="00041ADB" w:rsidP="00F20BE1">
      <w:pPr>
        <w:rPr>
          <w:rFonts w:ascii="Times" w:hAnsi="Times"/>
        </w:rPr>
      </w:pPr>
      <w:r w:rsidRPr="00D23BF1">
        <w:rPr>
          <w:rFonts w:ascii="Times" w:hAnsi="Times"/>
        </w:rPr>
        <w:t xml:space="preserve">Urbanization acts as an unprecedented evolutionary pressure on wild animals </w:t>
      </w:r>
      <w:r w:rsidRPr="00D23BF1">
        <w:rPr>
          <w:rFonts w:ascii="Times" w:hAnsi="Times"/>
        </w:rPr>
        <w:fldChar w:fldCharType="begin" w:fldLock="1"/>
      </w:r>
      <w:r w:rsidRPr="00D23BF1">
        <w:rPr>
          <w:rFonts w:ascii="Times" w:hAnsi="Times"/>
        </w:rPr>
        <w:instrText>ADDIN CSL_CITATION {"citationItems":[{"id":"ITEM-1","itemData":{"DOI":"10.1016/j.tree.2015.06.009","ISSN":"01695347","author":[{"dropping-particle":"","family":"Swaddle","given":"John P.","non-dropping-particle":"","parse-names":false,"suffix":""},{"dropping-particle":"","family":"Francis","given":"Clinton D.","non-dropping-particle":"","parse-names":false,"suffix":""},{"dropping-particle":"","family":"Barber","given":"Jesse R.","non-dropping-particle":"","parse-names":false,"suffix":""},{"dropping-particle":"","family":"Cooper","given":"Caren B.","non-dropping-particle":"","parse-names":false,"suffix":""},{"dropping-particle":"","family":"Kyba","given":"Christopher C.M.","non-dropping-particle":"","parse-names":false,"suffix":""},{"dropping-particle":"","family":"Dominoni","given":"Davide M.","non-dropping-particle":"","parse-names":false,"suffix":""},{"dropping-particle":"","family":"Shannon","given":"Graeme","non-dropping-particle":"","parse-names":false,"suffix":""},{"dropping-particle":"","family":"Aschehoug","given":"Erik","non-dropping-particle":"","parse-names":false,"suffix":""},{"dropping-particle":"","family":"Goodwin","given":"Sarah E.","non-dropping-particle":"","parse-names":false,"suffix":""},{"dropping-particle":"","family":"Kawahara","given":"Akito Y.","non-dropping-particle":"","parse-names":false,"suffix":""},{"dropping-particle":"","family":"Luther","given":"David","non-dropping-particle":"","parse-names":false,"suffix":""},{"dropping-particle":"","family":"Spoelstra","given":"Kamiel","non-dropping-particle":"","parse-names":false,"suffix":""},{"dropping-particle":"","family":"Voss","given":"Margaret","non-dropping-particle":"","parse-names":false,"suffix":""},{"dropping-particle":"","family":"Longcore","given":"Travis","non-dropping-particle":"","parse-names":false,"suffix":""}],"container-title":"Trends in Ecology &amp; Evolution","id":"ITEM-1","issue":"9","issued":{"date-parts":[["2015"]]},"page":"550-560","publisher":"Elsevier Ltd","title":"A framework to assess evolutionary responses to anthropogenic light and sound","type":"article-journal","volume":"30"},"uris":["http://www.mendeley.com/documents/?uuid=70c72674-b7f2-464e-bf76-bb51d85e72d3"]}],"mendeley":{"formattedCitation":"&lt;sup&gt;1&lt;/sup&gt;","plainTextFormattedCitation":"1","previouslyFormattedCitation":"[1]"},"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w:t>
      </w:r>
      <w:r w:rsidRPr="00D23BF1">
        <w:rPr>
          <w:rFonts w:ascii="Times" w:hAnsi="Times"/>
        </w:rPr>
        <w:fldChar w:fldCharType="end"/>
      </w:r>
      <w:r w:rsidRPr="00D23BF1">
        <w:rPr>
          <w:rFonts w:ascii="Times" w:hAnsi="Times"/>
        </w:rPr>
        <w:t xml:space="preserve">. Human-induced changes in the environment, such as noise and light pollution, can interfere with animal behaviors, such as foraging and communication </w:t>
      </w:r>
      <w:r w:rsidRPr="00D23BF1">
        <w:rPr>
          <w:rFonts w:ascii="Times" w:hAnsi="Times"/>
        </w:rPr>
        <w:fldChar w:fldCharType="begin" w:fldLock="1"/>
      </w:r>
      <w:r w:rsidRPr="00D23BF1">
        <w:rPr>
          <w:rFonts w:ascii="Times" w:hAnsi="Times"/>
        </w:rPr>
        <w:instrText>ADDIN CSL_CITATION {"citationItems":[{"id":"ITEM-1","itemData":{"DOI":"10.1371/journal.pone.0017478","ISBN":"1932-6203","ISSN":"19326203","PMID":"21386909","abstract":"Acoustic noise is known to have a variety of detrimental effects on many animals, including humans, but surprisingly little is known about its impacts on foraging behaviour, despite the obvious potential consequences for survival and reproductive success. We therefore exposed captive three-spined sticklebacks (Gasterosteus aculeatus) to brief and prolonged noise to investigate how foraging performance is affected by the addition of acoustic noise to an otherwise quiet environment. The addition of noise induced only mild fear-related behaviours - there was an increase in startle responses, but no change in the time spent freezing or hiding compared to a silent control - and thus had no significant impact on the total amount of food eaten. However, there was strong evidence that the addition of noise increased food-handling errors and reduced discrimination between food and non-food items, results that are consistent with a shift in attention. Consequently, noise resulted in decreased foraging efficiency, with more attacks needed to consume the same number of prey items. Our results suggest that acoustic noise has the potential to influence a whole host of everyday activities through effects on attention, and that even very brief noise exposure can cause functionally significant impacts, emphasising the threat posed by ever-increasing levels of anthropogenic noise in the environment.","author":[{"dropping-particle":"","family":"Purser","given":"Julia","non-dropping-particle":"","parse-names":false,"suffix":""},{"dropping-particle":"","family":"Radford","given":"Andrew N.","non-dropping-particle":"","parse-names":false,"suffix":""}],"container-title":"PLoS ONE","id":"ITEM-1","issue":"2","issued":{"date-parts":[["2011"]]},"note":"great intro with all the ways noise could affect foraging\n\nin sticklebacks, noise did not reduce food intake, but did increase food handling errors","title":"Acoustic noise induces attention shifts and reduces foraging performance in three-spined sticklebacks (gasterosteus aculeatus)","type":"article-journal","volume":"6"},"uris":["http://www.mendeley.com/documents/?uuid=1c909fb1-b900-46e6-acb1-f19a3ef89538"]},{"id":"ITEM-2","itemData":{"DOI":"10.1016/j.cub.2006.10.008","ISSN":"09609822","abstract":"Worldwide urbanization and the ongoing rise of urban noise levels form a major threat to living conditions in and around cities [1-4]. Urban environments typically homogenize animal communities, and this results, for example, in the same few bird species' being found everywhere [5, 6]. Insight into the behavioral strategies of the urban survivors may explain the sensitivity of other species to urban selection pressures. Here, we show that songs that are important to mate attraction and territory defense have significantly diverged in great tits (Parus major), a very successful urban species. Urban songs were shorter and sung faster than songs in forests, and often concerned atypical song types. Furthermore, we found consistently higher minimum frequencies in ten out of ten city-forest comparisons from London to Prague and from Amsterdam to Paris. Anthropogenic noise is most likely a dominant factor driving these dramatic changes [7-9]. These data provide the most consistent evidence supporting the acoustic-adaptation hypothesis since it was postulated in the early seventies [10-12]. At the same time, they reveal a behavioral plasticity that may be key to urban success and the lack of which may explain detrimental effects on bird communities that live in noisy urbanized areas or along highways. © 2006 Elsevier Ltd. All rights reserved.","author":[{"dropping-particle":"","family":"Slabbekoorn","given":"Hans","non-dropping-particle":"","parse-names":false,"suffix":""},{"dropping-particle":"","family":"Boer-Visser","given":"Ardie","non-dropping-particle":"den","parse-names":false,"suffix":""}],"container-title":"Current Biology","id":"ITEM-2","issue":"23","issued":{"date-parts":[["2006"]]},"page":"2326-2331","title":"Cities Change the Songs of Birds","type":"article-journal","volume":"16"},"uris":["http://www.mendeley.com/documents/?uuid=02799a9a-3ebc-4ea2-8a0a-e7b8c11dc5da"]}],"mendeley":{"formattedCitation":"&lt;sup&gt;2,3&lt;/sup&gt;","plainTextFormattedCitation":"2,3","previouslyFormattedCitation":"[2, 3]"},"properties":{"noteIndex":0},"schema":"https://github.com/citation-style-language/schema/raw/master/csl-citation.json"}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2,3</w:t>
      </w:r>
      <w:r w:rsidRPr="00D23BF1">
        <w:rPr>
          <w:rFonts w:ascii="Times" w:hAnsi="Times"/>
        </w:rPr>
        <w:fldChar w:fldCharType="end"/>
      </w:r>
      <w:r w:rsidRPr="00D23BF1">
        <w:rPr>
          <w:rFonts w:ascii="Times" w:hAnsi="Times"/>
        </w:rPr>
        <w:t xml:space="preserve">. There can also be physiological consequences such as increased stress hormones </w:t>
      </w:r>
      <w:r w:rsidRPr="00D23BF1">
        <w:rPr>
          <w:rFonts w:ascii="Times" w:hAnsi="Times"/>
        </w:rPr>
        <w:fldChar w:fldCharType="begin" w:fldLock="1"/>
      </w:r>
      <w:r w:rsidRPr="00D23BF1">
        <w:rPr>
          <w:rFonts w:ascii="Times" w:hAnsi="Times"/>
        </w:rPr>
        <w:instrText>ADDIN CSL_CITATION {"citationItems":[{"id":"ITEM-1","itemData":{"DOI":"10.2754/avb200978010093","ISBN":"0001-7213","ISSN":"00017213","abstract":"Stress effects from acute noise exposure were monitored in a group of ROSS 308 broiler chickens (n = 80), aged 42 days. The experiment simulated slaughterhouse sounds to which the broilers were exposed for 10 min in the test enclosure. Effects of acute noise exposure at two different levels (80 dB and 100 dB) were evaluated on the basis of examinations of selected biochemical plasma indicators and tonic immobility tests. Noise stimuli of both 80 dB and 100 dB intensities for 10 min induced a significant elevation in plasma corticosterone levels. Broilers that were exposed to noise stimuli of 100 dB also exhibited a significant increase in the cholesterol level and total protein level. Exposure to noise stimuli did not influence the glucose level and triglyceride concentrations. The duration of tonic immobility was not affected by noise stimuli in our experiment. However, noise exposure at a 100 dB level decreased the number of attempts to induce tonic immobility in broilers.","author":[{"dropping-particle":"","family":"Chloupek","given":"Petr","non-dropping-particle":"","parse-names":false,"suffix":""},{"dropping-particle":"","family":"Voslářová","given":"Eva","non-dropping-particle":"","parse-names":false,"suffix":""},{"dropping-particle":"","family":"Chloupek","given":"Jan","non-dropping-particle":"","parse-names":false,"suffix":""},{"dropping-particle":"","family":"Bedáňová","given":"Iveta","non-dropping-particle":"","parse-names":false,"suffix":""},{"dropping-particle":"","family":"Pištěková","given":"Vladimíra","non-dropping-particle":"","parse-names":false,"suffix":""},{"dropping-particle":"","family":"Večerek","given":"Vladimír","non-dropping-particle":"","parse-names":false,"suffix":""}],"container-title":"Acta Veterinaria Brno","id":"ITEM-1","issue":"1","issued":{"date-parts":[["2009"]]},"note":"short (10min) intense noise = higher CORT","page":"93-98","title":"Stress in broiler chickens due to acute noise exposure","type":"article-journal","volume":"78"},"uris":["http://www.mendeley.com/documents/?uuid=047a9922-b7f8-4d36-a75b-368b716d6441"]}],"mendeley":{"formattedCitation":"&lt;sup&gt;4&lt;/sup&gt;","plainTextFormattedCitation":"4","previouslyFormattedCitation":"[4]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w:t>
      </w:r>
      <w:r w:rsidRPr="00D23BF1">
        <w:rPr>
          <w:rFonts w:ascii="Times" w:hAnsi="Times"/>
        </w:rPr>
        <w:fldChar w:fldCharType="end"/>
      </w:r>
      <w:r w:rsidRPr="00D23BF1">
        <w:rPr>
          <w:rFonts w:ascii="Times" w:hAnsi="Times"/>
        </w:rPr>
        <w:t xml:space="preserve">, and differences in bacterial diversity between animals in urban and rural areas </w:t>
      </w:r>
      <w:r w:rsidRPr="00D23BF1">
        <w:rPr>
          <w:rFonts w:ascii="Times" w:hAnsi="Times"/>
        </w:rPr>
        <w:fldChar w:fldCharType="begin" w:fldLock="1"/>
      </w:r>
      <w:r w:rsidRPr="00D23BF1">
        <w:rPr>
          <w:rFonts w:ascii="Times" w:hAnsi="Times"/>
        </w:rPr>
        <w:instrText>ADDIN CSL_CITATION {"citationItems":[{"id":"ITEM-1","itemData":{"DOI":"10.1111/mec.15240","ISSN":"1365294X","abstract":"Urbanisation is one of the most significant threats to biodiversity, due to the rapid and large-scale environmental alterations it imposes on the natural landscape. It is, therefore, imperative that we understand the consequences of and mechanisms by which, species can respond to it. In recent years, research has shown that plasticity of the gut microbiome may be an important mechanism by which animals can adapt to environmental change, yet empirical evidence of this in wild non-model species remains sparse. Using an empirical replicated study system, we show that city life alters the gut microbiome and stable isotope profiling of a wild native non-model species – the eastern water dragon (Intellagama lesueurii) in Queensland, Australia. City dragons exhibit a more diverse gut microbiome than their native habitat counterparts and show gut microbial signatures of a high fat and plant rich diet. Additionally, we also show that city dragons have elevated levels of the Nitrogen-15 isotope in their blood suggesting that a city diet, which incorporates novel anthropogenic food sources, may also be richer in protein. These results highlight the role that gut microbial plasticity plays in an animals' response to human-altered landscapes.","author":[{"dropping-particle":"","family":"Littleford-Colquhoun","given":"Bethan L.","non-dropping-particle":"","parse-names":false,"suffix":""},{"dropping-particle":"","family":"Weyrich","given":"Laura S.","non-dropping-particle":"","parse-names":false,"suffix":""},{"dropping-particle":"","family":"Kent","given":"Nicola","non-dropping-particle":"","parse-names":false,"suffix":""},{"dropping-particle":"","family":"Frere","given":"Celine H.","non-dropping-particle":"","parse-names":false,"suffix":""}],"container-title":"Molecular Ecology","id":"ITEM-1","issue":"20","issued":{"date-parts":[["2019"]]},"page":"4592-4607","title":"City life alters the gut microbiome and stable isotope profiling of the eastern water dragon (Intellagama lesueurii)","type":"article-journal","volume":"28"},"uris":["http://www.mendeley.com/documents/?uuid=a3f34b8b-b9b9-3c82-a021-64c6a6b70fa4"]},{"id":"ITEM-2","itemData":{"DOI":"10.3389/fevo.2018.00148","ISSN":"2296-701X","abstract":"Urban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using spatial analyses of land cover (impervious, scrub, grass, and trees) at the regional level and territory level in urban San Francisco, CA and nearby rural Point Reyes, CA. We hypothesized that urbanization of habitats affects gut microbial composition and diversity through direct effects on diet and/or indirect environmental effects. We measured gut microbial community diversity from 16s rRNA sequences amplified from cloacal swabs. We find that the urban and rural microbiomes are significantly different, such that the urban microbiome is more diverse than the rural microbiome. This relationship may be due to a more variable landscape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provides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Evolution","id":"ITEM-2","issue":"September","issued":{"date-parts":[["2018"]]},"page":"1-10","title":"The Effects of Landscape Urbanization on the Gut Microbiome: An Exploration Into the Gut of Urban and Rural White-Crowned Sparrows","type":"article-journal","volume":"6"},"uris":["http://www.mendeley.com/documents/?uuid=57a5183b-159d-4236-8f35-16ec70fd1a5b"]},{"id":"ITEM-3","itemData":{"DOI":"10.1016/j.scitotenv.2017.09.035","ISSN":"00489697","abstract":"Urbanisation represents one of the most radical forms of terrestrial land use change and has been shown to lead to alterations in ecosystem functioning and community dynamics and changes in individual phenotypic traits. While the recent surge in microbiome studies has brought about a paradigm shift by which individuals cannot truly be considered independently of the bacterial communities they host, the role of gut microbiota in organismal response to human-induced environmental change is still scarcely studied. Here, we applied a metabarcoding approach to examine the impact of urbanisation on the gut microbiota of Passer domesticus. We found urbanisation to be associated to lower microbiota species diversity, modifications in taxonomic composition and community structure, and changes in functional composition. The strength of these relationships, however, depended on the spatial scale and season at which they were considered. Such spatio-temporal effect suggests that urbanisation may dampen the natural seasonal variation of the gut microbiota observed in more pristine habitats, potentially influencing the fitness of urban organisms. Our results hence shed light on a hitherto little considered perspective, i.e. that the negative effects of urbanisation on city-dwelling organisms may extend to their microbiomes, causing potential dysbioses.","author":[{"dropping-particle":"","family":"Teyssier","given":"Aimeric","non-dropping-particle":"","parse-names":false,"suffix":""},{"dropping-particle":"","family":"Rouffaer","given":"Lieze Oscar","non-dropping-particle":"","parse-names":false,"suffix":""},{"dropping-particle":"","family":"Saleh Hudin","given":"Noraine","non-dropping-particle":"","parse-names":false,"suffix":""},{"dropping-particle":"","family":"Strubbe","given":"Diederik","non-dropping-particle":"","parse-names":false,"suffix":""},{"dropping-particle":"","family":"Matthysen","given":"Erik","non-dropping-particle":"","parse-names":false,"suffix":""},{"dropping-particle":"","family":"Lens","given":"Luc","non-dropping-particle":"","parse-names":false,"suffix":""},{"dropping-particle":"","family":"White","given":"Joël","non-dropping-particle":"","parse-names":false,"suffix":""}],"container-title":"Science of The Total Environment","id":"ITEM-3","issued":{"date-parts":[["2018"]]},"page":"1276-1286","publisher":"Elsevier B.V.","title":"Inside the guts of the city: Urban-induced alterations of the gut microbiota in a wild passerine","type":"article-journal","volume":"612"},"uris":["http://www.mendeley.com/documents/?uuid=0a16ed80-e088-46cb-8182-f6ebba9f38d7"]}],"mendeley":{"formattedCitation":"&lt;sup&gt;5–7&lt;/sup&gt;","plainTextFormattedCitation":"5–7","previouslyFormattedCitation":"[5–7]"},"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5–7</w:t>
      </w:r>
      <w:r w:rsidRPr="00D23BF1">
        <w:rPr>
          <w:rFonts w:ascii="Times" w:hAnsi="Times"/>
        </w:rPr>
        <w:fldChar w:fldCharType="end"/>
      </w:r>
      <w:r w:rsidRPr="00D23BF1">
        <w:rPr>
          <w:rFonts w:ascii="Times" w:hAnsi="Times"/>
        </w:rPr>
        <w:t xml:space="preserve">. The mechanisms underlying these relationships are in many cases unknown, and we have yet to test some of the more complex interactions. For example, we know that cities often have higher levels of noise pollution, and noise levels can directly impact stress hormones </w:t>
      </w:r>
      <w:r w:rsidRPr="00D23BF1">
        <w:rPr>
          <w:rFonts w:ascii="Times" w:hAnsi="Times"/>
        </w:rPr>
        <w:fldChar w:fldCharType="begin" w:fldLock="1"/>
      </w:r>
      <w:r w:rsidRPr="00D23BF1">
        <w:rPr>
          <w:rFonts w:ascii="Times" w:hAnsi="Times"/>
        </w:rPr>
        <w:instrText>ADDIN CSL_CITATION {"citationItems":[{"id":"ITEM-1","itemData":{"DOI":"10.1371/journal.pone.0050462","ISBN":"1932-6203","ISSN":"19326203","PMID":"23185627","abstract":"There is increasing evidence that individuals in many species avoid areas exposed to chronic anthropogenic noise, but the impact of noise on those who remain in these habitats is unclear. One potential impact is chronic physiological stress, which can affect disease resistance, survival and reproductive success. Previous studies have found evidence of elevated stress-related hormones (glucocorticoids) in wildlife exposed to human activities, but the impacts of noise alone are difficult to separate from confounding factors. Here we used an experimental playback study to isolate the impacts of noise from industrial activity (natural gas drilling and road noise) on glucocorticoid levels in greater sage-grouse (Centrocercus urophasianus), a species of conservation concern. We non-invasively measured immunoreactive corticosterone metabolites from fecal samples (FCMs) of males on both noise-treated and control leks (display grounds) in two breeding seasons. We found strong support for an impact of noise playback on stress levels, with 16.7% higher mean FCM levels in samples from noise leks compared with samples from paired control leks. Taken together with results from a previous study finding declines in male lek attendance in response to noise playbacks, these results suggest that chronic noise pollution can cause greater sage-grouse to avoid otherwise suitable habitat, and can cause elevated stress levels in the birds who remain in noisy areas.","author":[{"dropping-particle":"","family":"Blickley","given":"Jessica L.","non-dropping-particle":"","parse-names":false,"suffix":""},{"dropping-particle":"","family":"Word","given":"Karen R.","non-dropping-particle":"","parse-names":false,"suffix":""},{"dropping-particle":"","family":"Krakauer","given":"Alan H.","non-dropping-particle":"","parse-names":false,"suffix":""},{"dropping-particle":"","family":"Phillips","given":"Jennifer L.","non-dropping-particle":"","parse-names":false,"suffix":""},{"dropping-particle":"","family":"Sells","given":"Sarah N.","non-dropping-particle":"","parse-names":false,"suffix":""},{"dropping-particle":"","family":"Taff","given":"Conor C.","non-dropping-particle":"","parse-names":false,"suffix":""},{"dropping-particle":"","family":"Wingfield","given":"John C.","non-dropping-particle":"","parse-names":false,"suffix":""},{"dropping-particle":"","family":"Patricelli","given":"Gail L.","non-dropping-particle":"","parse-names":false,"suffix":""}],"container-title":"PLoS ONE","id":"ITEM-1","issue":"11","issued":{"date-parts":[["2012"]]},"note":"Higher fecal CORT due to noise playback","title":"Experimental Chronic Noise Is Related to Elevated Fecal Corticosteroid Metabolites in Lekking Male Greater Sage-Grouse (Centrocercus urophasianus)","type":"article-journal","volume":"7"},"uris":["http://www.mendeley.com/documents/?uuid=8d67e352-f2ea-445c-aaef-83ae9beded47"]}],"mendeley":{"formattedCitation":"&lt;sup&gt;8&lt;/sup&gt;","plainTextFormattedCitation":"8","previouslyFormattedCitation":"[8]"},"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8</w:t>
      </w:r>
      <w:r w:rsidRPr="00D23BF1">
        <w:rPr>
          <w:rFonts w:ascii="Times" w:hAnsi="Times"/>
        </w:rPr>
        <w:fldChar w:fldCharType="end"/>
      </w:r>
      <w:r w:rsidRPr="00D23BF1">
        <w:rPr>
          <w:rFonts w:ascii="Times" w:hAnsi="Times"/>
        </w:rPr>
        <w:t xml:space="preserve"> and feeding behavior </w:t>
      </w:r>
      <w:r w:rsidRPr="00D23BF1">
        <w:rPr>
          <w:rFonts w:ascii="Times" w:hAnsi="Times"/>
        </w:rPr>
        <w:fldChar w:fldCharType="begin" w:fldLock="1"/>
      </w:r>
      <w:r w:rsidRPr="00D23BF1">
        <w:rPr>
          <w:rFonts w:ascii="Times" w:hAnsi="Times"/>
        </w:rPr>
        <w:instrText>ADDIN CSL_CITATION {"citationItems":[{"id":"ITEM-1","itemData":{"DOI":"10.1073/pnas.1504710112","ISBN":"0711232105","ISSN":"0027-8424","PMID":"26324924","abstract":"Decades of research demonstrate that roads impact wildlife and suggest traffic noise as a primary cause of population declines near roads. We created a \"phantom road\" using an array of speakers to apply traffic noise to a roadless landscape, directly testing the effect of noise alone on an entire songbird community during autumn migration. Thirty-one percent of the bird community avoided the phantom road. For individuals that stayed despite the noise, overall body condition decreased by a full SD and some species showed a change in ability to gain body condition when exposed to traffic noise during migratory stopover. We conducted complementary laboratory experiments that implicate foraging-vigilance behavior as one mechanism driving this pattern. Our results suggest that noise degrades habitat that is otherwise suitable, and that the presence of a species does not indicate the absence of an impact.","author":[{"dropping-particle":"","family":"Ware","given":"Heidi E.","non-dropping-particle":"","parse-names":false,"suffix":""},{"dropping-particle":"","family":"McClure","given":"Christopher J. W.","non-dropping-particle":"","parse-names":false,"suffix":""},{"dropping-particle":"","family":"Carlisle","given":"Jay D.","non-dropping-particle":"","parse-names":false,"suffix":""},{"dropping-particle":"","family":"Barber","given":"Jesse R.","non-dropping-particle":"","parse-names":false,"suffix":""}],"container-title":"Proceedings of the National Academy of Sciences","id":"ITEM-1","issue":"39","issued":{"date-parts":[["2015"]]},"note":"body condition and foraging-vigilance behavior impacted by &amp;quot;phantom road&amp;quot;","page":"12105-12109","title":"A phantom road experiment reveals traffic noise is an invisible source of habitat degradation","type":"article-journal","volume":"112"},"uris":["http://www.mendeley.com/documents/?uuid=1798a2ed-dfe9-46bd-971e-a367a2e4978b"]}],"mendeley":{"formattedCitation":"&lt;sup&gt;9&lt;/sup&gt;","plainTextFormattedCitation":"9","previouslyFormattedCitation":"[9]"},"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9</w:t>
      </w:r>
      <w:r w:rsidRPr="00D23BF1">
        <w:rPr>
          <w:rFonts w:ascii="Times" w:hAnsi="Times"/>
        </w:rPr>
        <w:fldChar w:fldCharType="end"/>
      </w:r>
      <w:r w:rsidRPr="00D23BF1">
        <w:rPr>
          <w:rFonts w:ascii="Times" w:hAnsi="Times"/>
        </w:rPr>
        <w:t xml:space="preserve"> in animals. We also know that both stress and diet can impact gut physiology </w:t>
      </w:r>
      <w:r w:rsidRPr="00D23BF1">
        <w:rPr>
          <w:rFonts w:ascii="Times" w:hAnsi="Times"/>
        </w:rPr>
        <w:fldChar w:fldCharType="begin" w:fldLock="1"/>
      </w:r>
      <w:r w:rsidRPr="00D23BF1">
        <w:rPr>
          <w:rFonts w:ascii="Times" w:hAnsi="Times"/>
        </w:rPr>
        <w:instrText>ADDIN CSL_CITATION {"citationItems":[{"id":"ITEM-1","itemData":{"DOI":"10.1111/nmo.12198","ISBN":"1365-2982","ISSN":"13501925","PMID":"23910373","abstract":"There is a growing awareness of the potential for microbiota to influence gut-brain communication in health and disease. A variety of strategies have been used to study the impact of the microbiota on brain function and these include antibiotic use, probiotic treatments, fecal microbiota transplantation, gastrointestinal infection studies, and germ-free studies. All of these approaches provide evidence to support the view that the microbiota can influence brain chemistry and consequently behavior. Efforts are now turning to investigate the role of microbiota in animal models of psychopathology. Animal models of depression are thus essential in studying the complex interplay between the microbiota and brain. Recent studies published in this Journal and elsewhere demonstrate that there is a distinct perturbation of the composition of gut microbiota in animal models of depression and chronic stress. This has direct implications for the development of psychobiotic-based therapeutic strategies for psychiatric disorders. Moreover, given that affective co-morbidities, such as major depression and anxiety states, are common in patients presenting with irritable bowel syndrome (IBS), it may have implications for functional bowel disorders also. Further studies require appropriately phenotyped patients with depression and/or IBS using a judicious use of techniques including functional imaging and in depth microbial pyrosequencing.","author":[{"dropping-particle":"","family":"Dinan","given":"T. G.","non-dropping-particle":"","parse-names":false,"suffix":""},{"dropping-particle":"","family":"Cryan","given":"J. F.","non-dropping-particle":"","parse-names":false,"suffix":""}],"container-title":"Neurogastroenterology and Motility","id":"ITEM-1","issue":"9","issued":{"date-parts":[["2013"]]},"page":"713-719","title":"Melancholic microbes: A link between gut microbiota and depression?","type":"article-journal","volume":"25"},"uris":["http://www.mendeley.com/documents/?uuid=127c601b-38f3-42fe-9960-30c347f0d2da"]},{"id":"ITEM-2","itemData":{"DOI":"10.1152/ajpgi.2001.280.1.G7","ISBN":"0193-1857 (Print)\\n0193-1857 (Linking)","ISSN":"0193-1857","PMID":"11123192","abstract":"The influence of stress on the clinical course of a number of intestinal diseases is increasingly being recognized, but the underlying mechanisms are largely unknown. This themes article focuses on recent findings related to the effects of stress on mucosal barrier function in the small intestine and colon. Experiments using animal models demonstrate that various types of psychological and physical stress induce dysfunction of the intestinal barrier, resulting in enhanced uptake of potentially noxious material (e.g., antigens, toxins, and other proinflammatory molecules) from the gut lumen. Evidence from several studies indicates that in this process, mucosal mast cells play an important role, possibly activated via neurons releasing corticotropin-releasing hormone and/or acetylcholine. Defining the role of specific cells and mediator molecules in stress-induced barrier dysfunction may provide clues to novel treatments for intestinal disorders.","author":[{"dropping-particle":"","family":"Soderholm","given":"Johan D.","non-dropping-particle":"","parse-names":false,"suffix":""},{"dropping-particle":"","family":"Perdue","given":"Mary H.","non-dropping-particle":"","parse-names":false,"suffix":""}],"container-title":"American journal of physiology. Gastrointestinal and liver physiology","id":"ITEM-2","issue":"1","issued":{"date-parts":[["2001"]]},"page":"G7-G13","title":"Stress and gastrointestinal tract. II. Stress and intestinal barrier function.","type":"article-journal","volume":"280"},"uris":["http://www.mendeley.com/documents/?uuid=409c0296-b984-4486-ac2e-c8d84b744b89"]}],"mendeley":{"formattedCitation":"&lt;sup&gt;10,11&lt;/sup&gt;","plainTextFormattedCitation":"10,11","previouslyFormattedCitation":"[10, 11]"},"properties":{"noteIndex":0},"schema":"https://github.com/citation-style-language/schema/raw/master/csl-citation.json"}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10,11</w:t>
      </w:r>
      <w:r w:rsidRPr="00D23BF1">
        <w:rPr>
          <w:rFonts w:ascii="Times" w:hAnsi="Times"/>
        </w:rPr>
        <w:fldChar w:fldCharType="end"/>
      </w:r>
      <w:r w:rsidRPr="00D23BF1">
        <w:rPr>
          <w:rFonts w:ascii="Times" w:hAnsi="Times"/>
        </w:rPr>
        <w:t>. What is not known is the extent to which noise pollution alone affects gut bacterial communities, and how these effects might be mediated by feeding behavior and stress responses to noise. Addressing such gaps in knowledge will aid in furthering understanding of how urbanization affects wild animal populations.</w:t>
      </w:r>
    </w:p>
    <w:p w14:paraId="5FD1434E" w14:textId="77777777" w:rsidR="00041ADB" w:rsidRPr="00D23BF1" w:rsidRDefault="00041ADB" w:rsidP="00F20BE1">
      <w:pPr>
        <w:rPr>
          <w:rFonts w:ascii="Times" w:hAnsi="Times"/>
        </w:rPr>
      </w:pPr>
      <w:r w:rsidRPr="00D23BF1">
        <w:rPr>
          <w:rFonts w:ascii="Times" w:hAnsi="Times"/>
        </w:rPr>
        <w:t>Experimental manipulations of noise levels can lead to alteration of stress hormone levels and changes in foraging behavior. Short, high intensity noise elevated plasma corticosterone (CORT) levels in broiler chickens (</w:t>
      </w:r>
      <w:r w:rsidRPr="00D23BF1">
        <w:rPr>
          <w:rFonts w:ascii="Times" w:hAnsi="Times"/>
          <w:i/>
          <w:iCs/>
        </w:rPr>
        <w:t>Gallus gallus</w:t>
      </w:r>
      <w:r w:rsidRPr="00D23BF1">
        <w:rPr>
          <w:rFonts w:ascii="Times" w:hAnsi="Times"/>
        </w:rPr>
        <w:t xml:space="preserve">) </w:t>
      </w:r>
      <w:r w:rsidRPr="00D23BF1">
        <w:rPr>
          <w:rFonts w:ascii="Times" w:hAnsi="Times"/>
        </w:rPr>
        <w:fldChar w:fldCharType="begin" w:fldLock="1"/>
      </w:r>
      <w:r w:rsidRPr="00D23BF1">
        <w:rPr>
          <w:rFonts w:ascii="Times" w:hAnsi="Times"/>
        </w:rPr>
        <w:instrText>ADDIN CSL_CITATION {"citationItems":[{"id":"ITEM-1","itemData":{"DOI":"10.2754/avb200978010093","ISBN":"0001-7213","ISSN":"00017213","abstract":"Stress effects from acute noise exposure were monitored in a group of ROSS 308 broiler chickens (n = 80), aged 42 days. The experiment simulated slaughterhouse sounds to which the broilers were exposed for 10 min in the test enclosure. Effects of acute noise exposure at two different levels (80 dB and 100 dB) were evaluated on the basis of examinations of selected biochemical plasma indicators and tonic immobility tests. Noise stimuli of both 80 dB and 100 dB intensities for 10 min induced a significant elevation in plasma corticosterone levels. Broilers that were exposed to noise stimuli of 100 dB also exhibited a significant increase in the cholesterol level and total protein level. Exposure to noise stimuli did not influence the glucose level and triglyceride concentrations. The duration of tonic immobility was not affected by noise stimuli in our experiment. However, noise exposure at a 100 dB level decreased the number of attempts to induce tonic immobility in broilers.","author":[{"dropping-particle":"","family":"Chloupek","given":"Petr","non-dropping-particle":"","parse-names":false,"suffix":""},{"dropping-particle":"","family":"Voslářová","given":"Eva","non-dropping-particle":"","parse-names":false,"suffix":""},{"dropping-particle":"","family":"Chloupek","given":"Jan","non-dropping-particle":"","parse-names":false,"suffix":""},{"dropping-particle":"","family":"Bedáňová","given":"Iveta","non-dropping-particle":"","parse-names":false,"suffix":""},{"dropping-particle":"","family":"Pištěková","given":"Vladimíra","non-dropping-particle":"","parse-names":false,"suffix":""},{"dropping-particle":"","family":"Večerek","given":"Vladimír","non-dropping-particle":"","parse-names":false,"suffix":""}],"container-title":"Acta Veterinaria Brno","id":"ITEM-1","issue":"1","issued":{"date-parts":[["2009"]]},"note":"short (10min) intense noise = higher CORT","page":"93-98","title":"Stress in broiler chickens due to acute noise exposure","type":"article-journal","volume":"78"},"uris":["http://www.mendeley.com/documents/?uuid=047a9922-b7f8-4d36-a75b-368b716d6441"]}],"mendeley":{"formattedCitation":"&lt;sup&gt;4&lt;/sup&gt;","plainTextFormattedCitation":"4","previouslyFormattedCitation":"[4]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w:t>
      </w:r>
      <w:r w:rsidRPr="00D23BF1">
        <w:rPr>
          <w:rFonts w:ascii="Times" w:hAnsi="Times"/>
        </w:rPr>
        <w:fldChar w:fldCharType="end"/>
      </w:r>
      <w:r w:rsidRPr="00D23BF1">
        <w:rPr>
          <w:rFonts w:ascii="Times" w:hAnsi="Times"/>
        </w:rPr>
        <w:t xml:space="preserve">. Likewise, in wild sage grouse </w:t>
      </w:r>
      <w:r w:rsidRPr="00D23BF1">
        <w:rPr>
          <w:rFonts w:ascii="Times" w:hAnsi="Times"/>
          <w:noProof/>
        </w:rPr>
        <w:t>(</w:t>
      </w:r>
      <w:r w:rsidRPr="00D23BF1">
        <w:rPr>
          <w:rFonts w:ascii="Times" w:hAnsi="Times"/>
          <w:i/>
          <w:iCs/>
          <w:noProof/>
        </w:rPr>
        <w:t>Centrocercus urophasianus</w:t>
      </w:r>
      <w:r w:rsidRPr="00D23BF1">
        <w:rPr>
          <w:rFonts w:ascii="Times" w:hAnsi="Times"/>
          <w:noProof/>
        </w:rPr>
        <w:t>)</w:t>
      </w:r>
      <w:r w:rsidRPr="00D23BF1">
        <w:rPr>
          <w:rFonts w:ascii="Times" w:hAnsi="Times"/>
        </w:rPr>
        <w:t xml:space="preserve"> </w:t>
      </w:r>
      <w:r w:rsidRPr="00D23BF1">
        <w:rPr>
          <w:rFonts w:ascii="Calibri" w:hAnsi="Calibri" w:cs="Calibri"/>
        </w:rPr>
        <w:t>﻿</w:t>
      </w:r>
      <w:r w:rsidRPr="00D23BF1">
        <w:rPr>
          <w:rFonts w:ascii="Times" w:hAnsi="Times"/>
        </w:rPr>
        <w:t xml:space="preserve">long exposure (chronic) to high noise levels elevated fecal CORT levels </w:t>
      </w:r>
      <w:r w:rsidRPr="00D23BF1">
        <w:rPr>
          <w:rFonts w:ascii="Times" w:hAnsi="Times"/>
        </w:rPr>
        <w:fldChar w:fldCharType="begin" w:fldLock="1"/>
      </w:r>
      <w:r w:rsidRPr="00D23BF1">
        <w:rPr>
          <w:rFonts w:ascii="Times" w:hAnsi="Times"/>
        </w:rPr>
        <w:instrText>ADDIN CSL_CITATION {"citationItems":[{"id":"ITEM-1","itemData":{"DOI":"10.1371/journal.pone.0050462","ISBN":"1932-6203","ISSN":"19326203","PMID":"23185627","abstract":"There is increasing evidence that individuals in many species avoid areas exposed to chronic anthropogenic noise, but the impact of noise on those who remain in these habitats is unclear. One potential impact is chronic physiological stress, which can affect disease resistance, survival and reproductive success. Previous studies have found evidence of elevated stress-related hormones (glucocorticoids) in wildlife exposed to human activities, but the impacts of noise alone are difficult to separate from confounding factors. Here we used an experimental playback study to isolate the impacts of noise from industrial activity (natural gas drilling and road noise) on glucocorticoid levels in greater sage-grouse (Centrocercus urophasianus), a species of conservation concern. We non-invasively measured immunoreactive corticosterone metabolites from fecal samples (FCMs) of males on both noise-treated and control leks (display grounds) in two breeding seasons. We found strong support for an impact of noise playback on stress levels, with 16.7% higher mean FCM levels in samples from noise leks compared with samples from paired control leks. Taken together with results from a previous study finding declines in male lek attendance in response to noise playbacks, these results suggest that chronic noise pollution can cause greater sage-grouse to avoid otherwise suitable habitat, and can cause elevated stress levels in the birds who remain in noisy areas.","author":[{"dropping-particle":"","family":"Blickley","given":"Jessica L.","non-dropping-particle":"","parse-names":false,"suffix":""},{"dropping-particle":"","family":"Word","given":"Karen R.","non-dropping-particle":"","parse-names":false,"suffix":""},{"dropping-particle":"","family":"Krakauer","given":"Alan H.","non-dropping-particle":"","parse-names":false,"suffix":""},{"dropping-particle":"","family":"Phillips","given":"Jennifer L.","non-dropping-particle":"","parse-names":false,"suffix":""},{"dropping-particle":"","family":"Sells","given":"Sarah N.","non-dropping-particle":"","parse-names":false,"suffix":""},{"dropping-particle":"","family":"Taff","given":"Conor C.","non-dropping-particle":"","parse-names":false,"suffix":""},{"dropping-particle":"","family":"Wingfield","given":"John C.","non-dropping-particle":"","parse-names":false,"suffix":""},{"dropping-particle":"","family":"Patricelli","given":"Gail L.","non-dropping-particle":"","parse-names":false,"suffix":""}],"container-title":"PLoS ONE","id":"ITEM-1","issue":"11","issued":{"date-parts":[["2012"]]},"note":"Higher fecal CORT due to noise playback","title":"Experimental Chronic Noise Is Related to Elevated Fecal Corticosteroid Metabolites in Lekking Male Greater Sage-Grouse (Centrocercus urophasianus)","type":"article-journal","volume":"7"},"uris":["http://www.mendeley.com/documents/?uuid=8d67e352-f2ea-445c-aaef-83ae9beded47"]}],"mendeley":{"formattedCitation":"&lt;sup&gt;8&lt;/sup&gt;","plainTextFormattedCitation":"8","previouslyFormattedCitation":"[8]"},"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8</w:t>
      </w:r>
      <w:r w:rsidRPr="00D23BF1">
        <w:rPr>
          <w:rFonts w:ascii="Times" w:hAnsi="Times"/>
        </w:rPr>
        <w:fldChar w:fldCharType="end"/>
      </w:r>
      <w:r w:rsidRPr="00D23BF1">
        <w:rPr>
          <w:rFonts w:ascii="Times" w:hAnsi="Times"/>
        </w:rPr>
        <w:t xml:space="preserve">, although this effect is not seen with exposure to low chronic noise levels </w:t>
      </w:r>
      <w:r w:rsidRPr="00D23BF1">
        <w:rPr>
          <w:rFonts w:ascii="Times" w:hAnsi="Times"/>
        </w:rPr>
        <w:fldChar w:fldCharType="begin" w:fldLock="1"/>
      </w:r>
      <w:r w:rsidRPr="00D23BF1">
        <w:rPr>
          <w:rFonts w:ascii="Times" w:hAnsi="Times"/>
        </w:rPr>
        <w:instrText>ADDIN CSL_CITATION {"citationItems":[{"id":"ITEM-1","itemData":{"ISBN":"0091-7648","ISSN":"00917648","abstract":"The California spotted owl (Strix occidentalis occidentalis) is a focal management species in Sierra Nevada national forests. To protect the owl from human activity, the United States Forest Service has proposed guidelines that would prohibit timber harvest and road or trail construction within 400 m of active owl nest sites during the breeding season. To guide these efforts, we tested the physiological stress response of 9 nonbreeding wild male owls to the sound of a chainsaw operated 100 m from their roost site, using change in fecal cor- ticosterone level (ng/g dry feces) as the response variable. We employed a cross-over experimental design to control differences for among individuals. Chainsaw exposure did not result in a detectable increase in fecal corticosterone level (F1,7=0.01, P=0.94). These findings corroborate results of a field study that suggested spotted owls can tolerate low- intensity human sound in their environment without eliciting a physiological stress response. However, activities producing chronic and intense noise (e.g., timber harvest, road construction), which might elicit such a response, were not simulated in our experi- ment. The effects of these activities on California spotted owls will require further research","author":[{"dropping-particle":"","family":"Tempel","given":"Douglas J","non-dropping-particle":"","parse-names":false,"suffix":""},{"dropping-particle":"","family":"Gutierrez","given":"R J","non-dropping-particle":"","parse-names":false,"suffix":""}],"container-title":"Wildlife Society Bulletin","id":"ITEM-1","issue":"3","issued":{"date-parts":[["2003"]]},"note":"low intensity chainsaw noise did not elevate fecal CORT in owls","page":"698-702","title":"Fecal corticosterone levels in California spotted owls exposed to low-intensity chainsaw sound","type":"article-journal","volume":"31"},"uris":["http://www.mendeley.com/documents/?uuid=a8509237-bf5f-4085-8602-a518030e4f06"]}],"mendeley":{"formattedCitation":"&lt;sup&gt;12&lt;/sup&gt;","manualFormatting":"(in spotted owls (Strix occidentalis), see Tempel &amp; Gutierrez 2003)","plainTextFormattedCitation":"12","previouslyFormattedCitation":"[12]"},"properties":{"noteIndex":0},"schema":"https://github.com/citation-style-language/schema/raw/master/csl-citation.json"}</w:instrText>
      </w:r>
      <w:r w:rsidRPr="00D23BF1">
        <w:rPr>
          <w:rFonts w:ascii="Times" w:hAnsi="Times"/>
        </w:rPr>
        <w:fldChar w:fldCharType="separate"/>
      </w:r>
      <w:r w:rsidRPr="00D23BF1">
        <w:rPr>
          <w:rFonts w:ascii="Times" w:hAnsi="Times"/>
          <w:noProof/>
        </w:rPr>
        <w:t>(in spotted owls (</w:t>
      </w:r>
      <w:r w:rsidRPr="00D23BF1">
        <w:rPr>
          <w:rFonts w:ascii="Times" w:hAnsi="Times"/>
          <w:i/>
          <w:iCs/>
          <w:noProof/>
        </w:rPr>
        <w:t>Strix occidentalis</w:t>
      </w:r>
      <w:r w:rsidRPr="00D23BF1">
        <w:rPr>
          <w:rFonts w:ascii="Times" w:hAnsi="Times"/>
          <w:noProof/>
        </w:rPr>
        <w:t>), see Tempel &amp; Gutierrez 2003)</w:t>
      </w:r>
      <w:r w:rsidRPr="00D23BF1">
        <w:rPr>
          <w:rFonts w:ascii="Times" w:hAnsi="Times"/>
        </w:rPr>
        <w:fldChar w:fldCharType="end"/>
      </w:r>
      <w:r w:rsidRPr="00D23BF1">
        <w:rPr>
          <w:rFonts w:ascii="Times" w:hAnsi="Times"/>
        </w:rPr>
        <w:t>. Noise stress can also alter foraging behaviors. For example in three-</w:t>
      </w:r>
      <w:proofErr w:type="spellStart"/>
      <w:r w:rsidRPr="00D23BF1">
        <w:rPr>
          <w:rFonts w:ascii="Times" w:hAnsi="Times"/>
        </w:rPr>
        <w:t>spined</w:t>
      </w:r>
      <w:proofErr w:type="spellEnd"/>
      <w:r w:rsidRPr="00D23BF1">
        <w:rPr>
          <w:rFonts w:ascii="Times" w:hAnsi="Times"/>
        </w:rPr>
        <w:t xml:space="preserve"> sticklebacks (</w:t>
      </w:r>
      <w:proofErr w:type="spellStart"/>
      <w:r w:rsidRPr="00D23BF1">
        <w:rPr>
          <w:rFonts w:ascii="Times" w:hAnsi="Times"/>
          <w:i/>
          <w:iCs/>
        </w:rPr>
        <w:t>Gasterosteus</w:t>
      </w:r>
      <w:proofErr w:type="spellEnd"/>
      <w:r w:rsidRPr="00D23BF1">
        <w:rPr>
          <w:rFonts w:ascii="Times" w:hAnsi="Times"/>
          <w:i/>
          <w:iCs/>
        </w:rPr>
        <w:t xml:space="preserve"> aculeatus</w:t>
      </w:r>
      <w:r w:rsidRPr="00D23BF1">
        <w:rPr>
          <w:rFonts w:ascii="Times" w:hAnsi="Times"/>
        </w:rPr>
        <w:t xml:space="preserve">) noise shifted fishes’ attention, resulting in decreased food-handling ability </w:t>
      </w:r>
      <w:r w:rsidRPr="00D23BF1">
        <w:rPr>
          <w:rFonts w:ascii="Times" w:hAnsi="Times"/>
        </w:rPr>
        <w:fldChar w:fldCharType="begin" w:fldLock="1"/>
      </w:r>
      <w:r w:rsidRPr="00D23BF1">
        <w:rPr>
          <w:rFonts w:ascii="Times" w:hAnsi="Times"/>
        </w:rPr>
        <w:instrText>ADDIN CSL_CITATION {"citationItems":[{"id":"ITEM-1","itemData":{"DOI":"10.1371/journal.pone.0017478","ISBN":"1932-6203","ISSN":"19326203","PMID":"21386909","abstract":"Acoustic noise is known to have a variety of detrimental effects on many animals, including humans, but surprisingly little is known about its impacts on foraging behaviour, despite the obvious potential consequences for survival and reproductive success. We therefore exposed captive three-spined sticklebacks (Gasterosteus aculeatus) to brief and prolonged noise to investigate how foraging performance is affected by the addition of acoustic noise to an otherwise quiet environment. The addition of noise induced only mild fear-related behaviours - there was an increase in startle responses, but no change in the time spent freezing or hiding compared to a silent control - and thus had no significant impact on the total amount of food eaten. However, there was strong evidence that the addition of noise increased food-handling errors and reduced discrimination between food and non-food items, results that are consistent with a shift in attention. Consequently, noise resulted in decreased foraging efficiency, with more attacks needed to consume the same number of prey items. Our results suggest that acoustic noise has the potential to influence a whole host of everyday activities through effects on attention, and that even very brief noise exposure can cause functionally significant impacts, emphasising the threat posed by ever-increasing levels of anthropogenic noise in the environment.","author":[{"dropping-particle":"","family":"Purser","given":"Julia","non-dropping-particle":"","parse-names":false,"suffix":""},{"dropping-particle":"","family":"Radford","given":"Andrew N.","non-dropping-particle":"","parse-names":false,"suffix":""}],"container-title":"PLoS ONE","id":"ITEM-1","issue":"2","issued":{"date-parts":[["2011"]]},"note":"great intro with all the ways noise could affect foraging\n\nin sticklebacks, noise did not reduce food intake, but did increase food handling errors","title":"Acoustic noise induces attention shifts and reduces foraging performance in three-spined sticklebacks (gasterosteus aculeatus)","type":"article-journal","volume":"6"},"uris":["http://www.mendeley.com/documents/?uuid=1c909fb1-b900-46e6-acb1-f19a3ef89538"]}],"mendeley":{"formattedCitation":"&lt;sup&gt;2&lt;/sup&gt;","plainTextFormattedCitation":"2","previouslyFormattedCitation":"[2]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w:t>
      </w:r>
      <w:r w:rsidRPr="00D23BF1">
        <w:rPr>
          <w:rFonts w:ascii="Times" w:hAnsi="Times"/>
        </w:rPr>
        <w:fldChar w:fldCharType="end"/>
      </w:r>
      <w:r w:rsidRPr="00D23BF1">
        <w:rPr>
          <w:rFonts w:ascii="Times" w:hAnsi="Times"/>
        </w:rPr>
        <w:t xml:space="preserve">.  Noise can also reduce foraging efficiency </w:t>
      </w:r>
      <w:r w:rsidRPr="00D23BF1">
        <w:rPr>
          <w:rFonts w:ascii="Times" w:hAnsi="Times"/>
        </w:rPr>
        <w:fldChar w:fldCharType="begin" w:fldLock="1"/>
      </w:r>
      <w:r w:rsidRPr="00D23BF1">
        <w:rPr>
          <w:rFonts w:ascii="Times" w:hAnsi="Times"/>
        </w:rPr>
        <w:instrText>ADDIN CSL_CITATION {"citationItems":[{"id":"ITEM-1","itemData":{"DOI":"10.1038/srep30602","ISSN":"2045-2322","PMID":"27537709","abstract":"Anthropogenic noise has been increasing globally. Laboratory experiments suggest that noise disrupts foraging behavior across a range of species, but to reveal the full impacts of noise, we must examine the impacts of noise on foraging behavior among species in the wild. Owls are widespread nocturnal top predators and use prey rustling sounds for localizing prey when hunting. We conducted field experiments to examine the effect of traffic noise on owls' ability to detect prey. Results suggest that foraging efficiency declines with increasing traffic noise levels due to acoustic masking and/or distraction and aversion to traffic noise. Moreover, we estimate that effects of traffic noise on owls' ability to detect prey reach &gt;120</w:instrText>
      </w:r>
      <w:r w:rsidRPr="00D23BF1">
        <w:rPr>
          <w:rFonts w:ascii="Times New Roman" w:hAnsi="Times New Roman" w:cs="Times New Roman"/>
        </w:rPr>
        <w:instrText> </w:instrText>
      </w:r>
      <w:r w:rsidRPr="00D23BF1">
        <w:rPr>
          <w:rFonts w:ascii="Times" w:hAnsi="Times"/>
        </w:rPr>
        <w:instrText>m from a road, which is larger than the distance estimated from captive studies with bats. Our study provides the first evidence that noise reduces foraging efficiency in wild animals, and highlights the possible pervasive impacts of noise.","author":[{"dropping-particle":"","family":"Senzaki","given":"Masayuki","non-dropping-particle":"","parse-names":false,"suffix":""},{"dropping-particle":"","family":"Yamaura","given":"Yuichi","non-dropping-particle":"","parse-names":false,"suffix":""},{"dropping-particle":"","family":"Francis","given":"Clinton D.","non-dropping-particle":"","parse-names":false,"suffix":""},{"dropping-particle":"","family":"Nakamura","given":"Futoshi","non-dropping-particle":"","parse-names":false,"suffix":""}],"container-title":"Scientific Reports","id":"ITEM-1","issue":"1","issued":{"date-parts":[["2016"]]},"note":"·      Played prey rustling noises with and without traffic noise accompaniment \n·      Prey detectability wend down as noise went up \n·      Nosie is louder closer to roads, thus prey detectability would be lower closer to roads","page":"30602","publisher":"Nature Publishing Group","title":"Traffic noise reduces foraging efficiency in wild owls","type":"article-journal","volume":"6"},"uris":["http://www.mendeley.com/documents/?uuid=cec73e9d-80e4-45db-be83-e859fca875b1"]}],"mendeley":{"formattedCitation":"&lt;sup&gt;13&lt;/sup&gt;","plainTextFormattedCitation":"13","previouslyFormattedCitation":"[13]"},"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13</w:t>
      </w:r>
      <w:r w:rsidRPr="00D23BF1">
        <w:rPr>
          <w:rFonts w:ascii="Times" w:hAnsi="Times"/>
        </w:rPr>
        <w:fldChar w:fldCharType="end"/>
      </w:r>
      <w:r w:rsidRPr="00D23BF1">
        <w:rPr>
          <w:rFonts w:ascii="Times" w:hAnsi="Times"/>
        </w:rPr>
        <w:t xml:space="preserve"> and increase predator vigilance behaviors in multiple species, including white-crowned sparrows </w:t>
      </w:r>
      <w:r w:rsidRPr="00D23BF1">
        <w:rPr>
          <w:rFonts w:ascii="Times" w:hAnsi="Times"/>
        </w:rPr>
        <w:lastRenderedPageBreak/>
        <w:t>(</w:t>
      </w:r>
      <w:proofErr w:type="spellStart"/>
      <w:r w:rsidRPr="00D23BF1">
        <w:rPr>
          <w:rFonts w:ascii="Times" w:hAnsi="Times"/>
          <w:i/>
          <w:iCs/>
        </w:rPr>
        <w:t>Zonotrichia</w:t>
      </w:r>
      <w:proofErr w:type="spellEnd"/>
      <w:r w:rsidRPr="00D23BF1">
        <w:rPr>
          <w:rFonts w:ascii="Times" w:hAnsi="Times"/>
          <w:i/>
          <w:iCs/>
        </w:rPr>
        <w:t xml:space="preserve"> </w:t>
      </w:r>
      <w:proofErr w:type="spellStart"/>
      <w:r w:rsidRPr="00D23BF1">
        <w:rPr>
          <w:rFonts w:ascii="Times" w:hAnsi="Times"/>
          <w:i/>
          <w:iCs/>
        </w:rPr>
        <w:t>leucophrys</w:t>
      </w:r>
      <w:proofErr w:type="spellEnd"/>
      <w:r w:rsidRPr="00D23BF1">
        <w:rPr>
          <w:rFonts w:ascii="Times" w:hAnsi="Times"/>
        </w:rPr>
        <w:t>) and chaffinches (</w:t>
      </w:r>
      <w:r w:rsidRPr="00D23BF1">
        <w:rPr>
          <w:rFonts w:ascii="Times" w:hAnsi="Times"/>
          <w:i/>
          <w:iCs/>
        </w:rPr>
        <w:t>Fringilla coelebs</w:t>
      </w:r>
      <w:r w:rsidRPr="00D23BF1">
        <w:rPr>
          <w:rFonts w:ascii="Times" w:hAnsi="Times"/>
        </w:rPr>
        <w:t xml:space="preserve">) </w:t>
      </w:r>
      <w:r w:rsidRPr="00D23BF1">
        <w:rPr>
          <w:rFonts w:ascii="Times" w:hAnsi="Times"/>
        </w:rPr>
        <w:fldChar w:fldCharType="begin" w:fldLock="1"/>
      </w:r>
      <w:r w:rsidRPr="00D23BF1">
        <w:rPr>
          <w:rFonts w:ascii="Times" w:hAnsi="Times"/>
        </w:rPr>
        <w:instrText>ADDIN CSL_CITATION {"citationItems":[{"id":"ITEM-1","itemData":{"DOI":"10.1111/j.2006.0908-8857.03781.x","ISBN":"09088857","ISSN":"09088857","abstract":"Background noise should in theory hinder detection of auditory cues associated with\\napproaching danger. We tested whether foraging chaffinches Fringilla coelebs\\nresponded to background noise by increasing vigilance, and examined whether this\\nwas explained by predation risk compensation or by a novel stimulus hypothesis. The\\nformer predicts that only inter-scan interval should be modified in the presence of\\nbackground noise, not vigilance levels generally. This is because noise hampers\\nauditory cue detection and increases perceived predation risk primarily when in the\\nhead-down position, and also because previous tests have shown that only interscan\\ninterval is correlated with predator detection ability in this system. Chaffinches only\\nmodified interscan interval supporting this hypothesis. At the same time they made\\nsignificantly fewer pecks when feeding during the background noise treatment and so\\nthe increased vigilance led to a reduction in intake rate, suggesting that compensating\\nfor the increased predation risk could indirectly lead to a fitness cost. Finally, the novel\\nstimulus hypothesis predicts that chaffinches should habituate to the noise, which did\\nnot occur within a trial or over 5 subsequent trials. We conclude that auditory cues may\\nbe an important component of the trade-off between vigilance and feeding, and discuss\\npossible implications for anti-predation theory and ecological processes","author":[{"dropping-particle":"","family":"L. Quinn","given":"John","non-dropping-particle":"","parse-names":false,"suffix":""},{"dropping-particle":"","family":"J. Whittingham","given":"Mark","non-dropping-particle":"","parse-names":false,"suffix":""},{"dropping-particle":"","family":"J. Butler","given":"Simon","non-dropping-particle":"","parse-names":false,"suffix":""},{"dropping-particle":"","family":"Cresswell","given":"Will","non-dropping-particle":"","parse-names":false,"suffix":""}],"container-title":"Journal of Avian Biology","id":"ITEM-1","issue":"6","issued":{"date-parts":[["2006"]]},"note":"Chaffinches exposed to noise during foraging, recorded, and scored for vigilance measures.\ntime spent vigilant increased during noise, with no evidence of habituation","page":"601-608","title":"Noise, predation risk compensation and vigilance in the chaffinch Fringilla coelebs","type":"article-journal","volume":"37"},"uris":["http://www.mendeley.com/documents/?uuid=31b2c425-1002-4c23-9617-bcda6d53c64e"]},{"id":"ITEM-2","itemData":{"DOI":"10.1098/rspb.2013.2290","ISSN":"14712954","abstract":"Many authors have suggested that the negative effects of roads on animals are largely owing to traffic noise. Although suggestive, most past studies of the effects of road noise on wildlife were conducted in the presence of the other confounding effects of roads, such as visual disturbance, collisions and chemical pollution among others. We present, to our knowledge, the first study to experimentally apply traffic noise to a roadless area at a landscape scale-thus avoiding the other confounding aspects of roads present in past studies. We replicated the sound of a roadway at intervals-alternating 4 days of noise on with 4 days off-during the autumn migratory period using a 0.5 km array of speakers within an established stopover site in southern Idaho. We conducted daily bird surveys along our 'Phantom Road' and in a nearby control site. We document over a one-quarter decline in bird abundance and almost complete avoidance by some species between noise-on and noise-off periods along the phantom road and no such effects at control sites-suggesting that traffic noise is a major driver of effects of roads on populations of animals. © 2013 The Author(s) Published by the Royal Society.","author":[{"dropping-particle":"","family":"McClure","given":"Christopher J.W.","non-dropping-particle":"","parse-names":false,"suffix":""},{"dropping-particle":"","family":"Ware","given":"Heidi E.","non-dropping-particle":"","parse-names":false,"suffix":""},{"dropping-particle":"","family":"Carlisle","given":"Jay","non-dropping-particle":"","parse-names":false,"suffix":""},{"dropping-particle":"","family":"Kaltenecker","given":"Gregory","non-dropping-particle":"","parse-names":false,"suffix":""},{"dropping-particle":"","family":"Barber","given":"Jesse R.","non-dropping-particle":"","parse-names":false,"suffix":""}],"container-title":"Proceedings of the Royal Society B: Biological Sciences","id":"ITEM-2","issue":"1773","issued":{"date-parts":[["2013"]]},"title":"An experimental investigation into the effects of traffic noise on distributions of birds: Avoiding the phantom road","type":"article-journal","volume":"280"},"uris":["http://www.mendeley.com/documents/?uuid=b7932f30-7d58-405e-98a2-0ddcba81adca"]},{"id":"ITEM-3","itemData":{"DOI":"10.1073/pnas.1504710112","ISBN":"0711232105","ISSN":"0027-8424","PMID":"26324924","abstract":"Decades of research demonstrate that roads impact wildlife and suggest traffic noise as a primary cause of population declines near roads. We created a \"phantom road\" using an array of speakers to apply traffic noise to a roadless landscape, directly testing the effect of noise alone on an entire songbird community during autumn migration. Thirty-one percent of the bird community avoided the phantom road. For individuals that stayed despite the noise, overall body condition decreased by a full SD and some species showed a change in ability to gain body condition when exposed to traffic noise during migratory stopover. We conducted complementary laboratory experiments that implicate foraging-vigilance behavior as one mechanism driving this pattern. Our results suggest that noise degrades habitat that is otherwise suitable, and that the presence of a species does not indicate the absence of an impact.","author":[{"dropping-particle":"","family":"Ware","given":"Heidi E.","non-dropping-particle":"","parse-names":false,"suffix":""},{"dropping-particle":"","family":"McClure","given":"Christopher J. W.","non-dropping-particle":"","parse-names":false,"suffix":""},{"dropping-particle":"","family":"Carlisle","given":"Jay D.","non-dropping-particle":"","parse-names":false,"suffix":""},{"dropping-particle":"","family":"Barber","given":"Jesse R.","non-dropping-particle":"","parse-names":false,"suffix":""}],"container-title":"Proceedings of the National Academy of Sciences","id":"ITEM-3","issue":"39","issued":{"date-parts":[["2015"]]},"note":"body condition and foraging-vigilance behavior impacted by &amp;quot;phantom road&amp;quot;","page":"12105-12109","title":"A phantom road experiment reveals traffic noise is an invisible source of habitat degradation","type":"article-journal","volume":"112"},"uris":["http://www.mendeley.com/documents/?uuid=1798a2ed-dfe9-46bd-971e-a367a2e4978b"]}],"mendeley":{"formattedCitation":"&lt;sup&gt;9,14,15&lt;/sup&gt;","plainTextFormattedCitation":"9,14,15","previouslyFormattedCitation":"[9, 14, 15]"},"properties":{"noteIndex":0},"schema":"https://github.com/citation-style-language/schema/raw/master/csl-citation.json"}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lang w:val="fr-FR"/>
        </w:rPr>
        <w:t>9,14,15</w:t>
      </w:r>
      <w:r w:rsidRPr="00D23BF1">
        <w:rPr>
          <w:rFonts w:ascii="Times" w:hAnsi="Times"/>
        </w:rPr>
        <w:fldChar w:fldCharType="end"/>
      </w:r>
      <w:r w:rsidRPr="00D23BF1">
        <w:rPr>
          <w:rFonts w:ascii="Times" w:hAnsi="Times"/>
          <w:lang w:val="fr-FR"/>
        </w:rPr>
        <w:t xml:space="preserve">. </w:t>
      </w:r>
      <w:r w:rsidRPr="00D23BF1">
        <w:rPr>
          <w:rFonts w:ascii="Times" w:hAnsi="Times"/>
        </w:rPr>
        <w:t>These negative effects of noise on foraging behaviors do not seem to be via effects of noise stress on appetite, as in lizards (</w:t>
      </w:r>
      <w:r w:rsidRPr="00D23BF1">
        <w:rPr>
          <w:rFonts w:ascii="Times" w:hAnsi="Times"/>
          <w:i/>
          <w:iCs/>
        </w:rPr>
        <w:t>Lacerta vivipara</w:t>
      </w:r>
      <w:r w:rsidRPr="00D23BF1">
        <w:rPr>
          <w:rFonts w:ascii="Times" w:hAnsi="Times"/>
        </w:rPr>
        <w:t>) stress hormones (corticosterone) increase appetite (</w:t>
      </w:r>
      <w:r w:rsidRPr="00D23BF1">
        <w:rPr>
          <w:rFonts w:ascii="Times" w:hAnsi="Times"/>
        </w:rPr>
        <w:fldChar w:fldCharType="begin" w:fldLock="1"/>
      </w:r>
      <w:r w:rsidRPr="00D23BF1">
        <w:rPr>
          <w:rFonts w:ascii="Times" w:hAnsi="Times"/>
        </w:rPr>
        <w:instrText>ADDIN CSL_CITATION {"citationItems":[{"id":"ITEM-1","itemData":{"DOI":"10.1016/j.yhbeh.2005.08.004","ISSN":"0018506X","PMID":"16153645","abstract":"Corticosterone is an important hormone of the stress response that regulates physiological processes and modifies animal behavior. While it positively acts on locomotor activity, it may negatively affect reproduction and social activity. This suggests that corticosterone may promote behaviors that increase survival at the cost of reproduction. In this study, we experimentally investigate the link between corticosterone levels and survival in adult common lizards (Lacerta vivipara) by comparing corticosterone-treated with placebo-treated lizards. We experimentally show that corticosterone enhances energy expenditure, daily activity, food intake, and it modifies the behavioral time budget. Enhanced appetite of corticosterone-treated individuals compensated for increased energy expenditure and corticosterone-treated males showed increased survival. This suggests that corticosterone may promote behaviors that reduce stress and it shows that corticosterone per se does not reduce but directly or indirectly increases longer-term survival. This suggests that the production of corticosterone as a response to a stressor may be an adaptive mechanism that even controls survival. © 2005 Elsevier Inc. All rights reserved.","author":[{"dropping-particle":"","family":"Cote","given":"J.","non-dropping-particle":"","parse-names":false,"suffix":""},{"dropping-particle":"","family":"Clobert","given":"J.","non-dropping-particle":"","parse-names":false,"suffix":""},{"dropping-particle":"","family":"Meylan","given":"S.","non-dropping-particle":"","parse-names":false,"suffix":""},{"dropping-particle":"","family":"Fitze","given":"P. S.","non-dropping-particle":"","parse-names":false,"suffix":""}],"container-title":"Hormones and Behavior","id":"ITEM-1","issue":"3","issued":{"date-parts":[["2006"]]},"page":"320-327","title":"Experimental enhancement of corticosterone levels positively affects subsequent male survival","type":"article-journal","volume":"49"},"uris":["http://www.mendeley.com/documents/?uuid=e573ebd7-3a2a-480b-9bb6-532ecc5b3e90"]}],"mendeley":{"formattedCitation":"&lt;sup&gt;16&lt;/sup&gt;","manualFormatting":"Cote et al. 2006","plainTextFormattedCitation":"16","previouslyFormattedCitation":"[16]"},"properties":{"noteIndex":0},"schema":"https://github.com/citation-style-language/schema/raw/master/csl-citation.json"}</w:instrText>
      </w:r>
      <w:r w:rsidRPr="00D23BF1">
        <w:rPr>
          <w:rFonts w:ascii="Times" w:hAnsi="Times"/>
        </w:rPr>
        <w:fldChar w:fldCharType="separate"/>
      </w:r>
      <w:r w:rsidRPr="00D23BF1">
        <w:rPr>
          <w:rFonts w:ascii="Times" w:hAnsi="Times"/>
          <w:noProof/>
        </w:rPr>
        <w:t xml:space="preserve">Cote </w:t>
      </w:r>
      <w:r w:rsidRPr="00D23BF1">
        <w:rPr>
          <w:rFonts w:ascii="Times" w:hAnsi="Times"/>
          <w:i/>
          <w:noProof/>
        </w:rPr>
        <w:t>et al.</w:t>
      </w:r>
      <w:r w:rsidRPr="00D23BF1">
        <w:rPr>
          <w:rFonts w:ascii="Times" w:hAnsi="Times"/>
          <w:noProof/>
        </w:rPr>
        <w:t xml:space="preserve"> 2006</w:t>
      </w:r>
      <w:r w:rsidRPr="00D23BF1">
        <w:rPr>
          <w:rFonts w:ascii="Times" w:hAnsi="Times"/>
        </w:rPr>
        <w:fldChar w:fldCharType="end"/>
      </w:r>
      <w:r w:rsidRPr="00D23BF1">
        <w:rPr>
          <w:rFonts w:ascii="Times" w:hAnsi="Times"/>
        </w:rPr>
        <w:t xml:space="preserve">, but see </w:t>
      </w:r>
      <w:r w:rsidRPr="00D23BF1">
        <w:rPr>
          <w:rFonts w:ascii="Times" w:hAnsi="Times"/>
        </w:rPr>
        <w:fldChar w:fldCharType="begin" w:fldLock="1"/>
      </w:r>
      <w:r w:rsidRPr="00D23BF1">
        <w:rPr>
          <w:rFonts w:ascii="Times" w:hAnsi="Times"/>
        </w:rPr>
        <w:instrText>ADDIN CSL_CITATION {"citationItems":[{"id":"ITEM-1","itemData":{"DOI":"10.1006/hbeh.2000.1571","ISSN":"0018506X","abstract":"Environmental perturbations increase adrenal activity in several vertebrates. Increases in corticosterone may serve as a proximate trigger whereby organisms can rapidly adapt their behavior to survive environmental fluctuations. In food-caching songbirds, inclement weather may present the need to alter caching and/or retrieval behaviors to ensure food supplies. We hypothesized that corticosterone may increase the rate of caching and/or retrieval behaviors in the mountain chickadee, a food-storing songbird, and tested if these potential effects were mediated by alterations in appetite, activity, or memory for cache sites. Corticosterone or vehicle was administered to subjects 5 min prior to either caching or recovery in a naturalistic laboratory paradigm during which we recorded the number of caching events, sites visited, and seeds eaten (caching) or caches recovered, total sites visited, cache-related visits, and non-cache-related visits (recovery). Data were analyzed using nested ANOVA for treatment within sequential trial. There was no effect on any caching behaviors following treatment. However, birds treated with corticosterone during retrieval recovered more seeds and tended to visit more cache-related sites than did controls. Since groups did not differ in the number of seeds eaten or the total number of sites visited, it seems unlikely that corticosterone affected appetite or activity. Rapid surges in corticosterone may increase the efficacy of an underlying memory process for cache sites which is reflected in higher cache recovery in corticosterone-treated birds than in controls. Thus, rapid alterations in plasma corticosterone following environmental change may alter memory-reliant behaviors which promote survival in the food- caching mountain chickadee. (C) 2000 Academic Press.","author":[{"dropping-particle":"","family":"Saldanha","given":"Colin J.","non-dropping-particle":"","parse-names":false,"suffix":""},{"dropping-particle":"","family":"Schlinger","given":"Barney A.","non-dropping-particle":"","parse-names":false,"suffix":""},{"dropping-particle":"","family":"Clayton","given":"Nicola S.","non-dropping-particle":"","parse-names":false,"suffix":""}],"container-title":"Hormones and Behavior","id":"ITEM-1","issue":"2","issued":{"date-parts":[["2000"]]},"page":"109-115","title":"Rapid effects of corticosterone on cache recovery in mountain chickadees (Parus gambeli)","type":"article-journal","volume":"37"},"uris":["http://www.mendeley.com/documents/?uuid=1ff24916-7824-45b7-b75f-d05543fc3a26"]}],"mendeley":{"formattedCitation":"&lt;sup&gt;17&lt;/sup&gt;","manualFormatting":"Saldanha et al. 2000)","plainTextFormattedCitation":"17","previouslyFormattedCitation":"[17]"},"properties":{"noteIndex":0},"schema":"https://github.com/citation-style-language/schema/raw/master/csl-citation.json"}</w:instrText>
      </w:r>
      <w:r w:rsidRPr="00D23BF1">
        <w:rPr>
          <w:rFonts w:ascii="Times" w:hAnsi="Times"/>
        </w:rPr>
        <w:fldChar w:fldCharType="separate"/>
      </w:r>
      <w:r w:rsidRPr="00D23BF1">
        <w:rPr>
          <w:rFonts w:ascii="Times" w:hAnsi="Times"/>
          <w:noProof/>
        </w:rPr>
        <w:t xml:space="preserve">Saldanha </w:t>
      </w:r>
      <w:r w:rsidRPr="00D23BF1">
        <w:rPr>
          <w:rFonts w:ascii="Times" w:hAnsi="Times"/>
          <w:i/>
          <w:noProof/>
        </w:rPr>
        <w:t>et al.</w:t>
      </w:r>
      <w:r w:rsidRPr="00D23BF1">
        <w:rPr>
          <w:rFonts w:ascii="Times" w:hAnsi="Times"/>
          <w:noProof/>
        </w:rPr>
        <w:t xml:space="preserve"> 2000)</w:t>
      </w:r>
      <w:r w:rsidRPr="00D23BF1">
        <w:rPr>
          <w:rFonts w:ascii="Times" w:hAnsi="Times"/>
        </w:rPr>
        <w:fldChar w:fldCharType="end"/>
      </w:r>
      <w:r w:rsidRPr="00D23BF1">
        <w:rPr>
          <w:rFonts w:ascii="Times" w:hAnsi="Times"/>
        </w:rPr>
        <w:t>. Together, these experimental studies suggest that exposure to noise can have both behavioral and physiological consequences in many animals, including birds.</w:t>
      </w:r>
    </w:p>
    <w:p w14:paraId="7A0FDE2D" w14:textId="77777777" w:rsidR="00041ADB" w:rsidRPr="00D23BF1" w:rsidRDefault="00041ADB" w:rsidP="00F20BE1">
      <w:pPr>
        <w:rPr>
          <w:rFonts w:ascii="Times" w:hAnsi="Times"/>
        </w:rPr>
      </w:pPr>
      <w:r w:rsidRPr="00D23BF1">
        <w:rPr>
          <w:rFonts w:ascii="Times" w:hAnsi="Times"/>
          <w:i/>
          <w:iCs/>
        </w:rPr>
        <w:tab/>
      </w:r>
      <w:r w:rsidRPr="00D23BF1">
        <w:rPr>
          <w:rFonts w:ascii="Times" w:hAnsi="Times"/>
        </w:rPr>
        <w:t xml:space="preserve">Both corticosterone and feeding behavior can have direct effects on gut bacteria, as well as indirect effects through changes in gut physiology. Corticosterone and other stress hormones can induce changes in intestinal motility and intestinal permeability, as well as cause intestinal inflammation </w:t>
      </w:r>
      <w:r w:rsidRPr="00D23BF1">
        <w:rPr>
          <w:rFonts w:ascii="Times" w:hAnsi="Times"/>
        </w:rPr>
        <w:fldChar w:fldCharType="begin" w:fldLock="1"/>
      </w:r>
      <w:r w:rsidRPr="00D23BF1">
        <w:rPr>
          <w:rFonts w:ascii="Times" w:hAnsi="Times"/>
        </w:rPr>
        <w:instrText>ADDIN CSL_CITATION {"citationItems":[{"id":"ITEM-1","itemData":{"DOI":"10.1016/j.intimp.2018.11.037","ISSN":"18781705","abstract":"Experiencing psychosocial adversities in early life such as maternal separation (MS) increases the risk of psychiatric disorders. Immune-inflammatory responses have imperative roles in the pathophysiology of psychiatric disorders. MS relatively changes the composition of intestinal microbiota leading to an overactivation of the hypothalamic–pituitary–adrenal (HPA) axis, and subsequently increases the corticosterone level. In this study, we aimed to evaluate the role of corticosterone in behavioral changes and microbiota modifications in a mouse model of MS afflicted neuroinflammatory response in the hippocampus. For this purpose, 180 min of MS stress was applied to mice at postnatal day (PND) 2–14 followed by behavioral tests including forced swimming test (FST), splash test, open field test (OFT) and elevated plus maze (EPM) at PND 50–52. For evaluating the role of corticosterone, mice were subjected to adrenalectomy. Using real-time RT-PCR, the expression of inflammatory genes was determined in the hippocampus and colon tissues. We found that MS provoked depressive- and anxiety-like behaviors in adult male mice. In addition, MS was able to active a neuroimmune response in the hippocampus, motivate inflammation and histopathologic changes in the colon tissue and modify the composition of gut microbiota as well. Interestingly, our findings showed that adrenalectomy (decline in the corticosterone level), could modulate the above-mentioned negative effects of MS. In conclusion, our results demonstrated that overactivation of HPA axis and the subsequent increased level of corticosterone could act, possibly, as the deleterious effects of MS on behavior, microbiota composition changes and activation of neuroimmune response.","author":[{"dropping-particle":"","family":"Amini-Khoei","given":"Hossein","non-dropping-particle":"","parse-names":false,"suffix":""},{"dropping-particle":"","family":"Haghani-Samani","given":"Elaheh","non-dropping-particle":"","parse-names":false,"suffix":""},{"dropping-particle":"","family":"Beigi","given":"Masoumeh","non-dropping-particle":"","parse-names":false,"suffix":""},{"dropping-particle":"","family":"Soltani","given":"Amin","non-dropping-particle":"","parse-names":false,"suffix":""},{"dropping-particle":"","family":"Mobini","given":"Gholam Reza","non-dropping-particle":"","parse-names":false,"suffix":""},{"dropping-particle":"","family":"Balali-Dehkordi","given":"Shima","non-dropping-particle":"","parse-names":false,"suffix":""},{"dropping-particle":"","family":"Haj-Mirzaian","given":"Arvin","non-dropping-particle":"","parse-names":false,"suffix":""},{"dropping-particle":"","family":"Rafieian-Kopaei","given":"Mahmoud","non-dropping-particle":"","parse-names":false,"suffix":""},{"dropping-particle":"","family":"Alizadeh","given":"Akram","non-dropping-particle":"","parse-names":false,"suffix":""},{"dropping-particle":"","family":"Hojjati","given":"Mohammad Reza","non-dropping-particle":"","parse-names":false,"suffix":""},{"dropping-particle":"","family":"Validi","given":"Majid","non-dropping-particle":"","parse-names":false,"suffix":""}],"container-title":"International Immunopharmacology","id":"ITEM-1","issue":"October 2018","issued":{"date-parts":[["2019"]]},"page":"242-250","title":"On the role of corticosterone in behavioral disorders, microbiota composition alteration and neuroimmune response in adult male mice subjected to maternal separation stress","type":"article-journal","volume":"66"},"uris":["http://www.mendeley.com/documents/?uuid=32a61a0d-e7f5-4451-ba8e-55f14e31e0a4"]},{"id":"ITEM-2","itemData":{"DOI":"10.1152/ajpgi.00419.2006.","ISSN":"0017095X","abstract":"Freely decomposable and strongly freely decomposable maps were introduced by G. R. Gordh and C. B. Hughes as a generalization of monotone maps with the property that these maps preserve local connectedness in inverse limits. We prove some relationships between f, Cn(f) and 2f, when f, Cn(f) or 2f belong to the following classes of maps: Almost monotone, quasi-monotone, weakly monotone, freely decomposable or strongly freely decomposable. We correct two corollaries formulated by Jaunusz J. Charatonik in \"On feebly monotone and related classes of maps\". We also present an alternative reformulation of these results.","author":[{"dropping-particle":"","family":"Nakade","given":"Y.","non-dropping-particle":"","parse-names":false,"suffix":""},{"dropping-particle":"","family":"Fukuda","given":"H.","non-dropping-particle":"","parse-names":false,"suffix":""},{"dropping-particle":"","family":"Iwa","given":"M. Kiyoshi","non-dropping-particle":"","parse-names":false,"suffix":""},{"dropping-particle":"","family":"T. Yanagi","given":"H.","non-dropping-particle":"","parse-names":false,"suffix":""},{"dropping-particle":"","family":"Yamamura","given":"T.","non-dropping-particle":"","parse-names":false,"suffix":""},{"dropping-particle":"","family":"Mantyh","given":"C.","non-dropping-particle":"","parse-names":false,"suffix":""},{"dropping-particle":"","family":"Pappas","given":"T. N.","non-dropping-particle":"","parse-names":false,"suffix":""},{"dropping-particle":"","family":"Takahashi","given":"T.","non-dropping-particle":"","parse-names":false,"suffix":""}],"container-title":"American Journal of Physiology-Gastrointestinal and Liver Physiology","id":"ITEM-2","issue":"2","issued":{"date-parts":[["2006"]]},"note":"Restraint stress in rats increases gut motility through corticotrophin releasing factor/glucocorticoid pathways.","page":"1037-1044","title":"Restraint stress stimulates colonic motility via central corticotropin-releasing factor and peripheral 5-HT3 receptors in conscious rats","type":"article-journal","volume":"48"},"uris":["http://www.mendeley.com/documents/?uuid=f40d147d-1841-4c2c-8d69-00323ca5e818"]},{"id":"ITEM-3","itemData":{"DOI":"10.1016/j.pain.2004.10.002","ISBN":"0304-3959 (Print)\\r0304-3959 (Linking)","ISSN":"03043959","PMID":"15621374","abstract":"Hypersensitivity to rectal or colonic distension characterizes most patients with IBS and increased gut permeability has been described in post-dysenteric IBS patients. However, no link has been established between these two events. The aim of this study was to determine (i) whether chemical blockade of stress-induced increase of colonic paracellular permeability by 2,4,6 triaminopyrimidine (TAP) affects the concomitant hypersensitivity to colonic distension, (ii) the role of epithelial cell contraction in the stress-induced increased permeability and hyperalgesia, using a myosin light chain kinase inhibitor (ML-7). The effect of acute partial restraint stress (PRS) on visceral sensitivity to colorectal distension (RD) was assessed by abdominal muscle electromyography. Colonic paracellular permeability was determined by measuring percentage of urinary51Cr-EDTA recovery after intracolonic infusion. The effect of stress on both parameters was evaluated after TAP, ML-7 or vehicle pretreated animals. PRS significantly increased colonic paracellular permeability and the number of spike bursts for all volumes of RD applied compared to sham. TAP suppressed the stress-induced increase of colonic paracellular permeability and sensitivity to colonic distension. Similarly, ML-7 blocked the stress-induced increase of colonic paracellular permeability and sensitivity. Neither ML-7 nor TAP had any effect on both permeability and sensitivity in absence of stress. The increase of colonic permeability induced by PRS results from epithelial cell cytoskeleton contraction through myosin light chain kinase activation and this increase is responsible for stress-induced rectal hypersensitivity. © 2004 International Association for the Study of Pain. Published by Elsevier B.V. All rights reserved.","author":[{"dropping-particle":"","family":"Ait-Belgnaoui","given":"Afifa","non-dropping-particle":"","parse-names":false,"suffix":""},{"dropping-particle":"","family":"Bradesi","given":"Sylvie","non-dropping-particle":"","parse-names":false,"suffix":""},{"dropping-particle":"","family":"Fioramonti","given":"Jean","non-dropping-particle":"","parse-names":false,"suffix":""},{"dropping-particle":"","family":"Theodorou","given":"Vassilia","non-dropping-particle":"","parse-names":false,"suffix":""},{"dropping-particle":"","family":"Bueno","given":"Lionel","non-dropping-particle":"","parse-names":false,"suffix":""}],"container-title":"Pain","id":"ITEM-3","issued":{"date-parts":[["2005"]]},"title":"Acute stress-induced hypersensitivity to colonic distension depends upon increase in paracellular permeability: Role of myosin light chain kinase","type":"article-journal"},"uris":["http://www.mendeley.com/documents/?uuid=817e3638-7fcf-4573-942d-d1dae292ecbf"]}],"mendeley":{"formattedCitation":"&lt;sup&gt;18–20&lt;/sup&gt;","plainTextFormattedCitation":"18–20","previouslyFormattedCitation":"[18–20]"},"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18–20</w:t>
      </w:r>
      <w:r w:rsidRPr="00D23BF1">
        <w:rPr>
          <w:rFonts w:ascii="Times" w:hAnsi="Times"/>
        </w:rPr>
        <w:fldChar w:fldCharType="end"/>
      </w:r>
      <w:r w:rsidRPr="00D23BF1">
        <w:rPr>
          <w:rFonts w:ascii="Times" w:hAnsi="Times"/>
        </w:rPr>
        <w:t xml:space="preserve">. These alterations in gut physiology can have lasting effects on gut bacterial communities. For example, maternal separation stress can increase corticosterone, causing gut inflammation and changing gut bacterial communities </w:t>
      </w:r>
      <w:r w:rsidRPr="00D23BF1">
        <w:rPr>
          <w:rFonts w:ascii="Times" w:hAnsi="Times"/>
        </w:rPr>
        <w:fldChar w:fldCharType="begin" w:fldLock="1"/>
      </w:r>
      <w:r w:rsidRPr="00D23BF1">
        <w:rPr>
          <w:rFonts w:ascii="Times" w:hAnsi="Times"/>
        </w:rPr>
        <w:instrText>ADDIN CSL_CITATION {"citationItems":[{"id":"ITEM-1","itemData":{"DOI":"10.1016/j.intimp.2018.11.037","ISSN":"18781705","abstract":"Experiencing psychosocial adversities in early life such as maternal separation (MS) increases the risk of psychiatric disorders. Immune-inflammatory responses have imperative roles in the pathophysiology of psychiatric disorders. MS relatively changes the composition of intestinal microbiota leading to an overactivation of the hypothalamic–pituitary–adrenal (HPA) axis, and subsequently increases the corticosterone level. In this study, we aimed to evaluate the role of corticosterone in behavioral changes and microbiota modifications in a mouse model of MS afflicted neuroinflammatory response in the hippocampus. For this purpose, 180 min of MS stress was applied to mice at postnatal day (PND) 2–14 followed by behavioral tests including forced swimming test (FST), splash test, open field test (OFT) and elevated plus maze (EPM) at PND 50–52. For evaluating the role of corticosterone, mice were subjected to adrenalectomy. Using real-time RT-PCR, the expression of inflammatory genes was determined in the hippocampus and colon tissues. We found that MS provoked depressive- and anxiety-like behaviors in adult male mice. In addition, MS was able to active a neuroimmune response in the hippocampus, motivate inflammation and histopathologic changes in the colon tissue and modify the composition of gut microbiota as well. Interestingly, our findings showed that adrenalectomy (decline in the corticosterone level), could modulate the above-mentioned negative effects of MS. In conclusion, our results demonstrated that overactivation of HPA axis and the subsequent increased level of corticosterone could act, possibly, as the deleterious effects of MS on behavior, microbiota composition changes and activation of neuroimmune response.","author":[{"dropping-particle":"","family":"Amini-Khoei","given":"Hossein","non-dropping-particle":"","parse-names":false,"suffix":""},{"dropping-particle":"","family":"Haghani-Samani","given":"Elaheh","non-dropping-particle":"","parse-names":false,"suffix":""},{"dropping-particle":"","family":"Beigi","given":"Masoumeh","non-dropping-particle":"","parse-names":false,"suffix":""},{"dropping-particle":"","family":"Soltani","given":"Amin","non-dropping-particle":"","parse-names":false,"suffix":""},{"dropping-particle":"","family":"Mobini","given":"Gholam Reza","non-dropping-particle":"","parse-names":false,"suffix":""},{"dropping-particle":"","family":"Balali-Dehkordi","given":"Shima","non-dropping-particle":"","parse-names":false,"suffix":""},{"dropping-particle":"","family":"Haj-Mirzaian","given":"Arvin","non-dropping-particle":"","parse-names":false,"suffix":""},{"dropping-particle":"","family":"Rafieian-Kopaei","given":"Mahmoud","non-dropping-particle":"","parse-names":false,"suffix":""},{"dropping-particle":"","family":"Alizadeh","given":"Akram","non-dropping-particle":"","parse-names":false,"suffix":""},{"dropping-particle":"","family":"Hojjati","given":"Mohammad Reza","non-dropping-particle":"","parse-names":false,"suffix":""},{"dropping-particle":"","family":"Validi","given":"Majid","non-dropping-particle":"","parse-names":false,"suffix":""}],"container-title":"International Immunopharmacology","id":"ITEM-1","issue":"October 2018","issued":{"date-parts":[["2019"]]},"page":"242-250","title":"On the role of corticosterone in behavioral disorders, microbiota composition alteration and neuroimmune response in adult male mice subjected to maternal separation stress","type":"article-journal","volume":"66"},"uris":["http://www.mendeley.com/documents/?uuid=32a61a0d-e7f5-4451-ba8e-55f14e31e0a4"]}],"mendeley":{"formattedCitation":"&lt;sup&gt;18&lt;/sup&gt;","plainTextFormattedCitation":"18","previouslyFormattedCitation":"[18]"},"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18</w:t>
      </w:r>
      <w:r w:rsidRPr="00D23BF1">
        <w:rPr>
          <w:rFonts w:ascii="Times" w:hAnsi="Times"/>
        </w:rPr>
        <w:fldChar w:fldCharType="end"/>
      </w:r>
      <w:r w:rsidRPr="00D23BF1">
        <w:rPr>
          <w:rFonts w:ascii="Times" w:hAnsi="Times"/>
        </w:rPr>
        <w:t>. Changes in feeding behavior, such as reduction in food intake, could also alter gut bacterial communities. For example, hibernation in ground squirrels (</w:t>
      </w:r>
      <w:proofErr w:type="spellStart"/>
      <w:r w:rsidRPr="00D23BF1">
        <w:rPr>
          <w:rFonts w:ascii="Times" w:hAnsi="Times"/>
          <w:i/>
          <w:iCs/>
        </w:rPr>
        <w:t>Ictidomys</w:t>
      </w:r>
      <w:proofErr w:type="spellEnd"/>
      <w:r w:rsidRPr="00D23BF1">
        <w:rPr>
          <w:rFonts w:ascii="Times" w:hAnsi="Times"/>
          <w:i/>
          <w:iCs/>
        </w:rPr>
        <w:t xml:space="preserve"> </w:t>
      </w:r>
      <w:proofErr w:type="spellStart"/>
      <w:r w:rsidRPr="00D23BF1">
        <w:rPr>
          <w:rFonts w:ascii="Times" w:hAnsi="Times"/>
          <w:i/>
          <w:iCs/>
        </w:rPr>
        <w:t>tridecemlineatus</w:t>
      </w:r>
      <w:proofErr w:type="spellEnd"/>
      <w:r w:rsidRPr="00D23BF1">
        <w:rPr>
          <w:rFonts w:ascii="Times" w:hAnsi="Times"/>
        </w:rPr>
        <w:t>) and fasting in penguins (</w:t>
      </w:r>
      <w:r w:rsidRPr="00D23BF1">
        <w:rPr>
          <w:rFonts w:ascii="Calibri" w:hAnsi="Calibri" w:cs="Calibri"/>
          <w:i/>
          <w:iCs/>
        </w:rPr>
        <w:t>﻿</w:t>
      </w:r>
      <w:proofErr w:type="spellStart"/>
      <w:r w:rsidRPr="00D23BF1">
        <w:rPr>
          <w:rFonts w:ascii="Times" w:hAnsi="Times"/>
          <w:i/>
          <w:iCs/>
        </w:rPr>
        <w:t>Eudyptula</w:t>
      </w:r>
      <w:proofErr w:type="spellEnd"/>
      <w:r w:rsidRPr="00D23BF1">
        <w:rPr>
          <w:rFonts w:ascii="Times" w:hAnsi="Times"/>
          <w:i/>
          <w:iCs/>
        </w:rPr>
        <w:t xml:space="preserve"> minor, </w:t>
      </w:r>
      <w:r w:rsidRPr="00D23BF1">
        <w:rPr>
          <w:rFonts w:ascii="Calibri" w:hAnsi="Calibri" w:cs="Calibri"/>
          <w:i/>
          <w:iCs/>
        </w:rPr>
        <w:t>﻿</w:t>
      </w:r>
      <w:r w:rsidRPr="00D23BF1">
        <w:rPr>
          <w:rFonts w:ascii="Times" w:hAnsi="Times"/>
          <w:i/>
          <w:iCs/>
        </w:rPr>
        <w:t xml:space="preserve">Aptenodytes </w:t>
      </w:r>
      <w:proofErr w:type="spellStart"/>
      <w:r w:rsidRPr="00D23BF1">
        <w:rPr>
          <w:rFonts w:ascii="Times" w:hAnsi="Times"/>
          <w:i/>
          <w:iCs/>
        </w:rPr>
        <w:t>patagonicus</w:t>
      </w:r>
      <w:proofErr w:type="spellEnd"/>
      <w:r w:rsidRPr="00D23BF1">
        <w:rPr>
          <w:rFonts w:ascii="Times" w:hAnsi="Times"/>
        </w:rPr>
        <w:t xml:space="preserve">) cause shifts in which bacterial taxa dominate gut microbial communities </w:t>
      </w:r>
      <w:r w:rsidRPr="00D23BF1">
        <w:rPr>
          <w:rFonts w:ascii="Times" w:hAnsi="Times"/>
        </w:rPr>
        <w:fldChar w:fldCharType="begin" w:fldLock="1"/>
      </w:r>
      <w:r w:rsidRPr="00D23BF1">
        <w:rPr>
          <w:rFonts w:ascii="Times" w:hAnsi="Times"/>
        </w:rPr>
        <w:instrText>ADDIN CSL_CITATION {"citationItems":[{"id":"ITEM-1","itemData":{"DOI":"10.1371/journal.pone.0099996","ISSN":"19326203","abstract":"Many seabirds including penguins are adapted to long periods of fasting, particularly during parts of the reproductive cycle and during moult. However, the influence of fasting on the gastrointestinal (GI) microbiota has not been investigated in seabirds. Therefore, the present study aimed to examine the microbial composition and diversity of the GI microbiota of fasting little (Eudyptula minor) and king penguins (Aptenodytes patagonicus) penguins during early and late moult. The results from this study indicated that there was little change in the abundance of the major phyla during moult, except for a significant increase in the level of Proteobacteria in king penguins. In king penguins the abundance of Fusobacteria increases from 1.73% during early moult to 33.6% by late moult, whilst the abundance of Proteobacteria (35.7% to 17.2%) and Bacteroidetes (19.5% to 11%) decrease from early to late moult. In little penguins, a decrease in the abundances of Firmicutes (44% to 29%) and an increase in the abundance of Bacteroidetes (11% to 20%) were observed from early to late moult respectively. The results from this study indicate that the microbial composition of both king and little penguins alters during fasting. However, it appears that the microbial composition of king penguins is more affected by fasting than little penguins with the length of fast the most probable cause for this difference. © 2014 Dewar et al.","author":[{"dropping-particle":"","family":"Dewar","given":"Meagan L.","non-dropping-particle":"","parse-names":false,"suffix":""},{"dropping-particle":"","family":"Arnould","given":"John P.Y.","non-dropping-particle":"","parse-names":false,"suffix":""},{"dropping-particle":"","family":"Krause","given":"Lutz","non-dropping-particle":"","parse-names":false,"suffix":""},{"dropping-particle":"","family":"Trathan","given":"Phil","non-dropping-particle":"","parse-names":false,"suffix":""},{"dropping-particle":"","family":"Dann","given":"Peter","non-dropping-particle":"","parse-names":false,"suffix":""},{"dropping-particle":"","family":"Smith","given":"Stuart C.","non-dropping-particle":"","parse-names":false,"suffix":""}],"container-title":"PLoS ONE","id":"ITEM-1","issue":"6","issued":{"date-parts":[["2014"]]},"title":"Influence of fasting during moult on the faecal microbiota of penguins","type":"article-journal","volume":"9"},"uris":["http://www.mendeley.com/documents/?uuid=ee29e792-e75c-4701-a678-22e6a508f1bf"]},{"id":"ITEM-2","itemData":{"DOI":"10.1111/mec.12884","ISBN":"1365-294X","ISSN":"1365294X","PMID":"25130694","abstract":"The gut microbiota plays important roles in animal nutrition and health. This relationship is particularly dynamic in hibernating mammals where fasting drives the gut community to rely on host-derived nutrients instead of exogenous substrates. We used 16S rRNA pyrosequencing and caecal tissue protein analysis to investigate the effects of hibernation on the mucosa-associated bacterial microbiota and host responses in 13-lined ground squirrels. The mucosal microbiota was less diverse in winter hibernators than in actively feeding spring and summer squirrels. UniFrac analysis revealed distinct summer and late winter microbiota clusters, while spring and early winter clusters overlapped slightly, consistent with their transitional structures. Communities in all seasons were dominated by Firmicutes and Bacteroidetes, with lesser contributions from Proteobacteria, Verrucomicrobia, Tenericutes and Actinobacteria. Hibernators had lower relative abundances of Firmicutes, which include genera that prefer plant polysaccharides, and higher abundances of Bacteroidetes and Verrucomicrobia, some of which can survive solely on host-derived mucins. A core mucosal assemblage of nine operational taxonomic units shared among all individuals was identified with an average total sequence abundance of 60.2%. This core community, together with moderate shifts in specific taxa, indicates that the mucosal microbiota remains relatively stable over the annual cycle yet responds to substrate changes while potentially serving as a pool for 'seeding' the microbiota once exogenous substrates return in spring. Relative to summer, hibernation reduced caecal crypt length and increased MUC2 expression in early winter and spring. Hibernation also decreased caecal TLR4 and increased TLR5 expression, suggesting a protective response that minimizes inflammation.","author":[{"dropping-particle":"","family":"Dill-Mcfarland","given":"Kimberly A.","non-dropping-particle":"","parse-names":false,"suffix":""},{"dropping-particle":"","family":"Neil","given":"Katie L.","non-dropping-particle":"","parse-names":false,"suffix":""},{"dropping-particle":"","family":"Zeng","given":"Austin","non-dropping-particle":"","parse-names":false,"suffix":""},{"dropping-particle":"","family":"Sprenger","given":"Ryan J.","non-dropping-particle":"","parse-names":false,"suffix":""},{"dropping-particle":"","family":"Kurtz","given":"Courtney C.","non-dropping-particle":"","parse-names":false,"suffix":""},{"dropping-particle":"","family":"Suen","given":"Garret","non-dropping-particle":"","parse-names":false,"suffix":""},{"dropping-particle":"V.","family":"Carey","given":"Hannah","non-dropping-particle":"","parse-names":false,"suffix":""}],"container-title":"Molecular Ecology","id":"ITEM-2","issue":"18","issued":{"date-parts":[["2014"]]},"page":"4658-4669","title":"Hibernation alters the diversity and composition of mucosa-associated bacteria while enhancing antimicrobial defence in the gut of 13-lined ground squirrels","type":"article-journal","volume":"23"},"uris":["http://www.mendeley.com/documents/?uuid=33550e70-3537-4107-9e07-e2219d0e6f88"]}],"mendeley":{"formattedCitation":"&lt;sup&gt;21,22&lt;/sup&gt;","plainTextFormattedCitation":"21,22","previouslyFormattedCitation":"[21, 22]"},"properties":{"noteIndex":0},"schema":"https://github.com/citation-style-language/schema/raw/master/csl-citation.json"}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21,22</w:t>
      </w:r>
      <w:r w:rsidRPr="00D23BF1">
        <w:rPr>
          <w:rFonts w:ascii="Times" w:hAnsi="Times"/>
        </w:rPr>
        <w:fldChar w:fldCharType="end"/>
      </w:r>
      <w:r w:rsidRPr="00D23BF1">
        <w:rPr>
          <w:rFonts w:ascii="Times" w:hAnsi="Times"/>
        </w:rPr>
        <w:t xml:space="preserve">. Even small changes in food intake, like intermittent fasting schedules, can restructure the gut microbiome through effects on which bacteria are able to survive with fewer types or less regular food substrates </w:t>
      </w:r>
      <w:r w:rsidRPr="00D23BF1">
        <w:rPr>
          <w:rFonts w:ascii="Times" w:hAnsi="Times"/>
        </w:rPr>
        <w:fldChar w:fldCharType="begin" w:fldLock="1"/>
      </w:r>
      <w:r w:rsidRPr="00D23BF1">
        <w:rPr>
          <w:rFonts w:ascii="Times" w:hAnsi="Times"/>
        </w:rPr>
        <w:instrText>ADDIN CSL_CITATION {"citationItems":[{"id":"ITEM-1","itemData":{"DOI":"10.2337/db18-0158","ISSN":"1939327X","PMID":"29712667","abstract":"Intermittent fasting (IF) protects against the development of metabolic diseases and cancer, but whether it can prevent diabetic microvascular complications is not known. In db/db mice, we examined the impact of long-term IF on diabetic retinopathy (DR). Despite no change in glycated hemoglobin, db/db mice on the IF regimen displayed significantly longer survival and a reduction in DR end points, including acellular capillaries and leukocyte infiltration. We hypothesized that IF-mediated changes in the gut microbiota would produce beneficial metabolites and prevent the development of DR. Microbiome analysis revealed increased levels of Firmicutes and decreased Bacteroidetes and Verrucomicrobia. Compared with db/db mice on ad libitum feeding, changes in the microbiome of the db/db mice on IF were associated with increases in gut mucin, goblet cell number, villi length, and reductions in plasma peptidoglycan. Consistent with the known modulatory effects of Firmicutes on bile acid.","author":[{"dropping-particle":"","family":"Beli","given":"Eleni","non-dropping-particle":"","parse-names":false,"suffix":""},{"dropping-particle":"","family":"Yan","given":"Yuanqing","non-dropping-particle":"","parse-names":false,"suffix":""},{"dropping-particle":"","family":"Moldovan","given":"Leni","non-dropping-particle":"","parse-names":false,"suffix":""},{"dropping-particle":"","family":"Vieira","given":"Cristiano P.","non-dropping-particle":"","parse-names":false,"suffix":""},{"dropping-particle":"","family":"Gao","given":"Ruli","non-dropping-particle":"","parse-names":false,"suffix":""},{"dropping-particle":"","family":"Duan","given":"Yaqian","non-dropping-particle":"","parse-names":false,"suffix":""},{"dropping-particle":"","family":"Prasad","given":"Ram","non-dropping-particle":"","parse-names":false,"suffix":""},{"dropping-particle":"","family":"Bhatwadekar","given":"Ashay","non-dropping-particle":"","parse-names":false,"suffix":""},{"dropping-particle":"","family":"White","given":"Fletcher A.","non-dropping-particle":"","parse-names":false,"suffix":""},{"dropping-particle":"","family":"Townsend","given":"Steven D.","non-dropping-particle":"","parse-names":false,"suffix":""},{"dropping-particle":"","family":"Chan","given":"Luisa","non-dropping-particle":"","parse-names":false,"suffix":""},{"dropping-particle":"","family":"Ryan","given":"Caitlin N.","non-dropping-particle":"","parse-names":false,"suffix":""},{"dropping-particle":"","family":"Morton","given":"Daniel","non-dropping-particle":"","parse-names":false,"suffix":""},{"dropping-particle":"","family":"Moldovan","given":"Emil G.","non-dropping-particle":"","parse-names":false,"suffix":""},{"dropping-particle":"","family":"Chu","given":"Fang I.","non-dropping-particle":"","parse-names":false,"suffix":""},{"dropping-particle":"","family":"Oudit","given":"Gavin Y.","non-dropping-particle":"","parse-names":false,"suffix":""},{"dropping-particle":"","family":"Derendorf","given":"Hartmut","non-dropping-particle":"","parse-names":false,"suffix":""},{"dropping-particle":"","family":"Adorini","given":"Luciano","non-dropping-particle":"","parse-names":false,"suffix":""},{"dropping-particle":"","family":"Wang","given":"Xiaoxin X.","non-dropping-particle":"","parse-names":false,"suffix":""},{"dropping-particle":"","family":"Evans-Molina","given":"Carmella","non-dropping-particle":"","parse-names":false,"suffix":""},{"dropping-particle":"","family":"Mirmira","given":"Raghavendra G.","non-dropping-particle":"","parse-names":false,"suffix":""},{"dropping-particle":"","family":"Boulton","given":"Michael E.","non-dropping-particle":"","parse-names":false,"suffix":""},{"dropping-particle":"","family":"Yoder","given":"Mervin C.","non-dropping-particle":"","parse-names":false,"suffix":""},{"dropping-particle":"","family":"Li","given":"Qiuhong","non-dropping-particle":"","parse-names":false,"suffix":""},{"dropping-particle":"","family":"Levi","given":"Moshe","non-dropping-particle":"","parse-names":false,"suffix":""},{"dropping-particle":"V.","family":"Busik","given":"Julia","non-dropping-particle":"","parse-names":false,"suffix":""},{"dropping-particle":"","family":"Grant","given":"Maria B.","non-dropping-particle":"","parse-names":false,"suffix":""}],"container-title":"Diabetes","id":"ITEM-1","issue":"9","issued":{"date-parts":[["2018"]]},"page":"1867-1879","title":"Restructuring of the gut microbiome by intermittent fasting prevents retinopathy and prolongs survival in db/db mice","type":"article-journal","volume":"67"},"uris":["http://www.mendeley.com/documents/?uuid=b58a99b1-6a16-4508-bfeb-09e308dcbd7e"]}],"mendeley":{"formattedCitation":"&lt;sup&gt;23&lt;/sup&gt;","plainTextFormattedCitation":"23","previouslyFormattedCitation":"[23]"},"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23</w:t>
      </w:r>
      <w:r w:rsidRPr="00D23BF1">
        <w:rPr>
          <w:rFonts w:ascii="Times" w:hAnsi="Times"/>
        </w:rPr>
        <w:fldChar w:fldCharType="end"/>
      </w:r>
      <w:r w:rsidRPr="00D23BF1">
        <w:rPr>
          <w:rFonts w:ascii="Times" w:hAnsi="Times"/>
        </w:rPr>
        <w:t>. Irrespective of the external stimulus, a number of studies have demonstrated that changes in either corticosterone or feeding behavior can affect gut bacterial communities. Thus, overall, it is likely that noise pollution could have multiple direct and indirect effects on host gut microbiome; however, no study to our knowledge has experimentally manipulated noise levels and measured effects on feeding behavior, corticosterone and the composition and structure of gut microbial communities.</w:t>
      </w:r>
    </w:p>
    <w:p w14:paraId="4DCB5231" w14:textId="77777777" w:rsidR="00041ADB" w:rsidRPr="00D23BF1" w:rsidRDefault="00041ADB" w:rsidP="00F20BE1">
      <w:pPr>
        <w:rPr>
          <w:rFonts w:ascii="Times" w:hAnsi="Times"/>
        </w:rPr>
      </w:pPr>
      <w:r w:rsidRPr="00D23BF1">
        <w:rPr>
          <w:rFonts w:ascii="Times" w:hAnsi="Times"/>
        </w:rPr>
        <w:t>Here, we exposed white-crowned sparrows to city-like noise and measured each individuals' corticosterone level, food intake and gut microbial diversity. Birds were acclimated for five days and then exposed to five days of noise or five days of no noise (control) in a balanced order design.  The noise period was immediately followed by a five-day recovery period of no-noise.  In other words, one set of birds had five days noise, five days recovery and five days control and a second set of birds had five days control, five days noise and five days recovery.  We collected food intake data for each bird in the morning and in the afternoon on each day of the experiment. We collected plasma corticosterone levels and a cloacal swab to assay gut microbial diversity on the fifth (last) day of each of the four treatment periods (acclimation, noise, recovery and control) for each bird. We considered both average food intake and total food intake during each treatment. We predicted that gut microbial diversity</w:t>
      </w:r>
      <w:r w:rsidRPr="00D23BF1">
        <w:rPr>
          <w:rFonts w:ascii="Times" w:hAnsi="Times"/>
          <w:color w:val="2E74B5" w:themeColor="accent5" w:themeShade="BF"/>
        </w:rPr>
        <w:t xml:space="preserve"> </w:t>
      </w:r>
      <w:r w:rsidRPr="00D23BF1">
        <w:rPr>
          <w:rFonts w:ascii="Times" w:hAnsi="Times"/>
        </w:rPr>
        <w:t xml:space="preserve">and function (predicted using </w:t>
      </w:r>
      <w:proofErr w:type="spellStart"/>
      <w:r w:rsidRPr="00D23BF1">
        <w:rPr>
          <w:rFonts w:ascii="Times" w:hAnsi="Times"/>
        </w:rPr>
        <w:t>PICRUSt</w:t>
      </w:r>
      <w:proofErr w:type="spellEnd"/>
      <w:r w:rsidRPr="00D23BF1">
        <w:rPr>
          <w:rFonts w:ascii="Times" w:hAnsi="Times"/>
        </w:rPr>
        <w:t>) would increase in noise based on our correlational data from free-living sparrows where birds in noisier, urban areas had higher alpha diversity (q0)</w:t>
      </w:r>
      <w:r w:rsidRPr="00D23BF1">
        <w:rPr>
          <w:rFonts w:ascii="Times" w:hAnsi="Times"/>
        </w:rPr>
        <w:fldChar w:fldCharType="begin" w:fldLock="1"/>
      </w:r>
      <w:r w:rsidRPr="00D23BF1">
        <w:rPr>
          <w:rFonts w:ascii="Times" w:hAnsi="Times"/>
        </w:rPr>
        <w:instrText>ADDIN CSL_CITATION {"citationItems":[{"id":"ITEM-1","itemData":{"DOI":"10.1007/s00248-020-01569-8","ISSN":"1432184X","abstract":"Habitats are changing rapidly around the globe and urbanization is one of the primary drivers. Urbanization changes food availability, environmental stressors, and the prevalence of disease for many species. These changes can lead to divergence in phenotypic traits, including behavioral, physiological, and morphological features between urban and rural populations. Recent research highlights that urbanization is also changing the gut microbial communities found in a diverse group of host species. These changes have not been uniform, leaving uncertainty as to how urban habitats are shaping gut microbial communities. To better understand these effects, we investigated the gut bacterial communities of White-Crowned Sparrow (Zonotrichia leucophrys) populations along an urbanization gradient in the San Francisco Bay area. We examined how gut bacterial communities vary with the local environment and host morphological characteristics. We found direct effects of environmental factors, including urban noise levels and territory land cover, as well as indirect effects through body size and condition, on alpha and beta diversity of gut microbial communities. We also found that urban and rural birds’ microbiomes differed in which variables predicted their diversity, with urban communities driven by host morphology, and rural communities driven by environmental factors. Elucidating these effects provides a better understanding of how urbanization affects wild avian physiology.","author":[{"dropping-particle":"","family":"Berlow","given":"Mae","non-dropping-particle":"","parse-names":false,"suffix":""},{"dropping-particle":"","family":"Phillips","given":"Jennifer N.","non-dropping-particle":"","parse-names":false,"suffix":""},{"dropping-particle":"","family":"Derryberry","given":"Elizabeth P.","non-dropping-particle":"","parse-names":false,"suffix":""}],"container-title":"Microbial Ecology","id":"ITEM-1","issued":{"date-parts":[["2020"]]},"publisher":"Microbial Ecology","title":"Effects of Urbanization and Landscape on Gut Microbiomes in White-Crowned Sparrows","type":"article-journal"},"uris":["http://www.mendeley.com/documents/?uuid=c656f4b4-5239-4473-9592-ae645591f882"]},{"id":"ITEM-2","itemData":{"DOI":"10.3389/fevo.2018.00148","ISSN":"2296-701X","abstract":"Urban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males using spatial analyses of land cover (impervious, scrub, grass, and trees) at the regional level and territory level in urban San Francisco, CA and nearby rural Point Reyes, California. We hypothesized that urbanization of habitats affects gut microbial composition and diversity, potentially through direct effects on diet and/or indirect environmental effects. We measured gut microbial community diversity from 16s rRNA sequences amplified from cloacal swabs. We find that the urban and rural male gut microbiomes are significantly different, such that the urban gut microbiome is more diverse than the rural gut microbiome. This relationship may be due to more variable land cover types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Evolution","id":"ITEM-2","issued":{"date-parts":[["2018","9","24"]]},"title":"The Effects of Landscape Urbanization on the Gut Microbiome: An Exploration Into the Gut of Urban and Rural White-Crowned Sparrows","type":"article-journal","volume":"6"},"uris":["http://www.mendeley.com/documents/?uuid=5f91c1ce-dae3-30cf-ae5f-0fdb182fb176"]}],"mendeley":{"formattedCitation":"&lt;sup&gt;24,25&lt;/sup&gt;","plainTextFormattedCitation":"24,25","previouslyFormattedCitation":"[24, 25]"},"properties":{"noteIndex":0},"schema":"https://github.com/citation-style-language/schema/raw/master/csl-citation.json"}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24,25</w:t>
      </w:r>
      <w:r w:rsidRPr="00D23BF1">
        <w:rPr>
          <w:rFonts w:ascii="Times" w:hAnsi="Times"/>
        </w:rPr>
        <w:fldChar w:fldCharType="end"/>
      </w:r>
      <w:r w:rsidRPr="00D23BF1">
        <w:rPr>
          <w:rFonts w:ascii="Times" w:hAnsi="Times"/>
        </w:rPr>
        <w:t xml:space="preserve">.  We hypothesized that this effect of noise on the microbiome would be indirect and would occur through direct effects of corticosterone and food intake on gut microbial diversity. We predicted that corticosterone would increase in response to noise. If noise directly impacts feeding behavior, then food intake should decrease when noise is present. If noise instead affects feeding behavior through stress hormones, then food intake should increase during noise and highly correlate with corticosterone levels. </w:t>
      </w:r>
      <w:r w:rsidRPr="00D23BF1">
        <w:rPr>
          <w:rFonts w:ascii="Times" w:hAnsi="Times"/>
          <w:color w:val="000000" w:themeColor="text1"/>
        </w:rPr>
        <w:t>Altogether, testing these predictions should provide insight into whether and how noise pollution affects the gut microbiome.</w:t>
      </w:r>
    </w:p>
    <w:p w14:paraId="0C1D06BC" w14:textId="2B4583BB" w:rsidR="00041ADB" w:rsidRDefault="00041ADB" w:rsidP="00F20BE1">
      <w:pPr>
        <w:rPr>
          <w:rFonts w:ascii="Times" w:hAnsi="Times"/>
        </w:rPr>
      </w:pPr>
    </w:p>
    <w:p w14:paraId="24DB6E15" w14:textId="111AEA9B" w:rsidR="00B36955" w:rsidRDefault="00B36955" w:rsidP="00F20BE1">
      <w:pPr>
        <w:rPr>
          <w:rFonts w:ascii="Times" w:hAnsi="Times"/>
        </w:rPr>
      </w:pPr>
    </w:p>
    <w:p w14:paraId="50A70104" w14:textId="77777777" w:rsidR="00B36955" w:rsidRPr="00D23BF1" w:rsidRDefault="00B36955" w:rsidP="00F20BE1">
      <w:pPr>
        <w:rPr>
          <w:rFonts w:ascii="Times" w:hAnsi="Times"/>
        </w:rPr>
      </w:pPr>
    </w:p>
    <w:p w14:paraId="5098011C" w14:textId="77777777" w:rsidR="00041ADB" w:rsidRPr="00D23BF1" w:rsidRDefault="00041ADB" w:rsidP="00F20BE1">
      <w:pPr>
        <w:pStyle w:val="Heading2"/>
        <w:rPr>
          <w:rFonts w:ascii="Times" w:hAnsi="Times"/>
        </w:rPr>
      </w:pPr>
      <w:bookmarkStart w:id="126" w:name="_Toc69972885"/>
      <w:r w:rsidRPr="00D23BF1">
        <w:rPr>
          <w:rFonts w:ascii="Times" w:hAnsi="Times"/>
        </w:rPr>
        <w:lastRenderedPageBreak/>
        <w:t>Materials &amp; Methods</w:t>
      </w:r>
      <w:bookmarkEnd w:id="126"/>
    </w:p>
    <w:p w14:paraId="726F6C74" w14:textId="77777777" w:rsidR="00041ADB" w:rsidRPr="00D23BF1" w:rsidRDefault="00041ADB" w:rsidP="00F20BE1">
      <w:pPr>
        <w:rPr>
          <w:rFonts w:ascii="Times" w:hAnsi="Times"/>
          <w:i/>
          <w:iCs/>
          <w:color w:val="000000" w:themeColor="text1"/>
        </w:rPr>
      </w:pPr>
    </w:p>
    <w:p w14:paraId="37A0A3D0" w14:textId="77777777" w:rsidR="00041ADB" w:rsidRPr="00D23BF1" w:rsidRDefault="00041ADB" w:rsidP="00F20BE1">
      <w:pPr>
        <w:rPr>
          <w:rFonts w:ascii="Times" w:hAnsi="Times"/>
          <w:i/>
          <w:iCs/>
          <w:color w:val="000000" w:themeColor="text1"/>
        </w:rPr>
      </w:pPr>
      <w:r w:rsidRPr="00D23BF1">
        <w:rPr>
          <w:rFonts w:ascii="Times" w:hAnsi="Times"/>
          <w:i/>
          <w:iCs/>
          <w:color w:val="000000" w:themeColor="text1"/>
        </w:rPr>
        <w:t>Study animal</w:t>
      </w:r>
    </w:p>
    <w:p w14:paraId="28B93E34" w14:textId="77777777" w:rsidR="00041ADB" w:rsidRPr="00D23BF1" w:rsidRDefault="00041ADB" w:rsidP="00F20BE1">
      <w:pPr>
        <w:rPr>
          <w:rFonts w:ascii="Times" w:hAnsi="Times"/>
          <w:color w:val="000000" w:themeColor="text1"/>
        </w:rPr>
      </w:pPr>
    </w:p>
    <w:p w14:paraId="659409FC" w14:textId="77777777" w:rsidR="00041ADB" w:rsidRPr="00D23BF1" w:rsidRDefault="00041ADB" w:rsidP="00F20BE1">
      <w:pPr>
        <w:rPr>
          <w:rFonts w:ascii="Times" w:hAnsi="Times"/>
          <w:color w:val="000000" w:themeColor="text1"/>
        </w:rPr>
      </w:pPr>
      <w:r w:rsidRPr="00D23BF1">
        <w:rPr>
          <w:rFonts w:ascii="Times" w:hAnsi="Times"/>
          <w:color w:val="000000" w:themeColor="text1"/>
        </w:rPr>
        <w:t>Nuttall’s white-crowned sparrows (</w:t>
      </w:r>
      <w:proofErr w:type="spellStart"/>
      <w:r w:rsidRPr="00D23BF1">
        <w:rPr>
          <w:rFonts w:ascii="Times" w:hAnsi="Times"/>
          <w:i/>
          <w:iCs/>
          <w:color w:val="000000" w:themeColor="text1"/>
        </w:rPr>
        <w:t>Zonotrichia</w:t>
      </w:r>
      <w:proofErr w:type="spellEnd"/>
      <w:r w:rsidRPr="00D23BF1">
        <w:rPr>
          <w:rFonts w:ascii="Times" w:hAnsi="Times"/>
          <w:i/>
          <w:iCs/>
          <w:color w:val="000000" w:themeColor="text1"/>
        </w:rPr>
        <w:t xml:space="preserve"> </w:t>
      </w:r>
      <w:proofErr w:type="spellStart"/>
      <w:r w:rsidRPr="00D23BF1">
        <w:rPr>
          <w:rFonts w:ascii="Times" w:hAnsi="Times"/>
          <w:i/>
          <w:iCs/>
          <w:color w:val="000000" w:themeColor="text1"/>
        </w:rPr>
        <w:t>leucophrys</w:t>
      </w:r>
      <w:proofErr w:type="spellEnd"/>
      <w:r w:rsidRPr="00D23BF1">
        <w:rPr>
          <w:rFonts w:ascii="Times" w:hAnsi="Times"/>
          <w:i/>
          <w:iCs/>
          <w:color w:val="000000" w:themeColor="text1"/>
        </w:rPr>
        <w:t xml:space="preserve"> </w:t>
      </w:r>
      <w:proofErr w:type="spellStart"/>
      <w:r w:rsidRPr="00D23BF1">
        <w:rPr>
          <w:rFonts w:ascii="Times" w:hAnsi="Times"/>
          <w:i/>
          <w:iCs/>
          <w:color w:val="000000" w:themeColor="text1"/>
        </w:rPr>
        <w:t>nuttalli</w:t>
      </w:r>
      <w:proofErr w:type="spellEnd"/>
      <w:r w:rsidRPr="00D23BF1">
        <w:rPr>
          <w:rFonts w:ascii="Times" w:hAnsi="Times"/>
          <w:i/>
          <w:iCs/>
          <w:color w:val="000000" w:themeColor="text1"/>
        </w:rPr>
        <w:t>)</w:t>
      </w:r>
      <w:r w:rsidRPr="00D23BF1">
        <w:rPr>
          <w:rFonts w:ascii="Times" w:hAnsi="Times"/>
          <w:color w:val="000000" w:themeColor="text1"/>
        </w:rPr>
        <w:t xml:space="preserve"> are a useful system to test potential mechanisms driving variation in gut microbial communities. They can be found breeding in both urban and rural habitats along the west coast of North America, on territories that vary in noise levels </w:t>
      </w:r>
      <w:r w:rsidRPr="00D23BF1">
        <w:rPr>
          <w:rFonts w:ascii="Times" w:hAnsi="Times"/>
          <w:color w:val="000000" w:themeColor="text1"/>
        </w:rPr>
        <w:fldChar w:fldCharType="begin" w:fldLock="1"/>
      </w:r>
      <w:r w:rsidRPr="00D23BF1">
        <w:rPr>
          <w:rFonts w:ascii="Times" w:hAnsi="Times"/>
          <w:color w:val="000000" w:themeColor="text1"/>
        </w:rPr>
        <w:instrText>ADDIN CSL_CITATION {"citationItems":[{"id":"ITEM-1","itemData":{"DOI":"10.1371/journal.pone.0154456","ISBN":"1932-6203","ISSN":"19326203","PMID":"27128443","abstract":"Soundscapes pose both evolutionarily recent and long-standing sources of selection on acoustic communication. We currently know more about the impact of evolutionarily recent human-generated noise on communication than we do about how natural sounds such as pounding surf have shaped communication signals over evolutionary time. Based on signal detection theory, we hypothesized that acoustic phenotypes will vary with both anthropogenic and natural background noise levels and that similar mechanisms of cultural evolution and/or behavioral flexibility may underlie this variation. We studied song characteristics of white-crowned sparrows (Zonotrichia leucophrys nuttalli) across a noise gradient that includes both anthropogenic and natural sources of noise in San Francisco and Marin counties, California, USA. Both anthropogenic and natural soundscapes contain high amplitude low frequency noise (traffic or surf, respectively), so we predicted that birds would produce songs with higher minimum frequencies in areas with higher amplitude background noise to avoid auditory masking. We also anticipated that song minimum frequencies would be higher than the projected lower frequency limit of hearing based on site-specific masking profiles. Background noise was a strong predictor of song minimum frequency, both within a local noise gradient of three urban sites with the same song dialect and cultural evolutionary history, and across the regional noise gradient, which encompasses 11 urban and rural sites, several dialects, and several anthropogenic and natural sources of noise. Among rural sites alone, background noise tended to predict song minimum frequency, indicating that urban sites were not solely responsible for driving the regional pattern. These findings support the hypothesis that songs vary with local and regional soundscapes regardless of the source of noise. Song minimum frequency from five core study sites was also higher than the lower frequency limit of hearing at each site, further supporting the hypothesis that songs vary to transmit through noise in local soundscapes. Minimum frequencies leveled off at noisier sites, suggesting that minimum frequencies are constrained to an upper limit, possibly to retain the information content of wider bandwidths. We found evidence that site noise was a better predictor of song minimum frequency than territory noise in both anthropogenic and natural soundscapes, suggesting that cultural evolution rather than imme…","author":[{"dropping-particle":"","family":"Derryberry","given":"Elizabeth P.","non-dropping-particle":"","parse-names":false,"suffix":""},{"dropping-particle":"","family":"Danner","given":"Raymond M.","non-dropping-particle":"","parse-names":false,"suffix":""},{"dropping-particle":"","family":"Danner","given":"Julie E.","non-dropping-particle":"","parse-names":false,"suffix":""},{"dropping-particle":"","family":"Derryberry","given":"Graham E.","non-dropping-particle":"","parse-names":false,"suffix":""},{"dropping-particle":"","family":"Phillips","given":"Jennifer N.","non-dropping-particle":"","parse-names":false,"suffix":""},{"dropping-particle":"","family":"Lipshutz","given":"Sara E.","non-dropping-particle":"","parse-names":false,"suffix":""},{"dropping-particle":"","family":"Gentry","given":"Katherine","non-dropping-particle":"","parse-names":false,"suffix":""},{"dropping-particle":"","family":"Luther","given":"David A.","non-dropping-particle":"","parse-names":false,"suffix":""}],"container-title":"PLoS ONE","id":"ITEM-1","issue":"4","issued":{"date-parts":[["2016"]]},"page":"1-17","title":"Patterns of song across natural and anthropogenic soundscapes suggest that white-crowned sparrows minimize acoustic masking and maximize signal content","type":"article-journal","volume":"11"},"uris":["http://www.mendeley.com/documents/?uuid=4c9919ef-78ba-4bd0-8847-977a8ced62e3"]}],"mendeley":{"formattedCitation":"&lt;sup&gt;26&lt;/sup&gt;","plainTextFormattedCitation":"26","previouslyFormattedCitation":"[26]"},"properties":{"noteIndex":0},"schema":"https://github.com/citation-style-language/schema/raw/master/csl-citation.json"}</w:instrText>
      </w:r>
      <w:r w:rsidRPr="00D23BF1">
        <w:rPr>
          <w:rFonts w:ascii="Times" w:hAnsi="Times"/>
          <w:color w:val="000000" w:themeColor="text1"/>
        </w:rPr>
        <w:fldChar w:fldCharType="separate"/>
      </w:r>
      <w:r w:rsidRPr="00D23BF1">
        <w:rPr>
          <w:rFonts w:ascii="Times" w:hAnsi="Times"/>
          <w:noProof/>
          <w:color w:val="000000" w:themeColor="text1"/>
          <w:vertAlign w:val="superscript"/>
        </w:rPr>
        <w:t>26</w:t>
      </w:r>
      <w:r w:rsidRPr="00D23BF1">
        <w:rPr>
          <w:rFonts w:ascii="Times" w:hAnsi="Times"/>
          <w:color w:val="000000" w:themeColor="text1"/>
        </w:rPr>
        <w:fldChar w:fldCharType="end"/>
      </w:r>
      <w:r w:rsidRPr="00D23BF1">
        <w:rPr>
          <w:rFonts w:ascii="Times" w:hAnsi="Times"/>
          <w:color w:val="000000" w:themeColor="text1"/>
        </w:rPr>
        <w:t xml:space="preserve">. They are also amenable to hand-rearing and experimental work in captive settings </w:t>
      </w:r>
      <w:r w:rsidRPr="00D23BF1">
        <w:rPr>
          <w:rFonts w:ascii="Times" w:hAnsi="Times"/>
          <w:color w:val="000000" w:themeColor="text1"/>
        </w:rPr>
        <w:fldChar w:fldCharType="begin" w:fldLock="1"/>
      </w:r>
      <w:r w:rsidRPr="00D23BF1">
        <w:rPr>
          <w:rFonts w:ascii="Times" w:hAnsi="Times"/>
          <w:color w:val="000000" w:themeColor="text1"/>
        </w:rPr>
        <w:instrText>ADDIN CSL_CITATION {"citationItems":[{"id":"ITEM-1","itemData":{"DOI":"10.1037/h0029144","ISSN":"00219940","abstract":"Unlike nonhuman primates and some other species used in attempts to condition vocal behavior, certain song birds display considerable facility at vocal imitation in the wild state. Species-specific characteristics of the song of the male white-crowned sparrow are normally acquired by learning from adults. Local song dialects result. Males raised in individual or group isolation developed abnormal songs. Exposure to normal song during a critical period of 10-50 days of age resulted in normal song development and in reproduction of the particular training dialect. Exposure to normal song during the 50-100 day age period shifted subsequent song development in a normal direction, but details of the training song were not reproduced. Exposure before 10 days and after 100 days of age had no effect. Song learning is selective in that exposure to songs of other species of 10-50 days of age had no effect on song development. Sensory rather than motor constraints appear to be responsible for the selectivity. To explain song development, an auditory template is postulated. At the start of the critical period the template is only a crude specification of normal song, but sufficient to exclude songs of other species. In training the specifications of the template become more precise. Vocalizations are matched to the template subsequently by auditory feedback. No extrinsic reinforcement seems to be necessary. Several analogies are drawn between song learning in white-crowned sparrows and speech development in children. (65 ref.) (PsycINFO Database Record (c) 2006 APA, all rights reserved). © 1970 American Psychological Association.","author":[{"dropping-particle":"","family":"Marler","given":"Peter","non-dropping-particle":"","parse-names":false,"suffix":""}],"container-title":"Journal of Comparative and Physiological Psychology","id":"ITEM-1","issue":"2 PART 2","issued":{"date-parts":[["1970"]]},"page":"1-25","title":"A comparative approach to vocal learning: Song development in white-crowned sparrows","type":"article-journal","volume":"71"},"uris":["http://www.mendeley.com/documents/?uuid=96c820a3-58bc-4bb9-a45d-7dd8cbf12651"]},{"id":"ITEM-2","itemData":{"DOI":"10.1006/anbe.1995.0223","ISSN":"00033472","abstract":"Vocal learning in birds often results in geographically distinct ‘dialects’. To examine whether genetic variation underlies intraspecific differences in vocal development, young male white-crowned sparrows from sedentary (Zonotrichia leucophrys nuttalli) and migratory (Z. l. oriantha) populations were reared in standardized conditions in the laboratory, and tutored throughout the first year of life with a changing roster of tutor songs. Malenuttalliacquired their tutor imitations at a later age, and over a broader range of ages, than didorianthamales. All males eventually crystallized a single song type, but maleorianthasang imitations of more tutor songs in plastic song, and persisted in plastic song twice as long asnuttallimales. Nuttalliimitations of tutor songs were fragmentary, but their imitations of specific syllables were more accurate than those oforiantha. These genetically based differences in vocal learning may be different strategies to achieve song matching with territory neighbours in migratory and sedentary populations. Young migratoryorianthaface a shorter singing season during the early sensitive phase for song acquisition and greater uncertainty over where they will breed as yearlings relative tonuttallimales, who may occupy territories relatively closer to their birthplace, and may settle as early as their first autumn. Maleorianthaacquire several song dialects when young, and then, through a process of selective attrition, retain the song that matches the local dialect where they settle to breed. In contrast, nuttallimay retain the ability to acquire an accurate song copy from a neighbour when they establish a territory. © 1995 The Association for the Study of Animal Behaviour.","author":[{"dropping-particle":"","family":"Nelson","given":"Douglas A.","non-dropping-particle":"","parse-names":false,"suffix":""},{"dropping-particle":"","family":"Marler","given":"Peter","non-dropping-particle":"","parse-names":false,"suffix":""},{"dropping-particle":"","family":"Palleroni","given":"Alberto","non-dropping-particle":"","parse-names":false,"suffix":""}],"container-title":"Animal Behaviour","id":"ITEM-2","issue":"1","issued":{"date-parts":[["1995"]]},"page":"83-97","title":"A comparative approach to vocal learning: Intraspecific variation in the learning process","type":"article-journal","volume":"50"},"uris":["http://www.mendeley.com/documents/?uuid=688f7088-9fa2-4f61-9a3e-de11e2e79779"]},{"id":"ITEM-3","itemData":{"DOI":"10.1111/j.1558-5646.2007.00154.x","ISSN":"00143820","PMID":"17683435","abstract":"Mating signals act as behavioral barriers to gene flow in many animal taxa, yet little is known about how signal evolution within populations contributes to the formation of these barriers. Although variation in mating signals among populations is known to affect mating behavior, there is no direct evidence that the evolution of mating signals changes signal effectiveness within a natural population. Making use of historical recordings of bird song, I found that both male and female white-crowned sparrows (Zonotrichia leucophrys) respond more strongly to current than to historical songs, indicating that historical songs are less effective as signals in the current contexts of both mate choice and male-male competition. Finding that historical signals are less effective suggests that signal evolution within populations may ultimately contribute to the formation of behavioral barriers to gene flow between populations. © 2007 The Author(s).","author":[{"dropping-particle":"","family":"Derryberry","given":"Elizabeth P.","non-dropping-particle":"","parse-names":false,"suffix":""}],"container-title":"Evolution","id":"ITEM-3","issue":"8","issued":{"date-parts":[["2007"]]},"page":"1938-1945","title":"Evolution of bird song affects signal efficacy: An experimental test using historical and current signals","type":"article-journal","volume":"61"},"uris":["http://www.mendeley.com/documents/?uuid=7ffb4671-1a9f-44e4-b7bf-5f2052eb42d0"]}],"mendeley":{"formattedCitation":"&lt;sup&gt;27–29&lt;/sup&gt;","plainTextFormattedCitation":"27–29","previouslyFormattedCitation":"[27–29]"},"properties":{"noteIndex":0},"schema":"https://github.com/citation-style-language/schema/raw/master/csl-citation.json"}</w:instrText>
      </w:r>
      <w:r w:rsidRPr="00D23BF1">
        <w:rPr>
          <w:rFonts w:ascii="Times" w:hAnsi="Times"/>
          <w:color w:val="000000" w:themeColor="text1"/>
        </w:rPr>
        <w:fldChar w:fldCharType="separate"/>
      </w:r>
      <w:r w:rsidRPr="00D23BF1">
        <w:rPr>
          <w:rFonts w:ascii="Times" w:hAnsi="Times"/>
          <w:noProof/>
          <w:color w:val="000000" w:themeColor="text1"/>
          <w:vertAlign w:val="superscript"/>
        </w:rPr>
        <w:t>27–29</w:t>
      </w:r>
      <w:r w:rsidRPr="00D23BF1">
        <w:rPr>
          <w:rFonts w:ascii="Times" w:hAnsi="Times"/>
          <w:color w:val="000000" w:themeColor="text1"/>
        </w:rPr>
        <w:fldChar w:fldCharType="end"/>
      </w:r>
      <w:r w:rsidRPr="00D23BF1">
        <w:rPr>
          <w:rFonts w:ascii="Times" w:hAnsi="Times"/>
          <w:color w:val="000000" w:themeColor="text1"/>
        </w:rPr>
        <w:t xml:space="preserve">. </w:t>
      </w:r>
    </w:p>
    <w:p w14:paraId="7B4FF21E" w14:textId="77777777" w:rsidR="00041ADB" w:rsidRPr="00D23BF1" w:rsidRDefault="00041ADB" w:rsidP="00F20BE1">
      <w:pPr>
        <w:rPr>
          <w:rFonts w:ascii="Times" w:eastAsia="Times New Roman" w:hAnsi="Times"/>
        </w:rPr>
      </w:pPr>
      <w:r w:rsidRPr="00D23BF1">
        <w:rPr>
          <w:rFonts w:ascii="Times" w:hAnsi="Times"/>
          <w:color w:val="000000" w:themeColor="text1"/>
        </w:rPr>
        <w:t xml:space="preserve">Our experimental subjects were collected as nestlings (day 2—4 of age from 12 nests, males = 14, females = 12, total subjects = 26) from territories in San Francisco, CA and then hand-reared in captivity. Importantly, all birds received the same diet, and the diet changed as appropriate between hand-rearing and after fledging. </w:t>
      </w:r>
      <w:r w:rsidRPr="00D23BF1">
        <w:rPr>
          <w:rFonts w:ascii="Times" w:eastAsia="Times New Roman" w:hAnsi="Times"/>
        </w:rPr>
        <w:t xml:space="preserve">Briefly, we fed birds by hand at half hour intervals from dawn to dusk until 10–12 days post hatch, then at 1–hour intervals until 18 days post hatch, and thereafter at 3-hour intervals until the birds were feeding independently at about 4–5 weeks of age. Young birds were hand-reared using the </w:t>
      </w:r>
      <w:proofErr w:type="spellStart"/>
      <w:r w:rsidRPr="00D23BF1">
        <w:rPr>
          <w:rFonts w:ascii="Times" w:eastAsia="Times New Roman" w:hAnsi="Times"/>
        </w:rPr>
        <w:t>Marler</w:t>
      </w:r>
      <w:proofErr w:type="spellEnd"/>
      <w:r w:rsidRPr="00D23BF1">
        <w:rPr>
          <w:rFonts w:ascii="Times" w:eastAsia="Times New Roman" w:hAnsi="Times"/>
        </w:rPr>
        <w:t xml:space="preserve"> diet </w:t>
      </w:r>
      <w:r w:rsidRPr="00D23BF1">
        <w:rPr>
          <w:rFonts w:ascii="Times" w:eastAsia="Times New Roman" w:hAnsi="Times"/>
        </w:rPr>
        <w:fldChar w:fldCharType="begin" w:fldLock="1"/>
      </w:r>
      <w:r w:rsidRPr="00D23BF1">
        <w:rPr>
          <w:rFonts w:ascii="Times" w:eastAsia="Times New Roman" w:hAnsi="Times"/>
        </w:rPr>
        <w:instrText>ADDIN CSL_CITATION {"citationItems":[{"id":"ITEM-1","itemData":{"DOI":"10.1111/j.0908-8857.2004.03247.x","ISSN":"09088857","abstract":"We manipulated the quantity of food provided to hand-reared song sparrows Melospiza melodia from 3 to 18 days post-hatching, a period when young birds in the wild are especially likely to experience nutritional stress. A control group was given unlimited food, while an experimental group was limited to 60% of the intake of the controls. Both groups showed excellent survival. The controls had significantly higher growth rates than the experimentals and fledged significantly earlier. At the end of treatment, controls were significantly larger than experimentals in body mass, tarsus length, and length of the third primary. After treatment ended, when all birds were receiving the same diet, both groups showed a recession in body mass, but the amount of mass lost was significantly greater in the controls. Consequently the difference in body mass between the treatment groups was much reduced after the period of weight recession. As adults, the controls were significantly larger than experimentals in a principal component measure of size that combined six post-mortem bone measurements. Controls and experimentals did not differ in the number of fault bars in tail feathers grown in part during the period of nutritional manipulation, nor did they differ in the degree of asymmetry in bone measurements. We conclude that early nutrition affects growth rates in young song sparrows, with effects on skeletal size that carry over into adulthood. These results are consistent with the nutritional stress hypothesis, which posits that early nutrition affects adult phenotypic quality as well as display attributes.","author":[{"dropping-particle":"","family":"Searcy","given":"William A.","non-dropping-particle":"","parse-names":false,"suffix":""},{"dropping-particle":"","family":"Peters","given":"Susan","non-dropping-particle":"","parse-names":false,"suffix":""},{"dropping-particle":"","family":"Nowicki","given":"Stephen","non-dropping-particle":"","parse-names":false,"suffix":""}],"container-title":"Journal of Avian Biology","id":"ITEM-1","issue":"3","issued":{"date-parts":[["2004"]]},"page":"269-279","title":"Effects of early nutrition on growth rate and adult size in song sparrows Melospiza melodia","type":"article-journal","volume":"35"},"uris":["http://www.mendeley.com/documents/?uuid=ff3ca220-8b2f-41fd-804f-092fa049780c"]}],"mendeley":{"formattedCitation":"&lt;sup&gt;30&lt;/sup&gt;","plainTextFormattedCitation":"30","previouslyFormattedCitation":"[30]"},"properties":{"noteIndex":0},"schema":"https://github.com/citation-style-language/schema/raw/master/csl-citation.json"}</w:instrText>
      </w:r>
      <w:r w:rsidRPr="00D23BF1">
        <w:rPr>
          <w:rFonts w:ascii="Times" w:eastAsia="Times New Roman" w:hAnsi="Times"/>
        </w:rPr>
        <w:fldChar w:fldCharType="separate"/>
      </w:r>
      <w:r w:rsidRPr="00D23BF1">
        <w:rPr>
          <w:rFonts w:ascii="Times" w:eastAsia="Times New Roman" w:hAnsi="Times"/>
          <w:noProof/>
          <w:vertAlign w:val="superscript"/>
        </w:rPr>
        <w:t>30</w:t>
      </w:r>
      <w:r w:rsidRPr="00D23BF1">
        <w:rPr>
          <w:rFonts w:ascii="Times" w:eastAsia="Times New Roman" w:hAnsi="Times"/>
        </w:rPr>
        <w:fldChar w:fldCharType="end"/>
      </w:r>
      <w:r w:rsidRPr="00D23BF1">
        <w:rPr>
          <w:rFonts w:ascii="Times" w:eastAsia="Times New Roman" w:hAnsi="Times"/>
        </w:rPr>
        <w:t xml:space="preserve"> delivered from 1–cc syringes. Older birds were fed dry seed and water ad libitum, along with greens, soaked seed, hard-boiled eggs and a vitamin supplement. At the time of this experiment, all birds were three years old.</w:t>
      </w:r>
    </w:p>
    <w:p w14:paraId="4508667A" w14:textId="77777777" w:rsidR="00041ADB" w:rsidRPr="00D23BF1" w:rsidRDefault="00041ADB" w:rsidP="00F20BE1">
      <w:pPr>
        <w:rPr>
          <w:rFonts w:ascii="Times" w:eastAsia="Times New Roman" w:hAnsi="Times" w:cs="Calibri"/>
        </w:rPr>
      </w:pPr>
      <w:r w:rsidRPr="00D23BF1">
        <w:rPr>
          <w:rFonts w:ascii="Times" w:eastAsia="Times New Roman" w:hAnsi="Times"/>
        </w:rPr>
        <w:t xml:space="preserve">Once the noise exposure experiment started, all birds received only dry seed and water ad libitum. </w:t>
      </w:r>
      <w:r w:rsidRPr="00D23BF1">
        <w:rPr>
          <w:rFonts w:ascii="Times" w:hAnsi="Times"/>
          <w:color w:val="000000" w:themeColor="text1"/>
        </w:rPr>
        <w:t xml:space="preserve">Birds were fed seed from automatic feeders </w:t>
      </w:r>
      <w:r w:rsidRPr="00D23BF1">
        <w:rPr>
          <w:rFonts w:ascii="Times" w:hAnsi="Times" w:cs="Calibri"/>
          <w:color w:val="000000" w:themeColor="text1"/>
        </w:rPr>
        <w:t>with graduated marks to make food intake measurements unobtrusive. Grit and cuttlebone calcium supplement were also provided ad libitum. Diet was not otherwise supplemented during the experiment. Each bird received cage maintenance to ensure the above standards daily.</w:t>
      </w:r>
    </w:p>
    <w:p w14:paraId="6E5040A4" w14:textId="77777777" w:rsidR="00041ADB" w:rsidRPr="00D23BF1" w:rsidRDefault="00041ADB" w:rsidP="00F20BE1">
      <w:pPr>
        <w:rPr>
          <w:rFonts w:ascii="Times" w:hAnsi="Times" w:cs="Calibri"/>
          <w:color w:val="000000" w:themeColor="text1"/>
        </w:rPr>
      </w:pPr>
      <w:r w:rsidRPr="00D23BF1">
        <w:rPr>
          <w:rFonts w:ascii="Times" w:eastAsia="Times New Roman" w:hAnsi="Times" w:cs="Calibri"/>
        </w:rPr>
        <w:t>Birds were individually housed in sound attenuation chambers (Industrial Acoustics Model Mac-1). Chamber dimensions were 68.6cm wide x 53.3cm deep x 63.5cm high (outside) and 58.4cm x 40.6cm x 35.6cm (inside). Each chamber contained a light, a fan for ventilation, and a loudspeaker (Altec Lansing iM227 Orbit MP3). Birds were kept on a natural photoperiod for San Francisco, controlled by time clocks (</w:t>
      </w:r>
      <w:proofErr w:type="spellStart"/>
      <w:r w:rsidRPr="00D23BF1">
        <w:rPr>
          <w:rFonts w:ascii="Times" w:eastAsia="Times New Roman" w:hAnsi="Times" w:cs="Calibri"/>
        </w:rPr>
        <w:t>Hydrofarm</w:t>
      </w:r>
      <w:proofErr w:type="spellEnd"/>
      <w:r w:rsidRPr="00D23BF1">
        <w:rPr>
          <w:rFonts w:ascii="Times" w:eastAsia="Times New Roman" w:hAnsi="Times" w:cs="Calibri"/>
        </w:rPr>
        <w:t xml:space="preserve"> TM01715D). During the time of the experiment, lights came on at 6AM and went off at 9PM for a 15:9 light to dark schedule. The ambient temperature was maintained at 23°C. Within the chamber, males were housed in cages that measured 48.5 x 31 x 26 cm.</w:t>
      </w:r>
      <w:r w:rsidRPr="00D23BF1">
        <w:rPr>
          <w:rFonts w:ascii="Times" w:hAnsi="Times" w:cs="Calibri"/>
          <w:color w:val="000000" w:themeColor="text1"/>
        </w:rPr>
        <w:t xml:space="preserve">  </w:t>
      </w:r>
    </w:p>
    <w:p w14:paraId="17CCCA1E" w14:textId="77777777" w:rsidR="00041ADB" w:rsidRPr="00D23BF1" w:rsidRDefault="00041ADB" w:rsidP="00F20BE1">
      <w:pPr>
        <w:rPr>
          <w:rFonts w:ascii="Times" w:hAnsi="Times" w:cs="Calibri"/>
          <w:i/>
          <w:iCs/>
          <w:color w:val="000000" w:themeColor="text1"/>
        </w:rPr>
      </w:pPr>
    </w:p>
    <w:p w14:paraId="2672A22A" w14:textId="77777777" w:rsidR="00041ADB" w:rsidRPr="00D23BF1" w:rsidRDefault="00041ADB" w:rsidP="00F20BE1">
      <w:pPr>
        <w:rPr>
          <w:rFonts w:ascii="Times" w:hAnsi="Times" w:cs="Calibri"/>
          <w:i/>
          <w:iCs/>
          <w:color w:val="000000" w:themeColor="text1"/>
        </w:rPr>
      </w:pPr>
      <w:r w:rsidRPr="00D23BF1">
        <w:rPr>
          <w:rFonts w:ascii="Times" w:hAnsi="Times" w:cs="Calibri"/>
          <w:i/>
          <w:iCs/>
          <w:color w:val="000000" w:themeColor="text1"/>
        </w:rPr>
        <w:t>Experimental design</w:t>
      </w:r>
    </w:p>
    <w:p w14:paraId="16C3E0C1" w14:textId="77777777" w:rsidR="00041ADB" w:rsidRPr="00D23BF1" w:rsidRDefault="00041ADB" w:rsidP="00F20BE1">
      <w:pPr>
        <w:rPr>
          <w:rFonts w:ascii="Times" w:hAnsi="Times" w:cs="Calibri"/>
          <w:color w:val="000000" w:themeColor="text1"/>
        </w:rPr>
      </w:pPr>
    </w:p>
    <w:p w14:paraId="73920821" w14:textId="77777777" w:rsidR="00041ADB" w:rsidRPr="00D23BF1" w:rsidRDefault="00041ADB" w:rsidP="00F20BE1">
      <w:pPr>
        <w:rPr>
          <w:rFonts w:ascii="Times" w:hAnsi="Times" w:cs="Calibri"/>
        </w:rPr>
      </w:pPr>
      <w:r w:rsidRPr="00D23BF1">
        <w:rPr>
          <w:rFonts w:ascii="Times" w:hAnsi="Times" w:cs="Calibri"/>
          <w:color w:val="000000" w:themeColor="text1"/>
        </w:rPr>
        <w:t xml:space="preserve">We used a repeated measures design. All birds received four treatments. The acclimation treatment was for five days of no noise and occurred at the start of the experiment for all birds. All birds also received a noise treatment of five days immediately followed by a recovery treatment of no noise for five days. All birds also received a control treatment of five days of no noise, with half of the birds receiving the control treatment before the </w:t>
      </w:r>
      <w:proofErr w:type="spellStart"/>
      <w:r w:rsidRPr="00D23BF1">
        <w:rPr>
          <w:rFonts w:ascii="Times" w:hAnsi="Times" w:cs="Calibri"/>
          <w:color w:val="000000" w:themeColor="text1"/>
        </w:rPr>
        <w:t>noise+recovery</w:t>
      </w:r>
      <w:proofErr w:type="spellEnd"/>
      <w:r w:rsidRPr="00D23BF1">
        <w:rPr>
          <w:rFonts w:ascii="Times" w:hAnsi="Times" w:cs="Calibri"/>
          <w:color w:val="000000" w:themeColor="text1"/>
        </w:rPr>
        <w:t xml:space="preserve"> treatments and half after the </w:t>
      </w:r>
      <w:proofErr w:type="spellStart"/>
      <w:r w:rsidRPr="00D23BF1">
        <w:rPr>
          <w:rFonts w:ascii="Times" w:hAnsi="Times" w:cs="Calibri"/>
          <w:color w:val="000000" w:themeColor="text1"/>
        </w:rPr>
        <w:t>noise+recovery</w:t>
      </w:r>
      <w:proofErr w:type="spellEnd"/>
      <w:r w:rsidRPr="00D23BF1">
        <w:rPr>
          <w:rFonts w:ascii="Times" w:hAnsi="Times" w:cs="Calibri"/>
          <w:color w:val="000000" w:themeColor="text1"/>
        </w:rPr>
        <w:t xml:space="preserve"> treatments. </w:t>
      </w:r>
      <w:r w:rsidRPr="00D23BF1">
        <w:rPr>
          <w:rFonts w:ascii="Times" w:hAnsi="Times" w:cs="Calibri"/>
        </w:rPr>
        <w:t xml:space="preserve"> In other words, one set of birds had five days noise, five days recovery and five days control and a second set of birds had five days control, five days noise and five days recovery (Figure 12).</w:t>
      </w:r>
    </w:p>
    <w:p w14:paraId="444EC6C9" w14:textId="5A000129" w:rsidR="00041ADB" w:rsidRDefault="00041ADB" w:rsidP="00F20BE1">
      <w:pPr>
        <w:rPr>
          <w:rFonts w:ascii="Times" w:hAnsi="Times" w:cs="Calibri"/>
          <w:color w:val="000000" w:themeColor="text1"/>
        </w:rPr>
      </w:pPr>
    </w:p>
    <w:p w14:paraId="4D396FAA" w14:textId="01363C36" w:rsidR="00B36955" w:rsidRDefault="00B36955" w:rsidP="00F20BE1">
      <w:pPr>
        <w:rPr>
          <w:rFonts w:ascii="Times" w:hAnsi="Times" w:cs="Calibri"/>
          <w:color w:val="000000" w:themeColor="text1"/>
        </w:rPr>
      </w:pPr>
    </w:p>
    <w:p w14:paraId="18B09F57" w14:textId="4ADD8E29" w:rsidR="00B36955" w:rsidRDefault="00B36955" w:rsidP="00F20BE1">
      <w:pPr>
        <w:rPr>
          <w:rFonts w:ascii="Times" w:hAnsi="Times" w:cs="Calibri"/>
          <w:color w:val="000000" w:themeColor="text1"/>
        </w:rPr>
      </w:pPr>
    </w:p>
    <w:p w14:paraId="30A3A580" w14:textId="77777777" w:rsidR="00B36955" w:rsidRPr="00D23BF1" w:rsidRDefault="00B36955" w:rsidP="00F20BE1">
      <w:pPr>
        <w:rPr>
          <w:rFonts w:ascii="Times" w:hAnsi="Times" w:cs="Calibri"/>
          <w:color w:val="000000" w:themeColor="text1"/>
        </w:rPr>
      </w:pPr>
    </w:p>
    <w:p w14:paraId="1D2CDCF8" w14:textId="77777777" w:rsidR="00041ADB" w:rsidRPr="00D23BF1" w:rsidRDefault="00041ADB" w:rsidP="00F20BE1">
      <w:pPr>
        <w:rPr>
          <w:rFonts w:ascii="Times" w:hAnsi="Times" w:cs="Calibri"/>
          <w:i/>
          <w:iCs/>
          <w:color w:val="000000" w:themeColor="text1"/>
        </w:rPr>
      </w:pPr>
      <w:r w:rsidRPr="00D23BF1">
        <w:rPr>
          <w:rFonts w:ascii="Times" w:hAnsi="Times" w:cs="Calibri"/>
          <w:i/>
          <w:iCs/>
          <w:color w:val="000000" w:themeColor="text1"/>
        </w:rPr>
        <w:lastRenderedPageBreak/>
        <w:t>Noise exposure</w:t>
      </w:r>
    </w:p>
    <w:p w14:paraId="5D25E8AA" w14:textId="77777777" w:rsidR="00041ADB" w:rsidRPr="00D23BF1" w:rsidRDefault="00041ADB" w:rsidP="00F20BE1">
      <w:pPr>
        <w:rPr>
          <w:rFonts w:ascii="Times" w:hAnsi="Times" w:cs="Calibri"/>
          <w:color w:val="000000" w:themeColor="text1"/>
        </w:rPr>
      </w:pPr>
    </w:p>
    <w:p w14:paraId="125BA20B" w14:textId="77777777" w:rsidR="00041ADB" w:rsidRPr="00D23BF1" w:rsidRDefault="00041ADB" w:rsidP="00F20BE1">
      <w:pPr>
        <w:rPr>
          <w:rFonts w:ascii="Times" w:hAnsi="Times" w:cs="Calibri"/>
          <w:color w:val="000000" w:themeColor="text1"/>
        </w:rPr>
      </w:pPr>
      <w:r w:rsidRPr="00D23BF1">
        <w:rPr>
          <w:rFonts w:ascii="Times" w:hAnsi="Times" w:cs="Calibri"/>
          <w:color w:val="000000" w:themeColor="text1"/>
        </w:rPr>
        <w:t xml:space="preserve">We exposed birds to city-like noise, resulting in noise levels of 74—74.8 dBA within chambers. During ‘no-noise’ treatments, noise levels were 48.5—60 dBA (chambers varied in baseline ambient noise levels). A change of 6dBA is a doubling of sound pressure levels. Noise exposure started with lights on and lasted for six hours. </w:t>
      </w:r>
    </w:p>
    <w:p w14:paraId="60644321" w14:textId="77777777" w:rsidR="00041ADB" w:rsidRPr="00D23BF1" w:rsidRDefault="00041ADB" w:rsidP="00F20BE1">
      <w:pPr>
        <w:rPr>
          <w:rFonts w:ascii="Times" w:eastAsia="Times New Roman" w:hAnsi="Times" w:cs="Calibri"/>
        </w:rPr>
      </w:pPr>
      <w:r w:rsidRPr="00D23BF1">
        <w:rPr>
          <w:rFonts w:ascii="Times" w:hAnsi="Times" w:cs="Calibri"/>
          <w:color w:val="000000" w:themeColor="text1"/>
        </w:rPr>
        <w:t xml:space="preserve">The ‘city-like’ noise playback was informed by noise recordings made on white-crowned sparrow breeding territories in San Francisco, CA. Briefly, </w:t>
      </w:r>
      <w:r w:rsidRPr="00D23BF1">
        <w:rPr>
          <w:rFonts w:ascii="Times" w:eastAsia="Times New Roman" w:hAnsi="Times" w:cs="Calibri"/>
        </w:rPr>
        <w:t xml:space="preserve">we recorded two minutes of background noise using a Sennheiser ME62 omnidirectional microphone mounted facing upwards on a 1m tripod. We simultaneously measured the maximum sound pressure level every 10s using a tripod mounted 407736 </w:t>
      </w:r>
      <w:proofErr w:type="spellStart"/>
      <w:r w:rsidRPr="00D23BF1">
        <w:rPr>
          <w:rFonts w:ascii="Times" w:eastAsia="Times New Roman" w:hAnsi="Times" w:cs="Calibri"/>
        </w:rPr>
        <w:t>Extech</w:t>
      </w:r>
      <w:proofErr w:type="spellEnd"/>
      <w:r w:rsidRPr="00D23BF1">
        <w:rPr>
          <w:rFonts w:ascii="Times" w:eastAsia="Times New Roman" w:hAnsi="Times" w:cs="Calibri"/>
        </w:rPr>
        <w:t xml:space="preserve"> Sound Level Meter (response time = 125ms, accuracy = ±1.5dB, weighting = A). We calibrated the noise spectrum with the paired sound pressure levels using the Sound Level Meter function in SIGNAL, dropping outliers. </w:t>
      </w:r>
      <w:r w:rsidRPr="00D23BF1">
        <w:rPr>
          <w:rFonts w:ascii="Times" w:hAnsi="Times" w:cs="Calibri"/>
        </w:rPr>
        <w:t xml:space="preserve">We dropped outliers because the goal was to find the calibration constant for each background noise recording. Short temporal events (e.g., a dog bark or a person shout) can bias calibration. We determined outliers using a standard method based on quartiles. This was Q2 ± 1.5 * (Q3-Q1). To limit any bias in the calibration, we dropped identified outliers from both the recording and the SPL estimates for the calibration. </w:t>
      </w:r>
      <w:r w:rsidRPr="00D23BF1">
        <w:rPr>
          <w:rFonts w:ascii="Times" w:eastAsia="Times New Roman" w:hAnsi="Times" w:cs="Calibri"/>
        </w:rPr>
        <w:t xml:space="preserve">We then averaged these 16 noise spectra and generated a noise file in Reaper 4.76 </w:t>
      </w:r>
      <w:r w:rsidRPr="00D23BF1">
        <w:rPr>
          <w:rFonts w:ascii="Times" w:eastAsia="Times New Roman" w:hAnsi="Times" w:cs="Calibri"/>
        </w:rPr>
        <w:fldChar w:fldCharType="begin" w:fldLock="1"/>
      </w:r>
      <w:r w:rsidRPr="00D23BF1">
        <w:rPr>
          <w:rFonts w:ascii="Times" w:eastAsia="Times New Roman" w:hAnsi="Times" w:cs="Calibri"/>
        </w:rPr>
        <w:instrText>ADDIN CSL_CITATION {"citationItems":[{"id":"ITEM-1","itemData":{"DOI":"10.4159/harvard.9780674064942.c49","abstract":"REAPER (an acronym for Rapid Environment for Audio Production, Engineering, and Recording) is a multitrack recording and a digital audio workstation created by Cockos.","author":[{"dropping-particle":"","family":"Eksteins","given":"Modris","non-dropping-particle":"","parse-names":false,"suffix":""}],"container-title":"Solar Dance","id":"ITEM-1","issued":{"date-parts":[["2012"]]},"title":"REAPER","type":"chapter"},"uris":["http://www.mendeley.com/documents/?uuid=bc29413d-ee2c-4212-a89c-30e90e9f99d8"]}],"mendeley":{"formattedCitation":"&lt;sup&gt;31&lt;/sup&gt;","plainTextFormattedCitation":"31","previouslyFormattedCitation":"[31]"},"properties":{"noteIndex":0},"schema":"https://github.com/citation-style-language/schema/raw/master/csl-citation.json"}</w:instrText>
      </w:r>
      <w:r w:rsidRPr="00D23BF1">
        <w:rPr>
          <w:rFonts w:ascii="Times" w:eastAsia="Times New Roman" w:hAnsi="Times" w:cs="Calibri"/>
        </w:rPr>
        <w:fldChar w:fldCharType="separate"/>
      </w:r>
      <w:r w:rsidRPr="00D23BF1">
        <w:rPr>
          <w:rFonts w:ascii="Times" w:eastAsia="Times New Roman" w:hAnsi="Times" w:cs="Calibri"/>
          <w:noProof/>
          <w:vertAlign w:val="superscript"/>
        </w:rPr>
        <w:t>31</w:t>
      </w:r>
      <w:r w:rsidRPr="00D23BF1">
        <w:rPr>
          <w:rFonts w:ascii="Times" w:eastAsia="Times New Roman" w:hAnsi="Times" w:cs="Calibri"/>
        </w:rPr>
        <w:fldChar w:fldCharType="end"/>
      </w:r>
      <w:r w:rsidRPr="00D23BF1">
        <w:rPr>
          <w:rFonts w:ascii="Times" w:eastAsia="Times New Roman" w:hAnsi="Times" w:cs="Calibri"/>
        </w:rPr>
        <w:t xml:space="preserve"> to mimic this noise spectrum by applying an FFT filter to white noise, which decreased the spectral energy by 6 dB per octave up to 2.5 kHz and 9 dB per octave above 2.5kHz.  This was the noise file that was used during the noise treatments.   </w:t>
      </w:r>
    </w:p>
    <w:p w14:paraId="01703F9B" w14:textId="77777777" w:rsidR="00041ADB" w:rsidRPr="00D23BF1" w:rsidRDefault="00041ADB" w:rsidP="00F20BE1">
      <w:pPr>
        <w:rPr>
          <w:rFonts w:ascii="Times" w:hAnsi="Times" w:cs="Calibri"/>
          <w:i/>
          <w:iCs/>
          <w:color w:val="000000" w:themeColor="text1"/>
        </w:rPr>
      </w:pPr>
    </w:p>
    <w:p w14:paraId="4A44BF07" w14:textId="77777777" w:rsidR="00041ADB" w:rsidRPr="00D23BF1" w:rsidRDefault="00041ADB" w:rsidP="00F20BE1">
      <w:pPr>
        <w:rPr>
          <w:rFonts w:ascii="Times" w:hAnsi="Times"/>
          <w:i/>
          <w:iCs/>
          <w:color w:val="000000" w:themeColor="text1"/>
        </w:rPr>
      </w:pPr>
      <w:r w:rsidRPr="00D23BF1">
        <w:rPr>
          <w:rFonts w:ascii="Times" w:hAnsi="Times"/>
          <w:i/>
          <w:iCs/>
          <w:color w:val="000000" w:themeColor="text1"/>
        </w:rPr>
        <w:t xml:space="preserve">Plasma </w:t>
      </w:r>
      <w:r w:rsidRPr="00D23BF1">
        <w:rPr>
          <w:rFonts w:ascii="Times" w:hAnsi="Times"/>
          <w:i/>
          <w:iCs/>
        </w:rPr>
        <w:t>corticosterone</w:t>
      </w:r>
      <w:r w:rsidRPr="00D23BF1">
        <w:rPr>
          <w:rFonts w:ascii="Times" w:hAnsi="Times"/>
        </w:rPr>
        <w:t xml:space="preserve"> </w:t>
      </w:r>
      <w:r w:rsidRPr="00D23BF1">
        <w:rPr>
          <w:rFonts w:ascii="Times" w:hAnsi="Times"/>
          <w:i/>
          <w:iCs/>
          <w:color w:val="000000" w:themeColor="text1"/>
        </w:rPr>
        <w:t>sampling</w:t>
      </w:r>
    </w:p>
    <w:p w14:paraId="4A613F58" w14:textId="77777777" w:rsidR="00041ADB" w:rsidRPr="00D23BF1" w:rsidRDefault="00041ADB" w:rsidP="00F20BE1">
      <w:pPr>
        <w:rPr>
          <w:rFonts w:ascii="Times" w:hAnsi="Times"/>
          <w:color w:val="000000" w:themeColor="text1"/>
        </w:rPr>
      </w:pPr>
    </w:p>
    <w:p w14:paraId="0FC7E312" w14:textId="77777777" w:rsidR="00041ADB" w:rsidRPr="00D23BF1" w:rsidRDefault="00041ADB" w:rsidP="00F20BE1">
      <w:pPr>
        <w:rPr>
          <w:rFonts w:ascii="Times" w:hAnsi="Times"/>
          <w:color w:val="000000" w:themeColor="text1"/>
        </w:rPr>
      </w:pPr>
      <w:r w:rsidRPr="00D23BF1">
        <w:rPr>
          <w:rFonts w:ascii="Times" w:hAnsi="Times"/>
          <w:color w:val="000000" w:themeColor="text1"/>
        </w:rPr>
        <w:t>Blood was collected on the 5</w:t>
      </w:r>
      <w:r w:rsidRPr="00D23BF1">
        <w:rPr>
          <w:rFonts w:ascii="Times" w:hAnsi="Times"/>
          <w:color w:val="000000" w:themeColor="text1"/>
          <w:vertAlign w:val="superscript"/>
        </w:rPr>
        <w:t>th</w:t>
      </w:r>
      <w:r w:rsidRPr="00D23BF1">
        <w:rPr>
          <w:rFonts w:ascii="Times" w:hAnsi="Times"/>
          <w:color w:val="000000" w:themeColor="text1"/>
        </w:rPr>
        <w:t xml:space="preserve"> (last) day of each treatment period between 10am and 12pm (noon), in capillary tubes after pricking the brachial artery with a 26G ½ Precision Glide needle. All blood samples were collected within 3 minutes of opening the chamber door to avoid the effects of handling on plasma </w:t>
      </w:r>
      <w:r w:rsidRPr="00D23BF1">
        <w:rPr>
          <w:rFonts w:ascii="Times" w:hAnsi="Times"/>
        </w:rPr>
        <w:t xml:space="preserve">corticosterone </w:t>
      </w:r>
      <w:r w:rsidRPr="00D23BF1">
        <w:rPr>
          <w:rFonts w:ascii="Times" w:hAnsi="Times"/>
          <w:color w:val="000000" w:themeColor="text1"/>
        </w:rPr>
        <w:t xml:space="preserve">levels. Samples were then spun in a microcentrifuge to separate plasma from other blood components. Plasma corticosterone levels were determined using commercial corticosterone enzyme immunoassay kits (Enzo Life Sciences, cat no. ADI-900-097). This assay was optimized previously for zebra finch plasma </w:t>
      </w:r>
      <w:r w:rsidRPr="00D23BF1">
        <w:rPr>
          <w:rFonts w:ascii="Times" w:hAnsi="Times"/>
          <w:color w:val="000000" w:themeColor="text1"/>
        </w:rPr>
        <w:fldChar w:fldCharType="begin" w:fldLock="1"/>
      </w:r>
      <w:r w:rsidRPr="00D23BF1">
        <w:rPr>
          <w:rFonts w:ascii="Times" w:hAnsi="Times"/>
          <w:color w:val="000000" w:themeColor="text1"/>
        </w:rPr>
        <w:instrText>ADDIN CSL_CITATION {"citationItems":[{"id":"ITEM-1","itemData":{"DOI":"10.1016/j.ygcen.2006.10.002","ISSN":"10956840","PMID":"17150217","abstract":"Activation of the adrenocortical response to stress during development can have fundamental consequences over the lifetime of the organism; as such, many organisms are less responsive to stress during critical developmental periods. In this study, we evaluated stress reactivity in nestling white-crowned sparrows, examining corticosterone and binding globulin levels in response to both restraint stress and ACTH challenge. Restraint stress induced a significant corticosterone response in both 4 to 6- and 7 to 9-day-old nestlings, but not in the youngest group (1-3 days); this non-significant increase in corticosterone in the youngest birds resembles the mammalian hyporesponsive period, wherein young animals are resistant to most stressors. Binding globulin levels appear to extend this period of low reactivity: when free corticosterone levels were calculated, only the oldest age group (7-9 day) showed a significant response to restraint. ACTH challenge data revealed that all ages of white-crowned sparrow nestlings responded to exogenous ACTH treatment with significant elevation of corticosterone, although early-stage nestlings did not reach adult levels of response. © 2006 Elsevier Inc. All rights reserved.","author":[{"dropping-particle":"","family":"Wada","given":"Haruka","non-dropping-particle":"","parse-names":false,"suffix":""},{"dropping-particle":"","family":"Hahn","given":"Thomas P.","non-dropping-particle":"","parse-names":false,"suffix":""},{"dropping-particle":"","family":"Breuner","given":"Creagh W.","non-dropping-particle":"","parse-names":false,"suffix":""}],"container-title":"General and Comparative Endocrinology","id":"ITEM-1","issue":"3","issued":{"date-parts":[["2007"]]},"page":"405-413","title":"Development of stress reactivity in white-crowned sparrow nestlings: Total corticosterone response increases with age, while free corticosterone response remains low","type":"article-journal","volume":"150"},"uris":["http://www.mendeley.com/documents/?uuid=34451355-fce3-4bc9-b056-610d600a6678"]}],"mendeley":{"formattedCitation":"&lt;sup&gt;32&lt;/sup&gt;","plainTextFormattedCitation":"32","previouslyFormattedCitation":"[32]"},"properties":{"noteIndex":0},"schema":"https://github.com/citation-style-language/schema/raw/master/csl-citation.json"}</w:instrText>
      </w:r>
      <w:r w:rsidRPr="00D23BF1">
        <w:rPr>
          <w:rFonts w:ascii="Times" w:hAnsi="Times"/>
          <w:color w:val="000000" w:themeColor="text1"/>
        </w:rPr>
        <w:fldChar w:fldCharType="separate"/>
      </w:r>
      <w:r w:rsidRPr="00D23BF1">
        <w:rPr>
          <w:rFonts w:ascii="Times" w:hAnsi="Times"/>
          <w:noProof/>
          <w:color w:val="000000" w:themeColor="text1"/>
          <w:vertAlign w:val="superscript"/>
        </w:rPr>
        <w:t>32</w:t>
      </w:r>
      <w:r w:rsidRPr="00D23BF1">
        <w:rPr>
          <w:rFonts w:ascii="Times" w:hAnsi="Times"/>
          <w:color w:val="000000" w:themeColor="text1"/>
        </w:rPr>
        <w:fldChar w:fldCharType="end"/>
      </w:r>
      <w:r w:rsidRPr="00D23BF1">
        <w:rPr>
          <w:rFonts w:ascii="Times" w:hAnsi="Times"/>
          <w:color w:val="000000" w:themeColor="text1"/>
        </w:rPr>
        <w:t xml:space="preserve">. Following the same procedure, samples were diluted 1:40 and 1% plasma volume of steroid displacement buffer was added. Samples from each individual were run on the same plate while samples within each plate were randomized within the plate. Out of 104 samples, 21 samples fell under the detection limit, thus the detection limit for the particular plate was assigned for those samples.  Inter- and intra-plate coefficient of variations were 4.9% and 1.3%, respectively. </w:t>
      </w:r>
    </w:p>
    <w:p w14:paraId="025EE3B0" w14:textId="77777777" w:rsidR="00041ADB" w:rsidRPr="00D23BF1" w:rsidRDefault="00041ADB" w:rsidP="00F20BE1">
      <w:pPr>
        <w:rPr>
          <w:rFonts w:ascii="Times" w:hAnsi="Times"/>
          <w:i/>
          <w:iCs/>
          <w:color w:val="000000" w:themeColor="text1"/>
        </w:rPr>
      </w:pPr>
    </w:p>
    <w:p w14:paraId="0D51889E" w14:textId="77777777" w:rsidR="00041ADB" w:rsidRPr="00D23BF1" w:rsidRDefault="00041ADB" w:rsidP="00F20BE1">
      <w:pPr>
        <w:rPr>
          <w:rFonts w:ascii="Times" w:hAnsi="Times"/>
          <w:i/>
          <w:iCs/>
          <w:color w:val="000000" w:themeColor="text1"/>
        </w:rPr>
      </w:pPr>
      <w:r w:rsidRPr="00D23BF1">
        <w:rPr>
          <w:rFonts w:ascii="Times" w:hAnsi="Times"/>
          <w:i/>
          <w:iCs/>
          <w:color w:val="000000" w:themeColor="text1"/>
        </w:rPr>
        <w:t xml:space="preserve">Food intake </w:t>
      </w:r>
    </w:p>
    <w:p w14:paraId="0BF2D94A" w14:textId="77777777" w:rsidR="00041ADB" w:rsidRPr="00D23BF1" w:rsidRDefault="00041ADB" w:rsidP="00F20BE1">
      <w:pPr>
        <w:rPr>
          <w:rFonts w:ascii="Times" w:hAnsi="Times"/>
          <w:color w:val="000000" w:themeColor="text1"/>
        </w:rPr>
      </w:pPr>
    </w:p>
    <w:p w14:paraId="7E86A5B7" w14:textId="77777777" w:rsidR="00041ADB" w:rsidRPr="00D23BF1" w:rsidRDefault="00041ADB" w:rsidP="00F20BE1">
      <w:pPr>
        <w:rPr>
          <w:rFonts w:ascii="Times" w:hAnsi="Times"/>
          <w:color w:val="000000" w:themeColor="text1"/>
        </w:rPr>
      </w:pPr>
      <w:r w:rsidRPr="00D23BF1">
        <w:rPr>
          <w:rFonts w:ascii="Times" w:hAnsi="Times"/>
          <w:color w:val="000000" w:themeColor="text1"/>
        </w:rPr>
        <w:t xml:space="preserve">To collect food data with minimal interruption of normal behavior, we pre-labeled the automatic food dispensers so that food consumption could be recorded without disturbing the birds, and without food mess from an open dish being recorded as </w:t>
      </w:r>
      <w:proofErr w:type="spellStart"/>
      <w:r w:rsidRPr="00D23BF1">
        <w:rPr>
          <w:rFonts w:ascii="Times" w:hAnsi="Times"/>
          <w:color w:val="000000" w:themeColor="text1"/>
        </w:rPr>
        <w:t>consuption</w:t>
      </w:r>
      <w:proofErr w:type="spellEnd"/>
      <w:r w:rsidRPr="00D23BF1">
        <w:rPr>
          <w:rFonts w:ascii="Times" w:hAnsi="Times"/>
          <w:color w:val="000000" w:themeColor="text1"/>
        </w:rPr>
        <w:t xml:space="preserve">. We did this by weighing each food cylinder on a balance and making a mark on the cylinder with the addition of 5 grams of seed. Thus, each cylinder had a series of graduated marks per 5 grams of food. Each day, we recorded the level of food in the dispenser and calculated food intake, and observed the cleanliness of the cage bottom to ensure food was not removed from the dispenser but not </w:t>
      </w:r>
      <w:r w:rsidRPr="00D23BF1">
        <w:rPr>
          <w:rFonts w:ascii="Times" w:hAnsi="Times"/>
          <w:color w:val="000000" w:themeColor="text1"/>
        </w:rPr>
        <w:lastRenderedPageBreak/>
        <w:t xml:space="preserve">consumed. These data were collected at noon (when sound ended) and just before lights off (~8:30pm) each day. </w:t>
      </w:r>
    </w:p>
    <w:p w14:paraId="0E90571F" w14:textId="77777777" w:rsidR="00041ADB" w:rsidRPr="00D23BF1" w:rsidRDefault="00041ADB" w:rsidP="00F20BE1">
      <w:pPr>
        <w:rPr>
          <w:rFonts w:ascii="Times" w:hAnsi="Times"/>
          <w:i/>
          <w:iCs/>
          <w:color w:val="000000" w:themeColor="text1"/>
        </w:rPr>
      </w:pPr>
    </w:p>
    <w:p w14:paraId="526AF396" w14:textId="77777777" w:rsidR="00041ADB" w:rsidRPr="00D23BF1" w:rsidRDefault="00041ADB" w:rsidP="00F20BE1">
      <w:pPr>
        <w:rPr>
          <w:rFonts w:ascii="Times" w:hAnsi="Times"/>
          <w:i/>
          <w:iCs/>
          <w:color w:val="000000" w:themeColor="text1"/>
        </w:rPr>
      </w:pPr>
      <w:r w:rsidRPr="00D23BF1">
        <w:rPr>
          <w:rFonts w:ascii="Times" w:hAnsi="Times"/>
          <w:i/>
          <w:iCs/>
          <w:color w:val="000000" w:themeColor="text1"/>
        </w:rPr>
        <w:t>Gut bacterial sampling</w:t>
      </w:r>
    </w:p>
    <w:p w14:paraId="6C0FAB97" w14:textId="77777777" w:rsidR="00041ADB" w:rsidRPr="00D23BF1" w:rsidRDefault="00041ADB" w:rsidP="00F20BE1">
      <w:pPr>
        <w:rPr>
          <w:rFonts w:ascii="Times" w:hAnsi="Times"/>
          <w:color w:val="000000" w:themeColor="text1"/>
        </w:rPr>
      </w:pPr>
    </w:p>
    <w:p w14:paraId="3036A17D" w14:textId="77777777" w:rsidR="00041ADB" w:rsidRPr="00D23BF1" w:rsidRDefault="00041ADB" w:rsidP="00F20BE1">
      <w:pPr>
        <w:rPr>
          <w:rFonts w:ascii="Times" w:hAnsi="Times"/>
          <w:color w:val="000000" w:themeColor="text1"/>
        </w:rPr>
      </w:pPr>
      <w:r w:rsidRPr="00D23BF1">
        <w:rPr>
          <w:rFonts w:ascii="Times" w:hAnsi="Times"/>
          <w:color w:val="000000" w:themeColor="text1"/>
        </w:rPr>
        <w:t>Cloacal swabs were collected on the 5</w:t>
      </w:r>
      <w:r w:rsidRPr="00D23BF1">
        <w:rPr>
          <w:rFonts w:ascii="Times" w:hAnsi="Times"/>
          <w:color w:val="000000" w:themeColor="text1"/>
          <w:vertAlign w:val="superscript"/>
        </w:rPr>
        <w:t>th</w:t>
      </w:r>
      <w:r w:rsidRPr="00D23BF1">
        <w:rPr>
          <w:rFonts w:ascii="Times" w:hAnsi="Times"/>
          <w:color w:val="000000" w:themeColor="text1"/>
        </w:rPr>
        <w:t xml:space="preserve"> (last) day of each treatment period directly after blood was collected. The outside of the cloaca was cleaned with an alcohol swab, and sterile water was used to ease the swab into the cloaca. Once fully inserted, the swab was turned gently for 3-5 seconds. Swabs were stored in RNA later (Invitrogen; Carlsbad, CA USA) and frozen at -20 °C. Our work in another passerine has shown that cloacal swabs capture information about gut bacterial communities in the large intestine </w:t>
      </w:r>
      <w:r w:rsidRPr="00D23BF1">
        <w:rPr>
          <w:rFonts w:ascii="Times" w:hAnsi="Times"/>
          <w:color w:val="000000" w:themeColor="text1"/>
        </w:rPr>
        <w:fldChar w:fldCharType="begin" w:fldLock="1"/>
      </w:r>
      <w:r w:rsidRPr="00D23BF1">
        <w:rPr>
          <w:rFonts w:ascii="Times" w:hAnsi="Times"/>
          <w:color w:val="000000" w:themeColor="text1"/>
        </w:rPr>
        <w:instrText>ADDIN CSL_CITATION {"citationItems":[{"id":"ITEM-1","itemData":{"DOI":"10.1111/ibi.12807","ISSN":"1474919X","abstract":"Gut microbial communities play critical roles in the biological functions of their host, such as mediating nutrient absorption, digesting food components the host cannot, and offering protection against enteric pathogens. Extensive research on gut microbial communities has been conducted on mammals, including humans and rodents, but much less work has been done in birds. Furthermore, much of the research on host–microbe interactions make use of faecal samples and rectal/cloacal swabs as a proxy for intestinal samples, which can be difficult to obtain directly. However, little is known about the overlap between the microbial communities of the gut, faeces and swabs, which limits interpretability of results based on faecal samples and swabs. To address this gap in knowledge, we compared the microbiome from five sample types – proventriculus, small intestine, large intestine, cloacal swabs and faeces – across individual Zebra Finches Taeniopygia guttata housed in constant conditions with a standardized diet. We compared diversity and community composition through 16S rRNA gene sequencing. Our results show that microbial communities from both cloacal swabs and faeces were distinct from proventriculus and small intestinal samples, but generally indistinguishable from large intestinal samples, indicating that these non-lethal samples may be useful proxies for large intestinal bacterial communities. Gaining insight into non-invasive sampling techniques for passerines has implications for studies of gut microbial diversity and abundance in wild bird populations. Furthermore, reliable non-lethal sampling is necessary for experiments where repeated sampling is required.","author":[{"dropping-particle":"","family":"Berlow","given":"Mae","non-dropping-particle":"","parse-names":false,"suffix":""},{"dropping-particle":"","family":"Kohl","given":"Kevin D.","non-dropping-particle":"","parse-names":false,"suffix":""},{"dropping-particle":"","family":"Derryberry","given":"Elizabeth P.","non-dropping-particle":"","parse-names":false,"suffix":""}],"container-title":"Ibis","id":"ITEM-1","issued":{"date-parts":[["2019","12","3"]]},"page":"ibi.12807","title":"Evaluation of non-lethal gut microbiome sampling methods in a passerine bird","type":"article-journal"},"uris":["http://www.mendeley.com/documents/?uuid=8964466e-d674-3773-8b40-73d72dfff6ef"]}],"mendeley":{"formattedCitation":"&lt;sup&gt;33&lt;/sup&gt;","plainTextFormattedCitation":"33","previouslyFormattedCitation":"[33]"},"properties":{"noteIndex":0},"schema":"https://github.com/citation-style-language/schema/raw/master/csl-citation.json"}</w:instrText>
      </w:r>
      <w:r w:rsidRPr="00D23BF1">
        <w:rPr>
          <w:rFonts w:ascii="Times" w:hAnsi="Times"/>
          <w:color w:val="000000" w:themeColor="text1"/>
        </w:rPr>
        <w:fldChar w:fldCharType="separate"/>
      </w:r>
      <w:r w:rsidRPr="00D23BF1">
        <w:rPr>
          <w:rFonts w:ascii="Times" w:hAnsi="Times"/>
          <w:noProof/>
          <w:color w:val="000000" w:themeColor="text1"/>
          <w:vertAlign w:val="superscript"/>
        </w:rPr>
        <w:t>33</w:t>
      </w:r>
      <w:r w:rsidRPr="00D23BF1">
        <w:rPr>
          <w:rFonts w:ascii="Times" w:hAnsi="Times"/>
          <w:color w:val="000000" w:themeColor="text1"/>
        </w:rPr>
        <w:fldChar w:fldCharType="end"/>
      </w:r>
      <w:r w:rsidRPr="00D23BF1">
        <w:rPr>
          <w:rFonts w:ascii="Times" w:hAnsi="Times"/>
          <w:color w:val="000000" w:themeColor="text1"/>
        </w:rPr>
        <w:t xml:space="preserve">. </w:t>
      </w:r>
    </w:p>
    <w:p w14:paraId="3ADE05F6" w14:textId="77777777" w:rsidR="00041ADB" w:rsidRPr="00D23BF1" w:rsidRDefault="00041ADB" w:rsidP="00F20BE1">
      <w:pPr>
        <w:rPr>
          <w:rFonts w:ascii="Times" w:hAnsi="Times"/>
          <w:color w:val="000000" w:themeColor="text1"/>
        </w:rPr>
      </w:pPr>
      <w:r w:rsidRPr="00D23BF1">
        <w:rPr>
          <w:rFonts w:ascii="Times" w:hAnsi="Times"/>
          <w:color w:val="000000" w:themeColor="text1"/>
        </w:rPr>
        <w:t xml:space="preserve">DNA was extracted from cloacal swabs using the Qiagen </w:t>
      </w:r>
      <w:proofErr w:type="spellStart"/>
      <w:r w:rsidRPr="00D23BF1">
        <w:rPr>
          <w:rFonts w:ascii="Times" w:hAnsi="Times"/>
          <w:color w:val="000000" w:themeColor="text1"/>
        </w:rPr>
        <w:t>PowerSoil</w:t>
      </w:r>
      <w:proofErr w:type="spellEnd"/>
      <w:r w:rsidRPr="00D23BF1">
        <w:rPr>
          <w:rFonts w:ascii="Times" w:hAnsi="Times"/>
          <w:color w:val="000000" w:themeColor="text1"/>
        </w:rPr>
        <w:t xml:space="preserve"> DNA isolation kit (Qiagen; Hilden, Germany) following the provided protocol, with some modifications to the standard protocol as suggested by Vo and </w:t>
      </w:r>
      <w:proofErr w:type="spellStart"/>
      <w:r w:rsidRPr="00D23BF1">
        <w:rPr>
          <w:rFonts w:ascii="Times" w:hAnsi="Times"/>
          <w:color w:val="000000" w:themeColor="text1"/>
        </w:rPr>
        <w:t>Jedlicka</w:t>
      </w:r>
      <w:proofErr w:type="spellEnd"/>
      <w:r w:rsidRPr="00D23BF1">
        <w:rPr>
          <w:rFonts w:ascii="Times" w:hAnsi="Times"/>
          <w:color w:val="000000" w:themeColor="text1"/>
        </w:rPr>
        <w:t xml:space="preserve"> </w:t>
      </w:r>
      <w:r w:rsidRPr="00D23BF1">
        <w:rPr>
          <w:rFonts w:ascii="Times" w:hAnsi="Times"/>
          <w:color w:val="000000" w:themeColor="text1"/>
        </w:rPr>
        <w:fldChar w:fldCharType="begin" w:fldLock="1"/>
      </w:r>
      <w:r w:rsidRPr="00D23BF1">
        <w:rPr>
          <w:rFonts w:ascii="Times" w:hAnsi="Times"/>
          <w:color w:val="000000" w:themeColor="text1"/>
        </w:rPr>
        <w:instrText>ADDIN CSL_CITATION {"citationItems":[{"id":"ITEM-1","itemData":{"DOI":"10.1111/1755-0998.12269","ISSN":"1755098X","author":[{"dropping-particle":"","family":"Vo","given":"a.-T. E.","non-dropping-particle":"","parse-names":false,"suffix":""},{"dropping-particle":"","family":"Jedlicka","given":"J. a.","non-dropping-particle":"","parse-names":false,"suffix":""}],"container-title":"Molecular Ecology Resources","id":"ITEM-1","issue":"6","issued":{"date-parts":[["2014"]]},"note":"Methods for faecal swab\ncomparison to other GMB seque","page":"1183-1197","title":"Protocols for metagenomic DNA extraction and Illumina amplicon library preparation for faecal and swab samples","type":"article-journal","volume":"14"},"uris":["http://www.mendeley.com/documents/?uuid=c6baf98d-7dd9-4d28-9b5b-38b5d4998e58"]}],"mendeley":{"formattedCitation":"&lt;sup&gt;34&lt;/sup&gt;","manualFormatting":"(2014)","plainTextFormattedCitation":"34","previouslyFormattedCitation":"[34]"},"properties":{"noteIndex":0},"schema":"https://github.com/citation-style-language/schema/raw/master/csl-citation.json"}</w:instrText>
      </w:r>
      <w:r w:rsidRPr="00D23BF1">
        <w:rPr>
          <w:rFonts w:ascii="Times" w:hAnsi="Times"/>
          <w:color w:val="000000" w:themeColor="text1"/>
        </w:rPr>
        <w:fldChar w:fldCharType="separate"/>
      </w:r>
      <w:r w:rsidRPr="00D23BF1">
        <w:rPr>
          <w:rFonts w:ascii="Times" w:hAnsi="Times"/>
          <w:noProof/>
          <w:color w:val="000000" w:themeColor="text1"/>
        </w:rPr>
        <w:t>(2014)</w:t>
      </w:r>
      <w:r w:rsidRPr="00D23BF1">
        <w:rPr>
          <w:rFonts w:ascii="Times" w:hAnsi="Times"/>
          <w:color w:val="000000" w:themeColor="text1"/>
        </w:rPr>
        <w:fldChar w:fldCharType="end"/>
      </w:r>
      <w:r w:rsidRPr="00D23BF1">
        <w:rPr>
          <w:rFonts w:ascii="Times" w:hAnsi="Times"/>
          <w:color w:val="000000" w:themeColor="text1"/>
        </w:rPr>
        <w:t xml:space="preserve">. To further increase DNA yield, the two steps (solutions C2 and C3) which precipitate non-DNA substances were combined per the recommendation of a Qiagen technician (pers. </w:t>
      </w:r>
      <w:proofErr w:type="spellStart"/>
      <w:r w:rsidRPr="00D23BF1">
        <w:rPr>
          <w:rFonts w:ascii="Times" w:hAnsi="Times"/>
          <w:color w:val="000000" w:themeColor="text1"/>
        </w:rPr>
        <w:t>commun</w:t>
      </w:r>
      <w:proofErr w:type="spellEnd"/>
      <w:r w:rsidRPr="00D23BF1">
        <w:rPr>
          <w:rFonts w:ascii="Times" w:hAnsi="Times"/>
          <w:color w:val="000000" w:themeColor="text1"/>
        </w:rPr>
        <w:t>.).</w:t>
      </w:r>
    </w:p>
    <w:p w14:paraId="72978821" w14:textId="77777777" w:rsidR="00041ADB" w:rsidRPr="00D23BF1" w:rsidRDefault="00041ADB" w:rsidP="00F20BE1">
      <w:pPr>
        <w:rPr>
          <w:rFonts w:ascii="Times" w:hAnsi="Times"/>
          <w:color w:val="000000" w:themeColor="text1"/>
        </w:rPr>
      </w:pPr>
      <w:r w:rsidRPr="00D23BF1">
        <w:rPr>
          <w:rFonts w:ascii="Times" w:hAnsi="Times"/>
          <w:color w:val="000000" w:themeColor="text1"/>
        </w:rPr>
        <w:tab/>
        <w:t xml:space="preserve">We amplified the v4 region of the 16s rRNA bacterial gene using 515F/806R universal primers (~292 bp amplicon) in a 25 </w:t>
      </w:r>
      <w:r w:rsidRPr="00D23BF1">
        <w:rPr>
          <w:rFonts w:ascii="Calibri" w:hAnsi="Calibri" w:cs="Calibri"/>
          <w:color w:val="000000" w:themeColor="text1"/>
        </w:rPr>
        <w:t>﻿</w:t>
      </w:r>
      <w:r w:rsidRPr="00D23BF1">
        <w:rPr>
          <w:rFonts w:ascii="Times" w:hAnsi="Times"/>
          <w:color w:val="000000" w:themeColor="text1"/>
        </w:rPr>
        <w:t xml:space="preserve">µL final volume (Integrated DNA Technologies; Coralville IA, USA) </w:t>
      </w:r>
      <w:r w:rsidRPr="00D23BF1">
        <w:rPr>
          <w:rFonts w:ascii="Times" w:hAnsi="Times"/>
          <w:color w:val="000000" w:themeColor="text1"/>
        </w:rPr>
        <w:fldChar w:fldCharType="begin" w:fldLock="1"/>
      </w:r>
      <w:r w:rsidRPr="00D23BF1">
        <w:rPr>
          <w:rFonts w:ascii="Times" w:hAnsi="Times"/>
          <w:color w:val="000000" w:themeColor="text1"/>
        </w:rPr>
        <w:instrText>ADDIN CSL_CITATION {"citationItems":[{"id":"ITEM-1","itemData":{"DOI":"10.1038/ismej.2012.8","ISSN":"17517362","abstract":"DNA sequencing continues to decrease in cost with the Illumina HiSeq2000 generating up to 600</w:instrText>
      </w:r>
      <w:r w:rsidRPr="00D23BF1">
        <w:rPr>
          <w:rFonts w:ascii="Times New Roman" w:hAnsi="Times New Roman" w:cs="Times New Roman"/>
          <w:color w:val="000000" w:themeColor="text1"/>
        </w:rPr>
        <w:instrText> </w:instrText>
      </w:r>
      <w:r w:rsidRPr="00D23BF1">
        <w:rPr>
          <w:rFonts w:ascii="Times" w:hAnsi="Times"/>
          <w:color w:val="000000" w:themeColor="text1"/>
        </w:rPr>
        <w:instrText>Gb of paired-end 100 base reads in a ten-day run. Here we present a protocol for community amplicon sequencing on the HiSeq2000 and MiSeq Illumina platforms, and apply that protocol to sequence 24 microbial communities from host-associated and free-living environments. A critical question as more sequencing platforms become available is whether biological conclusions derived on one platform are consistent with what would be derived on a different platform. We show that the protocol developed for these instruments successfully recaptures known biological results, and additionally that biological conclusions are consistent across sequencing platforms (the HiSeq2000 versus the MiSeq) and across the sequenced regions of amplicons.","author":[{"dropping-particle":"","family":"Caporaso","given":"J. Gregory","non-dropping-particle":"","parse-names":false,"suffix":""},{"dropping-particle":"","family":"Lauber","given":"Christian L.","non-dropping-particle":"","parse-names":false,"suffix":""},{"dropping-particle":"","family":"Walters","given":"William A.","non-dropping-particle":"","parse-names":false,"suffix":""},{"dropping-particle":"","family":"Berg-Lyons","given":"Donna","non-dropping-particle":"","parse-names":false,"suffix":""},{"dropping-particle":"","family":"Huntley","given":"James","non-dropping-particle":"","parse-names":false,"suffix":""},{"dropping-particle":"","family":"Fierer","given":"Noah","non-dropping-particle":"","parse-names":false,"suffix":""},{"dropping-particle":"","family":"Owens","given":"Sarah M.","non-dropping-particle":"","parse-names":false,"suffix":""},{"dropping-particle":"","family":"Betley","given":"Jason","non-dropping-particle":"","parse-names":false,"suffix":""},{"dropping-particle":"","family":"Fraser","given":"Louise","non-dropping-particle":"","parse-names":false,"suffix":""},{"dropping-particle":"","family":"Bauer","given":"Markus","non-dropping-particle":"","parse-names":false,"suffix":""},{"dropping-particle":"","family":"Gormley","given":"Niall","non-dropping-particle":"","parse-names":false,"suffix":""},{"dropping-particle":"","family":"Gilbert","given":"Jack A.","non-dropping-particle":"","parse-names":false,"suffix":""},{"dropping-particle":"","family":"Smith","given":"Geoff","non-dropping-particle":"","parse-names":false,"suffix":""},{"dropping-particle":"","family":"Knight","given":"Rob","non-dropping-particle":"","parse-names":false,"suffix":""}],"container-title":"ISME Journal","id":"ITEM-1","issue":"8","issued":{"date-parts":[["2012"]]},"page":"1621-1624","publisher":"Nature Publishing Group","title":"Ultra-high-throughput microbial community analysis on the Illumina HiSeq and MiSeq platforms","type":"article-journal","volume":"6"},"uris":["http://www.mendeley.com/documents/?uuid=22dedc49-6502-4e71-a0db-2f7dd7229486"]}],"mendeley":{"formattedCitation":"&lt;sup&gt;35&lt;/sup&gt;","plainTextFormattedCitation":"35","previouslyFormattedCitation":"[35]"},"properties":{"noteIndex":0},"schema":"https://github.com/citation-style-language/schema/raw/master/csl-citation.json"}</w:instrText>
      </w:r>
      <w:r w:rsidRPr="00D23BF1">
        <w:rPr>
          <w:rFonts w:ascii="Times" w:hAnsi="Times"/>
          <w:color w:val="000000" w:themeColor="text1"/>
        </w:rPr>
        <w:fldChar w:fldCharType="separate"/>
      </w:r>
      <w:r w:rsidRPr="00D23BF1">
        <w:rPr>
          <w:rFonts w:ascii="Times" w:hAnsi="Times"/>
          <w:noProof/>
          <w:color w:val="000000" w:themeColor="text1"/>
          <w:vertAlign w:val="superscript"/>
        </w:rPr>
        <w:t>35</w:t>
      </w:r>
      <w:r w:rsidRPr="00D23BF1">
        <w:rPr>
          <w:rFonts w:ascii="Times" w:hAnsi="Times"/>
          <w:color w:val="000000" w:themeColor="text1"/>
        </w:rPr>
        <w:fldChar w:fldCharType="end"/>
      </w:r>
      <w:r w:rsidRPr="00D23BF1">
        <w:rPr>
          <w:rFonts w:ascii="Times" w:hAnsi="Times"/>
          <w:color w:val="000000" w:themeColor="text1"/>
        </w:rPr>
        <w:t xml:space="preserve">. Each PCR reaction contained: 12 µL sterile, molecular grade water, 1 µL bovine serum albumin, 10 µL 5’ Hot </w:t>
      </w:r>
      <w:proofErr w:type="spellStart"/>
      <w:r w:rsidRPr="00D23BF1">
        <w:rPr>
          <w:rFonts w:ascii="Times" w:hAnsi="Times"/>
          <w:color w:val="000000" w:themeColor="text1"/>
        </w:rPr>
        <w:t>Mastermix</w:t>
      </w:r>
      <w:proofErr w:type="spellEnd"/>
      <w:r w:rsidRPr="00D23BF1">
        <w:rPr>
          <w:rFonts w:ascii="Times" w:hAnsi="Times"/>
          <w:color w:val="000000" w:themeColor="text1"/>
        </w:rPr>
        <w:t xml:space="preserve"> (Thermo Fisher; Waltham MA, USA), 0.5 µL of each primer (at 100 µM conc.) and 2 µL of DNA template. Each reaction was carried out three times to reduce PCR bias. Water was used as a negative control for each set of reactions. Denaturation of DNA was performed initially at 94 °C for 2 minutes, then the following program was cycled 35 times: 94 °C for 8 s, annealing at 50 °C for 20 s, extension at 72 °C for 30 s. A final elongation was performed at 72 °C for 10 minutes. PCR success was verified with gel electrophoresis. </w:t>
      </w:r>
    </w:p>
    <w:p w14:paraId="3A4E4B0E" w14:textId="77777777" w:rsidR="00041ADB" w:rsidRPr="00D23BF1" w:rsidRDefault="00041ADB" w:rsidP="00F20BE1">
      <w:pPr>
        <w:rPr>
          <w:rFonts w:ascii="Times" w:hAnsi="Times"/>
          <w:color w:val="000000" w:themeColor="text1"/>
        </w:rPr>
      </w:pPr>
      <w:r w:rsidRPr="00D23BF1">
        <w:rPr>
          <w:rFonts w:ascii="Times" w:hAnsi="Times"/>
          <w:color w:val="000000" w:themeColor="text1"/>
        </w:rPr>
        <w:tab/>
        <w:t xml:space="preserve">Samples with fewer than two successful amplifications were re-amplified, and two or three successful PCR products were pooled for each sample in preparation of Illumina tag addition. Samples with fewer than two successful amplifications were not included in sequencing and were not considered in our results. After sequence ng we had 68 samples from 19 birds; 15 acclimation, 18 control, 18 noise, 17 recovery. Dual-end barcodes in the style of </w:t>
      </w:r>
      <w:proofErr w:type="spellStart"/>
      <w:r w:rsidRPr="00D23BF1">
        <w:rPr>
          <w:rFonts w:ascii="Times" w:hAnsi="Times"/>
          <w:color w:val="000000" w:themeColor="text1"/>
        </w:rPr>
        <w:t>TruSeq</w:t>
      </w:r>
      <w:proofErr w:type="spellEnd"/>
      <w:r w:rsidRPr="00D23BF1">
        <w:rPr>
          <w:rFonts w:ascii="Times" w:hAnsi="Times"/>
          <w:color w:val="000000" w:themeColor="text1"/>
        </w:rPr>
        <w:t xml:space="preserve"> HT primers were used to provide a unique combination for each sample (Integrated DNA Technologies). Successful tag addition was confirmed using gel electrophoresis wherein tagged samples were compared to untagged samples to ensure the amplicon was longer. Samples then had their concentrations normalized using a </w:t>
      </w:r>
      <w:proofErr w:type="spellStart"/>
      <w:r w:rsidRPr="00D23BF1">
        <w:rPr>
          <w:rFonts w:ascii="Times" w:hAnsi="Times"/>
          <w:color w:val="000000" w:themeColor="text1"/>
        </w:rPr>
        <w:t>SequalPrep</w:t>
      </w:r>
      <w:proofErr w:type="spellEnd"/>
      <w:r w:rsidRPr="00D23BF1">
        <w:rPr>
          <w:rFonts w:ascii="Times" w:hAnsi="Times"/>
          <w:color w:val="000000" w:themeColor="text1"/>
        </w:rPr>
        <w:t xml:space="preserve"> normalization kit (Thermo Fisher). The resulting PCR product was pooled and purified using </w:t>
      </w:r>
      <w:proofErr w:type="spellStart"/>
      <w:r w:rsidRPr="00D23BF1">
        <w:rPr>
          <w:rFonts w:ascii="Times" w:hAnsi="Times"/>
          <w:color w:val="000000" w:themeColor="text1"/>
        </w:rPr>
        <w:t>Agencort</w:t>
      </w:r>
      <w:proofErr w:type="spellEnd"/>
      <w:r w:rsidRPr="00D23BF1">
        <w:rPr>
          <w:rFonts w:ascii="Times" w:hAnsi="Times"/>
          <w:color w:val="000000" w:themeColor="text1"/>
        </w:rPr>
        <w:t xml:space="preserve"> </w:t>
      </w:r>
      <w:proofErr w:type="spellStart"/>
      <w:r w:rsidRPr="00D23BF1">
        <w:rPr>
          <w:rFonts w:ascii="Times" w:hAnsi="Times"/>
          <w:color w:val="000000" w:themeColor="text1"/>
        </w:rPr>
        <w:t>AmPure</w:t>
      </w:r>
      <w:proofErr w:type="spellEnd"/>
      <w:r w:rsidRPr="00D23BF1">
        <w:rPr>
          <w:rFonts w:ascii="Times" w:hAnsi="Times"/>
          <w:color w:val="000000" w:themeColor="text1"/>
        </w:rPr>
        <w:t xml:space="preserve"> magnetic beads (Beckman Coulter; Brea CA, USA), then sequenced at the University of Tennessee Genomics Core on an Illumina </w:t>
      </w:r>
      <w:proofErr w:type="spellStart"/>
      <w:r w:rsidRPr="00D23BF1">
        <w:rPr>
          <w:rFonts w:ascii="Times" w:hAnsi="Times"/>
          <w:color w:val="000000" w:themeColor="text1"/>
        </w:rPr>
        <w:t>MiSeq</w:t>
      </w:r>
      <w:proofErr w:type="spellEnd"/>
      <w:r w:rsidRPr="00D23BF1">
        <w:rPr>
          <w:rFonts w:ascii="Times" w:hAnsi="Times"/>
          <w:color w:val="000000" w:themeColor="text1"/>
        </w:rPr>
        <w:t xml:space="preserve"> platform with v2 reagent kit and paired-end 250-bp protocol.</w:t>
      </w:r>
    </w:p>
    <w:p w14:paraId="68A235AB" w14:textId="77777777" w:rsidR="00041ADB" w:rsidRPr="00D23BF1" w:rsidRDefault="00041ADB" w:rsidP="00F20BE1">
      <w:pPr>
        <w:rPr>
          <w:rFonts w:ascii="Times" w:hAnsi="Times"/>
          <w:color w:val="000000" w:themeColor="text1"/>
        </w:rPr>
      </w:pPr>
      <w:r w:rsidRPr="00D23BF1">
        <w:rPr>
          <w:rFonts w:ascii="Times" w:hAnsi="Times"/>
          <w:color w:val="000000" w:themeColor="text1"/>
        </w:rPr>
        <w:tab/>
        <w:t xml:space="preserve">16S sequences were processed using the QIIME2 pipeline version 2019.10 </w:t>
      </w:r>
      <w:r w:rsidRPr="00D23BF1">
        <w:rPr>
          <w:rFonts w:ascii="Times" w:hAnsi="Times"/>
          <w:color w:val="000000" w:themeColor="text1"/>
        </w:rPr>
        <w:fldChar w:fldCharType="begin" w:fldLock="1"/>
      </w:r>
      <w:r w:rsidRPr="00D23BF1">
        <w:rPr>
          <w:rFonts w:ascii="Times" w:hAnsi="Times"/>
          <w:color w:val="000000" w:themeColor="text1"/>
        </w:rPr>
        <w:instrText>ADDIN CSL_CITATION {"citationItems":[{"id":"ITEM-1","itemData":{"DOI":"10.1038/s41587-019-0209-9","ISSN":"1546-1696","author":[{"dropping-particle":"","family":"Bolyen","given":"Evan","non-dropping-particle":"","parse-names":false,"suffix":""},{"dropping-particle":"","family":"Rideout","given":"Jai Ram","non-dropping-particle":"","parse-names":false,"suffix":""},{"dropping-particle":"","family":"Dillon","given":"Matthew R.","non-dropping-particle":"","parse-names":false,"suffix":""},{"dropping-particle":"","family":"Bokulich","given":"Nicholas A.","non-dropping-particle":"","parse-names":false,"suffix":""},{"dropping-particle":"","family":"Chase","given":"John","non-dropping-particle":"","parse-names":false,"suffix":""},{"dropping-particle":"","family":"Cope","given":"Emily K.","non-dropping-particle":"","parse-names":false,"suffix":""},{"dropping-particle":"","family":"Gorlick","given":"Kestrel","non-dropping-particle":"","parse-names":false,"suffix":""},{"dropping-particle":"","family":"Keefe","given":"Christopher R.","non-dropping-particle":"","parse-names":false,"suffix":""},{"dropping-particle":"","family":"Keim","given":"Paul","non-dropping-particle":"","parse-names":false,"suffix":""},{"dropping-particle":"","family":"Kreps","given":"Jorden","non-dropping-particle":"","parse-names":false,"suffix":""},{"dropping-particle":"","family":"Naimey","given":"Ahmad Turan","non-dropping-particle":"","parse-names":false,"suffix":""},{"dropping-particle":"","family":"Pearson","given":"Talima","non-dropping-particle":"","parse-names":false,"suffix":""},{"dropping-particle":"","family":"Shiffer","given":"Arron","non-dropping-particle":"","parse-names":false,"suffix":""},{"dropping-particle":"","family":"Caporaso","given":"J. Gregory","non-dropping-particle":"","parse-names":false,"suffix":""},{"dropping-particle":"","family":"Abnet","given":"Christian C.","non-dropping-particle":"","parse-names":false,"suffix":""},{"dropping-particle":"","family":"Loftfield","given":"Erikka","non-dropping-particle":"","parse-names":false,"suffix":""},{"dropping-particle":"","family":"Sinha","given":"Rashmi","non-dropping-particle":"","parse-names":false,"suffix":""},{"dropping-particle":"","family":"Vogtmann","given":"Emily","non-dropping-particle":"","parse-names":false,"suffix":""},{"dropping-particle":"","family":"Wan","given":"Yunhu","non-dropping-particle":"","parse-names":false,"suffix":""},{"dropping-particle":"","family":"Al-Ghalith","given":"Gabriel A.","non-dropping-particle":"","parse-names":false,"suffix":""},{"dropping-particle":"","family":"Alexander","given":"Harriet","non-dropping-particle":"","parse-names":false,"suffix":""},{"dropping-particle":"","family":"Brown","given":"C. Titus","non-dropping-particle":"","parse-names":false,"suffix":""},{"dropping-particle":"","family":"Alm","given":"Eric J.","non-dropping-particle":"","parse-names":false,"suffix":""},{"dropping-particle":"","family":"Duvallet","given":"Claire","non-dropping-particle":"","parse-names":false,"suffix":""},{"dropping-particle":"","family":"Alm","given":"Eric J.","non-dropping-particle":"","parse-names":false,"suffix":""},{"dropping-particle":"","family":"Arumugam","given":"Manimozhiyan","non-dropping-particle":"","parse-names":false,"suffix":""},{"dropping-particle":"","family":"Brejnrod","given":"Asker","non-dropping-particle":"","parse-names":false,"suffix":""},{"dropping-particle":"","family":"Rasmussen","given":"Lasse Buur","non-dropping-particle":"","parse-names":false,"suffix":""},{"dropping-particle":"","family":"Asnicar","given":"Francesco","non-dropping-particle":"","parse-names":false,"suffix":""},{"dropping-particle":"","family":"Segata","given":"Nicola","non-dropping-particle":"","parse-names":false,"suffix":""},{"dropping-particle":"","family":"Bai","given":"Yang","non-dropping-particle":"","parse-names":false,"suffix":""},{"dropping-particle":"","family":"Liu","given":"Yong Xin","non-dropping-particle":"","parse-names":false,"suffix":""},{"dropping-particle":"","family":"Bai","given":"Yang","non-dropping-particle":"","parse-names":false,"suffix":""},{"dropping-particle":"","family":"Liu","given":"Yong Xin","non-dropping-particle":"","parse-names":false,"suffix":""},{"dropping-particle":"","family":"Bisanz","given":"Jordan E.","non-dropping-particle":"","parse-names":false,"suffix":""},{"dropping-particle":"","family":"Bittinger","given":"Kyle","non-dropping-particle":"","parse-names":false,"suffix":""},{"dropping-particle":"","family":"Brislawn","given":"Colin J.","non-dropping-particle":"","parse-names":false,"suffix":""},{"dropping-particle":"","family":"Callahan","given":"Benjamin J.","non-dropping-particle":"","parse-names":false,"suffix":""},{"dropping-particle":"","family":"Callahan","given":"Benjamin J.","non-dropping-particle":"","parse-names":false,"suffix":""},{"dropping-particle":"","family":"Caraballo-Rodríguez","given":"Andrés Mauricio","non-dropping-particle":"","parse-names":false,"suffix":""},{"dropping-particle":"","family":"Silva","given":"Ricardo","non-dropping-particle":"Da","parse-names":false,"suffix":""},{"dropping-particle":"","family":"Dorrestein","given":"Pieter C.","non-dropping-particle":"","parse-names":false,"suffix":""},{"dropping-particle":"","family":"Ernst","given":"Madeleine","non-dropping-particle":"","parse-names":false,"suffix":""},{"dropping-particle":"","family":"Gauglitz","given":"Julia M.","non-dropping-particle":"","parse-names":false,"suffix":""},{"dropping-particle":"","family":"Jarmusch","given":"Alan K.","non-dropping-particle":"","parse-names":false,"suffix":""},{"dropping-particle":"Bin","family":"Kang","given":"Kyo","non-dropping-particle":"","parse-names":false,"suffix":""},{"dropping-particle":"","family":"Koester","given":"Irina","non-dropping-particle":"","parse-names":false,"suffix":""},{"dropping-particle":"V.","family":"Melnik","given":"Alexey","non-dropping-particle":"","parse-names":false,"suffix":""},{"dropping-particle":"","family":"Nothias","given":"Louis Felix","non-dropping-particle":"","parse-names":false,"suffix":""},{"dropping-particle":"","family":"Petras","given":"Daniel","non-dropping-particle":"","parse-names":false,"suffix":""},{"dropping-particle":"","family":"Tripathi","given":"Anupriya","non-dropping-particle":"","parse-names":false,"suffix":""},{"dropping-particle":"","family":"Wang","given":"Mingxun","non-dropping-particle":"","parse-names":false,"suffix":""},{"dropping-particle":"","family":"Caporaso","given":"J. Gregory","non-dropping-particle":"","parse-names":false,"suffix":""},{"dropping-particle":"","family":"Diener","given":"Christian","non-dropping-particle":"","parse-names":false,"suffix":""},{"dropping-particle":"","family":"Gibbons","given":"Sean M.","non-dropping-particle":"","parse-names":false,"suffix":""},{"dropping-particle":"","family":"Douglas","given":"Gavin M.","non-dropping-particle":"","parse-names":false,"suffix":""},{"dropping-particle":"","family":"Durall","given":"Daniel M.","non-dropping-particle":"","parse-names":false,"suffix":""},{"dropping-particle":"","family":"Edwardson","given":"Christian F.","non-dropping-particle":"","parse-names":false,"suffix":""},{"dropping-particle":"","family":"Estaki","given":"Mehrbod","non-dropping-particle":"","parse-names":false,"suffix":""},{"dropping-particle":"","family":"Fouquier","given":"Jennifer","non-dropping-particle":"","parse-names":false,"suffix":""},{"dropping-particle":"","family":"Shaffer","given":"Michael","non-dropping-particle":"","parse-names":false,"suffix":""},{"dropping-particle":"","family":"Fouquier","given":"Jennifer","non-dropping-particle":"","parse-names":false,"suffix":""},{"dropping-particle":"","family":"Lozupone","given":"Catherine","non-dropping-particle":"","parse-names":false,"suffix":""},{"dropping-particle":"","family":"Pruesse","given":"Elmar","non-dropping-particle":"","parse-names":false,"suffix":""},{"dropping-particle":"","family":"Gibbons","given":"Sean M.","non-dropping-particle":"","parse-names":false,"suffix":""},{"dropping-particle":"","family":"Gibson","given":"Deanna L.","non-dropping-particle":"","parse-names":false,"suffix":""},{"dropping-particle":"","family":"Gonzalez","given":"Antonio","non-dropping-particle":"","parse-names":false,"suffix":""},{"dropping-particle":"","family":"Holste","given":"Hannes","non-dropping-particle":"","parse-names":false,"suffix":""},{"dropping-particle":"","family":"Marotz","given":"Clarisse","non-dropping-particle":"","parse-names":false,"suffix":""},{"dropping-particle":"","family":"McDonald","given":"Daniel","non-dropping-particle":"","parse-names":false,"suffix":""},{"dropping-particle":"","family":"Morton","given":"Jamie T.","non-dropping-particle":"","parse-names":false,"suffix":""},{"dropping-particle":"","family":"Navas-Molina","given":"Jose A.","non-dropping-particle":"","parse-names":false,"suffix":""},{"dropping-particle":"","family":"Song","given":"Se Jin","non-dropping-particle":"","parse-names":false,"suffix":""},{"dropping-particle":"","family":"Vázquez-Baeza","given":"Yoshiki","non-dropping-particle":"","parse-names":false,"suffix":""},{"dropping-particle":"","family":"Xu","given":"Zhenjiang Zech","non-dropping-particle":"","parse-names":false,"suffix":""},{"dropping-particle":"","family":"Zhu","given":"Qiyun","non-dropping-particle":"","parse-names":false,"suffix":""},{"dropping-particle":"","family":"Knight","given":"Rob","non-dropping-particle":"","parse-names":false,"suffix":""},{"dropping-particle":"","family":"Guo","given":"Jiarong","non-dropping-particle":"","parse-names":false,"suffix":""},{"dropping-particle":"","family":"Hillmann","given":"Benjamin","non-dropping-particle":"","parse-names":false,"suffix":""},{"dropping-particle":"","family":"Knights","given":"Dan","non-dropping-particle":"","parse-names":false,"suffix":""},{"dropping-particle":"","family":"Holmes","given":"Susan","non-dropping-particle":"","parse-names":false,"suffix":""},{"dropping-particle":"","family":"Holste","given":"Hannes","non-dropping-particle":"","parse-names":false,"suffix":""},{"dropping-particle":"","family":"Huttenhower","given":"Curtis","non-dropping-particle":"","parse-names":false,"suffix":""},{"dropping-particle":"","family":"McIver","given":"Lauren J.","non-dropping-particle":"","parse-names":false,"suffix":""},{"dropping-particle":"","family":"Huttenhower","given":"Curtis","non-dropping-particle":"","parse-names":false,"suffix":""},{"dropping-particle":"","family":"Huttley","given":"Gavin A.","non-dropping-particle":"","parse-names":false,"suffix":""},{"dropping-particle":"","family":"Kaehler","given":"Benjamin D.","non-dropping-particle":"","parse-names":false,"suffix":""},{"dropping-particle":"","family":"Janssen","given":"Stefan","non-dropping-particle":"","parse-names":false,"suffix":""},{"dropping-particle":"","family":"Jiang","given":"Lingjing","non-dropping-particle":"","parse-names":false,"suffix":""},{"dropping-particle":"Bin","family":"Kang","given":"Kyo","non-dropping-particle":"","parse-names":false,"suffix":""},{"dropping-particle":"","family":"Kelley","given":"Scott T.","non-dropping-particle":"","parse-names":false,"suffix":""},{"dropping-particle":"","family":"Kosciolek","given":"Tomasz","non-dropping-particle":"","parse-names":false,"suffix":""},{"dropping-particle":"","family":"Langille","given":"Morgan G.I.","non-dropping-particle":"","parse-names":false,"suffix":""},{"dropping-particle":"","family":"Lee","given":"Joslynn","non-dropping-particle":"","parse-names":false,"suffix":""},{"dropping-particle":"","family":"Ley","given":"Ruth","non-dropping-particle":"","parse-names":false,"suffix":""},{"dropping-particle":"","family":"Walters","given":"William","non-dropping-particle":"","parse-names":false,"suffix":""},{"dropping-particle":"","family":"Maher","given":"Massoud","non-dropping-particle":"","parse-names":false,"suffix":""},{"dropping-particle":"","family":"Navas-Molina","given":"Jose A.","non-dropping-particle":"","parse-names":false,"suffix":""},{"dropping-particle":"","family":"Martin","given":"Bryan D.","non-dropping-particle":"","parse-names":false,"suffix":""},{"dropping-particle":"","family":"Metcalf","given":"Jessica L.","non-dropping-particle":"","parse-names":false,"suffix":""}],"container-title":"Nature Biotechnology","id":"ITEM-1","issue":"8","issued":{"date-parts":[["2019"]]},"page":"852-857","title":"Reproducible, interactive, scalable and extensible microbiome data science using QIIME 2 (Nature Biotechnology, (2019), 37, 8, (852-857), 10.1038/s41587-019-0209-9)","type":"article-journal","volume":"37"},"uris":["http://www.mendeley.com/documents/?uuid=b7705651-ee9e-4678-a140-70ed567d4bb4"]}],"mendeley":{"formattedCitation":"&lt;sup&gt;36&lt;/sup&gt;","plainTextFormattedCitation":"36","previouslyFormattedCitation":"[36]"},"properties":{"noteIndex":0},"schema":"https://github.com/citation-style-language/schema/raw/master/csl-citation.json"}</w:instrText>
      </w:r>
      <w:r w:rsidRPr="00D23BF1">
        <w:rPr>
          <w:rFonts w:ascii="Times" w:hAnsi="Times"/>
          <w:color w:val="000000" w:themeColor="text1"/>
        </w:rPr>
        <w:fldChar w:fldCharType="separate"/>
      </w:r>
      <w:r w:rsidRPr="00D23BF1">
        <w:rPr>
          <w:rFonts w:ascii="Times" w:hAnsi="Times"/>
          <w:noProof/>
          <w:color w:val="000000" w:themeColor="text1"/>
          <w:vertAlign w:val="superscript"/>
        </w:rPr>
        <w:t>36</w:t>
      </w:r>
      <w:r w:rsidRPr="00D23BF1">
        <w:rPr>
          <w:rFonts w:ascii="Times" w:hAnsi="Times"/>
          <w:color w:val="000000" w:themeColor="text1"/>
        </w:rPr>
        <w:fldChar w:fldCharType="end"/>
      </w:r>
      <w:r w:rsidRPr="00D23BF1">
        <w:rPr>
          <w:rFonts w:ascii="Times" w:hAnsi="Times"/>
          <w:color w:val="000000" w:themeColor="text1"/>
        </w:rPr>
        <w:t xml:space="preserve">. To remove sequence errors and trim primers from sequences we used the Divisive Amplicon Denoising Algorithm (DADA) </w:t>
      </w:r>
      <w:r w:rsidRPr="00D23BF1">
        <w:rPr>
          <w:rFonts w:ascii="Times" w:hAnsi="Times"/>
          <w:color w:val="000000" w:themeColor="text1"/>
        </w:rPr>
        <w:fldChar w:fldCharType="begin" w:fldLock="1"/>
      </w:r>
      <w:r w:rsidRPr="00D23BF1">
        <w:rPr>
          <w:rFonts w:ascii="Times" w:hAnsi="Times"/>
          <w:color w:val="000000" w:themeColor="text1"/>
        </w:rPr>
        <w:instrText>ADDIN CSL_CITATION {"citationItems":[{"id":"ITEM-1","itemData":{"DOI":"10.1186/1471-2105-13-283","ISBN":"1471-2105 (Electronic)\\r1471-2105 (Linking)","ISSN":"14712105","PMID":"23113967","abstract":"BACKGROUND: PCR amplification and high-throughput sequencing theoretically enable the characterization of the finest-scale diversity in natural microbial and viral populations, but each of these methods introduces random errors that are difficult to distinguish from genuine biological diversity. Several approaches have been proposed to denoise these data but lack either speed or accuracy.\\n\\nRESULTS: We introduce a new denoising algorithm that we call DADA (Divisive Amplicon Denoising Algorithm). Without training data, DADA infers both the sample genotypes and error parameters that produced a metagenome data set. We demonstrate performance on control data sequenced on Roche's 454 platform, and compare the results to the most accurate denoising software currently available, AmpliconNoise.\\n\\nCONCLUSIONS: DADA is more accurate and over an order of magnitude faster than AmpliconNoise. It eliminates the need for training data to establish error parameters, fully utilizes sequence-abundance information, and enables inclusion of context-dependent PCR error rates. It should be readily extensible to other sequencing platforms such as Illumina.","author":[{"dropping-particle":"","family":"Rosen","given":"Michael J.","non-dropping-particle":"","parse-names":false,"suffix":""},{"dropping-particle":"","family":"Callahan","given":"Benjamin J.","non-dropping-particle":"","parse-names":false,"suffix":""},{"dropping-particle":"","family":"Fisher","given":"Daniel S.","non-dropping-particle":"","parse-names":false,"suffix":""},{"dropping-particle":"","family":"Holmes","given":"Susan P.","non-dropping-particle":"","parse-names":false,"suffix":""}],"container-title":"BMC Bioinformatics","id":"ITEM-1","issue":"1","issued":{"date-parts":[["2012"]]},"title":"Denoising PCR-amplified metagenome data","type":"article-journal","volume":"13"},"uris":["http://www.mendeley.com/documents/?uuid=c0247592-7a1b-4692-bcbe-9409a9e2e452"]}],"mendeley":{"formattedCitation":"&lt;sup&gt;37&lt;/sup&gt;","plainTextFormattedCitation":"37","previouslyFormattedCitation":"[37]"},"properties":{"noteIndex":0},"schema":"https://github.com/citation-style-language/schema/raw/master/csl-citation.json"}</w:instrText>
      </w:r>
      <w:r w:rsidRPr="00D23BF1">
        <w:rPr>
          <w:rFonts w:ascii="Times" w:hAnsi="Times"/>
          <w:color w:val="000000" w:themeColor="text1"/>
        </w:rPr>
        <w:fldChar w:fldCharType="separate"/>
      </w:r>
      <w:r w:rsidRPr="00D23BF1">
        <w:rPr>
          <w:rFonts w:ascii="Times" w:hAnsi="Times"/>
          <w:noProof/>
          <w:color w:val="000000" w:themeColor="text1"/>
          <w:vertAlign w:val="superscript"/>
        </w:rPr>
        <w:t>37</w:t>
      </w:r>
      <w:r w:rsidRPr="00D23BF1">
        <w:rPr>
          <w:rFonts w:ascii="Times" w:hAnsi="Times"/>
          <w:color w:val="000000" w:themeColor="text1"/>
        </w:rPr>
        <w:fldChar w:fldCharType="end"/>
      </w:r>
      <w:r w:rsidRPr="00D23BF1">
        <w:rPr>
          <w:rFonts w:ascii="Times" w:hAnsi="Times"/>
          <w:color w:val="000000" w:themeColor="text1"/>
        </w:rPr>
        <w:t xml:space="preserve">. Then we aligned sequences, and generated a phylogeny using </w:t>
      </w:r>
      <w:proofErr w:type="spellStart"/>
      <w:r w:rsidRPr="00D23BF1">
        <w:rPr>
          <w:rFonts w:ascii="Times" w:hAnsi="Times"/>
          <w:color w:val="000000" w:themeColor="text1"/>
        </w:rPr>
        <w:t>FastTree</w:t>
      </w:r>
      <w:proofErr w:type="spellEnd"/>
      <w:r w:rsidRPr="00D23BF1">
        <w:rPr>
          <w:rFonts w:ascii="Times" w:hAnsi="Times"/>
          <w:color w:val="000000" w:themeColor="text1"/>
        </w:rPr>
        <w:t xml:space="preserve">, rooting at the midpoint </w:t>
      </w:r>
      <w:r w:rsidRPr="00D23BF1">
        <w:rPr>
          <w:rFonts w:ascii="Times" w:hAnsi="Times"/>
          <w:color w:val="000000" w:themeColor="text1"/>
        </w:rPr>
        <w:fldChar w:fldCharType="begin" w:fldLock="1"/>
      </w:r>
      <w:r w:rsidRPr="00D23BF1">
        <w:rPr>
          <w:rFonts w:ascii="Times" w:hAnsi="Times"/>
          <w:color w:val="000000" w:themeColor="text1"/>
        </w:rPr>
        <w:instrText>ADDIN CSL_CITATION {"citationItems":[{"id":"ITEM-1","itemData":{"DOI":"10.1371/journal.pone.0009490","ISBN":"1932-6203","ISSN":"19326203","PMID":"20224823","abstract":"We recently described FastTree, a tool for inferring phylogenies for alignments with up to hundreds of thousands of sequences. Here, we describe improvements to FastTree that improve its accuracy without sacrificing scalability.","author":[{"dropping-particle":"","family":"Price","given":"Morgan N.","non-dropping-particle":"","parse-names":false,"suffix":""},{"dropping-particle":"","family":"Dehal","given":"Paramvir S.","non-dropping-particle":"","parse-names":false,"suffix":""},{"dropping-particle":"","family":"Arkin","given":"Adam P.","non-dropping-particle":"","parse-names":false,"suffix":""}],"container-title":"PLoS ONE","id":"ITEM-1","issue":"3","issued":{"date-parts":[["2010"]]},"title":"FastTree 2 - Approximately maximum-likelihood trees for large alignments","type":"article-journal","volume":"5"},"uris":["http://www.mendeley.com/documents/?uuid=66bfd12e-4dad-496c-80f0-81e66cdd86bc"]}],"mendeley":{"formattedCitation":"&lt;sup&gt;38&lt;/sup&gt;","plainTextFormattedCitation":"38","previouslyFormattedCitation":"[38]"},"properties":{"noteIndex":0},"schema":"https://github.com/citation-style-language/schema/raw/master/csl-citation.json"}</w:instrText>
      </w:r>
      <w:r w:rsidRPr="00D23BF1">
        <w:rPr>
          <w:rFonts w:ascii="Times" w:hAnsi="Times"/>
          <w:color w:val="000000" w:themeColor="text1"/>
        </w:rPr>
        <w:fldChar w:fldCharType="separate"/>
      </w:r>
      <w:r w:rsidRPr="00D23BF1">
        <w:rPr>
          <w:rFonts w:ascii="Times" w:hAnsi="Times"/>
          <w:noProof/>
          <w:color w:val="000000" w:themeColor="text1"/>
          <w:vertAlign w:val="superscript"/>
        </w:rPr>
        <w:t>38</w:t>
      </w:r>
      <w:r w:rsidRPr="00D23BF1">
        <w:rPr>
          <w:rFonts w:ascii="Times" w:hAnsi="Times"/>
          <w:color w:val="000000" w:themeColor="text1"/>
        </w:rPr>
        <w:fldChar w:fldCharType="end"/>
      </w:r>
      <w:r w:rsidRPr="00D23BF1">
        <w:rPr>
          <w:rFonts w:ascii="Times" w:hAnsi="Times"/>
          <w:color w:val="000000" w:themeColor="text1"/>
        </w:rPr>
        <w:t xml:space="preserve">. We used amplicon sequence variants to group sequences (100% similarity). We used the Silva database to assign taxonomy </w:t>
      </w:r>
      <w:r w:rsidRPr="00D23BF1">
        <w:rPr>
          <w:rFonts w:ascii="Times" w:hAnsi="Times"/>
          <w:color w:val="000000" w:themeColor="text1"/>
        </w:rPr>
        <w:fldChar w:fldCharType="begin" w:fldLock="1"/>
      </w:r>
      <w:r w:rsidRPr="00D23BF1">
        <w:rPr>
          <w:rFonts w:ascii="Times" w:hAnsi="Times"/>
          <w:color w:val="000000" w:themeColor="text1"/>
        </w:rPr>
        <w:instrText>ADDIN CSL_CITATION {"citationItems":[{"id":"ITEM-1","itemData":{"DOI":"10.1093/nar/gks1219","ISSN":"03051048","abstract":"SILVA (from Latin silva, forest, http://www.arb-silva.de) is a comprehensive web resource for up to date, quality-controlled databases of aligned ribosomal RNA (rRNA) gene sequences from the Bacteria, Archaea and Eukaryota domains and supplementary online services. The referred database release 111 (July 2012) contains 3 194 778 small subunit and 288 717 large subunit rRNA gene sequences. Since the initial description of the project, substantial new features have been introduced, including advanced quality control procedures, an improved rRNA gene aligner, online tools for probe and primer evaluation and optimized browsing, searching and downloading on the website. Furthermore, the extensively curated SILVA taxonomy and the new non-redundant SILVA datasets provide an ideal reference for high-throughput classification of data from next-generation sequencing approaches.","author":[{"dropping-particle":"","family":"Quast","given":"Christian","non-dropping-particle":"","parse-names":false,"suffix":""},{"dropping-particle":"","family":"Pruesse","given":"Elmar","non-dropping-particle":"","parse-names":false,"suffix":""},{"dropping-particle":"","family":"Yilmaz","given":"Pelin","non-dropping-particle":"","parse-names":false,"suffix":""},{"dropping-particle":"","family":"Gerken","given":"Jan","non-dropping-particle":"","parse-names":false,"suffix":""},{"dropping-particle":"","family":"Schweer","given":"Timmy","non-dropping-particle":"","parse-names":false,"suffix":""},{"dropping-particle":"","family":"Yarza","given":"Pablo","non-dropping-particle":"","parse-names":false,"suffix":""},{"dropping-particle":"","family":"Peplies","given":"Jörg","non-dropping-particle":"","parse-names":false,"suffix":""},{"dropping-particle":"","family":"Glöckner","given":"Frank Oliver","non-dropping-particle":"","parse-names":false,"suffix":""}],"container-title":"Nucleic Acids Research","id":"ITEM-1","issue":"D1","issued":{"date-parts":[["2013"]]},"page":"590-596","title":"The SILVA ribosomal RNA gene database project: Improved data processing and web-based tools","type":"article-journal","volume":"41"},"uris":["http://www.mendeley.com/documents/?uuid=2ccb0764-979f-4156-b43e-99a46ca85f8e"]}],"mendeley":{"formattedCitation":"&lt;sup&gt;39&lt;/sup&gt;","plainTextFormattedCitation":"39","previouslyFormattedCitation":"[39]"},"properties":{"noteIndex":0},"schema":"https://github.com/citation-style-language/schema/raw/master/csl-citation.json"}</w:instrText>
      </w:r>
      <w:r w:rsidRPr="00D23BF1">
        <w:rPr>
          <w:rFonts w:ascii="Times" w:hAnsi="Times"/>
          <w:color w:val="000000" w:themeColor="text1"/>
        </w:rPr>
        <w:fldChar w:fldCharType="separate"/>
      </w:r>
      <w:r w:rsidRPr="00D23BF1">
        <w:rPr>
          <w:rFonts w:ascii="Times" w:hAnsi="Times"/>
          <w:noProof/>
          <w:color w:val="000000" w:themeColor="text1"/>
          <w:vertAlign w:val="superscript"/>
        </w:rPr>
        <w:t>39</w:t>
      </w:r>
      <w:r w:rsidRPr="00D23BF1">
        <w:rPr>
          <w:rFonts w:ascii="Times" w:hAnsi="Times"/>
          <w:color w:val="000000" w:themeColor="text1"/>
        </w:rPr>
        <w:fldChar w:fldCharType="end"/>
      </w:r>
      <w:r w:rsidRPr="00D23BF1">
        <w:rPr>
          <w:rFonts w:ascii="Times" w:hAnsi="Times"/>
          <w:color w:val="000000" w:themeColor="text1"/>
        </w:rPr>
        <w:t>. Lastly, we removed all sequences matching mitochondria, chloroplast, or archaea. We obtained a total of 1,429,415 sequences (mean=21,020, SD=13.944, see Table S1 for sequence and OTU counts for each sample).</w:t>
      </w:r>
      <w:r w:rsidRPr="00D23BF1">
        <w:rPr>
          <w:rFonts w:ascii="Times" w:hAnsi="Times"/>
          <w:color w:val="000000" w:themeColor="text1"/>
        </w:rPr>
        <w:br/>
      </w:r>
    </w:p>
    <w:p w14:paraId="31F1DC4E" w14:textId="77777777" w:rsidR="00041ADB" w:rsidRPr="00D23BF1" w:rsidRDefault="00041ADB" w:rsidP="00F20BE1">
      <w:pPr>
        <w:rPr>
          <w:rFonts w:ascii="Times" w:hAnsi="Times"/>
          <w:i/>
          <w:iCs/>
        </w:rPr>
      </w:pPr>
      <w:r w:rsidRPr="00D23BF1">
        <w:rPr>
          <w:rFonts w:ascii="Times" w:hAnsi="Times"/>
          <w:i/>
          <w:iCs/>
        </w:rPr>
        <w:lastRenderedPageBreak/>
        <w:t>Bacterial community metrics</w:t>
      </w:r>
      <w:r w:rsidRPr="00D23BF1">
        <w:rPr>
          <w:rFonts w:ascii="Times" w:hAnsi="Times"/>
        </w:rPr>
        <w:t xml:space="preserve"> </w:t>
      </w:r>
    </w:p>
    <w:p w14:paraId="269D677E" w14:textId="77777777" w:rsidR="00041ADB" w:rsidRPr="00D23BF1" w:rsidRDefault="00041ADB" w:rsidP="00F20BE1">
      <w:pPr>
        <w:rPr>
          <w:rFonts w:ascii="Times" w:hAnsi="Times"/>
        </w:rPr>
      </w:pPr>
    </w:p>
    <w:p w14:paraId="7F98075D" w14:textId="77777777" w:rsidR="00041ADB" w:rsidRPr="00D23BF1" w:rsidRDefault="00041ADB" w:rsidP="00F20BE1">
      <w:pPr>
        <w:rPr>
          <w:rFonts w:ascii="Times" w:hAnsi="Times"/>
        </w:rPr>
      </w:pPr>
      <w:r w:rsidRPr="00D23BF1">
        <w:rPr>
          <w:rFonts w:ascii="Times" w:hAnsi="Times"/>
        </w:rPr>
        <w:t xml:space="preserve">Gut bacterial alpha diversity was measured using hill numbers, which were calculated from an ASV table after rarefying samples to a depth of 1000 sequences. Hill numbers provide multiple measures of alpha diversity using the same units (effective number of species). Hill number transformations are calculated as orders of q, written as </w:t>
      </w:r>
      <w:proofErr w:type="spellStart"/>
      <w:r w:rsidRPr="00D23BF1">
        <w:rPr>
          <w:rFonts w:ascii="Times" w:hAnsi="Times"/>
          <w:vertAlign w:val="superscript"/>
        </w:rPr>
        <w:t>q</w:t>
      </w:r>
      <w:r w:rsidRPr="00D23BF1">
        <w:rPr>
          <w:rFonts w:ascii="Times" w:hAnsi="Times"/>
        </w:rPr>
        <w:t>D</w:t>
      </w:r>
      <w:proofErr w:type="spellEnd"/>
      <w:r w:rsidRPr="00D23BF1">
        <w:rPr>
          <w:rFonts w:ascii="Times" w:hAnsi="Times"/>
        </w:rPr>
        <w:t>, with q of 0 (</w:t>
      </w:r>
      <w:r w:rsidRPr="00D23BF1">
        <w:rPr>
          <w:rFonts w:ascii="Times" w:hAnsi="Times"/>
          <w:vertAlign w:val="superscript"/>
        </w:rPr>
        <w:t>0</w:t>
      </w:r>
      <w:r w:rsidRPr="00D23BF1">
        <w:rPr>
          <w:rFonts w:ascii="Times" w:hAnsi="Times"/>
        </w:rPr>
        <w:t>D) representing bacterial richness, q of 1 (</w:t>
      </w:r>
      <w:r w:rsidRPr="00D23BF1">
        <w:rPr>
          <w:rFonts w:ascii="Times" w:hAnsi="Times"/>
          <w:vertAlign w:val="superscript"/>
        </w:rPr>
        <w:t>1</w:t>
      </w:r>
      <w:r w:rsidRPr="00D23BF1">
        <w:rPr>
          <w:rFonts w:ascii="Times" w:hAnsi="Times"/>
        </w:rPr>
        <w:t>D)</w:t>
      </w:r>
      <w:r w:rsidRPr="00D23BF1" w:rsidDel="00F83EBF">
        <w:rPr>
          <w:rFonts w:ascii="Times" w:hAnsi="Times"/>
        </w:rPr>
        <w:t xml:space="preserve"> </w:t>
      </w:r>
      <w:r w:rsidRPr="00D23BF1">
        <w:rPr>
          <w:rFonts w:ascii="Times" w:hAnsi="Times"/>
        </w:rPr>
        <w:t>representing exponential of Shannon entropy, including both richness and evenness, and q of 2 (</w:t>
      </w:r>
      <w:r w:rsidRPr="00D23BF1">
        <w:rPr>
          <w:rFonts w:ascii="Times" w:hAnsi="Times"/>
          <w:vertAlign w:val="superscript"/>
        </w:rPr>
        <w:t>2</w:t>
      </w:r>
      <w:r w:rsidRPr="00D23BF1">
        <w:rPr>
          <w:rFonts w:ascii="Times" w:hAnsi="Times"/>
        </w:rPr>
        <w:t>D)</w:t>
      </w:r>
      <w:r w:rsidRPr="00D23BF1" w:rsidDel="00F83EBF">
        <w:rPr>
          <w:rFonts w:ascii="Times" w:hAnsi="Times"/>
        </w:rPr>
        <w:t xml:space="preserve"> </w:t>
      </w:r>
      <w:r w:rsidRPr="00D23BF1">
        <w:rPr>
          <w:rFonts w:ascii="Times" w:hAnsi="Times"/>
        </w:rPr>
        <w:t xml:space="preserve">representing the inverse of Simpson’s index wherein species are weighted according to their abundance </w:t>
      </w:r>
      <w:r w:rsidRPr="00D23BF1">
        <w:rPr>
          <w:rFonts w:ascii="Times" w:hAnsi="Times"/>
        </w:rPr>
        <w:fldChar w:fldCharType="begin" w:fldLock="1"/>
      </w:r>
      <w:r w:rsidRPr="00D23BF1">
        <w:rPr>
          <w:rFonts w:ascii="Times" w:hAnsi="Times"/>
        </w:rPr>
        <w:instrText>ADDIN CSL_CITATION {"citationItems":[{"id":"ITEM-1","itemData":{"DOI":"10.1146/annurev-ecolsys-120213-091540","ISBN":"10.1146/annurev-ecolsys-120213-091540","ISSN":"1543-592X","abstract":"Hillnumbersor the effectivenumberof species are increasingly used to quan- tify species diversity of an assemblage. Hill numbers were recently extended to phylogenetic diversity, which incorporates species evolutionary history, as well as to functional diversity, which considers the differences among species traits. We review these extensions and integrate them into a frame- work of attribute diversity (the effective number of entities or total attribute value) based on Hill numbers of taxonomic entities (species), phylogenetic entities (branches of unit-length), or functional entities (species-pairs with unit-distance between species). This framework unifies ecologists’ measures of species diversity, phylogenetic diversity, and distance-based functional di- versity. It also provides a unified method of decomposing these diversities and constructing normalized taxonomic, phylogenetic, and functional sim- ilarity and differentiation measures, including N-assemblage phylogenetic or functional generalizations of the classic Jaccard, Sørensen, Horn, and Morisita-Horn indexes. A real example shows how this framework extracts ecological meaning from complex data. 297","author":[{"dropping-particle":"","family":"Chao","given":"Anne","non-dropping-particle":"","parse-names":false,"suffix":""},{"dropping-particle":"","family":"Chiu","given":"Chun-Huo","non-dropping-particle":"","parse-names":false,"suffix":""},{"dropping-particle":"","family":"Jost","given":"Lou","non-dropping-particle":"","parse-names":false,"suffix":""}],"container-title":"Annual Review of Ecology, Evolution, and Systematics","id":"ITEM-1","issue":"1","issued":{"date-parts":[["2014"]]},"page":"297-324","title":"Unifying Species Diversity, Phylogenetic Diversity, Functional Diversity, and Related Similarity and Differentiation Measures Through Hill Numbers","type":"article-journal","volume":"45"},"uris":["http://www.mendeley.com/documents/?uuid=81373d02-8d30-4903-9f15-db4279a7d52f"]}],"mendeley":{"formattedCitation":"&lt;sup&gt;40&lt;/sup&gt;","plainTextFormattedCitation":"40","previouslyFormattedCitation":"[40]"},"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40</w:t>
      </w:r>
      <w:r w:rsidRPr="00D23BF1">
        <w:rPr>
          <w:rFonts w:ascii="Times" w:hAnsi="Times"/>
        </w:rPr>
        <w:fldChar w:fldCharType="end"/>
      </w:r>
      <w:r w:rsidRPr="00D23BF1">
        <w:rPr>
          <w:rFonts w:ascii="Times" w:hAnsi="Times"/>
        </w:rPr>
        <w:t xml:space="preserve">. Essentially, the effective number of species is less sensitive to rare bacteria as q increases. We calculated hill numbers using the ‘d’ function in the R package ‘vegetarian’ </w:t>
      </w:r>
      <w:r w:rsidRPr="00D23BF1">
        <w:rPr>
          <w:rFonts w:ascii="Times" w:hAnsi="Times"/>
        </w:rPr>
        <w:fldChar w:fldCharType="begin" w:fldLock="1"/>
      </w:r>
      <w:r w:rsidRPr="00D23BF1">
        <w:rPr>
          <w:rFonts w:ascii="Times" w:hAnsi="Times"/>
        </w:rPr>
        <w:instrText>ADDIN CSL_CITATION {"citationItems":[{"id":"ITEM-1","itemData":{"ISBN":"0012-9658","author":[{"dropping-particle":"","family":"Jost","given":"Lou","non-dropping-particle":"","parse-names":false,"suffix":""}],"container-title":"Ecology","id":"ITEM-1","issue":"12","issued":{"date-parts":[["2009"]]},"page":"3593","title":"Partitioning diversity into independent alpha and beta components","type":"article-journal","volume":"90"},"uris":["http://www.mendeley.com/documents/?uuid=dabc5d93-0c57-4fa2-9247-08cb1d8f9767"]}],"mendeley":{"formattedCitation":"&lt;sup&gt;41&lt;/sup&gt;","plainTextFormattedCitation":"41","previouslyFormattedCitation":"[41]"},"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41</w:t>
      </w:r>
      <w:r w:rsidRPr="00D23BF1">
        <w:rPr>
          <w:rFonts w:ascii="Times" w:hAnsi="Times"/>
        </w:rPr>
        <w:fldChar w:fldCharType="end"/>
      </w:r>
      <w:r w:rsidRPr="00D23BF1">
        <w:rPr>
          <w:rFonts w:ascii="Times" w:hAnsi="Times"/>
        </w:rPr>
        <w:t xml:space="preserve">. We also measured alpha diversity using Faith’s phylogenetic diversity, calculated in Qiime2 </w:t>
      </w:r>
      <w:r w:rsidRPr="00D23BF1">
        <w:rPr>
          <w:rFonts w:ascii="Times" w:hAnsi="Times"/>
        </w:rPr>
        <w:fldChar w:fldCharType="begin" w:fldLock="1"/>
      </w:r>
      <w:r w:rsidRPr="00D23BF1">
        <w:rPr>
          <w:rFonts w:ascii="Times" w:hAnsi="Times"/>
        </w:rPr>
        <w:instrText>ADDIN CSL_CITATION {"citationItems":[{"id":"ITEM-1","itemData":{"DOI":"10.1038/s41587-019-0209-9","ISSN":"1546-1696","author":[{"dropping-particle":"","family":"Bolyen","given":"Evan","non-dropping-particle":"","parse-names":false,"suffix":""},{"dropping-particle":"","family":"Rideout","given":"Jai Ram","non-dropping-particle":"","parse-names":false,"suffix":""},{"dropping-particle":"","family":"Dillon","given":"Matthew R.","non-dropping-particle":"","parse-names":false,"suffix":""},{"dropping-particle":"","family":"Bokulich","given":"Nicholas A.","non-dropping-particle":"","parse-names":false,"suffix":""},{"dropping-particle":"","family":"Chase","given":"John","non-dropping-particle":"","parse-names":false,"suffix":""},{"dropping-particle":"","family":"Cope","given":"Emily K.","non-dropping-particle":"","parse-names":false,"suffix":""},{"dropping-particle":"","family":"Gorlick","given":"Kestrel","non-dropping-particle":"","parse-names":false,"suffix":""},{"dropping-particle":"","family":"Keefe","given":"Christopher R.","non-dropping-particle":"","parse-names":false,"suffix":""},{"dropping-particle":"","family":"Keim","given":"Paul","non-dropping-particle":"","parse-names":false,"suffix":""},{"dropping-particle":"","family":"Kreps","given":"Jorden","non-dropping-particle":"","parse-names":false,"suffix":""},{"dropping-particle":"","family":"Naimey","given":"Ahmad Turan","non-dropping-particle":"","parse-names":false,"suffix":""},{"dropping-particle":"","family":"Pearson","given":"Talima","non-dropping-particle":"","parse-names":false,"suffix":""},{"dropping-particle":"","family":"Shiffer","given":"Arron","non-dropping-particle":"","parse-names":false,"suffix":""},{"dropping-particle":"","family":"Caporaso","given":"J. Gregory","non-dropping-particle":"","parse-names":false,"suffix":""},{"dropping-particle":"","family":"Abnet","given":"Christian C.","non-dropping-particle":"","parse-names":false,"suffix":""},{"dropping-particle":"","family":"Loftfield","given":"Erikka","non-dropping-particle":"","parse-names":false,"suffix":""},{"dropping-particle":"","family":"Sinha","given":"Rashmi","non-dropping-particle":"","parse-names":false,"suffix":""},{"dropping-particle":"","family":"Vogtmann","given":"Emily","non-dropping-particle":"","parse-names":false,"suffix":""},{"dropping-particle":"","family":"Wan","given":"Yunhu","non-dropping-particle":"","parse-names":false,"suffix":""},{"dropping-particle":"","family":"Al-Ghalith","given":"Gabriel A.","non-dropping-particle":"","parse-names":false,"suffix":""},{"dropping-particle":"","family":"Alexander","given":"Harriet","non-dropping-particle":"","parse-names":false,"suffix":""},{"dropping-particle":"","family":"Brown","given":"C. Titus","non-dropping-particle":"","parse-names":false,"suffix":""},{"dropping-particle":"","family":"Alm","given":"Eric J.","non-dropping-particle":"","parse-names":false,"suffix":""},{"dropping-particle":"","family":"Duvallet","given":"Claire","non-dropping-particle":"","parse-names":false,"suffix":""},{"dropping-particle":"","family":"Alm","given":"Eric J.","non-dropping-particle":"","parse-names":false,"suffix":""},{"dropping-particle":"","family":"Arumugam","given":"Manimozhiyan","non-dropping-particle":"","parse-names":false,"suffix":""},{"dropping-particle":"","family":"Brejnrod","given":"Asker","non-dropping-particle":"","parse-names":false,"suffix":""},{"dropping-particle":"","family":"Rasmussen","given":"Lasse Buur","non-dropping-particle":"","parse-names":false,"suffix":""},{"dropping-particle":"","family":"Asnicar","given":"Francesco","non-dropping-particle":"","parse-names":false,"suffix":""},{"dropping-particle":"","family":"Segata","given":"Nicola","non-dropping-particle":"","parse-names":false,"suffix":""},{"dropping-particle":"","family":"Bai","given":"Yang","non-dropping-particle":"","parse-names":false,"suffix":""},{"dropping-particle":"","family":"Liu","given":"Yong Xin","non-dropping-particle":"","parse-names":false,"suffix":""},{"dropping-particle":"","family":"Bai","given":"Yang","non-dropping-particle":"","parse-names":false,"suffix":""},{"dropping-particle":"","family":"Liu","given":"Yong Xin","non-dropping-particle":"","parse-names":false,"suffix":""},{"dropping-particle":"","family":"Bisanz","given":"Jordan E.","non-dropping-particle":"","parse-names":false,"suffix":""},{"dropping-particle":"","family":"Bittinger","given":"Kyle","non-dropping-particle":"","parse-names":false,"suffix":""},{"dropping-particle":"","family":"Brislawn","given":"Colin J.","non-dropping-particle":"","parse-names":false,"suffix":""},{"dropping-particle":"","family":"Callahan","given":"Benjamin J.","non-dropping-particle":"","parse-names":false,"suffix":""},{"dropping-particle":"","family":"Callahan","given":"Benjamin J.","non-dropping-particle":"","parse-names":false,"suffix":""},{"dropping-particle":"","family":"Caraballo-Rodríguez","given":"Andrés Mauricio","non-dropping-particle":"","parse-names":false,"suffix":""},{"dropping-particle":"","family":"Silva","given":"Ricardo","non-dropping-particle":"Da","parse-names":false,"suffix":""},{"dropping-particle":"","family":"Dorrestein","given":"Pieter C.","non-dropping-particle":"","parse-names":false,"suffix":""},{"dropping-particle":"","family":"Ernst","given":"Madeleine","non-dropping-particle":"","parse-names":false,"suffix":""},{"dropping-particle":"","family":"Gauglitz","given":"Julia M.","non-dropping-particle":"","parse-names":false,"suffix":""},{"dropping-particle":"","family":"Jarmusch","given":"Alan K.","non-dropping-particle":"","parse-names":false,"suffix":""},{"dropping-particle":"Bin","family":"Kang","given":"Kyo","non-dropping-particle":"","parse-names":false,"suffix":""},{"dropping-particle":"","family":"Koester","given":"Irina","non-dropping-particle":"","parse-names":false,"suffix":""},{"dropping-particle":"V.","family":"Melnik","given":"Alexey","non-dropping-particle":"","parse-names":false,"suffix":""},{"dropping-particle":"","family":"Nothias","given":"Louis Felix","non-dropping-particle":"","parse-names":false,"suffix":""},{"dropping-particle":"","family":"Petras","given":"Daniel","non-dropping-particle":"","parse-names":false,"suffix":""},{"dropping-particle":"","family":"Tripathi","given":"Anupriya","non-dropping-particle":"","parse-names":false,"suffix":""},{"dropping-particle":"","family":"Wang","given":"Mingxun","non-dropping-particle":"","parse-names":false,"suffix":""},{"dropping-particle":"","family":"Caporaso","given":"J. Gregory","non-dropping-particle":"","parse-names":false,"suffix":""},{"dropping-particle":"","family":"Diener","given":"Christian","non-dropping-particle":"","parse-names":false,"suffix":""},{"dropping-particle":"","family":"Gibbons","given":"Sean M.","non-dropping-particle":"","parse-names":false,"suffix":""},{"dropping-particle":"","family":"Douglas","given":"Gavin M.","non-dropping-particle":"","parse-names":false,"suffix":""},{"dropping-particle":"","family":"Durall","given":"Daniel M.","non-dropping-particle":"","parse-names":false,"suffix":""},{"dropping-particle":"","family":"Edwardson","given":"Christian F.","non-dropping-particle":"","parse-names":false,"suffix":""},{"dropping-particle":"","family":"Estaki","given":"Mehrbod","non-dropping-particle":"","parse-names":false,"suffix":""},{"dropping-particle":"","family":"Fouquier","given":"Jennifer","non-dropping-particle":"","parse-names":false,"suffix":""},{"dropping-particle":"","family":"Shaffer","given":"Michael","non-dropping-particle":"","parse-names":false,"suffix":""},{"dropping-particle":"","family":"Fouquier","given":"Jennifer","non-dropping-particle":"","parse-names":false,"suffix":""},{"dropping-particle":"","family":"Lozupone","given":"Catherine","non-dropping-particle":"","parse-names":false,"suffix":""},{"dropping-particle":"","family":"Pruesse","given":"Elmar","non-dropping-particle":"","parse-names":false,"suffix":""},{"dropping-particle":"","family":"Gibbons","given":"Sean M.","non-dropping-particle":"","parse-names":false,"suffix":""},{"dropping-particle":"","family":"Gibson","given":"Deanna L.","non-dropping-particle":"","parse-names":false,"suffix":""},{"dropping-particle":"","family":"Gonzalez","given":"Antonio","non-dropping-particle":"","parse-names":false,"suffix":""},{"dropping-particle":"","family":"Holste","given":"Hannes","non-dropping-particle":"","parse-names":false,"suffix":""},{"dropping-particle":"","family":"Marotz","given":"Clarisse","non-dropping-particle":"","parse-names":false,"suffix":""},{"dropping-particle":"","family":"McDonald","given":"Daniel","non-dropping-particle":"","parse-names":false,"suffix":""},{"dropping-particle":"","family":"Morton","given":"Jamie T.","non-dropping-particle":"","parse-names":false,"suffix":""},{"dropping-particle":"","family":"Navas-Molina","given":"Jose A.","non-dropping-particle":"","parse-names":false,"suffix":""},{"dropping-particle":"","family":"Song","given":"Se Jin","non-dropping-particle":"","parse-names":false,"suffix":""},{"dropping-particle":"","family":"Vázquez-Baeza","given":"Yoshiki","non-dropping-particle":"","parse-names":false,"suffix":""},{"dropping-particle":"","family":"Xu","given":"Zhenjiang Zech","non-dropping-particle":"","parse-names":false,"suffix":""},{"dropping-particle":"","family":"Zhu","given":"Qiyun","non-dropping-particle":"","parse-names":false,"suffix":""},{"dropping-particle":"","family":"Knight","given":"Rob","non-dropping-particle":"","parse-names":false,"suffix":""},{"dropping-particle":"","family":"Guo","given":"Jiarong","non-dropping-particle":"","parse-names":false,"suffix":""},{"dropping-particle":"","family":"Hillmann","given":"Benjamin","non-dropping-particle":"","parse-names":false,"suffix":""},{"dropping-particle":"","family":"Knights","given":"Dan","non-dropping-particle":"","parse-names":false,"suffix":""},{"dropping-particle":"","family":"Holmes","given":"Susan","non-dropping-particle":"","parse-names":false,"suffix":""},{"dropping-particle":"","family":"Holste","given":"Hannes","non-dropping-particle":"","parse-names":false,"suffix":""},{"dropping-particle":"","family":"Huttenhower","given":"Curtis","non-dropping-particle":"","parse-names":false,"suffix":""},{"dropping-particle":"","family":"McIver","given":"Lauren J.","non-dropping-particle":"","parse-names":false,"suffix":""},{"dropping-particle":"","family":"Huttenhower","given":"Curtis","non-dropping-particle":"","parse-names":false,"suffix":""},{"dropping-particle":"","family":"Huttley","given":"Gavin A.","non-dropping-particle":"","parse-names":false,"suffix":""},{"dropping-particle":"","family":"Kaehler","given":"Benjamin D.","non-dropping-particle":"","parse-names":false,"suffix":""},{"dropping-particle":"","family":"Janssen","given":"Stefan","non-dropping-particle":"","parse-names":false,"suffix":""},{"dropping-particle":"","family":"Jiang","given":"Lingjing","non-dropping-particle":"","parse-names":false,"suffix":""},{"dropping-particle":"Bin","family":"Kang","given":"Kyo","non-dropping-particle":"","parse-names":false,"suffix":""},{"dropping-particle":"","family":"Kelley","given":"Scott T.","non-dropping-particle":"","parse-names":false,"suffix":""},{"dropping-particle":"","family":"Kosciolek","given":"Tomasz","non-dropping-particle":"","parse-names":false,"suffix":""},{"dropping-particle":"","family":"Langille","given":"Morgan G.I.","non-dropping-particle":"","parse-names":false,"suffix":""},{"dropping-particle":"","family":"Lee","given":"Joslynn","non-dropping-particle":"","parse-names":false,"suffix":""},{"dropping-particle":"","family":"Ley","given":"Ruth","non-dropping-particle":"","parse-names":false,"suffix":""},{"dropping-particle":"","family":"Walters","given":"William","non-dropping-particle":"","parse-names":false,"suffix":""},{"dropping-particle":"","family":"Maher","given":"Massoud","non-dropping-particle":"","parse-names":false,"suffix":""},{"dropping-particle":"","family":"Navas-Molina","given":"Jose A.","non-dropping-particle":"","parse-names":false,"suffix":""},{"dropping-particle":"","family":"Martin","given":"Bryan D.","non-dropping-particle":"","parse-names":false,"suffix":""},{"dropping-particle":"","family":"Metcalf","given":"Jessica L.","non-dropping-particle":"","parse-names":false,"suffix":""}],"container-title":"Nature Biotechnology","id":"ITEM-1","issue":"8","issued":{"date-parts":[["2019"]]},"page":"852-857","title":"Reproducible, interactive, scalable and extensible microbiome data science using QIIME 2 (Nature Biotechnology, (2019), 37, 8, (852-857), 10.1038/s41587-019-0209-9)","type":"article-journal","volume":"37"},"uris":["http://www.mendeley.com/documents/?uuid=b7705651-ee9e-4678-a140-70ed567d4bb4"]}],"mendeley":{"formattedCitation":"&lt;sup&gt;36&lt;/sup&gt;","plainTextFormattedCitation":"36","previouslyFormattedCitation":"[36]"},"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36</w:t>
      </w:r>
      <w:r w:rsidRPr="00D23BF1">
        <w:rPr>
          <w:rFonts w:ascii="Times" w:hAnsi="Times"/>
        </w:rPr>
        <w:fldChar w:fldCharType="end"/>
      </w:r>
      <w:r w:rsidRPr="00D23BF1">
        <w:rPr>
          <w:rFonts w:ascii="Times" w:hAnsi="Times"/>
        </w:rPr>
        <w:t>.</w:t>
      </w:r>
    </w:p>
    <w:p w14:paraId="065F7CA4" w14:textId="77777777" w:rsidR="00041ADB" w:rsidRPr="00D23BF1" w:rsidRDefault="00041ADB" w:rsidP="00F20BE1">
      <w:pPr>
        <w:rPr>
          <w:rFonts w:ascii="Times" w:hAnsi="Times"/>
        </w:rPr>
      </w:pPr>
      <w:r w:rsidRPr="00D23BF1">
        <w:rPr>
          <w:rFonts w:ascii="Times" w:hAnsi="Times"/>
        </w:rPr>
        <w:tab/>
        <w:t xml:space="preserve">Gut bacterial beta diversity was calculated in Qiime2 using Jaccard, unweighted </w:t>
      </w:r>
      <w:proofErr w:type="spellStart"/>
      <w:r w:rsidRPr="00D23BF1">
        <w:rPr>
          <w:rFonts w:ascii="Times" w:hAnsi="Times"/>
        </w:rPr>
        <w:t>UniFrac</w:t>
      </w:r>
      <w:proofErr w:type="spellEnd"/>
      <w:r w:rsidRPr="00D23BF1">
        <w:rPr>
          <w:rFonts w:ascii="Times" w:hAnsi="Times"/>
        </w:rPr>
        <w:t xml:space="preserve">, Bray-Curtis, and Weighted </w:t>
      </w:r>
      <w:proofErr w:type="spellStart"/>
      <w:r w:rsidRPr="00D23BF1">
        <w:rPr>
          <w:rFonts w:ascii="Times" w:hAnsi="Times"/>
        </w:rPr>
        <w:t>Unifrac</w:t>
      </w:r>
      <w:proofErr w:type="spellEnd"/>
      <w:r w:rsidRPr="00D23BF1">
        <w:rPr>
          <w:rFonts w:ascii="Times" w:hAnsi="Times"/>
        </w:rPr>
        <w:t xml:space="preserve">. The former two include information about presence/absence of bacterial taxa and the latter two account for relative abundances of bacterial taxa. </w:t>
      </w:r>
      <w:proofErr w:type="spellStart"/>
      <w:r w:rsidRPr="00D23BF1">
        <w:rPr>
          <w:rFonts w:ascii="Times" w:hAnsi="Times"/>
        </w:rPr>
        <w:t>UniFrac</w:t>
      </w:r>
      <w:proofErr w:type="spellEnd"/>
      <w:r w:rsidRPr="00D23BF1">
        <w:rPr>
          <w:rFonts w:ascii="Times" w:hAnsi="Times"/>
        </w:rPr>
        <w:t xml:space="preserve"> distances account for phylogenetic relatedness. </w:t>
      </w:r>
    </w:p>
    <w:p w14:paraId="183D4AD1" w14:textId="77777777" w:rsidR="00041ADB" w:rsidRPr="00D23BF1" w:rsidRDefault="00041ADB" w:rsidP="00F20BE1">
      <w:pPr>
        <w:rPr>
          <w:rFonts w:ascii="Times" w:hAnsi="Times"/>
        </w:rPr>
      </w:pPr>
      <w:r w:rsidRPr="00D23BF1">
        <w:rPr>
          <w:rFonts w:ascii="Times" w:hAnsi="Times"/>
        </w:rPr>
        <w:tab/>
        <w:t>To predict the functional role played by bacterial taxa present in the gut, we used Phylogenetic Investigation of Communities by Reconstruction of Observed States (</w:t>
      </w:r>
      <w:proofErr w:type="spellStart"/>
      <w:r w:rsidRPr="00D23BF1">
        <w:rPr>
          <w:rFonts w:ascii="Times" w:hAnsi="Times"/>
        </w:rPr>
        <w:t>PICRUSt</w:t>
      </w:r>
      <w:proofErr w:type="spellEnd"/>
      <w:r w:rsidRPr="00D23BF1">
        <w:rPr>
          <w:rFonts w:ascii="Times" w:hAnsi="Times"/>
        </w:rPr>
        <w:t>)</w:t>
      </w:r>
      <w:r w:rsidRPr="00D23BF1">
        <w:rPr>
          <w:rFonts w:ascii="Times" w:hAnsi="Times"/>
        </w:rPr>
        <w:fldChar w:fldCharType="begin" w:fldLock="1"/>
      </w:r>
      <w:r w:rsidRPr="00D23BF1">
        <w:rPr>
          <w:rFonts w:ascii="Times" w:hAnsi="Times"/>
        </w:rPr>
        <w:instrText>ADDIN CSL_CITATION {"citationItems":[{"id":"ITEM-1","itemData":{"DOI":"10.1038/nbt.2676","ISSN":"1546-1696","PMID":"23975157","abstract":"Profiling phylogenetic marker genes, such as the 16S rRNA gene, is a key tool for studies of microbial communities but does not provide direct evidence of a community's functional capabilities. Here we describe PICRUSt (phylogenetic investigation of communities by reconstruction of unobserved states), a computational approach to predict the functional composition of a metagenome using marker gene data and a database of reference genomes. PICRUSt uses an extended ancestral-state reconstruction algorithm to predict which gene families are present and then combines gene families to estimate the composite metagenome. Using 16S information, PICRUSt recaptures key findings from the Human Microbiome Project and accurately predicts the abundance of gene families in host-associated and environmental communities, with quantifiable uncertainty. Our results demonstrate that phylogeny and function are sufficiently linked that this 'predictive metagenomic' approach should provide useful insights into the thousands of uncultivated microbial communities for which only marker gene surveys are currently available.","author":[{"dropping-particle":"","family":"Langille","given":"Morgan G I","non-dropping-particle":"","parse-names":false,"suffix":""},{"dropping-particle":"","family":"Zaneveld","given":"Jesse","non-dropping-particle":"","parse-names":false,"suffix":""},{"dropping-particle":"","family":"Caporaso","given":"J Gregory","non-dropping-particle":"","parse-names":false,"suffix":""},{"dropping-particle":"","family":"McDonald","given":"Daniel","non-dropping-particle":"","parse-names":false,"suffix":""},{"dropping-particle":"","family":"Knights","given":"Dan","non-dropping-particle":"","parse-names":false,"suffix":""},{"dropping-particle":"","family":"Reyes","given":"Joshua a","non-dropping-particle":"","parse-names":false,"suffix":""},{"dropping-particle":"","family":"Clemente","given":"Jose C","non-dropping-particle":"","parse-names":false,"suffix":""},{"dropping-particle":"","family":"Burkepile","given":"Deron E","non-dropping-particle":"","parse-names":false,"suffix":""},{"dropping-particle":"","family":"Vega Thurber","given":"Rebecca L","non-dropping-particle":"","parse-names":false,"suffix":""},{"dropping-particle":"","family":"Knight","given":"Rob","non-dropping-particle":"","parse-names":false,"suffix":""},{"dropping-particle":"","family":"Beiko","given":"Robert G","non-dropping-particle":"","parse-names":false,"suffix":""},{"dropping-particle":"","family":"Huttenhower","given":"Curtis","non-dropping-particle":"","parse-names":false,"suffix":""}],"container-title":"Nature biotechnology","id":"ITEM-1","issue":"9","issued":{"date-parts":[["2013","9"]]},"page":"814-21","publisher":"Nature Publishing Group","title":"Predictive functional profiling of microbial communities using 16S rRNA marker gene sequences.","type":"article-journal","volume":"31"},"uris":["http://www.mendeley.com/documents/?uuid=ca54b300-fcfd-4ad0-8d54-f128dfc90c4c"]}],"mendeley":{"formattedCitation":"&lt;sup&gt;42&lt;/sup&gt;","plainTextFormattedCitation":"42","previouslyFormattedCitation":"[42]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42</w:t>
      </w:r>
      <w:r w:rsidRPr="00D23BF1">
        <w:rPr>
          <w:rFonts w:ascii="Times" w:hAnsi="Times"/>
        </w:rPr>
        <w:fldChar w:fldCharType="end"/>
      </w:r>
      <w:r w:rsidRPr="00D23BF1">
        <w:rPr>
          <w:rFonts w:ascii="Times" w:hAnsi="Times"/>
        </w:rPr>
        <w:t xml:space="preserve">. This analysis predicts abundances of gene families from 16s using the Kyoto Encyclopedia of Genes and Genomes (KEGG). Only OTUs that are present in the </w:t>
      </w:r>
      <w:proofErr w:type="spellStart"/>
      <w:r w:rsidRPr="00D23BF1">
        <w:rPr>
          <w:rFonts w:ascii="Times" w:hAnsi="Times"/>
        </w:rPr>
        <w:t>GreenGenes</w:t>
      </w:r>
      <w:proofErr w:type="spellEnd"/>
      <w:r w:rsidRPr="00D23BF1">
        <w:rPr>
          <w:rFonts w:ascii="Times" w:hAnsi="Times"/>
        </w:rPr>
        <w:t xml:space="preserve"> database (version 13.5) were included, as required by </w:t>
      </w:r>
      <w:proofErr w:type="spellStart"/>
      <w:r w:rsidRPr="00D23BF1">
        <w:rPr>
          <w:rFonts w:ascii="Times" w:hAnsi="Times"/>
        </w:rPr>
        <w:t>PICRUSt</w:t>
      </w:r>
      <w:proofErr w:type="spellEnd"/>
      <w:r w:rsidRPr="00D23BF1">
        <w:rPr>
          <w:rFonts w:ascii="Times" w:hAnsi="Times"/>
        </w:rPr>
        <w:t>. To assess how well represented our samples were by the reference genome, we used weighted Nearest Sequence Taxon Index (NSTI). To determine which predicted metabolic gene abundances differed between treatment groups, we used Linear Discriminant Analysis Effect Size (</w:t>
      </w:r>
      <w:proofErr w:type="spellStart"/>
      <w:r w:rsidRPr="00D23BF1">
        <w:rPr>
          <w:rFonts w:ascii="Times" w:hAnsi="Times"/>
        </w:rPr>
        <w:t>LEfSe</w:t>
      </w:r>
      <w:proofErr w:type="spellEnd"/>
      <w:r w:rsidRPr="00D23BF1">
        <w:rPr>
          <w:rFonts w:ascii="Times" w:hAnsi="Times"/>
        </w:rPr>
        <w:t>).</w:t>
      </w:r>
    </w:p>
    <w:p w14:paraId="026BDFFD" w14:textId="77777777" w:rsidR="00041ADB" w:rsidRPr="00D23BF1" w:rsidRDefault="00041ADB" w:rsidP="00F20BE1">
      <w:pPr>
        <w:rPr>
          <w:rFonts w:ascii="Times" w:hAnsi="Times"/>
          <w:i/>
          <w:iCs/>
        </w:rPr>
      </w:pPr>
    </w:p>
    <w:p w14:paraId="7F7C98E4" w14:textId="77777777" w:rsidR="00041ADB" w:rsidRPr="00D23BF1" w:rsidRDefault="00041ADB" w:rsidP="00F20BE1">
      <w:pPr>
        <w:rPr>
          <w:rFonts w:ascii="Times" w:hAnsi="Times"/>
          <w:i/>
          <w:iCs/>
        </w:rPr>
      </w:pPr>
      <w:r w:rsidRPr="00D23BF1">
        <w:rPr>
          <w:rFonts w:ascii="Times" w:hAnsi="Times"/>
          <w:i/>
          <w:iCs/>
        </w:rPr>
        <w:t>Data analysis</w:t>
      </w:r>
    </w:p>
    <w:p w14:paraId="6A025492" w14:textId="77777777" w:rsidR="00041ADB" w:rsidRPr="00D23BF1" w:rsidRDefault="00041ADB" w:rsidP="00F20BE1">
      <w:pPr>
        <w:rPr>
          <w:rFonts w:ascii="Times" w:hAnsi="Times"/>
        </w:rPr>
      </w:pPr>
    </w:p>
    <w:p w14:paraId="76734B9D" w14:textId="77777777" w:rsidR="00041ADB" w:rsidRPr="00D23BF1" w:rsidRDefault="00041ADB" w:rsidP="00F20BE1">
      <w:pPr>
        <w:rPr>
          <w:rFonts w:ascii="Times" w:hAnsi="Times"/>
          <w:i/>
          <w:iCs/>
        </w:rPr>
      </w:pPr>
      <w:r w:rsidRPr="00D23BF1">
        <w:rPr>
          <w:rFonts w:ascii="Times" w:hAnsi="Times"/>
        </w:rPr>
        <w:t>To determine whether treatment had an effect on gut bacterial diversity (</w:t>
      </w:r>
      <w:r w:rsidRPr="00D23BF1">
        <w:rPr>
          <w:rFonts w:ascii="Times" w:hAnsi="Times"/>
          <w:vertAlign w:val="superscript"/>
        </w:rPr>
        <w:t>0-2</w:t>
      </w:r>
      <w:r w:rsidRPr="00D23BF1">
        <w:rPr>
          <w:rFonts w:ascii="Times" w:hAnsi="Times"/>
        </w:rPr>
        <w:t>D and Faith’s pd), food intake, and plasma corticosterone levels, we ran mixed linear models using the packages “lme4” and “</w:t>
      </w:r>
      <w:proofErr w:type="spellStart"/>
      <w:r w:rsidRPr="00D23BF1">
        <w:rPr>
          <w:rFonts w:ascii="Times" w:hAnsi="Times"/>
        </w:rPr>
        <w:t>nlme</w:t>
      </w:r>
      <w:proofErr w:type="spellEnd"/>
      <w:r w:rsidRPr="00D23BF1">
        <w:rPr>
          <w:rFonts w:ascii="Times" w:hAnsi="Times"/>
        </w:rPr>
        <w:t xml:space="preserve">” in R </w:t>
      </w:r>
      <w:r w:rsidRPr="00D23BF1">
        <w:rPr>
          <w:rFonts w:ascii="Times" w:hAnsi="Times"/>
        </w:rPr>
        <w:fldChar w:fldCharType="begin" w:fldLock="1"/>
      </w:r>
      <w:r w:rsidRPr="00D23BF1">
        <w:rPr>
          <w:rFonts w:ascii="Times" w:hAnsi="Times"/>
        </w:rPr>
        <w:instrText>ADDIN CSL_CITATION {"citationItems":[{"id":"ITEM-1","itemData":{"DOI":"10.1016/j.tibs.2011.05.003","ISBN":"0305-1048 (Print)\\n0305-1048 (Linking)","ISSN":"0968-0004","PMID":"21723731","abstract":"Chaperonins are ubiquitous chaperones found in Eubacteria, eukaryotic organelles (group I), Archaea and the eukaryotic cytosol (group II). They all share a common structure and a basic functional mechanism. Although a large amount of information has been gathered for the simpler group I, much less is known about group II chaperonins. Recent crystallographic and electron microscopy structures have provided new insights into the mechanism of these chaperonins and revealed important differences between group I and II chaperonins, mainly in the molecular rearrangements that take place during the functional cycle. These differences are evident for the most complex chaperonin, the eukaryotic cytosolic CCT, which highlights the uniqueness of this important molecular machine.","author":[{"dropping-particle":"","family":"Pinheiro J, Bates D, DebRoy S","given":"Sarkar D and R Core Team","non-dropping-particle":"","parse-names":false,"suffix":""}],"container-title":"R package version 3.1-131, https://CRAN.R-project.org/package=nlme.","id":"ITEM-1","issued":{"date-parts":[["2017"]]},"title":"nlme: Linear and Nonlinear Mixed Effects Models. R package version 3.1-131, https://CRAN.R-project.org/package=nlme.","type":"article-journal"},"uris":["http://www.mendeley.com/documents/?uuid=13c1115a-2985-4663-9a1f-c246c1aebd5b"]},{"id":"ITEM-2","itemData":{"DOI":"10.18637/jss.v067.i01","ISBN":"1548-7660","ISSN":"1548-7660","PMID":"20043131029","abstract":"Maximum likelihood or restricted maximum likelihood (REML) estimates of the parameters in linear mixed-effects models can be determined using the lmer function in the lme4 package for R. As for most model-fitting functions in R, the model is described in an lmer call by a formula, in this case including both fixed- and random-effects terms. The formula and data together determine a numerical representation of the model from which the profiled deviance or the profiled REML criterion can be evaluated as a function of some of the model parameters. The appropriate criterion is optimized, using one of the constrained optimization functions in R, to provide the parameter estimates. We describe the structure of the model, the steps in evaluating the profiled deviance or REML criterion, and the structure of classes or types that represents such a model. Sufficient detail is included to allow specialization of these structures by users who wish to write functions to fit specialized linear mixed models, such as models incorporating pedigrees or smoothing splines, that are not easily expressible in the formula language used by lmer.","author":[{"dropping-particle":"","family":"Bates","given":"Douglas","non-dropping-particle":"","parse-names":false,"suffix":""},{"dropping-particle":"","family":"Mächler","given":"Martin","non-dropping-particle":"","parse-names":false,"suffix":""},{"dropping-particle":"","family":"Bolker","given":"Ben","non-dropping-particle":"","parse-names":false,"suffix":""},{"dropping-particle":"","family":"Walker","given":"Steve","non-dropping-particle":"","parse-names":false,"suffix":""}],"container-title":"Journal of Statistical Software","id":"ITEM-2","issue":"1","issued":{"date-parts":[["2015"]]},"page":"51","title":"Fitting linear mixed-effects models using lme4","type":"article-journal","volume":"67"},"uris":["http://www.mendeley.com/documents/?uuid=66404503-3132-443a-9d19-b22e948a5f08"]}],"mendeley":{"formattedCitation":"&lt;sup&gt;43,44&lt;/sup&gt;","plainTextFormattedCitation":"43,44","previouslyFormattedCitation":"[43, 44]"},"properties":{"noteIndex":0},"schema":"https://github.com/citation-style-language/schema/raw/master/csl-citation.json"}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43,44</w:t>
      </w:r>
      <w:r w:rsidRPr="00D23BF1">
        <w:rPr>
          <w:rFonts w:ascii="Times" w:hAnsi="Times"/>
        </w:rPr>
        <w:fldChar w:fldCharType="end"/>
      </w:r>
      <w:r w:rsidRPr="00D23BF1">
        <w:rPr>
          <w:rFonts w:ascii="Times" w:hAnsi="Times"/>
        </w:rPr>
        <w:t>. We performed ANOVAs on our models to determine model significance. To determine specific significant relationships and their directions, we used a Tukey post-hoc test from the package “</w:t>
      </w:r>
      <w:proofErr w:type="spellStart"/>
      <w:r w:rsidRPr="00D23BF1">
        <w:rPr>
          <w:rFonts w:ascii="Times" w:hAnsi="Times"/>
        </w:rPr>
        <w:t>TukeyC</w:t>
      </w:r>
      <w:proofErr w:type="spellEnd"/>
      <w:r w:rsidRPr="00D23BF1">
        <w:rPr>
          <w:rFonts w:ascii="Times" w:hAnsi="Times"/>
        </w:rPr>
        <w:t xml:space="preserve">” in R </w:t>
      </w:r>
      <w:r w:rsidRPr="00D23BF1">
        <w:rPr>
          <w:rFonts w:ascii="Times" w:hAnsi="Times"/>
        </w:rPr>
        <w:fldChar w:fldCharType="begin" w:fldLock="1"/>
      </w:r>
      <w:r w:rsidRPr="00D23BF1">
        <w:rPr>
          <w:rFonts w:ascii="Times" w:hAnsi="Times"/>
        </w:rPr>
        <w:instrText>ADDIN CSL_CITATION {"citationItems":[{"id":"ITEM-1","itemData":{"abstract":"Perform the conventional Tukey test from aov and aovlist objects","author":[{"dropping-particle":"","family":"Faria","given":"Jose Claudio","non-dropping-particle":"","parse-names":false,"suffix":""},{"dropping-particle":"","family":"Jelihovschi","given":"Enio G.","non-dropping-particle":"","parse-names":false,"suffix":""},{"dropping-particle":"","family":"Allaman","given":"Ivan Bezerra","non-dropping-particle":"","parse-names":false,"suffix":""}],"container-title":"CRAN Repository","id":"ITEM-1","issued":{"date-parts":[["2015"]]},"title":"Package 'TukeyC'","type":"webpage"},"uris":["http://www.mendeley.com/documents/?uuid=e09c6bfe-fb70-4f40-8523-4a11164b0e6e"]}],"mendeley":{"formattedCitation":"&lt;sup&gt;45&lt;/sup&gt;","plainTextFormattedCitation":"45","previouslyFormattedCitation":"[45]"},"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45</w:t>
      </w:r>
      <w:r w:rsidRPr="00D23BF1">
        <w:rPr>
          <w:rFonts w:ascii="Times" w:hAnsi="Times"/>
        </w:rPr>
        <w:fldChar w:fldCharType="end"/>
      </w:r>
      <w:r w:rsidRPr="00D23BF1">
        <w:rPr>
          <w:rFonts w:ascii="Times" w:hAnsi="Times"/>
        </w:rPr>
        <w:t xml:space="preserve">. </w:t>
      </w:r>
    </w:p>
    <w:p w14:paraId="4028B96D" w14:textId="77777777" w:rsidR="00041ADB" w:rsidRPr="00D23BF1" w:rsidRDefault="00041ADB" w:rsidP="00F20BE1">
      <w:pPr>
        <w:rPr>
          <w:rFonts w:ascii="Times" w:hAnsi="Times"/>
        </w:rPr>
      </w:pPr>
      <w:r w:rsidRPr="00D23BF1">
        <w:rPr>
          <w:rFonts w:ascii="Times" w:hAnsi="Times"/>
        </w:rPr>
        <w:t xml:space="preserve">Then, to determine the relative impact of noise, stress hormones, and food intake on gut bacterial communities, we conducted a path analysis with the specific predictions that exposure to noise would increase alpha diversity, either directly, or indirectly through corticosterone and/or food intake. Path analysis is a form of structural equation modelling that is useful for comparing complex models and evaluating hypothesis that include causality </w:t>
      </w:r>
      <w:r w:rsidRPr="00D23BF1">
        <w:rPr>
          <w:rFonts w:ascii="Times" w:hAnsi="Times"/>
        </w:rPr>
        <w:fldChar w:fldCharType="begin" w:fldLock="1"/>
      </w:r>
      <w:r w:rsidRPr="00D23BF1">
        <w:rPr>
          <w:rFonts w:ascii="Times" w:hAnsi="Times"/>
        </w:rPr>
        <w:instrText>ADDIN CSL_CITATION {"citationItems":[{"id":"ITEM-1","itemData":{"author":[{"dropping-particle":"","family":"Streiner","given":"David L","non-dropping-particle":"","parse-names":false,"suffix":""}],"id":"ITEM-1","issue":"2","issued":{"date-parts":[["2005"]]},"title":"Finding Our Way : An Introduction to Path Analysis","type":"article-journal","volume":"50"},"uris":["http://www.mendeley.com/documents/?uuid=4584e551-6cbe-3eb2-ad16-9b81a9f6e747"]}],"mendeley":{"formattedCitation":"&lt;sup&gt;46&lt;/sup&gt;","plainTextFormattedCitation":"46","previouslyFormattedCitation":"[46]"},"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46</w:t>
      </w:r>
      <w:r w:rsidRPr="00D23BF1">
        <w:rPr>
          <w:rFonts w:ascii="Times" w:hAnsi="Times"/>
        </w:rPr>
        <w:fldChar w:fldCharType="end"/>
      </w:r>
      <w:r w:rsidRPr="00D23BF1">
        <w:rPr>
          <w:rFonts w:ascii="Times" w:hAnsi="Times"/>
        </w:rPr>
        <w:t>. For each order of q (</w:t>
      </w:r>
      <w:proofErr w:type="spellStart"/>
      <w:r w:rsidRPr="00D23BF1">
        <w:rPr>
          <w:rFonts w:ascii="Times" w:hAnsi="Times"/>
          <w:vertAlign w:val="superscript"/>
        </w:rPr>
        <w:t>q</w:t>
      </w:r>
      <w:r w:rsidRPr="00D23BF1">
        <w:rPr>
          <w:rFonts w:ascii="Times" w:hAnsi="Times"/>
        </w:rPr>
        <w:t>D</w:t>
      </w:r>
      <w:proofErr w:type="spellEnd"/>
      <w:r w:rsidRPr="00D23BF1">
        <w:rPr>
          <w:rFonts w:ascii="Times" w:hAnsi="Times"/>
        </w:rPr>
        <w:t>) we ran the full model with no interaction terms and included models for indirect relationships (</w:t>
      </w:r>
      <w:proofErr w:type="spellStart"/>
      <w:r w:rsidRPr="00D23BF1">
        <w:rPr>
          <w:rFonts w:ascii="Times" w:hAnsi="Times"/>
          <w:vertAlign w:val="superscript"/>
        </w:rPr>
        <w:t>q</w:t>
      </w:r>
      <w:r w:rsidRPr="00D23BF1">
        <w:rPr>
          <w:rFonts w:ascii="Times" w:hAnsi="Times"/>
        </w:rPr>
        <w:t>D</w:t>
      </w:r>
      <w:proofErr w:type="spellEnd"/>
      <w:r w:rsidRPr="00D23BF1">
        <w:rPr>
          <w:rFonts w:ascii="Times" w:hAnsi="Times"/>
        </w:rPr>
        <w:t xml:space="preserve"> ~ noise + </w:t>
      </w:r>
      <w:proofErr w:type="spellStart"/>
      <w:r w:rsidRPr="00D23BF1">
        <w:rPr>
          <w:rFonts w:ascii="Times" w:hAnsi="Times"/>
        </w:rPr>
        <w:t>cort</w:t>
      </w:r>
      <w:proofErr w:type="spellEnd"/>
      <w:r w:rsidRPr="00D23BF1">
        <w:rPr>
          <w:rFonts w:ascii="Times" w:hAnsi="Times"/>
        </w:rPr>
        <w:t xml:space="preserve"> + food intake, </w:t>
      </w:r>
      <w:proofErr w:type="spellStart"/>
      <w:r w:rsidRPr="00D23BF1">
        <w:rPr>
          <w:rFonts w:ascii="Times" w:hAnsi="Times"/>
        </w:rPr>
        <w:t>cort</w:t>
      </w:r>
      <w:proofErr w:type="spellEnd"/>
      <w:r w:rsidRPr="00D23BF1">
        <w:rPr>
          <w:rFonts w:ascii="Times" w:hAnsi="Times"/>
        </w:rPr>
        <w:t xml:space="preserve"> ~ noise, food intake ~ noise). In all models we included the order of treatments and bird ID nested within sex as random effects.</w:t>
      </w:r>
    </w:p>
    <w:p w14:paraId="755E59F2" w14:textId="77777777" w:rsidR="00041ADB" w:rsidRPr="00D23BF1" w:rsidRDefault="00041ADB" w:rsidP="00F20BE1">
      <w:pPr>
        <w:rPr>
          <w:rFonts w:ascii="Times" w:hAnsi="Times"/>
        </w:rPr>
      </w:pPr>
      <w:r w:rsidRPr="00D23BF1">
        <w:rPr>
          <w:rFonts w:ascii="Times" w:hAnsi="Times"/>
        </w:rPr>
        <w:t xml:space="preserve">Last, in order to determine whether beta diversity was different between treatment groups, we used the </w:t>
      </w:r>
      <w:proofErr w:type="spellStart"/>
      <w:r w:rsidRPr="00D23BF1">
        <w:rPr>
          <w:rFonts w:ascii="Times" w:hAnsi="Times"/>
        </w:rPr>
        <w:t>adonis</w:t>
      </w:r>
      <w:proofErr w:type="spellEnd"/>
      <w:r w:rsidRPr="00D23BF1">
        <w:rPr>
          <w:rFonts w:ascii="Times" w:hAnsi="Times"/>
        </w:rPr>
        <w:t xml:space="preserve"> function in vegan to perform a PERMANOVA on the four measures of beta diversity mentioned above </w:t>
      </w:r>
      <w:r w:rsidRPr="00D23BF1">
        <w:rPr>
          <w:rFonts w:ascii="Times" w:hAnsi="Times"/>
        </w:rPr>
        <w:fldChar w:fldCharType="begin" w:fldLock="1"/>
      </w:r>
      <w:r w:rsidRPr="00D23BF1">
        <w:rPr>
          <w:rFonts w:ascii="Times" w:hAnsi="Times"/>
        </w:rPr>
        <w:instrText>ADDIN CSL_CITATION {"citationItems":[{"id":"ITEM-1","itemData":{"DOI":"10.1038/sj.leu.2402722","ISBN":"0887-6924 (Print)\\r0887-6924 (Linking)","ISSN":"0887-6924","PMID":"12357343","abstract":"PML is the most frequent fusion partner of the RARalpha in the specific translocations associated with acute promyelocytic leukemia (APL). Models to explain the origin of this leukemia propose a block in cell differentiation due to aberrant repression of retinoic acid responsive genes and/or disruption of the function of the PML-containing nuclear bodies. Recently, PML has been identified as a regulator of replicative senescence and the premature senescence that occurs in response to oncogenic ras. This review discusses the idea that senescence is a general tumor suppressor mechanism related to terminal differentiation and disrupted during the establishment of APL and other cancers. According to this idea the PML-RARalpha fusion protein promotes leukemogenesis not only through repression of retinoic acid responsive genes, but also by way of interfering with several tumor suppressor proteins that cooperate to establish senescence. Retinoids and other drugs effective against APL do so by re-establishment of the senescence program, which also includes features of cell differentiation.","author":[{"dropping-particle":"","family":"Oksanen","given":"Jari","non-dropping-particle":"","parse-names":false,"suffix":""}],"container-title":"https://CRAN.R-project.org/package=vegan","id":"ITEM-1","issued":{"date-parts":[["2015"]]},"title":"Vegan: Community Ecology Package. R package version 2.4-3.","type":"article-journal"},"uris":["http://www.mendeley.com/documents/?uuid=c027f890-1620-4434-bde6-dde2c47d7ab2"]}],"mendeley":{"formattedCitation":"&lt;sup&gt;47&lt;/sup&gt;","plainTextFormattedCitation":"47","previouslyFormattedCitation":"[47]"},"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47</w:t>
      </w:r>
      <w:r w:rsidRPr="00D23BF1">
        <w:rPr>
          <w:rFonts w:ascii="Times" w:hAnsi="Times"/>
        </w:rPr>
        <w:fldChar w:fldCharType="end"/>
      </w:r>
      <w:r w:rsidRPr="00D23BF1">
        <w:rPr>
          <w:rFonts w:ascii="Times" w:hAnsi="Times"/>
        </w:rPr>
        <w:t xml:space="preserve">. </w:t>
      </w:r>
    </w:p>
    <w:p w14:paraId="3FAD8077" w14:textId="77777777" w:rsidR="00041ADB" w:rsidRPr="00D23BF1" w:rsidRDefault="00041ADB" w:rsidP="00F20BE1">
      <w:pPr>
        <w:rPr>
          <w:rFonts w:ascii="Times" w:hAnsi="Times"/>
        </w:rPr>
      </w:pPr>
    </w:p>
    <w:p w14:paraId="7E263044" w14:textId="77777777" w:rsidR="00041ADB" w:rsidRPr="00D23BF1" w:rsidRDefault="00041ADB" w:rsidP="00F20BE1">
      <w:pPr>
        <w:rPr>
          <w:rFonts w:ascii="Times" w:hAnsi="Times"/>
        </w:rPr>
      </w:pPr>
    </w:p>
    <w:p w14:paraId="1A169525" w14:textId="77777777" w:rsidR="00041ADB" w:rsidRPr="00D23BF1" w:rsidRDefault="00041ADB" w:rsidP="00F20BE1">
      <w:pPr>
        <w:pStyle w:val="Heading2"/>
        <w:rPr>
          <w:rFonts w:ascii="Times" w:hAnsi="Times"/>
        </w:rPr>
      </w:pPr>
      <w:bookmarkStart w:id="127" w:name="_Toc69972886"/>
      <w:r w:rsidRPr="00D23BF1">
        <w:rPr>
          <w:rFonts w:ascii="Times" w:hAnsi="Times"/>
        </w:rPr>
        <w:lastRenderedPageBreak/>
        <w:t>Results</w:t>
      </w:r>
      <w:bookmarkEnd w:id="127"/>
    </w:p>
    <w:p w14:paraId="6F646A68" w14:textId="77777777" w:rsidR="00041ADB" w:rsidRPr="00D23BF1" w:rsidRDefault="00041ADB" w:rsidP="00F20BE1">
      <w:pPr>
        <w:rPr>
          <w:rFonts w:ascii="Times" w:hAnsi="Times"/>
          <w:color w:val="FF0000"/>
        </w:rPr>
      </w:pPr>
    </w:p>
    <w:p w14:paraId="7A52F9EF" w14:textId="77777777" w:rsidR="00041ADB" w:rsidRPr="00D23BF1" w:rsidRDefault="00041ADB" w:rsidP="00F20BE1">
      <w:pPr>
        <w:rPr>
          <w:rFonts w:ascii="Times" w:hAnsi="Times"/>
          <w:i/>
          <w:iCs/>
        </w:rPr>
      </w:pPr>
      <w:r w:rsidRPr="00D23BF1">
        <w:rPr>
          <w:rFonts w:ascii="Times" w:hAnsi="Times"/>
          <w:i/>
          <w:iCs/>
        </w:rPr>
        <w:t>Some bacterial taxa were shared by a majority of birds</w:t>
      </w:r>
    </w:p>
    <w:p w14:paraId="5C4B443A" w14:textId="77777777" w:rsidR="00041ADB" w:rsidRPr="00D23BF1" w:rsidRDefault="00041ADB" w:rsidP="00F20BE1">
      <w:pPr>
        <w:rPr>
          <w:rFonts w:ascii="Times" w:hAnsi="Times"/>
          <w:iCs/>
        </w:rPr>
      </w:pPr>
    </w:p>
    <w:p w14:paraId="4E854F65" w14:textId="77777777" w:rsidR="00041ADB" w:rsidRPr="00D23BF1" w:rsidRDefault="00041ADB" w:rsidP="00F20BE1">
      <w:pPr>
        <w:rPr>
          <w:rFonts w:ascii="Times" w:hAnsi="Times"/>
          <w:iCs/>
        </w:rPr>
      </w:pPr>
      <w:r w:rsidRPr="00D23BF1">
        <w:rPr>
          <w:rFonts w:ascii="Times" w:hAnsi="Times"/>
          <w:iCs/>
        </w:rPr>
        <w:t xml:space="preserve">We found that the most common phyla among white-crowned sparrow individuals were Proteobacteria, Actinobacteria, Firmicutes, and </w:t>
      </w:r>
      <w:proofErr w:type="spellStart"/>
      <w:r w:rsidRPr="00D23BF1">
        <w:rPr>
          <w:rFonts w:ascii="Times" w:hAnsi="Times"/>
          <w:iCs/>
        </w:rPr>
        <w:t>Bacteroidota</w:t>
      </w:r>
      <w:proofErr w:type="spellEnd"/>
      <w:r w:rsidRPr="00D23BF1">
        <w:rPr>
          <w:rFonts w:ascii="Times" w:hAnsi="Times"/>
          <w:iCs/>
        </w:rPr>
        <w:t xml:space="preserve">. These four phyla were the only ones present in more than 50% of samples (Table 6; Table S2). The most prevalent (found in the highest number of samples) genera of bacteria were Staphylococcus (76% of samples), </w:t>
      </w:r>
      <w:proofErr w:type="spellStart"/>
      <w:r w:rsidRPr="00D23BF1">
        <w:rPr>
          <w:rFonts w:ascii="Times" w:hAnsi="Times"/>
          <w:i/>
        </w:rPr>
        <w:t>Rothia</w:t>
      </w:r>
      <w:proofErr w:type="spellEnd"/>
      <w:r w:rsidRPr="00D23BF1">
        <w:rPr>
          <w:rFonts w:ascii="Times" w:hAnsi="Times"/>
          <w:iCs/>
        </w:rPr>
        <w:t xml:space="preserve"> (71%), </w:t>
      </w:r>
      <w:proofErr w:type="spellStart"/>
      <w:r w:rsidRPr="00D23BF1">
        <w:rPr>
          <w:rFonts w:ascii="Times" w:hAnsi="Times"/>
          <w:i/>
        </w:rPr>
        <w:t>Pantoea</w:t>
      </w:r>
      <w:proofErr w:type="spellEnd"/>
      <w:r w:rsidRPr="00D23BF1">
        <w:rPr>
          <w:rFonts w:ascii="Times" w:hAnsi="Times"/>
          <w:iCs/>
        </w:rPr>
        <w:t xml:space="preserve"> (62%), </w:t>
      </w:r>
      <w:r w:rsidRPr="00D23BF1">
        <w:rPr>
          <w:rFonts w:ascii="Times" w:hAnsi="Times"/>
          <w:i/>
        </w:rPr>
        <w:t>Acinetobacter</w:t>
      </w:r>
      <w:r w:rsidRPr="00D23BF1">
        <w:rPr>
          <w:rFonts w:ascii="Times" w:hAnsi="Times"/>
          <w:iCs/>
        </w:rPr>
        <w:t xml:space="preserve"> (60%), and </w:t>
      </w:r>
      <w:r w:rsidRPr="00D23BF1">
        <w:rPr>
          <w:rFonts w:ascii="Times" w:hAnsi="Times"/>
          <w:i/>
        </w:rPr>
        <w:t>Corynebacterium</w:t>
      </w:r>
      <w:r w:rsidRPr="00D23BF1">
        <w:rPr>
          <w:rFonts w:ascii="Times" w:hAnsi="Times"/>
          <w:iCs/>
        </w:rPr>
        <w:t xml:space="preserve"> (54%). These genera also had some of the highest average abundances, although the highest average abundance was less than 10% (Table S3; Figure 13). </w:t>
      </w:r>
    </w:p>
    <w:p w14:paraId="6B43A5DD" w14:textId="77777777" w:rsidR="00041ADB" w:rsidRPr="00D23BF1" w:rsidRDefault="00041ADB" w:rsidP="00F20BE1">
      <w:pPr>
        <w:rPr>
          <w:rFonts w:ascii="Times" w:hAnsi="Times"/>
        </w:rPr>
      </w:pPr>
    </w:p>
    <w:p w14:paraId="1D3EF6C3" w14:textId="77777777" w:rsidR="00041ADB" w:rsidRPr="00D23BF1" w:rsidRDefault="00041ADB" w:rsidP="00F20BE1">
      <w:pPr>
        <w:rPr>
          <w:rFonts w:ascii="Times" w:hAnsi="Times"/>
          <w:i/>
          <w:iCs/>
        </w:rPr>
      </w:pPr>
      <w:r w:rsidRPr="00D23BF1">
        <w:rPr>
          <w:rFonts w:ascii="Times" w:hAnsi="Times"/>
          <w:i/>
          <w:iCs/>
        </w:rPr>
        <w:t>Gut bacterial communities varied across noise exposure treatments</w:t>
      </w:r>
    </w:p>
    <w:p w14:paraId="138D6AD6" w14:textId="77777777" w:rsidR="00041ADB" w:rsidRPr="00D23BF1" w:rsidRDefault="00041ADB" w:rsidP="00F20BE1">
      <w:pPr>
        <w:rPr>
          <w:rFonts w:ascii="Times" w:hAnsi="Times"/>
        </w:rPr>
      </w:pPr>
    </w:p>
    <w:p w14:paraId="33485EF9" w14:textId="77777777" w:rsidR="00041ADB" w:rsidRPr="00D23BF1" w:rsidRDefault="00041ADB" w:rsidP="00F20BE1">
      <w:pPr>
        <w:rPr>
          <w:rFonts w:ascii="Times" w:hAnsi="Times"/>
        </w:rPr>
      </w:pPr>
      <w:r w:rsidRPr="00D23BF1">
        <w:rPr>
          <w:rFonts w:ascii="Times" w:hAnsi="Times"/>
        </w:rPr>
        <w:t xml:space="preserve">We found that noise exposure treatment (i.e. acclimation, noise, recovery, and control) explained variation in </w:t>
      </w:r>
      <w:r w:rsidRPr="00D23BF1">
        <w:rPr>
          <w:rFonts w:ascii="Times" w:hAnsi="Times"/>
          <w:vertAlign w:val="superscript"/>
        </w:rPr>
        <w:t>1</w:t>
      </w:r>
      <w:r w:rsidRPr="00D23BF1">
        <w:rPr>
          <w:rFonts w:ascii="Times" w:hAnsi="Times"/>
        </w:rPr>
        <w:t xml:space="preserve">D and Faith’s phylogenetic diversity (ANOVA, </w:t>
      </w:r>
      <w:r w:rsidRPr="00D23BF1">
        <w:rPr>
          <w:rFonts w:ascii="Times" w:hAnsi="Times"/>
          <w:vertAlign w:val="superscript"/>
        </w:rPr>
        <w:t>1</w:t>
      </w:r>
      <w:r w:rsidRPr="00D23BF1">
        <w:rPr>
          <w:rFonts w:ascii="Times" w:hAnsi="Times"/>
        </w:rPr>
        <w:t xml:space="preserve">D F=3.2, </w:t>
      </w:r>
      <w:r w:rsidRPr="00D23BF1">
        <w:rPr>
          <w:rFonts w:ascii="Times" w:hAnsi="Times"/>
          <w:i/>
          <w:iCs/>
        </w:rPr>
        <w:t>P</w:t>
      </w:r>
      <w:r w:rsidRPr="00D23BF1">
        <w:rPr>
          <w:rFonts w:ascii="Times" w:hAnsi="Times"/>
        </w:rPr>
        <w:t xml:space="preserve">=0.03; faith pd F=4.4, </w:t>
      </w:r>
      <w:r w:rsidRPr="00D23BF1">
        <w:rPr>
          <w:rFonts w:ascii="Times" w:hAnsi="Times"/>
          <w:i/>
          <w:iCs/>
        </w:rPr>
        <w:t>P</w:t>
      </w:r>
      <w:r w:rsidRPr="00D23BF1">
        <w:rPr>
          <w:rFonts w:ascii="Times" w:hAnsi="Times"/>
        </w:rPr>
        <w:t xml:space="preserve">=0.007; Table 7, Table S4), and was close to significant for </w:t>
      </w:r>
      <w:r w:rsidRPr="00D23BF1">
        <w:rPr>
          <w:rFonts w:ascii="Times" w:hAnsi="Times"/>
          <w:vertAlign w:val="superscript"/>
        </w:rPr>
        <w:t>2</w:t>
      </w:r>
      <w:r w:rsidRPr="00D23BF1">
        <w:rPr>
          <w:rFonts w:ascii="Times" w:hAnsi="Times"/>
        </w:rPr>
        <w:t xml:space="preserve">D (ANOVA, </w:t>
      </w:r>
      <w:r w:rsidRPr="00D23BF1">
        <w:rPr>
          <w:rFonts w:ascii="Times" w:hAnsi="Times"/>
          <w:vertAlign w:val="superscript"/>
        </w:rPr>
        <w:t>2</w:t>
      </w:r>
      <w:r w:rsidRPr="00D23BF1">
        <w:rPr>
          <w:rFonts w:ascii="Times" w:hAnsi="Times"/>
        </w:rPr>
        <w:t>D F=</w:t>
      </w:r>
      <w:r w:rsidRPr="00D23BF1">
        <w:rPr>
          <w:rFonts w:ascii="Times" w:hAnsi="Times" w:cs="Calibri"/>
          <w:color w:val="000000"/>
        </w:rPr>
        <w:t xml:space="preserve"> </w:t>
      </w:r>
      <w:r w:rsidRPr="00D23BF1">
        <w:rPr>
          <w:rFonts w:ascii="Times" w:eastAsia="Times New Roman" w:hAnsi="Times" w:cs="Calibri"/>
          <w:color w:val="000000"/>
        </w:rPr>
        <w:t>2.7</w:t>
      </w:r>
      <w:r w:rsidRPr="00D23BF1">
        <w:rPr>
          <w:rFonts w:ascii="Times" w:hAnsi="Times"/>
        </w:rPr>
        <w:t xml:space="preserve">, </w:t>
      </w:r>
      <w:r w:rsidRPr="00D23BF1">
        <w:rPr>
          <w:rFonts w:ascii="Times" w:hAnsi="Times"/>
          <w:i/>
          <w:iCs/>
        </w:rPr>
        <w:t>P</w:t>
      </w:r>
      <w:r w:rsidRPr="00D23BF1">
        <w:rPr>
          <w:rFonts w:ascii="Times" w:hAnsi="Times"/>
        </w:rPr>
        <w:t>=0.06; Table 7, Table S4). A post-hoc comparison of alpha diversity across treatments revealed that the recovery period had the highest alpha diversity and was significantly higher than control for most measures of alpha diversity (Tukey post-hoc; Table 7; Table S4). To remind, our prediction was that alpha diversity would be highest during the noise treatment, and although alpha diversity was higher in noise than in control, it was highest during the recovery treatment (Figure 14), which is the period always immediately following noise exposure. We did not find a difference in beta diversity between treatments (PERMANOVA, Table S5).</w:t>
      </w:r>
    </w:p>
    <w:p w14:paraId="7A703804" w14:textId="77777777" w:rsidR="00041ADB" w:rsidRPr="00D23BF1" w:rsidRDefault="00041ADB" w:rsidP="00F20BE1">
      <w:pPr>
        <w:rPr>
          <w:rFonts w:ascii="Times" w:eastAsia="Times New Roman" w:hAnsi="Times" w:cstheme="minorHAnsi"/>
        </w:rPr>
      </w:pPr>
      <w:r w:rsidRPr="00D23BF1">
        <w:rPr>
          <w:rFonts w:ascii="Times" w:hAnsi="Times"/>
        </w:rPr>
        <w:tab/>
        <w:t xml:space="preserve">Predicted gut bacterial function also differed between treatment groups (LDA &gt; 3; Figure 15). Consistent with alpha diversity findings, the largest difference was seen between the control and recovery periods (11 genes different), suggesting a delayed effect of noise on the gut microbiome. However, an NSTI analysis showed that many of our samples had poor representation in the reference genome (average </w:t>
      </w:r>
      <w:r w:rsidRPr="00D23BF1">
        <w:rPr>
          <w:rFonts w:ascii="Times" w:hAnsi="Times" w:cstheme="minorHAnsi"/>
        </w:rPr>
        <w:t xml:space="preserve">NSTI = 0.17 </w:t>
      </w:r>
      <w:r w:rsidRPr="00D23BF1">
        <w:rPr>
          <w:rFonts w:ascii="Times" w:eastAsia="Times New Roman" w:hAnsi="Times" w:cstheme="minorHAnsi"/>
          <w:sz w:val="21"/>
          <w:szCs w:val="21"/>
          <w:shd w:val="clear" w:color="auto" w:fill="FDFDFD"/>
        </w:rPr>
        <w:t>±</w:t>
      </w:r>
      <w:r w:rsidRPr="00D23BF1">
        <w:rPr>
          <w:rFonts w:ascii="Times" w:eastAsia="Times New Roman" w:hAnsi="Times" w:cstheme="minorHAnsi"/>
        </w:rPr>
        <w:t xml:space="preserve"> 0.14; Table S6). </w:t>
      </w:r>
    </w:p>
    <w:p w14:paraId="3E21EF2F" w14:textId="77777777" w:rsidR="00041ADB" w:rsidRPr="00D23BF1" w:rsidRDefault="00041ADB" w:rsidP="00F20BE1">
      <w:pPr>
        <w:rPr>
          <w:rFonts w:ascii="Times" w:hAnsi="Times"/>
        </w:rPr>
      </w:pPr>
    </w:p>
    <w:p w14:paraId="36E1B01F" w14:textId="77777777" w:rsidR="00041ADB" w:rsidRPr="00D23BF1" w:rsidRDefault="00041ADB" w:rsidP="00F20BE1">
      <w:pPr>
        <w:rPr>
          <w:rFonts w:ascii="Times" w:hAnsi="Times"/>
          <w:i/>
          <w:iCs/>
        </w:rPr>
      </w:pPr>
      <w:r w:rsidRPr="00D23BF1">
        <w:rPr>
          <w:rFonts w:ascii="Times" w:hAnsi="Times"/>
          <w:i/>
          <w:iCs/>
        </w:rPr>
        <w:t xml:space="preserve">Noise exposure had direct effects on the microbiome </w:t>
      </w:r>
    </w:p>
    <w:p w14:paraId="0B2E6B22" w14:textId="77777777" w:rsidR="00041ADB" w:rsidRPr="00D23BF1" w:rsidRDefault="00041ADB" w:rsidP="00F20BE1">
      <w:pPr>
        <w:rPr>
          <w:rFonts w:ascii="Times" w:hAnsi="Times"/>
        </w:rPr>
      </w:pPr>
    </w:p>
    <w:p w14:paraId="0ED0B0FA" w14:textId="77777777" w:rsidR="00041ADB" w:rsidRPr="00D23BF1" w:rsidRDefault="00041ADB" w:rsidP="00F20BE1">
      <w:pPr>
        <w:rPr>
          <w:rFonts w:ascii="Times" w:hAnsi="Times"/>
        </w:rPr>
      </w:pPr>
      <w:r w:rsidRPr="00D23BF1">
        <w:rPr>
          <w:rFonts w:ascii="Times" w:hAnsi="Times"/>
        </w:rPr>
        <w:t xml:space="preserve">We predicted there would be indirect effects of noise exposure on alpha diversity via corticosterone and food intake. Because feeding behavior varied between the morning (when birds were exposed to noise) and the afternoon (when they were not), we examined this prediction considering total food intake and then morning and afternoon food intake separately.  In most of our models, we did not find support for our prediction that noise exposure would have an indirect effect on alpha diversity via corticosterone and/or feeding behavior. Instead, we found evidence for direct effects of noise exposure on alpha diversity, particularly when considering total food intake or afternoon food intake (Table S7, Figure 16). In the case of afternoon food intake, noise exposure treatment had direct effects on most measures of alpha diversity, except for </w:t>
      </w:r>
      <w:r w:rsidRPr="00D23BF1">
        <w:rPr>
          <w:rFonts w:ascii="Times" w:hAnsi="Times"/>
          <w:vertAlign w:val="superscript"/>
        </w:rPr>
        <w:t>0</w:t>
      </w:r>
      <w:r w:rsidRPr="00D23BF1">
        <w:rPr>
          <w:rFonts w:ascii="Times" w:hAnsi="Times"/>
        </w:rPr>
        <w:t xml:space="preserve">D (path analysis; Table S7; Figure 16). In the case of overall food intake, noise exposure treatment did have a direct effect, but only on Faith’s phylogenetic diversity (Table S7, Figure 16).  </w:t>
      </w:r>
    </w:p>
    <w:p w14:paraId="77220E14" w14:textId="77777777" w:rsidR="00041ADB" w:rsidRPr="00D23BF1" w:rsidRDefault="00041ADB" w:rsidP="00F20BE1">
      <w:pPr>
        <w:rPr>
          <w:rFonts w:ascii="Times" w:hAnsi="Times"/>
        </w:rPr>
      </w:pPr>
      <w:r w:rsidRPr="00D23BF1">
        <w:rPr>
          <w:rFonts w:ascii="Times" w:hAnsi="Times"/>
        </w:rPr>
        <w:t xml:space="preserve">When we examined the predicted effects of corticosterone and feeding behavior on alpha diversity, we did not find direct effects of corticosterone or food intake (afternoon or overall) </w:t>
      </w:r>
      <w:r w:rsidRPr="00D23BF1">
        <w:rPr>
          <w:rFonts w:ascii="Times" w:hAnsi="Times"/>
        </w:rPr>
        <w:lastRenderedPageBreak/>
        <w:t xml:space="preserve">on alpha diversity. The only model in which food intake was important was when noise exposure had an indirect effect on </w:t>
      </w:r>
      <w:r w:rsidRPr="00D23BF1">
        <w:rPr>
          <w:rFonts w:ascii="Times" w:hAnsi="Times"/>
          <w:vertAlign w:val="superscript"/>
        </w:rPr>
        <w:t>0</w:t>
      </w:r>
      <w:r w:rsidRPr="00D23BF1">
        <w:rPr>
          <w:rFonts w:ascii="Times" w:hAnsi="Times"/>
        </w:rPr>
        <w:t>D (richness) via morning food intake; however, this was not the case for any other measure of alpha diversity (Table S7, Figure 16).</w:t>
      </w:r>
    </w:p>
    <w:p w14:paraId="70831C5C" w14:textId="77777777" w:rsidR="00041ADB" w:rsidRPr="00D23BF1" w:rsidRDefault="00041ADB" w:rsidP="00F20BE1">
      <w:pPr>
        <w:rPr>
          <w:rFonts w:ascii="Times" w:hAnsi="Times"/>
          <w:color w:val="FF0000"/>
        </w:rPr>
      </w:pPr>
    </w:p>
    <w:p w14:paraId="70E3E271" w14:textId="77777777" w:rsidR="00041ADB" w:rsidRPr="00D23BF1" w:rsidRDefault="00041ADB" w:rsidP="00F20BE1">
      <w:pPr>
        <w:rPr>
          <w:rFonts w:ascii="Times" w:hAnsi="Times"/>
          <w:i/>
          <w:iCs/>
        </w:rPr>
      </w:pPr>
      <w:r w:rsidRPr="00D23BF1">
        <w:rPr>
          <w:rFonts w:ascii="Times" w:hAnsi="Times"/>
          <w:i/>
          <w:iCs/>
        </w:rPr>
        <w:t xml:space="preserve">Noise exposure had effects on </w:t>
      </w:r>
      <w:r w:rsidRPr="00D23BF1">
        <w:rPr>
          <w:rFonts w:ascii="Times" w:hAnsi="Times"/>
        </w:rPr>
        <w:t xml:space="preserve">corticosterone </w:t>
      </w:r>
      <w:r w:rsidRPr="00D23BF1">
        <w:rPr>
          <w:rFonts w:ascii="Times" w:hAnsi="Times"/>
          <w:i/>
          <w:iCs/>
        </w:rPr>
        <w:t>and food intake</w:t>
      </w:r>
    </w:p>
    <w:p w14:paraId="7172EDFA" w14:textId="77777777" w:rsidR="00041ADB" w:rsidRPr="00D23BF1" w:rsidRDefault="00041ADB" w:rsidP="00F20BE1">
      <w:pPr>
        <w:rPr>
          <w:rFonts w:ascii="Times" w:hAnsi="Times"/>
        </w:rPr>
      </w:pPr>
    </w:p>
    <w:p w14:paraId="6120836F" w14:textId="77777777" w:rsidR="00041ADB" w:rsidRPr="00D23BF1" w:rsidRDefault="00041ADB" w:rsidP="00F20BE1">
      <w:pPr>
        <w:rPr>
          <w:rFonts w:ascii="Times" w:hAnsi="Times"/>
        </w:rPr>
      </w:pPr>
      <w:r w:rsidRPr="00D23BF1">
        <w:rPr>
          <w:rFonts w:ascii="Times" w:hAnsi="Times"/>
        </w:rPr>
        <w:t xml:space="preserve">As predicted, we found that noise exposure had direct effects on corticosterone (path analysis; Table S7, Figure 16). corticosterone levels varied across treatments, such that corticosterone levels tended to be lowest during acclimation (the first treatment period for all birds) as compared to all other treatments (ANOVA, Tukey post-hoc, A vs R </w:t>
      </w:r>
      <w:r w:rsidRPr="00D23BF1">
        <w:rPr>
          <w:rFonts w:ascii="Times" w:hAnsi="Times"/>
          <w:i/>
          <w:iCs/>
        </w:rPr>
        <w:t>P</w:t>
      </w:r>
      <w:r w:rsidRPr="00D23BF1">
        <w:rPr>
          <w:rFonts w:ascii="Times" w:hAnsi="Times"/>
        </w:rPr>
        <w:t xml:space="preserve">=0.04, A vs C </w:t>
      </w:r>
      <w:r w:rsidRPr="00D23BF1">
        <w:rPr>
          <w:rFonts w:ascii="Times" w:hAnsi="Times"/>
          <w:i/>
          <w:iCs/>
        </w:rPr>
        <w:t>P</w:t>
      </w:r>
      <w:r w:rsidRPr="00D23BF1">
        <w:rPr>
          <w:rFonts w:ascii="Times" w:hAnsi="Times"/>
        </w:rPr>
        <w:t xml:space="preserve">=0.03; Table S8; Figure 17). Although corticosterone levels were not at their highest during noise exposure (as we predicted) they did increase with noise exposure and stayed elevated (Figure 16. 17). </w:t>
      </w:r>
    </w:p>
    <w:p w14:paraId="375F1DA7" w14:textId="77777777" w:rsidR="00041ADB" w:rsidRPr="00D23BF1" w:rsidRDefault="00041ADB" w:rsidP="00F20BE1">
      <w:pPr>
        <w:rPr>
          <w:rFonts w:ascii="Times" w:hAnsi="Times"/>
        </w:rPr>
      </w:pPr>
      <w:r w:rsidRPr="00D23BF1">
        <w:rPr>
          <w:rFonts w:ascii="Times" w:hAnsi="Times"/>
        </w:rPr>
        <w:t xml:space="preserve">We also found evidence for direct effects of noise exposure on feeding behavior (path analysis; </w:t>
      </w:r>
      <w:r w:rsidRPr="00D23BF1">
        <w:rPr>
          <w:rFonts w:ascii="Times" w:hAnsi="Times"/>
          <w:i/>
          <w:iCs/>
        </w:rPr>
        <w:t>P</w:t>
      </w:r>
      <w:r w:rsidRPr="00D23BF1">
        <w:rPr>
          <w:rFonts w:ascii="Times" w:hAnsi="Times"/>
        </w:rPr>
        <w:t xml:space="preserve">&lt;0.001; Table S7; Figure 16). We had predicted that if noise exposure directly affected feeding behavior, then food intake should go down during noise treatments. Consistent with this prediction, we found that food intake varied with treatment and tended to be highest during acclimation (at the start of the experiment) and lowest during the noise treatment (ANOVA, Tukey post-hoc, all acclimation comparisons </w:t>
      </w:r>
      <w:r w:rsidRPr="00D23BF1">
        <w:rPr>
          <w:rFonts w:ascii="Times" w:hAnsi="Times"/>
          <w:i/>
          <w:iCs/>
        </w:rPr>
        <w:t>P</w:t>
      </w:r>
      <w:r w:rsidRPr="00D23BF1">
        <w:rPr>
          <w:rFonts w:ascii="Times" w:hAnsi="Times"/>
        </w:rPr>
        <w:t xml:space="preserve">&lt;0.001; Table S9; Figure 18). However, inconsistent with this prediction was our finding that during the noise treatment, food intake was actually higher in the morning (when the birds were exposed to noise) than in the afternoon (when they were not). However, food intake in the mornings during noise treatment was still less than morning food intake during acclimation (Table S7, Fig 17, 18). </w:t>
      </w:r>
    </w:p>
    <w:p w14:paraId="570171D3" w14:textId="77777777" w:rsidR="00041ADB" w:rsidRPr="00D23BF1" w:rsidRDefault="00041ADB" w:rsidP="00F20BE1">
      <w:pPr>
        <w:rPr>
          <w:rFonts w:ascii="Times" w:hAnsi="Times"/>
        </w:rPr>
      </w:pPr>
    </w:p>
    <w:p w14:paraId="6D78838A" w14:textId="77777777" w:rsidR="00041ADB" w:rsidRPr="00D23BF1" w:rsidRDefault="00041ADB" w:rsidP="00F20BE1">
      <w:pPr>
        <w:pStyle w:val="Heading2"/>
        <w:rPr>
          <w:rFonts w:ascii="Times" w:hAnsi="Times"/>
        </w:rPr>
      </w:pPr>
      <w:bookmarkStart w:id="128" w:name="_Toc69972887"/>
      <w:r w:rsidRPr="00D23BF1">
        <w:rPr>
          <w:rFonts w:ascii="Times" w:hAnsi="Times"/>
        </w:rPr>
        <w:t>Discussion</w:t>
      </w:r>
      <w:bookmarkEnd w:id="128"/>
    </w:p>
    <w:p w14:paraId="435B47CF" w14:textId="77777777" w:rsidR="00041ADB" w:rsidRPr="00D23BF1" w:rsidRDefault="00041ADB" w:rsidP="00F20BE1">
      <w:pPr>
        <w:rPr>
          <w:rFonts w:ascii="Times" w:hAnsi="Times"/>
        </w:rPr>
      </w:pPr>
    </w:p>
    <w:p w14:paraId="1FDEA1A6" w14:textId="77777777" w:rsidR="00041ADB" w:rsidRPr="00D23BF1" w:rsidRDefault="00041ADB" w:rsidP="00F20BE1">
      <w:pPr>
        <w:rPr>
          <w:rFonts w:ascii="Times" w:hAnsi="Times"/>
        </w:rPr>
      </w:pPr>
      <w:r w:rsidRPr="00D23BF1">
        <w:rPr>
          <w:rFonts w:ascii="Times" w:hAnsi="Times"/>
        </w:rPr>
        <w:t xml:space="preserve">In our study we experimentally manipulated noise levels to examine potential causal relationships between noise exposure and gut microbiota, as well as potential mechanisms that might mediate this relationship, including stress hormones and food intake. We found evidence to support our prediction for a causal, positive relationship between noise and gut microbiota. We also found evidence that noise acts to increase corticosterone and decrease food intake. However, we did not find support for our prediction of an indirect effect of noise on gut microbial diversity via corticosterone and/or food intake; instead, noise appeared to act directly on the gut microbiome or, more likely, through an unmeasured variable. The timing of these effects was different as well, with the greatest effects of noise on gut microbial diversity, function and food intake being seen not during noise exposure but afterwards, in recovery periods. </w:t>
      </w:r>
    </w:p>
    <w:p w14:paraId="3AEC21CA" w14:textId="77777777" w:rsidR="00041ADB" w:rsidRPr="00D23BF1" w:rsidRDefault="00041ADB" w:rsidP="00F20BE1">
      <w:pPr>
        <w:rPr>
          <w:rFonts w:ascii="Times" w:hAnsi="Times"/>
        </w:rPr>
      </w:pPr>
      <w:r w:rsidRPr="00D23BF1">
        <w:rPr>
          <w:rFonts w:ascii="Times" w:hAnsi="Times"/>
        </w:rPr>
        <w:t xml:space="preserve">These results help to explain our previous findings that urban white-crowned sparrows have higher bacterial richness than rural sparrows. In our previous work, we found that noise levels were higher in urban areas, suggesting that birds in areas of higher noise levels have higher alpha diversity </w:t>
      </w:r>
      <w:r w:rsidRPr="00D23BF1">
        <w:rPr>
          <w:rFonts w:ascii="Times" w:hAnsi="Times"/>
        </w:rPr>
        <w:fldChar w:fldCharType="begin" w:fldLock="1"/>
      </w:r>
      <w:r w:rsidRPr="00D23BF1">
        <w:rPr>
          <w:rFonts w:ascii="Times" w:hAnsi="Times"/>
        </w:rPr>
        <w:instrText>ADDIN CSL_CITATION {"citationItems":[{"id":"ITEM-1","itemData":{"DOI":"10.3389/fevo.2018.00148","ISSN":"2296-701X","abstract":"Urban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using spatial analyses of land cover (impervious, scrub, grass, and trees) at the regional level and territory level in urban San Francisco, CA and nearby rural Point Reyes, CA. We hypothesized that urbanization of habitats affects gut microbial composition and diversity through direct effects on diet and/or indirect environmental effects. We measured gut microbial community diversity from 16s rRNA sequences amplified from cloacal swabs. We find that the urban and rural microbiomes are significantly different, such that the urban microbiome is more diverse than the rural microbiome. This relationship may be due to a more variable landscape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provides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Evolution","id":"ITEM-1","issue":"September","issued":{"date-parts":[["2018"]]},"page":"1-10","title":"The Effects of Landscape Urbanization on the Gut Microbiome: An Exploration Into the Gut of Urban and Rural White-Crowned Sparrows","type":"article-journal","volume":"6"},"uris":["http://www.mendeley.com/documents/?uuid=57a5183b-159d-4236-8f35-16ec70fd1a5b"]}],"mendeley":{"formattedCitation":"&lt;sup&gt;6&lt;/sup&gt;","plainTextFormattedCitation":"6","previouslyFormattedCitation":"[6]"},"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6</w:t>
      </w:r>
      <w:r w:rsidRPr="00D23BF1">
        <w:rPr>
          <w:rFonts w:ascii="Times" w:hAnsi="Times"/>
        </w:rPr>
        <w:fldChar w:fldCharType="end"/>
      </w:r>
      <w:r w:rsidRPr="00D23BF1">
        <w:rPr>
          <w:rFonts w:ascii="Times" w:hAnsi="Times"/>
        </w:rPr>
        <w:t xml:space="preserve">. However, in follow up work, we did not find a strong correlation between territory noise levels and alpha diversity; instead, habitat and morphological traits were more important in explaining variation in gut microbial diversity </w:t>
      </w:r>
      <w:r w:rsidRPr="00D23BF1">
        <w:rPr>
          <w:rFonts w:ascii="Times" w:hAnsi="Times"/>
        </w:rPr>
        <w:fldChar w:fldCharType="begin" w:fldLock="1"/>
      </w:r>
      <w:r w:rsidRPr="00D23BF1">
        <w:rPr>
          <w:rFonts w:ascii="Times" w:hAnsi="Times"/>
        </w:rPr>
        <w:instrText>ADDIN CSL_CITATION {"citationItems":[{"id":"ITEM-1","itemData":{"DOI":"10.1007/s00248-020-01569-8","ISSN":"1432184X","abstract":"Habitats are changing rapidly around the globe and urbanization is one of the primary drivers. Urbanization changes food availability, environmental stressors, and the prevalence of disease for many species. These changes can lead to divergence in phenotypic traits, including behavioral, physiological, and morphological features between urban and rural populations. Recent research highlights that urbanization is also changing the gut microbial communities found in a diverse group of host species. These changes have not been uniform, leaving uncertainty as to how urban habitats are shaping gut microbial communities. To better understand these effects, we investigated the gut bacterial communities of White-Crowned Sparrow (Zonotrichia leucophrys) populations along an urbanization gradient in the San Francisco Bay area. We examined how gut bacterial communities vary with the local environment and host morphological characteristics. We found direct effects of environmental factors, including urban noise levels and territory land cover, as well as indirect effects through body size and condition, on alpha and beta diversity of gut microbial communities. We also found that urban and rural birds’ microbiomes differed in which variables predicted their diversity, with urban communities driven by host morphology, and rural communities driven by environmental factors. Elucidating these effects provides a better understanding of how urbanization affects wild avian physiology.","author":[{"dropping-particle":"","family":"Berlow","given":"Mae","non-dropping-particle":"","parse-names":false,"suffix":""},{"dropping-particle":"","family":"Phillips","given":"Jennifer N.","non-dropping-particle":"","parse-names":false,"suffix":""},{"dropping-particle":"","family":"Derryberry","given":"Elizabeth P.","non-dropping-particle":"","parse-names":false,"suffix":""}],"container-title":"Microbial Ecology","id":"ITEM-1","issued":{"date-parts":[["2020"]]},"publisher":"Microbial Ecology","title":"Effects of Urbanization and Landscape on Gut Microbiomes in White-Crowned Sparrows","type":"article-journal"},"uris":["http://www.mendeley.com/documents/?uuid=c656f4b4-5239-4473-9592-ae645591f882"]}],"mendeley":{"formattedCitation":"&lt;sup&gt;24&lt;/sup&gt;","plainTextFormattedCitation":"24","previouslyFormattedCitation":"[24]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24</w:t>
      </w:r>
      <w:r w:rsidRPr="00D23BF1">
        <w:rPr>
          <w:rFonts w:ascii="Times" w:hAnsi="Times"/>
        </w:rPr>
        <w:fldChar w:fldCharType="end"/>
      </w:r>
      <w:r w:rsidRPr="00D23BF1">
        <w:rPr>
          <w:rFonts w:ascii="Times" w:hAnsi="Times"/>
        </w:rPr>
        <w:t xml:space="preserve">. The influence of these other aspects of a bird’s environment could obscure the role of individual variables such as noise levels. Experimentally testing the effect of individual aspects of urbanization on the gut microbiome should lead to a better understanding of what shapes gut microbial communities, particularly as the </w:t>
      </w:r>
      <w:r w:rsidRPr="00D23BF1">
        <w:rPr>
          <w:rFonts w:ascii="Times" w:hAnsi="Times"/>
        </w:rPr>
        <w:lastRenderedPageBreak/>
        <w:t xml:space="preserve">relationship between urbanization and gut microbial diversity appears to vary across systems </w:t>
      </w:r>
      <w:r w:rsidRPr="00D23BF1">
        <w:rPr>
          <w:rFonts w:ascii="Times" w:hAnsi="Times"/>
        </w:rPr>
        <w:fldChar w:fldCharType="begin" w:fldLock="1"/>
      </w:r>
      <w:r w:rsidRPr="00D23BF1">
        <w:rPr>
          <w:rFonts w:ascii="Times" w:hAnsi="Times"/>
        </w:rPr>
        <w:instrText>ADDIN CSL_CITATION {"citationItems":[{"id":"ITEM-1","itemData":{"DOI":"10.1016/j.scitotenv.2017.09.035","ISSN":"00489697","abstract":"Urbanisation represents one of the most radical forms of terrestrial land use change and has been shown to lead to alterations in ecosystem functioning and community dynamics and changes in individual phenotypic traits. While the recent surge in microbiome studies has brought about a paradigm shift by which individuals cannot truly be considered independently of the bacterial communities they host, the role of gut microbiota in organismal response to human-induced environmental change is still scarcely studied. Here, we applied a metabarcoding approach to examine the impact of urbanisation on the gut microbiota of Passer domesticus. We found urbanisation to be associated to lower microbiota species diversity, modifications in taxonomic composition and community structure, and changes in functional composition. The strength of these relationships, however, depended on the spatial scale and season at which they were considered. Such spatio-temporal effect suggests that urbanisation may dampen the natural seasonal variation of the gut microbiota observed in more pristine habitats, potentially influencing the fitness of urban organisms. Our results hence shed light on a hitherto little considered perspective, i.e. that the negative effects of urbanisation on city-dwelling organisms may extend to their microbiomes, causing potential dysbioses.","author":[{"dropping-particle":"","family":"Teyssier","given":"Aimeric","non-dropping-particle":"","parse-names":false,"suffix":""},{"dropping-particle":"","family":"Rouffaer","given":"Lieze Oscar","non-dropping-particle":"","parse-names":false,"suffix":""},{"dropping-particle":"","family":"Saleh Hudin","given":"Noraine","non-dropping-particle":"","parse-names":false,"suffix":""},{"dropping-particle":"","family":"Strubbe","given":"Diederik","non-dropping-particle":"","parse-names":false,"suffix":""},{"dropping-particle":"","family":"Matthysen","given":"Erik","non-dropping-particle":"","parse-names":false,"suffix":""},{"dropping-particle":"","family":"Lens","given":"Luc","non-dropping-particle":"","parse-names":false,"suffix":""},{"dropping-particle":"","family":"White","given":"Joël","non-dropping-particle":"","parse-names":false,"suffix":""}],"container-title":"Science of The Total Environment","id":"ITEM-1","issued":{"date-parts":[["2018"]]},"page":"1276-1286","publisher":"Elsevier B.V.","title":"Inside the guts of the city: Urban-induced alterations of the gut microbiota in a wild passerine","type":"article-journal","volume":"612"},"uris":["http://www.mendeley.com/documents/?uuid=0a16ed80-e088-46cb-8182-f6ebba9f38d7"]},{"id":"ITEM-2","itemData":{"DOI":"10.1111/mec.15240","ISSN":"1365294X","abstract":"Urbanisation is one of the most significant threats to biodiversity, due to the rapid and large-scale environmental alterations it imposes on the natural landscape. It is, therefore, imperative that we understand the consequences of and mechanisms by which, species can respond to it. In recent years, research has shown that plasticity of the gut microbiome may be an important mechanism by which animals can adapt to environmental change, yet empirical evidence of this in wild non-model species remains sparse. Using an empirical replicated study system, we show that city life alters the gut microbiome and stable isotope profiling of a wild native non-model species – the eastern water dragon (Intellagama lesueurii) in Queensland, Australia. City dragons exhibit a more diverse gut microbiome than their native habitat counterparts and show gut microbial signatures of a high fat and plant rich diet. Additionally, we also show that city dragons have elevated levels of the Nitrogen-15 isotope in their blood suggesting that a city diet, which incorporates novel anthropogenic food sources, may also be richer in protein. These results highlight the role that gut microbial plasticity plays in an animals' response to human-altered landscapes.","author":[{"dropping-particle":"","family":"Littleford-Colquhoun","given":"Bethan L.","non-dropping-particle":"","parse-names":false,"suffix":""},{"dropping-particle":"","family":"Weyrich","given":"Laura S.","non-dropping-particle":"","parse-names":false,"suffix":""},{"dropping-particle":"","family":"Kent","given":"Nicola","non-dropping-particle":"","parse-names":false,"suffix":""},{"dropping-particle":"","family":"Frere","given":"Celine H.","non-dropping-particle":"","parse-names":false,"suffix":""}],"container-title":"Molecular Ecology","id":"ITEM-2","issue":"20","issued":{"date-parts":[["2019"]]},"page":"4592-4607","title":"City life alters the gut microbiome and stable isotope profiling of the eastern water dragon (Intellagama lesueurii)","type":"article-journal","volume":"28"},"uris":["http://www.mendeley.com/documents/?uuid=a3f34b8b-b9b9-3c82-a021-64c6a6b70fa4"]},{"id":"ITEM-3","itemData":{"DOI":"10.1111/ibi.12807","ISSN":"1474919X","abstract":"Gut microbial communities play critical roles in the biological functions of their host, such as mediating nutrient absorption, digesting food components the host cannot, and offering protection against enteric pathogens. Extensive research on gut microbial communities has been conducted on mammals, including humans and rodents, but much less work has been done in birds. Furthermore, much of the research on host–microbe interactions make use of faecal samples and rectal/cloacal swabs as a proxy for intestinal samples, which can be difficult to obtain directly. However, little is known about the overlap between the microbial communities of the gut, faeces and swabs, which limits interpretability of results based on faecal samples and swabs. To address this gap in knowledge, we compared the microbiome from five sample types – proventriculus, small intestine, large intestine, cloacal swabs and faeces – across individual Zebra Finches Taeniopygia guttata housed in constant conditions with a standardized diet. We compared diversity and community composition through 16S rRNA gene sequencing. Our results show that microbial communities from both cloacal swabs and faeces were distinct from proventriculus and small intestinal samples, but generally indistinguishable from large intestinal samples, indicating that these non-lethal samples may be useful proxies for large intestinal bacterial communities. Gaining insight into non-invasive sampling techniques for passerines has implications for studies of gut microbial diversity and abundance in wild bird populations. Furthermore, reliable non-lethal sampling is necessary for experiments where repeated sampling is required.","author":[{"dropping-particle":"","family":"Berlow","given":"Mae","non-dropping-particle":"","parse-names":false,"suffix":""},{"dropping-particle":"","family":"Kohl","given":"Kevin D.","non-dropping-particle":"","parse-names":false,"suffix":""},{"dropping-particle":"","family":"Derryberry","given":"Elizabeth P.","non-dropping-particle":"","parse-names":false,"suffix":""}],"container-title":"Ibis","id":"ITEM-3","issued":{"date-parts":[["2019","12","3"]]},"page":"ibi.12807","title":"Evaluation of non-lethal gut microbiome sampling methods in a passerine bird","type":"article-journal"},"uris":["http://www.mendeley.com/documents/?uuid=8964466e-d674-3773-8b40-73d72dfff6ef"]}],"mendeley":{"formattedCitation":"&lt;sup&gt;5,7,33&lt;/sup&gt;","plainTextFormattedCitation":"5,7,33","previouslyFormattedCitation":"[5, 7, 33]"},"properties":{"noteIndex":0},"schema":"https://github.com/citation-style-language/schema/raw/master/csl-citation.json"}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lang w:val="da-DK"/>
        </w:rPr>
        <w:t>5,7,33</w:t>
      </w:r>
      <w:r w:rsidRPr="00D23BF1">
        <w:rPr>
          <w:rFonts w:ascii="Times" w:hAnsi="Times"/>
        </w:rPr>
        <w:fldChar w:fldCharType="end"/>
      </w:r>
      <w:r w:rsidRPr="00D23BF1">
        <w:rPr>
          <w:rFonts w:ascii="Times" w:hAnsi="Times"/>
          <w:lang w:val="da-DK"/>
        </w:rPr>
        <w:t xml:space="preserve">. </w:t>
      </w:r>
      <w:r w:rsidRPr="00D23BF1">
        <w:rPr>
          <w:rFonts w:ascii="Times" w:hAnsi="Times"/>
        </w:rPr>
        <w:t>Here, our experiment isolated noise from other variables associated with the urban-rural gradient, such as diet (</w:t>
      </w:r>
      <w:proofErr w:type="spellStart"/>
      <w:r w:rsidRPr="00D23BF1">
        <w:rPr>
          <w:rFonts w:ascii="Times" w:hAnsi="Times"/>
        </w:rPr>
        <w:t>Teyssier</w:t>
      </w:r>
      <w:proofErr w:type="spellEnd"/>
      <w:r w:rsidRPr="00D23BF1">
        <w:rPr>
          <w:rFonts w:ascii="Times" w:hAnsi="Times"/>
        </w:rPr>
        <w:t xml:space="preserve"> et al 2020), and showed that noise alone does explain variation in gut microbiota, specifically with exposure to noise increasing alpha diversity and shifting bacterial function (</w:t>
      </w:r>
      <w:r w:rsidRPr="00D23BF1">
        <w:rPr>
          <w:rFonts w:ascii="Times" w:eastAsia="Times New Roman" w:hAnsi="Times" w:cstheme="minorHAnsi"/>
        </w:rPr>
        <w:t xml:space="preserve">however, high NSTI values indicate that accuracy of functional results </w:t>
      </w:r>
      <w:proofErr w:type="gramStart"/>
      <w:r w:rsidRPr="00D23BF1">
        <w:rPr>
          <w:rFonts w:ascii="Times" w:eastAsia="Times New Roman" w:hAnsi="Times" w:cstheme="minorHAnsi"/>
        </w:rPr>
        <w:t>are</w:t>
      </w:r>
      <w:proofErr w:type="gramEnd"/>
      <w:r w:rsidRPr="00D23BF1">
        <w:rPr>
          <w:rFonts w:ascii="Times" w:eastAsia="Times New Roman" w:hAnsi="Times" w:cstheme="minorHAnsi"/>
        </w:rPr>
        <w:t xml:space="preserve"> limited, and thus our interpretation is restricted)</w:t>
      </w:r>
      <w:r w:rsidRPr="00D23BF1">
        <w:rPr>
          <w:rFonts w:ascii="Times" w:hAnsi="Times"/>
        </w:rPr>
        <w:t xml:space="preserve">. This experimental finding is consistent with our original work with wild birds (Phillips </w:t>
      </w:r>
      <w:r w:rsidRPr="00D23BF1">
        <w:rPr>
          <w:rFonts w:ascii="Times" w:hAnsi="Times"/>
          <w:i/>
          <w:iCs/>
        </w:rPr>
        <w:t>et al</w:t>
      </w:r>
      <w:r w:rsidRPr="00D23BF1">
        <w:rPr>
          <w:rFonts w:ascii="Times" w:hAnsi="Times"/>
        </w:rPr>
        <w:t xml:space="preserve">. 2018), that suggested a positive relationship between noise levels and alpha diversity. Our work highlights the importance of considering noise levels when investigating variation in gut microbial communities across urbanization gradients.   </w:t>
      </w:r>
    </w:p>
    <w:p w14:paraId="0FD91CF9" w14:textId="77777777" w:rsidR="00041ADB" w:rsidRPr="00D23BF1" w:rsidRDefault="00041ADB" w:rsidP="00F20BE1">
      <w:pPr>
        <w:rPr>
          <w:rFonts w:ascii="Times" w:hAnsi="Times"/>
        </w:rPr>
      </w:pPr>
      <w:r w:rsidRPr="00D23BF1">
        <w:rPr>
          <w:rFonts w:ascii="Times" w:hAnsi="Times"/>
        </w:rPr>
        <w:t xml:space="preserve">Noise exposure increased plasma corticosterone levels; and this effect had residual consequences in that corticosterone levels remained elevated even after noise playback stopped. A study on wild white-crowned sparrows found that male birds had higher baseline corticosterone levels in urban areas as compared to nearby rural areas </w:t>
      </w:r>
      <w:r w:rsidRPr="00D23BF1">
        <w:rPr>
          <w:rFonts w:ascii="Times" w:hAnsi="Times"/>
        </w:rPr>
        <w:fldChar w:fldCharType="begin" w:fldLock="1"/>
      </w:r>
      <w:r w:rsidRPr="00D23BF1">
        <w:rPr>
          <w:rFonts w:ascii="Times" w:hAnsi="Times"/>
        </w:rPr>
        <w:instrText>ADDIN CSL_CITATION {"citationItems":[{"id":"ITEM-1","itemData":{"DOI":"10.1093/beheco/arl050","ISBN":"1045-2249","ISSN":"10452249","abstract":"The vast majority of species are excluded from human-dominated landscapes,\\nbut some species persist and appear to thrive, despite facing challenges\\nthey would not encounter in less disturbed habitat. Corticosteroid\\n(cort) secretion may play a significant role in enabling an animal\\nto cope with urban breeding habitat because it helps mediate physiological\\nand behavioral responses to environmental challenges. Here we present\\ntests of 3 hypotheses relating to cort secretion in urban animals:\\n1) environmental challenges vary between urban and rural habitat,\\nas reflected in differing levels of cort secretion in animals breeding\\nin these habitat types, 2) there are fitness correlates associated\\nwith variation in cort levels within populations, and 3) parasite\\nload is one of the mechanistic links between variation in cort levels\\nand reproductive success. Male white-crowned sparrows (Zonotrichia\\nleucophrys) in urban habitat had significantly higher baseline corticosterone\\nlevels than males in rural habitat, whereas female Z. leucophrys'\\nhormone levels did not differ between the 2 habitat types. To assess\\nthe fitness correlates of variation in hormone levels, we monitored\\nseasonal reproductive success in one urban population and found that\\nbaseline corticosterone levels were predictive of female, but not\\nmale, reproductive success: females with higher corticosterone fledged\\nfewer offspring. Data do not suggest a direct relationship between\\ncorticosterone levels and fitness and instead indicate an indirect\\nrelationship between hormone secretion, territory quality, body condition,\\nand reproductive success. Females with blood parasites had lower\\nheterophil:lymphocyte ratios, lower body condition scores, fewer\\nmates, and fledged fewer offspring than females without parasites.\\nIn contrast, parasites did not negatively affect reproductive success\\nin males but were associated with reduced body condition. Corticosterone\\nlevels did not differ between birds with and without parasites. In\\ntests of all 3 of our hypotheses, we found sex-specific effects,\\nhighlighting the importance of considering sex in investigation of\\nphysiological responses to disturbance.","author":[{"dropping-particle":"","family":"Bonier","given":"Frances","non-dropping-particle":"","parse-names":false,"suffix":""},{"dropping-particle":"","family":"Martin","given":"Paul R.","non-dropping-particle":"","parse-names":false,"suffix":""},{"dropping-particle":"","family":"Sheldon","given":"Kimberly S.","non-dropping-particle":"","parse-names":false,"suffix":""},{"dropping-particle":"","family":"Jensen","given":"Jay P.","non-dropping-particle":"","parse-names":false,"suffix":""},{"dropping-particle":"","family":"Foltz","given":"Sarah L.","non-dropping-particle":"","parse-names":false,"suffix":""},{"dropping-particle":"","family":"Wingfield","given":"John C.","non-dropping-particle":"","parse-names":false,"suffix":""}],"container-title":"Behavioral Ecology","id":"ITEM-1","issue":"1","issued":{"date-parts":[["2007"]]},"page":"121-129","title":"Sex-specific consequences of life in the city","type":"article-journal","volume":"18"},"uris":["http://www.mendeley.com/documents/?uuid=3a25b5f4-f258-4c49-b81a-697f00ff5fd7"]}],"mendeley":{"formattedCitation":"&lt;sup&gt;48&lt;/sup&gt;","plainTextFormattedCitation":"48","previouslyFormattedCitation":"[48]"},"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48</w:t>
      </w:r>
      <w:r w:rsidRPr="00D23BF1">
        <w:rPr>
          <w:rFonts w:ascii="Times" w:hAnsi="Times"/>
        </w:rPr>
        <w:fldChar w:fldCharType="end"/>
      </w:r>
      <w:r w:rsidRPr="00D23BF1">
        <w:rPr>
          <w:rFonts w:ascii="Times" w:hAnsi="Times"/>
        </w:rPr>
        <w:t xml:space="preserve">. In fact, the Bonier </w:t>
      </w:r>
      <w:r w:rsidRPr="00D23BF1">
        <w:rPr>
          <w:rFonts w:ascii="Times" w:hAnsi="Times"/>
          <w:i/>
          <w:iCs/>
        </w:rPr>
        <w:t>et al</w:t>
      </w:r>
      <w:r w:rsidRPr="00D23BF1">
        <w:rPr>
          <w:rFonts w:ascii="Times" w:hAnsi="Times"/>
        </w:rPr>
        <w:t xml:space="preserve">. (2007) study was conducted in the same locations and on same species as our own work </w:t>
      </w:r>
      <w:r w:rsidRPr="00D23BF1">
        <w:rPr>
          <w:rFonts w:ascii="Times" w:hAnsi="Times"/>
        </w:rPr>
        <w:fldChar w:fldCharType="begin" w:fldLock="1"/>
      </w:r>
      <w:r w:rsidRPr="00D23BF1">
        <w:rPr>
          <w:rFonts w:ascii="Times" w:hAnsi="Times"/>
        </w:rPr>
        <w:instrText>ADDIN CSL_CITATION {"citationItems":[{"id":"ITEM-1","itemData":{"DOI":"10.1007/s00248-020-01569-8","ISSN":"1432184X","abstract":"Habitats are changing rapidly around the globe and urbanization is one of the primary drivers. Urbanization changes food availability, environmental stressors, and the prevalence of disease for many species. These changes can lead to divergence in phenotypic traits, including behavioral, physiological, and morphological features between urban and rural populations. Recent research highlights that urbanization is also changing the gut microbial communities found in a diverse group of host species. These changes have not been uniform, leaving uncertainty as to how urban habitats are shaping gut microbial communities. To better understand these effects, we investigated the gut bacterial communities of White-Crowned Sparrow (Zonotrichia leucophrys) populations along an urbanization gradient in the San Francisco Bay area. We examined how gut bacterial communities vary with the local environment and host morphological characteristics. We found direct effects of environmental factors, including urban noise levels and territory land cover, as well as indirect effects through body size and condition, on alpha and beta diversity of gut microbial communities. We also found that urban and rural birds’ microbiomes differed in which variables predicted their diversity, with urban communities driven by host morphology, and rural communities driven by environmental factors. Elucidating these effects provides a better understanding of how urbanization affects wild avian physiology.","author":[{"dropping-particle":"","family":"Berlow","given":"Mae","non-dropping-particle":"","parse-names":false,"suffix":""},{"dropping-particle":"","family":"Phillips","given":"Jennifer N.","non-dropping-particle":"","parse-names":false,"suffix":""},{"dropping-particle":"","family":"Derryberry","given":"Elizabeth P.","non-dropping-particle":"","parse-names":false,"suffix":""}],"container-title":"Microbial Ecology","id":"ITEM-1","issued":{"date-parts":[["2020"]]},"publisher":"Microbial Ecology","title":"Effects of Urbanization and Landscape on Gut Microbiomes in White-Crowned Sparrows","type":"article-journal"},"uris":["http://www.mendeley.com/documents/?uuid=c656f4b4-5239-4473-9592-ae645591f882"]}],"mendeley":{"formattedCitation":"&lt;sup&gt;24&lt;/sup&gt;","plainTextFormattedCitation":"24","previouslyFormattedCitation":"[24]"},"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24</w:t>
      </w:r>
      <w:r w:rsidRPr="00D23BF1">
        <w:rPr>
          <w:rFonts w:ascii="Times" w:hAnsi="Times"/>
        </w:rPr>
        <w:fldChar w:fldCharType="end"/>
      </w:r>
      <w:r w:rsidRPr="00D23BF1">
        <w:rPr>
          <w:rFonts w:ascii="Times" w:hAnsi="Times"/>
        </w:rPr>
        <w:t xml:space="preserve">, and captive birds used for this study were also collected from locations in the same urban populations. Although the Bonier </w:t>
      </w:r>
      <w:r w:rsidRPr="00D23BF1">
        <w:rPr>
          <w:rFonts w:ascii="Times" w:hAnsi="Times"/>
          <w:i/>
          <w:iCs/>
        </w:rPr>
        <w:t>et al</w:t>
      </w:r>
      <w:r w:rsidRPr="00D23BF1">
        <w:rPr>
          <w:rFonts w:ascii="Times" w:hAnsi="Times"/>
        </w:rPr>
        <w:t xml:space="preserve">. (2007) study did not explore possible mechanisms underlying the relationship between urbanization and corticosterone levels, our results suggest that as there is higher background noise in urban areas </w:t>
      </w:r>
      <w:r w:rsidRPr="00D23BF1">
        <w:rPr>
          <w:rFonts w:ascii="Times" w:hAnsi="Times"/>
        </w:rPr>
        <w:fldChar w:fldCharType="begin" w:fldLock="1"/>
      </w:r>
      <w:r w:rsidRPr="00D23BF1">
        <w:rPr>
          <w:rFonts w:ascii="Times" w:hAnsi="Times"/>
        </w:rPr>
        <w:instrText>ADDIN CSL_CITATION {"citationItems":[{"id":"ITEM-1","itemData":{"DOI":"10.1371/journal.pone.0154456","ISBN":"1932-6203","ISSN":"19326203","PMID":"27128443","abstract":"Soundscapes pose both evolutionarily recent and long-standing sources of selection on acoustic communication. We currently know more about the impact of evolutionarily recent human-generated noise on communication than we do about how natural sounds such as pounding surf have shaped communication signals over evolutionary time. Based on signal detection theory, we hypothesized that acoustic phenotypes will vary with both anthropogenic and natural background noise levels and that similar mechanisms of cultural evolution and/or behavioral flexibility may underlie this variation. We studied song characteristics of white-crowned sparrows (Zonotrichia leucophrys nuttalli) across a noise gradient that includes both anthropogenic and natural sources of noise in San Francisco and Marin counties, California, USA. Both anthropogenic and natural soundscapes contain high amplitude low frequency noise (traffic or surf, respectively), so we predicted that birds would produce songs with higher minimum frequencies in areas with higher amplitude background noise to avoid auditory masking. We also anticipated that song minimum frequencies would be higher than the projected lower frequency limit of hearing based on site-specific masking profiles. Background noise was a strong predictor of song minimum frequency, both within a local noise gradient of three urban sites with the same song dialect and cultural evolutionary history, and across the regional noise gradient, which encompasses 11 urban and rural sites, several dialects, and several anthropogenic and natural sources of noise. Among rural sites alone, background noise tended to predict song minimum frequency, indicating that urban sites were not solely responsible for driving the regional pattern. These findings support the hypothesis that songs vary with local and regional soundscapes regardless of the source of noise. Song minimum frequency from five core study sites was also higher than the lower frequency limit of hearing at each site, further supporting the hypothesis that songs vary to transmit through noise in local soundscapes. Minimum frequencies leveled off at noisier sites, suggesting that minimum frequencies are constrained to an upper limit, possibly to retain the information content of wider bandwidths. We found evidence that site noise was a better predictor of song minimum frequency than territory noise in both anthropogenic and natural soundscapes, suggesting that cultural evolution rather than imme…","author":[{"dropping-particle":"","family":"Derryberry","given":"Elizabeth P.","non-dropping-particle":"","parse-names":false,"suffix":""},{"dropping-particle":"","family":"Danner","given":"Raymond M.","non-dropping-particle":"","parse-names":false,"suffix":""},{"dropping-particle":"","family":"Danner","given":"Julie E.","non-dropping-particle":"","parse-names":false,"suffix":""},{"dropping-particle":"","family":"Derryberry","given":"Graham E.","non-dropping-particle":"","parse-names":false,"suffix":""},{"dropping-particle":"","family":"Phillips","given":"Jennifer N.","non-dropping-particle":"","parse-names":false,"suffix":""},{"dropping-particle":"","family":"Lipshutz","given":"Sara E.","non-dropping-particle":"","parse-names":false,"suffix":""},{"dropping-particle":"","family":"Gentry","given":"Katherine","non-dropping-particle":"","parse-names":false,"suffix":""},{"dropping-particle":"","family":"Luther","given":"David A.","non-dropping-particle":"","parse-names":false,"suffix":""}],"container-title":"PLoS ONE","id":"ITEM-1","issue":"4","issued":{"date-parts":[["2016"]]},"page":"1-17","title":"Patterns of song across natural and anthropogenic soundscapes suggest that white-crowned sparrows minimize acoustic masking and maximize signal content","type":"article-journal","volume":"11"},"uris":["http://www.mendeley.com/documents/?uuid=4c9919ef-78ba-4bd0-8847-977a8ced62e3"]}],"mendeley":{"formattedCitation":"&lt;sup&gt;26&lt;/sup&gt;","plainTextFormattedCitation":"26","previouslyFormattedCitation":"[26]"},"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26</w:t>
      </w:r>
      <w:r w:rsidRPr="00D23BF1">
        <w:rPr>
          <w:rFonts w:ascii="Times" w:hAnsi="Times"/>
        </w:rPr>
        <w:fldChar w:fldCharType="end"/>
      </w:r>
      <w:r w:rsidRPr="00D23BF1">
        <w:rPr>
          <w:rFonts w:ascii="Times" w:hAnsi="Times"/>
        </w:rPr>
        <w:t xml:space="preserve">. </w:t>
      </w:r>
      <w:proofErr w:type="gramStart"/>
      <w:r w:rsidRPr="00D23BF1">
        <w:rPr>
          <w:rFonts w:ascii="Times" w:hAnsi="Times"/>
        </w:rPr>
        <w:t>Thus</w:t>
      </w:r>
      <w:proofErr w:type="gramEnd"/>
      <w:r w:rsidRPr="00D23BF1">
        <w:rPr>
          <w:rFonts w:ascii="Times" w:hAnsi="Times"/>
        </w:rPr>
        <w:t xml:space="preserve"> noise may be one of the factors contributing to higher baseline corticosterone in some urban birds. Our study also adds to general knowledge of the relationship between noise and corticosterone, with some studies showing that noise increases corticosterone levels </w:t>
      </w:r>
      <w:r w:rsidRPr="00D23BF1">
        <w:rPr>
          <w:rFonts w:ascii="Times" w:hAnsi="Times"/>
        </w:rPr>
        <w:fldChar w:fldCharType="begin" w:fldLock="1"/>
      </w:r>
      <w:r w:rsidRPr="00D23BF1">
        <w:rPr>
          <w:rFonts w:ascii="Times" w:hAnsi="Times"/>
        </w:rPr>
        <w:instrText>ADDIN CSL_CITATION {"citationItems":[{"id":"ITEM-1","itemData":{"DOI":"10.1371/journal.pone.0050462","ISBN":"1932-6203","ISSN":"19326203","PMID":"23185627","abstract":"There is increasing evidence that individuals in many species avoid areas exposed to chronic anthropogenic noise, but the impact of noise on those who remain in these habitats is unclear. One potential impact is chronic physiological stress, which can affect disease resistance, survival and reproductive success. Previous studies have found evidence of elevated stress-related hormones (glucocorticoids) in wildlife exposed to human activities, but the impacts of noise alone are difficult to separate from confounding factors. Here we used an experimental playback study to isolate the impacts of noise from industrial activity (natural gas drilling and road noise) on glucocorticoid levels in greater sage-grouse (Centrocercus urophasianus), a species of conservation concern. We non-invasively measured immunoreactive corticosterone metabolites from fecal samples (FCMs) of males on both noise-treated and control leks (display grounds) in two breeding seasons. We found strong support for an impact of noise playback on stress levels, with 16.7% higher mean FCM levels in samples from noise leks compared with samples from paired control leks. Taken together with results from a previous study finding declines in male lek attendance in response to noise playbacks, these results suggest that chronic noise pollution can cause greater sage-grouse to avoid otherwise suitable habitat, and can cause elevated stress levels in the birds who remain in noisy areas.","author":[{"dropping-particle":"","family":"Blickley","given":"Jessica L.","non-dropping-particle":"","parse-names":false,"suffix":""},{"dropping-particle":"","family":"Word","given":"Karen R.","non-dropping-particle":"","parse-names":false,"suffix":""},{"dropping-particle":"","family":"Krakauer","given":"Alan H.","non-dropping-particle":"","parse-names":false,"suffix":""},{"dropping-particle":"","family":"Phillips","given":"Jennifer L.","non-dropping-particle":"","parse-names":false,"suffix":""},{"dropping-particle":"","family":"Sells","given":"Sarah N.","non-dropping-particle":"","parse-names":false,"suffix":""},{"dropping-particle":"","family":"Taff","given":"Conor C.","non-dropping-particle":"","parse-names":false,"suffix":""},{"dropping-particle":"","family":"Wingfield","given":"John C.","non-dropping-particle":"","parse-names":false,"suffix":""},{"dropping-particle":"","family":"Patricelli","given":"Gail L.","non-dropping-particle":"","parse-names":false,"suffix":""}],"container-title":"PLoS ONE","id":"ITEM-1","issue":"11","issued":{"date-parts":[["2012"]]},"note":"Higher fecal CORT due to noise playback","title":"Experimental Chronic Noise Is Related to Elevated Fecal Corticosteroid Metabolites in Lekking Male Greater Sage-Grouse (Centrocercus urophasianus)","type":"article-journal","volume":"7"},"uris":["http://www.mendeley.com/documents/?uuid=8d67e352-f2ea-445c-aaef-83ae9beded47"]},{"id":"ITEM-2","itemData":{"DOI":"10.2754/avb200978010093","ISBN":"0001-7213","ISSN":"00017213","abstract":"Stress effects from acute noise exposure were monitored in a group of ROSS 308 broiler chickens (n = 80), aged 42 days. The experiment simulated slaughterhouse sounds to which the broilers were exposed for 10 min in the test enclosure. Effects of acute noise exposure at two different levels (80 dB and 100 dB) were evaluated on the basis of examinations of selected biochemical plasma indicators and tonic immobility tests. Noise stimuli of both 80 dB and 100 dB intensities for 10 min induced a significant elevation in plasma corticosterone levels. Broilers that were exposed to noise stimuli of 100 dB also exhibited a significant increase in the cholesterol level and total protein level. Exposure to noise stimuli did not influence the glucose level and triglyceride concentrations. The duration of tonic immobility was not affected by noise stimuli in our experiment. However, noise exposure at a 100 dB level decreased the number of attempts to induce tonic immobility in broilers.","author":[{"dropping-particle":"","family":"Chloupek","given":"Petr","non-dropping-particle":"","parse-names":false,"suffix":""},{"dropping-particle":"","family":"Voslářová","given":"Eva","non-dropping-particle":"","parse-names":false,"suffix":""},{"dropping-particle":"","family":"Chloupek","given":"Jan","non-dropping-particle":"","parse-names":false,"suffix":""},{"dropping-particle":"","family":"Bedáňová","given":"Iveta","non-dropping-particle":"","parse-names":false,"suffix":""},{"dropping-particle":"","family":"Pištěková","given":"Vladimíra","non-dropping-particle":"","parse-names":false,"suffix":""},{"dropping-particle":"","family":"Večerek","given":"Vladimír","non-dropping-particle":"","parse-names":false,"suffix":""}],"container-title":"Acta Veterinaria Brno","id":"ITEM-2","issue":"1","issued":{"date-parts":[["2009"]]},"note":"short (10min) intense noise = higher CORT","page":"93-98","title":"Stress in broiler chickens due to acute noise exposure","type":"article-journal","volume":"78"},"uris":["http://www.mendeley.com/documents/?uuid=047a9922-b7f8-4d36-a75b-368b716d6441"]}],"mendeley":{"formattedCitation":"&lt;sup&gt;4,8&lt;/sup&gt;","plainTextFormattedCitation":"4,8","previouslyFormattedCitation":"[4, 8]"},"properties":{"noteIndex":0},"schema":"https://github.com/citation-style-language/schema/raw/master/csl-citation.json"}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4,8</w:t>
      </w:r>
      <w:r w:rsidRPr="00D23BF1">
        <w:rPr>
          <w:rFonts w:ascii="Times" w:hAnsi="Times"/>
        </w:rPr>
        <w:fldChar w:fldCharType="end"/>
      </w:r>
      <w:r w:rsidRPr="00D23BF1">
        <w:rPr>
          <w:rFonts w:ascii="Times" w:hAnsi="Times"/>
        </w:rPr>
        <w:t xml:space="preserve">, and others showing there is no relationship </w:t>
      </w:r>
      <w:r w:rsidRPr="00D23BF1">
        <w:rPr>
          <w:rFonts w:ascii="Times" w:hAnsi="Times"/>
        </w:rPr>
        <w:fldChar w:fldCharType="begin" w:fldLock="1"/>
      </w:r>
      <w:r w:rsidRPr="00D23BF1">
        <w:rPr>
          <w:rFonts w:ascii="Times" w:hAnsi="Times"/>
        </w:rPr>
        <w:instrText>ADDIN CSL_CITATION {"citationItems":[{"id":"ITEM-1","itemData":{"ISBN":"0091-7648","ISSN":"00917648","abstract":"The California spotted owl (Strix occidentalis occidentalis) is a focal management species in Sierra Nevada national forests. To protect the owl from human activity, the United States Forest Service has proposed guidelines that would prohibit timber harvest and road or trail construction within 400 m of active owl nest sites during the breeding season. To guide these efforts, we tested the physiological stress response of 9 nonbreeding wild male owls to the sound of a chainsaw operated 100 m from their roost site, using change in fecal cor- ticosterone level (ng/g dry feces) as the response variable. We employed a cross-over experimental design to control differences for among individuals. Chainsaw exposure did not result in a detectable increase in fecal corticosterone level (F1,7=0.01, P=0.94). These findings corroborate results of a field study that suggested spotted owls can tolerate low- intensity human sound in their environment without eliciting a physiological stress response. However, activities producing chronic and intense noise (e.g., timber harvest, road construction), which might elicit such a response, were not simulated in our experi- ment. The effects of these activities on California spotted owls will require further research","author":[{"dropping-particle":"","family":"Tempel","given":"Douglas J","non-dropping-particle":"","parse-names":false,"suffix":""},{"dropping-particle":"","family":"Gutierrez","given":"R J","non-dropping-particle":"","parse-names":false,"suffix":""}],"container-title":"Wildlife Society Bulletin","id":"ITEM-1","issue":"3","issued":{"date-parts":[["2003"]]},"note":"low intensity chainsaw noise did not elevate fecal CORT in owls","page":"698-702","title":"Fecal corticosterone levels in California spotted owls exposed to low-intensity chainsaw sound","type":"article-journal","volume":"31"},"uris":["http://www.mendeley.com/documents/?uuid=a8509237-bf5f-4085-8602-a518030e4f06"]}],"mendeley":{"formattedCitation":"&lt;sup&gt;12&lt;/sup&gt;","plainTextFormattedCitation":"12","previouslyFormattedCitation":"[12]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12</w:t>
      </w:r>
      <w:r w:rsidRPr="00D23BF1">
        <w:rPr>
          <w:rFonts w:ascii="Times" w:hAnsi="Times"/>
        </w:rPr>
        <w:fldChar w:fldCharType="end"/>
      </w:r>
      <w:r w:rsidRPr="00D23BF1">
        <w:rPr>
          <w:rFonts w:ascii="Times" w:hAnsi="Times"/>
        </w:rPr>
        <w:t xml:space="preserve"> depending on the duration and intensity of the noise exposure. These studies examined a range of noise amplitudes and durations, from 10 minutes to 24hrs/day for weeks at a time. Noise levels have generally been chosen according to biological relevance in each system, for example 24/7 drilling sounds on a sage-grouse lek </w:t>
      </w:r>
      <w:r w:rsidRPr="00D23BF1">
        <w:rPr>
          <w:rFonts w:ascii="Times" w:hAnsi="Times"/>
        </w:rPr>
        <w:fldChar w:fldCharType="begin" w:fldLock="1"/>
      </w:r>
      <w:r w:rsidRPr="00D23BF1">
        <w:rPr>
          <w:rFonts w:ascii="Times" w:hAnsi="Times"/>
        </w:rPr>
        <w:instrText>ADDIN CSL_CITATION {"citationItems":[{"id":"ITEM-1","itemData":{"DOI":"10.1371/journal.pone.0050462","ISBN":"1932-6203","ISSN":"19326203","PMID":"23185627","abstract":"There is increasing evidence that individuals in many species avoid areas exposed to chronic anthropogenic noise, but the impact of noise on those who remain in these habitats is unclear. One potential impact is chronic physiological stress, which can affect disease resistance, survival and reproductive success. Previous studies have found evidence of elevated stress-related hormones (glucocorticoids) in wildlife exposed to human activities, but the impacts of noise alone are difficult to separate from confounding factors. Here we used an experimental playback study to isolate the impacts of noise from industrial activity (natural gas drilling and road noise) on glucocorticoid levels in greater sage-grouse (Centrocercus urophasianus), a species of conservation concern. We non-invasively measured immunoreactive corticosterone metabolites from fecal samples (FCMs) of males on both noise-treated and control leks (display grounds) in two breeding seasons. We found strong support for an impact of noise playback on stress levels, with 16.7% higher mean FCM levels in samples from noise leks compared with samples from paired control leks. Taken together with results from a previous study finding declines in male lek attendance in response to noise playbacks, these results suggest that chronic noise pollution can cause greater sage-grouse to avoid otherwise suitable habitat, and can cause elevated stress levels in the birds who remain in noisy areas.","author":[{"dropping-particle":"","family":"Blickley","given":"Jessica L.","non-dropping-particle":"","parse-names":false,"suffix":""},{"dropping-particle":"","family":"Word","given":"Karen R.","non-dropping-particle":"","parse-names":false,"suffix":""},{"dropping-particle":"","family":"Krakauer","given":"Alan H.","non-dropping-particle":"","parse-names":false,"suffix":""},{"dropping-particle":"","family":"Phillips","given":"Jennifer L.","non-dropping-particle":"","parse-names":false,"suffix":""},{"dropping-particle":"","family":"Sells","given":"Sarah N.","non-dropping-particle":"","parse-names":false,"suffix":""},{"dropping-particle":"","family":"Taff","given":"Conor C.","non-dropping-particle":"","parse-names":false,"suffix":""},{"dropping-particle":"","family":"Wingfield","given":"John C.","non-dropping-particle":"","parse-names":false,"suffix":""},{"dropping-particle":"","family":"Patricelli","given":"Gail L.","non-dropping-particle":"","parse-names":false,"suffix":""}],"container-title":"PLoS ONE","id":"ITEM-1","issue":"11","issued":{"date-parts":[["2012"]]},"note":"Higher fecal CORT due to noise playback","title":"Experimental Chronic Noise Is Related to Elevated Fecal Corticosteroid Metabolites in Lekking Male Greater Sage-Grouse (Centrocercus urophasianus)","type":"article-journal","volume":"7"},"uris":["http://www.mendeley.com/documents/?uuid=8d67e352-f2ea-445c-aaef-83ae9beded47"]}],"mendeley":{"formattedCitation":"&lt;sup&gt;8&lt;/sup&gt;","plainTextFormattedCitation":"8","previouslyFormattedCitation":"[8]"},"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8</w:t>
      </w:r>
      <w:r w:rsidRPr="00D23BF1">
        <w:rPr>
          <w:rFonts w:ascii="Times" w:hAnsi="Times"/>
        </w:rPr>
        <w:fldChar w:fldCharType="end"/>
      </w:r>
      <w:r w:rsidRPr="00D23BF1">
        <w:rPr>
          <w:rFonts w:ascii="Times" w:hAnsi="Times"/>
        </w:rPr>
        <w:t xml:space="preserve">. We chose relatively long exposure times in the morning and a noise profile to mimic traffic patterns. However, had our treatment periods been longer than five days it may have better reflected life on an urban territory, and we may have observed corticosterone levels peak during noise treatment with a return to lower baseline corticosterone during recovery. The question of how noise affects stress hormones would benefit from an in-depth examination of what duration and intensity of noise triggers a glucocorticoid response, as this would guide experimental design in studies examining down-stream effects of noise stress. What is clear is that noise can trigger a hormonal stress response, and thus is likely to be involved in the physiological consequences of urbanization. </w:t>
      </w:r>
    </w:p>
    <w:p w14:paraId="17394717" w14:textId="77777777" w:rsidR="00041ADB" w:rsidRPr="00D23BF1" w:rsidRDefault="00041ADB" w:rsidP="00F20BE1">
      <w:pPr>
        <w:rPr>
          <w:rFonts w:ascii="Times" w:hAnsi="Times"/>
        </w:rPr>
      </w:pPr>
      <w:r w:rsidRPr="00D23BF1">
        <w:rPr>
          <w:rFonts w:ascii="Times" w:hAnsi="Times"/>
        </w:rPr>
        <w:t xml:space="preserve">Our finding that food intake was reduced during periods of noise playback supported our prediction that noise would affect feeding behavior. This finding is consistent with studies in other systems that find various measures of foraging behavior are impacted by noise exposure </w:t>
      </w:r>
      <w:r w:rsidRPr="00D23BF1">
        <w:rPr>
          <w:rFonts w:ascii="Times" w:hAnsi="Times"/>
        </w:rPr>
        <w:fldChar w:fldCharType="begin" w:fldLock="1"/>
      </w:r>
      <w:r w:rsidRPr="00D23BF1">
        <w:rPr>
          <w:rFonts w:ascii="Times" w:hAnsi="Times"/>
        </w:rPr>
        <w:instrText>ADDIN CSL_CITATION {"citationItems":[{"id":"ITEM-1","itemData":{"DOI":"10.1038/srep30602","ISSN":"2045-2322","PMID":"27537709","abstract":"Anthropogenic noise has been increasing globally. Laboratory experiments suggest that noise disrupts foraging behavior across a range of species, but to reveal the full impacts of noise, we must examine the impacts of noise on foraging behavior among species in the wild. Owls are widespread nocturnal top predators and use prey rustling sounds for localizing prey when hunting. We conducted field experiments to examine the effect of traffic noise on owls' ability to detect prey. Results suggest that foraging efficiency declines with increasing traffic noise levels due to acoustic masking and/or distraction and aversion to traffic noise. Moreover, we estimate that effects of traffic noise on owls' ability to detect prey reach &gt;120</w:instrText>
      </w:r>
      <w:r w:rsidRPr="00D23BF1">
        <w:rPr>
          <w:rFonts w:ascii="Times New Roman" w:hAnsi="Times New Roman" w:cs="Times New Roman"/>
        </w:rPr>
        <w:instrText> </w:instrText>
      </w:r>
      <w:r w:rsidRPr="00D23BF1">
        <w:rPr>
          <w:rFonts w:ascii="Times" w:hAnsi="Times"/>
        </w:rPr>
        <w:instrText>m from a road, which is larger than the distance estimated from captive studies with bats. Our study provides the first evidence that noise reduces foraging efficiency in wild animals, and highlights the possible pervasive impacts of noise.","author":[{"dropping-particle":"","family":"Senzaki","given":"Masayuki","non-dropping-particle":"","parse-names":false,"suffix":""},{"dropping-particle":"","family":"Yamaura","given":"Yuichi","non-dropping-particle":"","parse-names":false,"suffix":""},{"dropping-particle":"","family":"Francis","given":"Clinton D.","non-dropping-particle":"","parse-names":false,"suffix":""},{"dropping-particle":"","family":"Nakamura","given":"Futoshi","non-dropping-particle":"","parse-names":false,"suffix":""}],"container-title":"Scientific Reports","id":"ITEM-1","issue":"1","issued":{"date-parts":[["2016"]]},"note":"·      Played prey rustling noises with and without traffic noise accompaniment \n·      Prey detectability wend down as noise went up \n·      Nosie is louder closer to roads, thus prey detectability would be lower closer to roads","page":"30602","publisher":"Nature Publishing Group","title":"Traffic noise reduces foraging efficiency in wild owls","type":"article-journal","volume":"6"},"uris":["http://www.mendeley.com/documents/?uuid=cec73e9d-80e4-45db-be83-e859fca875b1"]},{"id":"ITEM-2","itemData":{"DOI":"10.1371/journal.pone.0017478","ISBN":"1932-6203","ISSN":"19326203","PMID":"21386909","abstract":"Acoustic noise is known to have a variety of detrimental effects on many animals, including humans, but surprisingly little is known about its impacts on foraging behaviour, despite the obvious potential consequences for survival and reproductive success. We therefore exposed captive three-spined sticklebacks (Gasterosteus aculeatus) to brief and prolonged noise to investigate how foraging performance is affected by the addition of acoustic noise to an otherwise quiet environment. The addition of noise induced only mild fear-related behaviours - there was an increase in startle responses, but no change in the time spent freezing or hiding compared to a silent control - and thus had no significant impact on the total amount of food eaten. However, there was strong evidence that the addition of noise increased food-handling errors and reduced discrimination between food and non-food items, results that are consistent with a shift in attention. Consequently, noise resulted in decreased foraging efficiency, with more attacks needed to consume the same number of prey items. Our results suggest that acoustic noise has the potential to influence a whole host of everyday activities through effects on attention, and that even very brief noise exposure can cause functionally significant impacts, emphasising the threat posed by ever-increasing levels of anthropogenic noise in the environment.","author":[{"dropping-particle":"","family":"Purser","given":"Julia","non-dropping-particle":"","parse-names":false,"suffix":""},{"dropping-particle":"","family":"Radford","given":"Andrew N.","non-dropping-particle":"","parse-names":false,"suffix":""}],"container-title":"PLoS ONE","id":"ITEM-2","issue":"2","issued":{"date-parts":[["2011"]]},"note":"great intro with all the ways noise could affect foraging\n\nin sticklebacks, noise did not reduce food intake, but did increase food handling errors","title":"Acoustic noise induces attention shifts and reduces foraging performance in three-spined sticklebacks (gasterosteus aculeatus)","type":"article-journal","volume":"6"},"uris":["http://www.mendeley.com/documents/?uuid=1c909fb1-b900-46e6-acb1-f19a3ef89538"]},{"id":"ITEM-3","itemData":{"DOI":"10.1111/j.2006.0908-8857.03781.x","ISSN":"09088857","abstract":"Background noise should in theory hinder detection of auditory cues associated with approaching danger. We tested whether foraging chaffinches Fringilla coelebs responded to background noise by increasing vigilance, and examined whether this was explained by predation risk compensation or by a novel stimulus hypothesis. The former predicts that only inter-scan interval should be modified in the presence of background noise, not vigilance levels generally. This is because noise hampers auditory cue detection and increases perceived predation risk primarily when in the head-down position, and also because previous tests have shown that only interscan interval is correlated with predator detection ability in this system. Chaffinches only modified interscan interval supporting this hypothesis. At the same time they made significantly fewer pecks when feeding during the background noise treatment and so the increased vigilance led to a reduction in intake rate, suggesting that compensating for the increased predation risk could indirectly lead to a fitness cost. Finally, the novel stimulus hypothesis predicts that chaffinches should habituate to the noise, which did not occur within a trial or over 5 subsequent trials. We conclude that auditory cues may be an important component of the trade-off between vigilance and feeding, and discuss possible implications for anti-predation theory and ecological processes. © Journal of Avian Biology.","author":[{"dropping-particle":"","family":"L. Quinn","given":"John","non-dropping-particle":"","parse-names":false,"suffix":""},{"dropping-particle":"","family":"J. Whittingham","given":"Mark","non-dropping-particle":"","parse-names":false,"suffix":""},{"dropping-particle":"","family":"J. Butler","given":"Simon","non-dropping-particle":"","parse-names":false,"suffix":""},{"dropping-particle":"","family":"Cresswell","given":"Will","non-dropping-particle":"","parse-names":false,"suffix":""}],"container-title":"Journal of Avian Biology","id":"ITEM-3","issue":"6","issued":{"date-parts":[["2006"]]},"page":"601-608","title":"Noise, predation risk compensation and vigilance in the chaffinch Fringilla coelebs","type":"article-journal","volume":"37"},"uris":["http://www.mendeley.com/documents/?uuid=893e6448-db3d-4995-8513-2f4b13aa8289"]},{"id":"ITEM-4","itemData":{"DOI":"10.1098/rspb.2013.2290","ISSN":"14712954","abstract":"Many authors have suggested that the negative effects of roads on animals are largely owing to traffic noise. Although suggestive, most past studies of the effects of road noise on wildlife were conducted in the presence of the other confounding effects of roads, such as visual disturbance, collisions and chemical pollution among others. We present, to our knowledge, the first study to experimentally apply traffic noise to a roadless area at a landscape scale-thus avoiding the other confounding aspects of roads present in past studies. We replicated the sound of a roadway at intervals-alternating 4 days of noise on with 4 days off-during the autumn migratory period using a 0.5 km array of speakers within an established stopover site in southern Idaho. We conducted daily bird surveys along our 'Phantom Road' and in a nearby control site. We document over a one-quarter decline in bird abundance and almost complete avoidance by some species between noise-on and noise-off periods along the phantom road and no such effects at control sites-suggesting that traffic noise is a major driver of effects of roads on populations of animals. © 2013 The Author(s) Published by the Royal Society.","author":[{"dropping-particle":"","family":"McClure","given":"Christopher J.W.","non-dropping-particle":"","parse-names":false,"suffix":""},{"dropping-particle":"","family":"Ware","given":"Heidi E.","non-dropping-particle":"","parse-names":false,"suffix":""},{"dropping-particle":"","family":"Carlisle","given":"Jay","non-dropping-particle":"","parse-names":false,"suffix":""},{"dropping-particle":"","family":"Kaltenecker","given":"Gregory","non-dropping-particle":"","parse-names":false,"suffix":""},{"dropping-particle":"","family":"Barber","given":"Jesse R.","non-dropping-particle":"","parse-names":false,"suffix":""}],"container-title":"Proceedings of the Royal Society B: Biological Sciences","id":"ITEM-4","issue":"1773","issued":{"date-parts":[["2013"]]},"title":"An experimental investigation into the effects of traffic noise on distributions of birds: Avoiding the phantom road","type":"article-journal","volume":"280"},"uris":["http://www.mendeley.com/documents/?uuid=b7932f30-7d58-405e-98a2-0ddcba81adca"]}],"mendeley":{"formattedCitation":"&lt;sup&gt;2,13,15,49&lt;/sup&gt;","plainTextFormattedCitation":"2,13,15,49","previouslyFormattedCitation":"[2, 13, 15, 49]"},"properties":{"noteIndex":0},"schema":"https://github.com/citation-style-language/schema/raw/master/csl-citation.json"}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lang w:val="da-DK"/>
        </w:rPr>
        <w:t>2,13,15,49</w:t>
      </w:r>
      <w:r w:rsidRPr="00D23BF1">
        <w:rPr>
          <w:rFonts w:ascii="Times" w:hAnsi="Times"/>
        </w:rPr>
        <w:fldChar w:fldCharType="end"/>
      </w:r>
      <w:r w:rsidRPr="00D23BF1">
        <w:rPr>
          <w:rFonts w:ascii="Times" w:hAnsi="Times"/>
          <w:lang w:val="da-DK"/>
        </w:rPr>
        <w:t xml:space="preserve">. </w:t>
      </w:r>
      <w:r w:rsidRPr="00D23BF1">
        <w:rPr>
          <w:rFonts w:ascii="Times" w:hAnsi="Times"/>
        </w:rPr>
        <w:t xml:space="preserve">Specifically, white-crowned sparrows have been experimentally shown to decrease foraging duration during short (8 minutes) noise playbacks at amplitudes lower than our experiment (61 and 55 </w:t>
      </w:r>
      <w:proofErr w:type="spellStart"/>
      <w:r w:rsidRPr="00D23BF1">
        <w:rPr>
          <w:rFonts w:ascii="Times" w:hAnsi="Times"/>
        </w:rPr>
        <w:t>dbA</w:t>
      </w:r>
      <w:proofErr w:type="spellEnd"/>
      <w:r w:rsidRPr="00D23BF1">
        <w:rPr>
          <w:rFonts w:ascii="Times" w:hAnsi="Times"/>
        </w:rPr>
        <w:t>)</w:t>
      </w:r>
      <w:r w:rsidRPr="00D23BF1">
        <w:rPr>
          <w:rFonts w:ascii="Times" w:hAnsi="Times"/>
          <w:lang w:val="da-DK"/>
        </w:rPr>
        <w:fldChar w:fldCharType="begin" w:fldLock="1"/>
      </w:r>
      <w:r w:rsidRPr="00D23BF1">
        <w:rPr>
          <w:rFonts w:ascii="Times" w:hAnsi="Times"/>
        </w:rPr>
        <w:instrText>ADDIN CSL_CITATION {"citationItems":[{"id":"ITEM-1","itemData":{"DOI":"10.1073/pnas.1504710112","ISBN":"0711232105","ISSN":"0027-8424","PMID":"26324924","abstract":"Decades of research demonstrate that roads impact wildlife and suggest traffic noise as a primary cause of population declines near roads. We created a \"phantom road\" using an array of speakers to apply traffic noise to a roadless landscape, directly testing the effect of noise alone on an entire songbird community during autumn migration. Thirty-one percent of the bird community avoided the phantom road. For individuals that stayed despite the noise, overall body condition decreased by a full SD and some species showed a change in ability to gain body condition when exposed to traffic noise during migratory stopover. We conducted complementary laboratory experiments that implicate foraging-vigilance behavior as one mechanism driving this pattern. Our results suggest that noise degrades habitat that is otherwise suitable, and that the presence of a species does not indicate the absence of an impact.","author":[{"dropping-particle":"","family":"Ware","given":"Heidi E.","non-dropping-particle":"","parse-names":false,"suffix":""},{"dropping-particle":"","family":"McClure","given":"Christopher J. W.","non-dropping-particle":"","parse-names":false,"suffix":""},{"dropping-particle":"","family":"Carlisle","given":"Jay D.","non-dropping-particle":"","parse-names":false,"suffix":""},{"dropping-particle":"","family":"Barber","given":"Jesse R.","non-dropping-particle":"","parse-names":false,"suffix":""}],"container-title":"Proceedings of the National Academy of Sciences","id":"ITEM-1","issue":"39","issued":{"date-parts":[["2015"]]},"note":"body condition and foraging-vigilance behavior impacted by &amp;quot;phantom road&amp;quot;","page":"12105-12109","title":"A phantom road experiment reveals traffic noise is an invisible source of habitat degradation","type":"article-journal","volume":"112"},"uris":["http://www.mendeley.com/documents/?uuid=1798a2ed-dfe9-46bd-971e-a367a2e4978b"]}],"mendeley":{"formattedCitation":"&lt;sup&gt;9&lt;/sup&gt;","plainTextFormattedCitation":"9","previouslyFormattedCitation":"[9]"},"properties":{"noteIndex":0},"schema":"https://github.com/citation-style-language/schema/raw/master/csl-citation.json"}</w:instrText>
      </w:r>
      <w:r w:rsidRPr="00D23BF1">
        <w:rPr>
          <w:rFonts w:ascii="Times" w:hAnsi="Times"/>
          <w:lang w:val="da-DK"/>
        </w:rPr>
        <w:fldChar w:fldCharType="separate"/>
      </w:r>
      <w:r w:rsidRPr="00D23BF1">
        <w:rPr>
          <w:rFonts w:ascii="Times" w:hAnsi="Times"/>
          <w:noProof/>
          <w:vertAlign w:val="superscript"/>
        </w:rPr>
        <w:t>9</w:t>
      </w:r>
      <w:r w:rsidRPr="00D23BF1">
        <w:rPr>
          <w:rFonts w:ascii="Times" w:hAnsi="Times"/>
          <w:lang w:val="da-DK"/>
        </w:rPr>
        <w:fldChar w:fldCharType="end"/>
      </w:r>
      <w:r w:rsidRPr="00D23BF1">
        <w:rPr>
          <w:rFonts w:ascii="Times" w:hAnsi="Times"/>
        </w:rPr>
        <w:t>. Our alternative prediction was that noise might affect food intake indirectly through direct effects of corticosterone on feeding behavior. In that case, we would have expected a positive relationship between corticosterone levels and food intake. Our work suggests that noise exposure affects food intake most likely through effects on feeding behavior (consistent with previous work on this species) but we cannot rule out an effect of corticosterone on appetite also influencing food intake.</w:t>
      </w:r>
    </w:p>
    <w:p w14:paraId="0B68ED8A" w14:textId="77777777" w:rsidR="00041ADB" w:rsidRPr="00D23BF1" w:rsidRDefault="00041ADB" w:rsidP="00F20BE1">
      <w:pPr>
        <w:rPr>
          <w:rFonts w:ascii="Times" w:hAnsi="Times"/>
        </w:rPr>
      </w:pPr>
      <w:r w:rsidRPr="00D23BF1">
        <w:rPr>
          <w:rFonts w:ascii="Times" w:hAnsi="Times"/>
        </w:rPr>
        <w:lastRenderedPageBreak/>
        <w:t xml:space="preserve">Counter to our predictions, we did not find support for the hypothesis that noise indirectly impacts the gut microbiome through corticosterone or food intake, and there are a couple of possible explanations for this result. Because of the apparent delayed response of corticosterone and food intake to noise exposure as seen in this study, longer treatment periods may be needed to capture the indirect effects of noise on the gut microbiome via stress hormones or feeding behavior. The delayed response we observed may be due to a delay in the physiological response of the digestive tract to elevated stress hormone levels or decrease in food intake, in which case a longer noise exposure period might have resulted in a clearer relationship between noise, stress hormones or food intake, and the gut microbiome. Alternatively, there may be a variable responsible for the observed relationship between noise exposure and gut microbial diversity which has not been measured in this experiment. For example, perhaps a hormone other than corticosterone such as catecholamines which impacts gut physiology is affected by noise </w:t>
      </w:r>
      <w:r w:rsidRPr="00D23BF1">
        <w:rPr>
          <w:rFonts w:ascii="Times" w:hAnsi="Times"/>
        </w:rPr>
        <w:fldChar w:fldCharType="begin" w:fldLock="1"/>
      </w:r>
      <w:r w:rsidRPr="00D23BF1">
        <w:rPr>
          <w:rFonts w:ascii="Times" w:hAnsi="Times"/>
        </w:rPr>
        <w:instrText>ADDIN CSL_CITATION {"citationItems":[{"id":"ITEM-1","itemData":{"DOI":"10.1046/j.0021-8782.2001.00014.x","ISSN":"00218782","PMID":"11895114","abstract":"Exposure to stressful stimuli is known to activate the peripheral sympathetic nervous system and the adrenal gland. In this study, we evaluated the effects of single or repeated bouts of exposure to a readily measurable stressful stimulus (loud noise) on the catecholamine content and ultrastructure of the rat adrenal medulla. In particular, we measured tissue levels of dopamine, noradrenaline, adrenaline and metabolites. In parallel studies, we evaluated the fine ultrastructure of catecholamine cells, including a detailed study of catecholamine granules and a morphometric analysis of adrenaline and noradrenaline medullary cells. Animals were exposed either to a single (6 h) session of loud (100 dBA) noise, or to this noise stimulus repeated every day for 21 consecutive days. There was a marked correlation between biochemical indexes of catecholamine activity and the ultrastructural morphometry of specific catecholamine granules. Exposure to loud noise for 6 h induced a parallel increase in dopamine, noradrenaline, adrenaline and their metabolites, a polarization and an increased numerical density of noradrenaline and adrenaline granules in the cells. After repeated noise exposure, noradrenaline levels were significantly higher than in controls, and adrenaline decreased significantly. In addition, adrenaline cells also exhibited ultrastructural alterations consisting of wide homogeneous cytoplasmic areas and large, pale vesicles.","author":[{"dropping-particle":"","family":"Gesi","given":"Marco","non-dropping-particle":"","parse-names":false,"suffix":""},{"dropping-particle":"","family":"Lenzi","given":"Paola","non-dropping-particle":"","parse-names":false,"suffix":""},{"dropping-particle":"","family":"Alessandrì","given":"Maria G.","non-dropping-particle":"","parse-names":false,"suffix":""},{"dropping-particle":"","family":"Ferrucci","given":"Michela","non-dropping-particle":"","parse-names":false,"suffix":""},{"dropping-particle":"","family":"Fornai","given":"Francesco","non-dropping-particle":"","parse-names":false,"suffix":""},{"dropping-particle":"","family":"Paparelli","given":"Antonio","non-dropping-particle":"","parse-names":false,"suffix":""}],"container-title":"Journal of Anatomy","id":"ITEM-1","issue":"2","issued":{"date-parts":[["2002"]]},"page":"159-168","title":"Brief and repeated noise exposure produces different morphological and biochemical effects in noradrenaline and adrenaline cells of adrenal medulla","type":"article-journal","volume":"200"},"uris":["http://www.mendeley.com/documents/?uuid=cb501b13-2fcd-4680-93a9-c7ed6aa224f9"]},{"id":"ITEM-2","itemData":{"DOI":"10.1002/jcp.25518","ISSN":"10974652","PMID":"27512962","abstract":"Neurotransmitters, including catecholamines and serotonin, play a crucial role in maintaining homeostasis in the human body. Studies on these neurotransmitters mainly revolved around their role in the “fight or flight” response, transmitting signals across a chemical synapse and modulating blood flow throughout the body. However, recent research has demonstrated that neurotransmitters can play a significant role in the gastrointestinal (GI) physiology. Norepinephrine (NE), epinephrine (E), dopamine (DA), and serotonin have recently been a topic of interest because of their roles in the gut physiology and their potential roles in GI and central nervous system pathophysiology. These neurotransmitters are able to regulate and control not only blood flow, but also affect gut motility, nutrient absorption, GI innate immune system, and the microbiome. Furthermore, in pathological states, such as inflammatory bowel disease (IBD) and Parkinson's disease, the levels of these neurotransmitters are dysregulated, therefore causing a variety of GI symptoms. Research in this field has shown that exogenous manipulation of catecholamine serum concentrations can help in decreasing symptomology and/or disease progression. In this review article, we discuss the current state-of-the-art research and literature regarding the role of neurotransmitters in regulation of normal GI physiology, their impact on several disease processes, and novel work focused on the use of exogenous hormones and/or psychotropic medications to improve disease symptomology. J. Cell. Physiol. 232: 2359–2372, 2017. © 2016 Wiley Periodicals, Inc.","author":[{"dropping-particle":"","family":"Mittal","given":"Rahul","non-dropping-particle":"","parse-names":false,"suffix":""},{"dropping-particle":"","family":"Debs","given":"Luca H.","non-dropping-particle":"","parse-names":false,"suffix":""},{"dropping-particle":"","family":"Patel","given":"Amit P.","non-dropping-particle":"","parse-names":false,"suffix":""},{"dropping-particle":"","family":"Nguyen","given":"Desiree","non-dropping-particle":"","parse-names":false,"suffix":""},{"dropping-particle":"","family":"Patel","given":"Kunal","non-dropping-particle":"","parse-names":false,"suffix":""},{"dropping-particle":"","family":"O'Connor","given":"Gregory","non-dropping-particle":"","parse-names":false,"suffix":""},{"dropping-particle":"","family":"Grati","given":"M'hamed","non-dropping-particle":"","parse-names":false,"suffix":""},{"dropping-particle":"","family":"Mittal","given":"Jeenu","non-dropping-particle":"","parse-names":false,"suffix":""},{"dropping-particle":"","family":"Yan","given":"Denise","non-dropping-particle":"","parse-names":false,"suffix":""},{"dropping-particle":"","family":"Eshraghi","given":"Adrien A.","non-dropping-particle":"","parse-names":false,"suffix":""},{"dropping-particle":"","family":"Deo","given":"Sapna K.","non-dropping-particle":"","parse-names":false,"suffix":""},{"dropping-particle":"","family":"Daunert","given":"Sylvia","non-dropping-particle":"","parse-names":false,"suffix":""},{"dropping-particle":"","family":"Liu","given":"Xue Zhong","non-dropping-particle":"","parse-names":false,"suffix":""}],"container-title":"Journal of Cellular Physiology","id":"ITEM-2","issue":"9","issued":{"date-parts":[["2017"]]},"page":"2359-2372","title":"Neurotransmitters: The Critical Modulators Regulating Gut–Brain Axis","type":"article-journal","volume":"232"},"uris":["http://www.mendeley.com/documents/?uuid=52681020-f417-4896-85d4-00a24551c8ac"]}],"mendeley":{"formattedCitation":"&lt;sup&gt;50,51&lt;/sup&gt;","plainTextFormattedCitation":"50,51","previouslyFormattedCitation":"[50, 51]"},"properties":{"noteIndex":0},"schema":"https://github.com/citation-style-language/schema/raw/master/csl-citation.json"}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50,51</w:t>
      </w:r>
      <w:r w:rsidRPr="00D23BF1">
        <w:rPr>
          <w:rFonts w:ascii="Times" w:hAnsi="Times"/>
        </w:rPr>
        <w:fldChar w:fldCharType="end"/>
      </w:r>
      <w:r w:rsidRPr="00D23BF1">
        <w:rPr>
          <w:rFonts w:ascii="Times" w:hAnsi="Times"/>
        </w:rPr>
        <w:t xml:space="preserve">. It is hard to imagine a direct effect of noise exposure internally on gut microbial community composition. Although diet is a relevant factor in the differences between urban and rural birds </w:t>
      </w:r>
      <w:r w:rsidRPr="00D23BF1">
        <w:rPr>
          <w:rFonts w:ascii="Times" w:hAnsi="Times"/>
        </w:rPr>
        <w:fldChar w:fldCharType="begin" w:fldLock="1"/>
      </w:r>
      <w:r w:rsidRPr="00D23BF1">
        <w:rPr>
          <w:rFonts w:ascii="Times" w:hAnsi="Times"/>
        </w:rPr>
        <w:instrText>ADDIN CSL_CITATION {"citationItems":[{"id":"ITEM-1","itemData":{"DOI":"10.1098/rspb.2019.2182","ISSN":"14712954","abstract":"Urban sprawl increasingly affects the ecology of natural populations, including host-microbiota interactions, with observed differences in the gut microbiota between urban and rural hosts. While different mechanisms could explain this pattern, dietary uptake constitutes a likely candidate. To assess the contribution of diet in explaining urban-rural variation in gut microbiota, we performed an aviary experiment in which urban and rural house sparrows were fed with mimics of urban or rural diets. Before the experiment, rural sparrows hosted more diverse gut communities, with a higher relative abundance of Enterococcaceae and Staphylococcaceae and lower abundance of genes involved in xenobiotic degradation and lipid metabolism than their urban counterparts. The experimental diets significantly altered gut microbiota α- and β-diversity and taxonomic composition, with the strongest shifts occurring in individuals exposed to contrasting diets. Overall, diet-induced shifts resembled initial differences between free-ranging urban and rural hosts. Furthermore, rural diet had a positive impact on urban host body mass but only in hosts with the highest initial gut diversity. Overall, our results indicate that diet constitutes an important factor contributing to differences in gut microbiota along the urbanization gradient and provide new insights on possible fitness consequences of a reduced gut diversity in urban settings.","author":[{"dropping-particle":"","family":"Teyssier","given":"Aimeric","non-dropping-particle":"","parse-names":false,"suffix":""},{"dropping-particle":"","family":"Matthysen","given":"Erik","non-dropping-particle":"","parse-names":false,"suffix":""},{"dropping-particle":"","family":"Hudin","given":"Noraine Salleh","non-dropping-particle":"","parse-names":false,"suffix":""},{"dropping-particle":"","family":"Neve","given":"Liesbeth","non-dropping-particle":"de","parse-names":false,"suffix":""},{"dropping-particle":"","family":"White","given":"Joël","non-dropping-particle":"","parse-names":false,"suffix":""},{"dropping-particle":"","family":"Lens","given":"Luc","non-dropping-particle":"","parse-names":false,"suffix":""}],"container-title":"Proceedings. Biological sciences","id":"ITEM-1","issue":"1920","issued":{"date-parts":[["2020"]]},"note":"for birds with significantly different diets this makes sense, I need to find out for sure whether wcsp have different diets, because despite different locations the microhabitat is somewhat similar","page":"20192182","title":"Diet contributes to urban-induced alterations in gut microbiota: experimental evidence from a wild passerine","type":"article-journal","volume":"287"},"uris":["http://www.mendeley.com/documents/?uuid=f5c7c019-3e67-44a3-9903-964c2a58c0d3"]}],"mendeley":{"formattedCitation":"&lt;sup&gt;52&lt;/sup&gt;","plainTextFormattedCitation":"52","previouslyFormattedCitation":"[52]"},"properties":{"noteIndex":0},"schema":"https://github.com/citation-style-language/schema/raw/master/csl-citation.json"}</w:instrText>
      </w:r>
      <w:r w:rsidRPr="00D23BF1">
        <w:rPr>
          <w:rFonts w:ascii="Times" w:hAnsi="Times"/>
        </w:rPr>
        <w:fldChar w:fldCharType="separate"/>
      </w:r>
      <w:r w:rsidRPr="00D23BF1">
        <w:rPr>
          <w:rFonts w:ascii="Times" w:hAnsi="Times"/>
          <w:noProof/>
          <w:vertAlign w:val="superscript"/>
        </w:rPr>
        <w:t>52</w:t>
      </w:r>
      <w:r w:rsidRPr="00D23BF1">
        <w:rPr>
          <w:rFonts w:ascii="Times" w:hAnsi="Times"/>
        </w:rPr>
        <w:fldChar w:fldCharType="end"/>
      </w:r>
      <w:r w:rsidRPr="00D23BF1">
        <w:rPr>
          <w:rFonts w:ascii="Times" w:hAnsi="Times"/>
        </w:rPr>
        <w:t>, we do not think diet drove differences observed before and after noise treatments, as birds were provided the same diet. It is possible that noise may change habitat usage or food choices in wild populations, thus affecting what surfaces a bird interacts with and therefore what bacteria are available to colonize the gut. In our study birds were confined to a small cage with homogenous surface types, therefore it is unlikely that this potential relationship between habitat use and noise level would explain the effect of noise on gut microbial diversity. However, it could be that noise exposure altered their use of materials in the environment, such as their cuttlebone or shredding of newspaper, that in turn changed microbial exposure. These are empirical questions which bear consideration in the design of future studies examining how noise may affect animal gut microbial communities.</w:t>
      </w:r>
    </w:p>
    <w:p w14:paraId="536D72BD" w14:textId="77777777" w:rsidR="00041ADB" w:rsidRPr="00D23BF1" w:rsidRDefault="00041ADB" w:rsidP="00F20BE1">
      <w:pPr>
        <w:rPr>
          <w:rFonts w:ascii="Times" w:hAnsi="Times"/>
        </w:rPr>
      </w:pPr>
      <w:r w:rsidRPr="00D23BF1">
        <w:rPr>
          <w:rFonts w:ascii="Times" w:hAnsi="Times"/>
        </w:rPr>
        <w:t>Our study indicates that noise affects plasma corticosterone, feeding behavior, and the gut microbiome in a songbird. Our finding that noise increases corticosterone helps to clarify a complicated body of research with conflicting findings about the effect of various types of noise exposure on stress hormones. Although noise has previously been shown to impact many aspects of foraging behavior such as time spent foraging and foraging efficiency, this study adds volume of food consumed to the myriad ways in which noise can impact feeding behavior. Finally, we found support for an impact of noise on alpha diversity of gut bacterial communities and found that after 5 days of noise exposure we were not able to determine whether corticosterone and food intake were the mechanisms underlying this relationship. In the future, research at the intersection of urban ecology and microbiology would benefit from more experimental research to complement findings in the field. This would help us better understand the contribution of specific variables on the gut microbiome, as well as what mechanisms are responsible for those relationships. Integration of functional research such as a multi-omics approach would pair well with these experiments, and provide a next step in understanding the consequences of environmental disturbance for wild animals.</w:t>
      </w:r>
    </w:p>
    <w:p w14:paraId="28D7B1ED" w14:textId="77777777" w:rsidR="00041ADB" w:rsidRPr="00D23BF1" w:rsidRDefault="00041ADB" w:rsidP="00F20BE1">
      <w:pPr>
        <w:rPr>
          <w:rFonts w:ascii="Times" w:hAnsi="Times"/>
        </w:rPr>
      </w:pPr>
    </w:p>
    <w:p w14:paraId="75D18ED6" w14:textId="77777777" w:rsidR="00041ADB" w:rsidRPr="00D23BF1" w:rsidRDefault="00041ADB" w:rsidP="00F20BE1">
      <w:pPr>
        <w:pStyle w:val="Heading2"/>
        <w:rPr>
          <w:rFonts w:ascii="Times" w:hAnsi="Times"/>
        </w:rPr>
      </w:pPr>
      <w:bookmarkStart w:id="129" w:name="_Toc69972888"/>
      <w:r w:rsidRPr="00D23BF1">
        <w:rPr>
          <w:rFonts w:ascii="Times" w:hAnsi="Times"/>
        </w:rPr>
        <w:t>Acknowledgements</w:t>
      </w:r>
      <w:bookmarkEnd w:id="129"/>
    </w:p>
    <w:p w14:paraId="03619B5C" w14:textId="77777777" w:rsidR="00041ADB" w:rsidRPr="00D23BF1" w:rsidRDefault="00041ADB" w:rsidP="00F20BE1">
      <w:pPr>
        <w:rPr>
          <w:rFonts w:ascii="Times" w:hAnsi="Times"/>
        </w:rPr>
      </w:pPr>
      <w:r w:rsidRPr="00D23BF1">
        <w:rPr>
          <w:rFonts w:ascii="Times" w:hAnsi="Times"/>
        </w:rPr>
        <w:tab/>
        <w:t xml:space="preserve">We would like to thank Brittany Maldonado and Jessica </w:t>
      </w:r>
      <w:proofErr w:type="spellStart"/>
      <w:r w:rsidRPr="00D23BF1">
        <w:rPr>
          <w:rFonts w:ascii="Times" w:hAnsi="Times"/>
        </w:rPr>
        <w:t>Tir</w:t>
      </w:r>
      <w:proofErr w:type="spellEnd"/>
      <w:r w:rsidRPr="00D23BF1">
        <w:rPr>
          <w:rFonts w:ascii="Times" w:hAnsi="Times"/>
        </w:rPr>
        <w:t xml:space="preserve"> for their help with bird care and sample collection during the noise experiments. We would also like to thank Jonathan Dickey for help with bioinformatics. This study was supported in part by funding from the Animal Behavior Society to MB (A18-1243-001), and NSF awards to HW (IOS-1553657)</w:t>
      </w:r>
      <w:r w:rsidRPr="00D23BF1">
        <w:rPr>
          <w:rFonts w:ascii="Calibri" w:hAnsi="Calibri" w:cs="Calibri"/>
        </w:rPr>
        <w:t>﻿</w:t>
      </w:r>
      <w:r w:rsidRPr="00D23BF1">
        <w:rPr>
          <w:rFonts w:ascii="Times" w:hAnsi="Times"/>
        </w:rPr>
        <w:t xml:space="preserve"> and EPD (IOS-1827290). </w:t>
      </w:r>
      <w:r w:rsidRPr="00D23BF1">
        <w:rPr>
          <w:rFonts w:ascii="Calibri" w:hAnsi="Calibri" w:cs="Calibri"/>
        </w:rPr>
        <w:t>﻿</w:t>
      </w:r>
      <w:r w:rsidRPr="00D23BF1">
        <w:rPr>
          <w:rFonts w:ascii="Times" w:hAnsi="Times"/>
        </w:rPr>
        <w:t xml:space="preserve">Tulane Institutional Animal Care and Use Committee (IACUC) and </w:t>
      </w:r>
      <w:r w:rsidRPr="00D23BF1">
        <w:rPr>
          <w:rFonts w:ascii="Times" w:hAnsi="Times"/>
        </w:rPr>
        <w:lastRenderedPageBreak/>
        <w:t xml:space="preserve">National Park Service IACUC approved this research (IACUC proto- col 0427-R). The US Fish and Wildlife Service (MB679782-1), the California National Resources Agency (SC-6799), the Golden Gate National Recreation Area (SCI-00017), the San Francisco Parks and Recreation (041415) and The Presidio Trust granted permission for this research. </w:t>
      </w:r>
    </w:p>
    <w:p w14:paraId="5291D663" w14:textId="77777777" w:rsidR="00041ADB" w:rsidRPr="00D23BF1" w:rsidRDefault="00041ADB" w:rsidP="00F20BE1">
      <w:pPr>
        <w:rPr>
          <w:rFonts w:ascii="Times" w:hAnsi="Times"/>
        </w:rPr>
      </w:pPr>
    </w:p>
    <w:p w14:paraId="3FDA761F" w14:textId="77777777" w:rsidR="00041ADB" w:rsidRPr="00D23BF1" w:rsidRDefault="00041ADB" w:rsidP="00F20BE1">
      <w:pPr>
        <w:rPr>
          <w:rFonts w:ascii="Times" w:hAnsi="Times"/>
        </w:rPr>
      </w:pPr>
    </w:p>
    <w:p w14:paraId="3AF25B27" w14:textId="77777777" w:rsidR="00041ADB" w:rsidRPr="00D23BF1" w:rsidRDefault="00041ADB" w:rsidP="00F20BE1">
      <w:pPr>
        <w:pStyle w:val="Heading2"/>
        <w:rPr>
          <w:rFonts w:ascii="Times" w:hAnsi="Times"/>
        </w:rPr>
      </w:pPr>
      <w:r w:rsidRPr="00D23BF1">
        <w:rPr>
          <w:rFonts w:ascii="Times" w:hAnsi="Times"/>
        </w:rPr>
        <w:t xml:space="preserve"> </w:t>
      </w:r>
      <w:bookmarkStart w:id="130" w:name="_Toc69972889"/>
      <w:r w:rsidRPr="00D23BF1">
        <w:rPr>
          <w:rFonts w:ascii="Times" w:hAnsi="Times"/>
        </w:rPr>
        <w:t>Data Accessibility</w:t>
      </w:r>
      <w:bookmarkEnd w:id="130"/>
    </w:p>
    <w:p w14:paraId="7E9FC37A" w14:textId="77777777" w:rsidR="00041ADB" w:rsidRPr="00D23BF1" w:rsidRDefault="00041ADB" w:rsidP="00F20BE1">
      <w:pPr>
        <w:rPr>
          <w:rFonts w:ascii="Times" w:hAnsi="Times"/>
        </w:rPr>
      </w:pPr>
      <w:r w:rsidRPr="00D23BF1">
        <w:rPr>
          <w:rFonts w:ascii="Times" w:hAnsi="Times"/>
        </w:rPr>
        <w:tab/>
        <w:t xml:space="preserve">All files necessary for replicating our processing and analysis are available on GitHub </w:t>
      </w:r>
      <w:r w:rsidRPr="00D23BF1">
        <w:rPr>
          <w:rFonts w:ascii="Calibri" w:hAnsi="Calibri" w:cs="Calibri"/>
        </w:rPr>
        <w:t>﻿</w:t>
      </w:r>
      <w:r w:rsidRPr="00D23BF1">
        <w:rPr>
          <w:rFonts w:ascii="Times" w:hAnsi="Times"/>
        </w:rPr>
        <w:t xml:space="preserve">(https://github.com/mBerlow/WCSPnoise2020) and sequences are available through the Sequence Read Archive </w:t>
      </w:r>
      <w:r w:rsidRPr="00D23BF1">
        <w:rPr>
          <w:rFonts w:ascii="Calibri" w:hAnsi="Calibri" w:cs="Calibri"/>
        </w:rPr>
        <w:t>﻿</w:t>
      </w:r>
      <w:r w:rsidRPr="00D23BF1">
        <w:rPr>
          <w:rFonts w:ascii="Times" w:hAnsi="Times"/>
        </w:rPr>
        <w:t>(accession number SUB8852031).</w:t>
      </w:r>
    </w:p>
    <w:p w14:paraId="521B1721" w14:textId="77777777" w:rsidR="00041ADB" w:rsidRPr="00D23BF1" w:rsidRDefault="00041ADB" w:rsidP="00F20BE1">
      <w:pPr>
        <w:rPr>
          <w:rFonts w:ascii="Times" w:hAnsi="Times"/>
        </w:rPr>
      </w:pPr>
    </w:p>
    <w:p w14:paraId="745337E8" w14:textId="77777777" w:rsidR="00041ADB" w:rsidRPr="00D23BF1" w:rsidRDefault="00041ADB" w:rsidP="00F20BE1">
      <w:pPr>
        <w:rPr>
          <w:rFonts w:ascii="Times" w:hAnsi="Times"/>
        </w:rPr>
      </w:pPr>
      <w:r w:rsidRPr="00D23BF1">
        <w:rPr>
          <w:rFonts w:ascii="Times" w:hAnsi="Times"/>
        </w:rPr>
        <w:br w:type="page"/>
      </w:r>
    </w:p>
    <w:p w14:paraId="3794C734" w14:textId="77777777" w:rsidR="00041ADB" w:rsidRPr="00D23BF1" w:rsidRDefault="00041ADB" w:rsidP="00F20BE1">
      <w:pPr>
        <w:rPr>
          <w:rFonts w:ascii="Times" w:hAnsi="Times"/>
        </w:rPr>
      </w:pPr>
    </w:p>
    <w:p w14:paraId="61AADC8C" w14:textId="77777777" w:rsidR="00041ADB" w:rsidRPr="00D23BF1" w:rsidRDefault="00041ADB" w:rsidP="00F20BE1">
      <w:pPr>
        <w:rPr>
          <w:rFonts w:ascii="Times" w:hAnsi="Times"/>
          <w:color w:val="FF0000"/>
        </w:rPr>
      </w:pPr>
    </w:p>
    <w:p w14:paraId="72DBCBB6" w14:textId="77777777" w:rsidR="00041ADB" w:rsidRPr="00D23BF1" w:rsidRDefault="00041ADB" w:rsidP="00F20BE1">
      <w:pPr>
        <w:pStyle w:val="Heading2"/>
        <w:jc w:val="center"/>
        <w:rPr>
          <w:rFonts w:ascii="Times" w:hAnsi="Times"/>
          <w:b/>
          <w:bCs/>
          <w:u w:val="none"/>
        </w:rPr>
      </w:pPr>
      <w:bookmarkStart w:id="131" w:name="_Toc69972890"/>
      <w:r w:rsidRPr="00D23BF1">
        <w:rPr>
          <w:rFonts w:ascii="Times" w:hAnsi="Times"/>
          <w:b/>
          <w:bCs/>
          <w:u w:val="none"/>
        </w:rPr>
        <w:t>References</w:t>
      </w:r>
      <w:bookmarkEnd w:id="131"/>
    </w:p>
    <w:p w14:paraId="7522F1AF" w14:textId="77777777" w:rsidR="00041ADB" w:rsidRPr="00D23BF1" w:rsidRDefault="00041ADB" w:rsidP="00F20BE1">
      <w:pPr>
        <w:rPr>
          <w:rFonts w:ascii="Times" w:hAnsi="Times"/>
        </w:rPr>
      </w:pPr>
    </w:p>
    <w:p w14:paraId="589ECE6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rPr>
        <w:fldChar w:fldCharType="begin" w:fldLock="1"/>
      </w:r>
      <w:r w:rsidRPr="00D23BF1">
        <w:rPr>
          <w:rFonts w:ascii="Times" w:hAnsi="Times"/>
        </w:rPr>
        <w:instrText xml:space="preserve">ADDIN Mendeley Bibliography CSL_BIBLIOGRAPHY </w:instrText>
      </w:r>
      <w:r w:rsidRPr="00D23BF1">
        <w:rPr>
          <w:rFonts w:ascii="Times" w:hAnsi="Times"/>
        </w:rPr>
        <w:fldChar w:fldCharType="separate"/>
      </w:r>
      <w:r w:rsidRPr="00D23BF1">
        <w:rPr>
          <w:rFonts w:ascii="Times" w:hAnsi="Times" w:cs="Times New Roman"/>
          <w:noProof/>
        </w:rPr>
        <w:t>1.</w:t>
      </w:r>
      <w:r w:rsidRPr="00D23BF1">
        <w:rPr>
          <w:rFonts w:ascii="Times" w:hAnsi="Times" w:cs="Times New Roman"/>
          <w:noProof/>
        </w:rPr>
        <w:tab/>
        <w:t xml:space="preserve">Swaddle, J. P. </w:t>
      </w:r>
      <w:r w:rsidRPr="00D23BF1">
        <w:rPr>
          <w:rFonts w:ascii="Times" w:hAnsi="Times" w:cs="Times New Roman"/>
          <w:i/>
          <w:iCs/>
          <w:noProof/>
        </w:rPr>
        <w:t>et al.</w:t>
      </w:r>
      <w:r w:rsidRPr="00D23BF1">
        <w:rPr>
          <w:rFonts w:ascii="Times" w:hAnsi="Times" w:cs="Times New Roman"/>
          <w:noProof/>
        </w:rPr>
        <w:t xml:space="preserve"> A framework to assess evolutionary responses to anthropogenic light and sound. </w:t>
      </w:r>
      <w:r w:rsidRPr="00D23BF1">
        <w:rPr>
          <w:rFonts w:ascii="Times" w:hAnsi="Times" w:cs="Times New Roman"/>
          <w:i/>
          <w:iCs/>
          <w:noProof/>
        </w:rPr>
        <w:t>Trends Ecol. Evol.</w:t>
      </w:r>
      <w:r w:rsidRPr="00D23BF1">
        <w:rPr>
          <w:rFonts w:ascii="Times" w:hAnsi="Times" w:cs="Times New Roman"/>
          <w:noProof/>
        </w:rPr>
        <w:t xml:space="preserve"> </w:t>
      </w:r>
      <w:r w:rsidRPr="00D23BF1">
        <w:rPr>
          <w:rFonts w:ascii="Times" w:hAnsi="Times" w:cs="Times New Roman"/>
          <w:b/>
          <w:bCs/>
          <w:noProof/>
        </w:rPr>
        <w:t>30</w:t>
      </w:r>
      <w:r w:rsidRPr="00D23BF1">
        <w:rPr>
          <w:rFonts w:ascii="Times" w:hAnsi="Times" w:cs="Times New Roman"/>
          <w:noProof/>
        </w:rPr>
        <w:t>, 550–560 (2015).</w:t>
      </w:r>
    </w:p>
    <w:p w14:paraId="5F61C4D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w:t>
      </w:r>
      <w:r w:rsidRPr="00D23BF1">
        <w:rPr>
          <w:rFonts w:ascii="Times" w:hAnsi="Times" w:cs="Times New Roman"/>
          <w:noProof/>
        </w:rPr>
        <w:tab/>
        <w:t xml:space="preserve">Purser, J. &amp; Radford, A. N. Acoustic noise induces attention shifts and reduces foraging performance in three-spined sticklebacks (gasterosteus aculeatus). </w:t>
      </w:r>
      <w:r w:rsidRPr="00D23BF1">
        <w:rPr>
          <w:rFonts w:ascii="Times" w:hAnsi="Times" w:cs="Times New Roman"/>
          <w:i/>
          <w:iCs/>
          <w:noProof/>
        </w:rPr>
        <w:t>PLoS One</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(2011).</w:t>
      </w:r>
    </w:p>
    <w:p w14:paraId="44C99AD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w:t>
      </w:r>
      <w:r w:rsidRPr="00D23BF1">
        <w:rPr>
          <w:rFonts w:ascii="Times" w:hAnsi="Times" w:cs="Times New Roman"/>
          <w:noProof/>
        </w:rPr>
        <w:tab/>
        <w:t xml:space="preserve">Slabbekoorn, H. &amp; den Boer-Visser, A. Cities Change the Songs of Birds. </w:t>
      </w:r>
      <w:r w:rsidRPr="00D23BF1">
        <w:rPr>
          <w:rFonts w:ascii="Times" w:hAnsi="Times" w:cs="Times New Roman"/>
          <w:i/>
          <w:iCs/>
          <w:noProof/>
        </w:rPr>
        <w:t>Curr. Biol.</w:t>
      </w:r>
      <w:r w:rsidRPr="00D23BF1">
        <w:rPr>
          <w:rFonts w:ascii="Times" w:hAnsi="Times" w:cs="Times New Roman"/>
          <w:noProof/>
        </w:rPr>
        <w:t xml:space="preserve"> </w:t>
      </w:r>
      <w:r w:rsidRPr="00D23BF1">
        <w:rPr>
          <w:rFonts w:ascii="Times" w:hAnsi="Times" w:cs="Times New Roman"/>
          <w:b/>
          <w:bCs/>
          <w:noProof/>
        </w:rPr>
        <w:t>16</w:t>
      </w:r>
      <w:r w:rsidRPr="00D23BF1">
        <w:rPr>
          <w:rFonts w:ascii="Times" w:hAnsi="Times" w:cs="Times New Roman"/>
          <w:noProof/>
        </w:rPr>
        <w:t>, 2326–2331 (2006).</w:t>
      </w:r>
    </w:p>
    <w:p w14:paraId="0545F41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w:t>
      </w:r>
      <w:r w:rsidRPr="00D23BF1">
        <w:rPr>
          <w:rFonts w:ascii="Times" w:hAnsi="Times" w:cs="Times New Roman"/>
          <w:noProof/>
        </w:rPr>
        <w:tab/>
        <w:t xml:space="preserve">Chloupek, P. </w:t>
      </w:r>
      <w:r w:rsidRPr="00D23BF1">
        <w:rPr>
          <w:rFonts w:ascii="Times" w:hAnsi="Times" w:cs="Times New Roman"/>
          <w:i/>
          <w:iCs/>
          <w:noProof/>
        </w:rPr>
        <w:t>et al.</w:t>
      </w:r>
      <w:r w:rsidRPr="00D23BF1">
        <w:rPr>
          <w:rFonts w:ascii="Times" w:hAnsi="Times" w:cs="Times New Roman"/>
          <w:noProof/>
        </w:rPr>
        <w:t xml:space="preserve"> Stress in broiler chickens due to acute noise exposure. </w:t>
      </w:r>
      <w:r w:rsidRPr="00D23BF1">
        <w:rPr>
          <w:rFonts w:ascii="Times" w:hAnsi="Times" w:cs="Times New Roman"/>
          <w:i/>
          <w:iCs/>
          <w:noProof/>
        </w:rPr>
        <w:t>Acta Vet. Brno</w:t>
      </w:r>
      <w:r w:rsidRPr="00D23BF1">
        <w:rPr>
          <w:rFonts w:ascii="Times" w:hAnsi="Times" w:cs="Times New Roman"/>
          <w:noProof/>
        </w:rPr>
        <w:t xml:space="preserve"> </w:t>
      </w:r>
      <w:r w:rsidRPr="00D23BF1">
        <w:rPr>
          <w:rFonts w:ascii="Times" w:hAnsi="Times" w:cs="Times New Roman"/>
          <w:b/>
          <w:bCs/>
          <w:noProof/>
        </w:rPr>
        <w:t>78</w:t>
      </w:r>
      <w:r w:rsidRPr="00D23BF1">
        <w:rPr>
          <w:rFonts w:ascii="Times" w:hAnsi="Times" w:cs="Times New Roman"/>
          <w:noProof/>
        </w:rPr>
        <w:t>, 93–98 (2009).</w:t>
      </w:r>
    </w:p>
    <w:p w14:paraId="67B0C80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w:t>
      </w:r>
      <w:r w:rsidRPr="00D23BF1">
        <w:rPr>
          <w:rFonts w:ascii="Times" w:hAnsi="Times" w:cs="Times New Roman"/>
          <w:noProof/>
        </w:rPr>
        <w:tab/>
        <w:t xml:space="preserve">Littleford-Colquhoun, B. L., Weyrich, L. S., Kent, N. &amp; Frere, C. H. City life alters the gut microbiome and stable isotope profiling of the eastern water dragon (Intellagama lesueurii). </w:t>
      </w:r>
      <w:r w:rsidRPr="00D23BF1">
        <w:rPr>
          <w:rFonts w:ascii="Times" w:hAnsi="Times" w:cs="Times New Roman"/>
          <w:i/>
          <w:iCs/>
          <w:noProof/>
        </w:rPr>
        <w:t>Mol. Ecol.</w:t>
      </w:r>
      <w:r w:rsidRPr="00D23BF1">
        <w:rPr>
          <w:rFonts w:ascii="Times" w:hAnsi="Times" w:cs="Times New Roman"/>
          <w:noProof/>
        </w:rPr>
        <w:t xml:space="preserve"> </w:t>
      </w:r>
      <w:r w:rsidRPr="00D23BF1">
        <w:rPr>
          <w:rFonts w:ascii="Times" w:hAnsi="Times" w:cs="Times New Roman"/>
          <w:b/>
          <w:bCs/>
          <w:noProof/>
        </w:rPr>
        <w:t>28</w:t>
      </w:r>
      <w:r w:rsidRPr="00D23BF1">
        <w:rPr>
          <w:rFonts w:ascii="Times" w:hAnsi="Times" w:cs="Times New Roman"/>
          <w:noProof/>
        </w:rPr>
        <w:t>, 4592–4607 (2019).</w:t>
      </w:r>
    </w:p>
    <w:p w14:paraId="03F59F1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w:t>
      </w:r>
      <w:r w:rsidRPr="00D23BF1">
        <w:rPr>
          <w:rFonts w:ascii="Times" w:hAnsi="Times" w:cs="Times New Roman"/>
          <w:noProof/>
        </w:rPr>
        <w:tab/>
        <w:t xml:space="preserve">Phillips, J. N., Berlow, M. &amp; Derryberry, E. P. The Effects of Landscape Urbanization on the Gut Microbiome: An Exploration Into the Gut of Urban and Rural White-Crowned Sparrows. </w:t>
      </w:r>
      <w:r w:rsidRPr="00D23BF1">
        <w:rPr>
          <w:rFonts w:ascii="Times" w:hAnsi="Times" w:cs="Times New Roman"/>
          <w:i/>
          <w:iCs/>
          <w:noProof/>
        </w:rPr>
        <w:t>Front. Ecol. Evol.</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1–10 (2018).</w:t>
      </w:r>
    </w:p>
    <w:p w14:paraId="00E3F45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w:t>
      </w:r>
      <w:r w:rsidRPr="00D23BF1">
        <w:rPr>
          <w:rFonts w:ascii="Times" w:hAnsi="Times" w:cs="Times New Roman"/>
          <w:noProof/>
        </w:rPr>
        <w:tab/>
        <w:t xml:space="preserve">Teyssier, A. </w:t>
      </w:r>
      <w:r w:rsidRPr="00D23BF1">
        <w:rPr>
          <w:rFonts w:ascii="Times" w:hAnsi="Times" w:cs="Times New Roman"/>
          <w:i/>
          <w:iCs/>
          <w:noProof/>
        </w:rPr>
        <w:t>et al.</w:t>
      </w:r>
      <w:r w:rsidRPr="00D23BF1">
        <w:rPr>
          <w:rFonts w:ascii="Times" w:hAnsi="Times" w:cs="Times New Roman"/>
          <w:noProof/>
        </w:rPr>
        <w:t xml:space="preserve"> Inside the guts of the city: Urban-induced alterations of the gut microbiota in a wild passerine. </w:t>
      </w:r>
      <w:r w:rsidRPr="00D23BF1">
        <w:rPr>
          <w:rFonts w:ascii="Times" w:hAnsi="Times" w:cs="Times New Roman"/>
          <w:i/>
          <w:iCs/>
          <w:noProof/>
        </w:rPr>
        <w:t>Sci. Total Environ.</w:t>
      </w:r>
      <w:r w:rsidRPr="00D23BF1">
        <w:rPr>
          <w:rFonts w:ascii="Times" w:hAnsi="Times" w:cs="Times New Roman"/>
          <w:noProof/>
        </w:rPr>
        <w:t xml:space="preserve"> </w:t>
      </w:r>
      <w:r w:rsidRPr="00D23BF1">
        <w:rPr>
          <w:rFonts w:ascii="Times" w:hAnsi="Times" w:cs="Times New Roman"/>
          <w:b/>
          <w:bCs/>
          <w:noProof/>
        </w:rPr>
        <w:t>612</w:t>
      </w:r>
      <w:r w:rsidRPr="00D23BF1">
        <w:rPr>
          <w:rFonts w:ascii="Times" w:hAnsi="Times" w:cs="Times New Roman"/>
          <w:noProof/>
        </w:rPr>
        <w:t>, 1276–1286 (2018).</w:t>
      </w:r>
    </w:p>
    <w:p w14:paraId="44218B0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w:t>
      </w:r>
      <w:r w:rsidRPr="00D23BF1">
        <w:rPr>
          <w:rFonts w:ascii="Times" w:hAnsi="Times" w:cs="Times New Roman"/>
          <w:noProof/>
        </w:rPr>
        <w:tab/>
        <w:t xml:space="preserve">Blickley, J. L. </w:t>
      </w:r>
      <w:r w:rsidRPr="00D23BF1">
        <w:rPr>
          <w:rFonts w:ascii="Times" w:hAnsi="Times" w:cs="Times New Roman"/>
          <w:i/>
          <w:iCs/>
          <w:noProof/>
        </w:rPr>
        <w:t>et al.</w:t>
      </w:r>
      <w:r w:rsidRPr="00D23BF1">
        <w:rPr>
          <w:rFonts w:ascii="Times" w:hAnsi="Times" w:cs="Times New Roman"/>
          <w:noProof/>
        </w:rPr>
        <w:t xml:space="preserve"> Experimental Chronic Noise Is Related to Elevated Fecal Corticosteroid Metabolites in Lekking Male Greater Sage-Grouse (Centrocercus urophasianus). </w:t>
      </w:r>
      <w:r w:rsidRPr="00D23BF1">
        <w:rPr>
          <w:rFonts w:ascii="Times" w:hAnsi="Times" w:cs="Times New Roman"/>
          <w:i/>
          <w:iCs/>
          <w:noProof/>
        </w:rPr>
        <w:t>PLoS One</w:t>
      </w:r>
      <w:r w:rsidRPr="00D23BF1">
        <w:rPr>
          <w:rFonts w:ascii="Times" w:hAnsi="Times" w:cs="Times New Roman"/>
          <w:noProof/>
        </w:rPr>
        <w:t xml:space="preserve"> </w:t>
      </w:r>
      <w:r w:rsidRPr="00D23BF1">
        <w:rPr>
          <w:rFonts w:ascii="Times" w:hAnsi="Times" w:cs="Times New Roman"/>
          <w:b/>
          <w:bCs/>
          <w:noProof/>
        </w:rPr>
        <w:t>7</w:t>
      </w:r>
      <w:r w:rsidRPr="00D23BF1">
        <w:rPr>
          <w:rFonts w:ascii="Times" w:hAnsi="Times" w:cs="Times New Roman"/>
          <w:noProof/>
        </w:rPr>
        <w:t>, (2012).</w:t>
      </w:r>
    </w:p>
    <w:p w14:paraId="55DFEBE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w:t>
      </w:r>
      <w:r w:rsidRPr="00D23BF1">
        <w:rPr>
          <w:rFonts w:ascii="Times" w:hAnsi="Times" w:cs="Times New Roman"/>
          <w:noProof/>
        </w:rPr>
        <w:tab/>
        <w:t xml:space="preserve">Ware, H. E., McClure, C. J. W., Carlisle, J. D. &amp; Barber, J. R. A phantom road experiment reveals traffic noise is an invisible source of habitat degradation. </w:t>
      </w:r>
      <w:r w:rsidRPr="00D23BF1">
        <w:rPr>
          <w:rFonts w:ascii="Times" w:hAnsi="Times" w:cs="Times New Roman"/>
          <w:i/>
          <w:iCs/>
          <w:noProof/>
        </w:rPr>
        <w:t>Proc. Natl. Acad. Sci.</w:t>
      </w:r>
      <w:r w:rsidRPr="00D23BF1">
        <w:rPr>
          <w:rFonts w:ascii="Times" w:hAnsi="Times" w:cs="Times New Roman"/>
          <w:noProof/>
        </w:rPr>
        <w:t xml:space="preserve"> </w:t>
      </w:r>
      <w:r w:rsidRPr="00D23BF1">
        <w:rPr>
          <w:rFonts w:ascii="Times" w:hAnsi="Times" w:cs="Times New Roman"/>
          <w:b/>
          <w:bCs/>
          <w:noProof/>
        </w:rPr>
        <w:t>112</w:t>
      </w:r>
      <w:r w:rsidRPr="00D23BF1">
        <w:rPr>
          <w:rFonts w:ascii="Times" w:hAnsi="Times" w:cs="Times New Roman"/>
          <w:noProof/>
        </w:rPr>
        <w:t>, 12105–12109 (2015).</w:t>
      </w:r>
    </w:p>
    <w:p w14:paraId="0A68F59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10.</w:t>
      </w:r>
      <w:r w:rsidRPr="00D23BF1">
        <w:rPr>
          <w:rFonts w:ascii="Times" w:hAnsi="Times" w:cs="Times New Roman"/>
          <w:noProof/>
        </w:rPr>
        <w:tab/>
        <w:t xml:space="preserve">Dinan, T. G. &amp; Cryan, J. F. Melancholic microbes: A link between gut microbiota and depression? </w:t>
      </w:r>
      <w:r w:rsidRPr="00D23BF1">
        <w:rPr>
          <w:rFonts w:ascii="Times" w:hAnsi="Times" w:cs="Times New Roman"/>
          <w:i/>
          <w:iCs/>
          <w:noProof/>
        </w:rPr>
        <w:t>Neurogastroenterol. Motil.</w:t>
      </w:r>
      <w:r w:rsidRPr="00D23BF1">
        <w:rPr>
          <w:rFonts w:ascii="Times" w:hAnsi="Times" w:cs="Times New Roman"/>
          <w:noProof/>
        </w:rPr>
        <w:t xml:space="preserve"> </w:t>
      </w:r>
      <w:r w:rsidRPr="00D23BF1">
        <w:rPr>
          <w:rFonts w:ascii="Times" w:hAnsi="Times" w:cs="Times New Roman"/>
          <w:b/>
          <w:bCs/>
          <w:noProof/>
        </w:rPr>
        <w:t>25</w:t>
      </w:r>
      <w:r w:rsidRPr="00D23BF1">
        <w:rPr>
          <w:rFonts w:ascii="Times" w:hAnsi="Times" w:cs="Times New Roman"/>
          <w:noProof/>
        </w:rPr>
        <w:t>, 713–719 (2013).</w:t>
      </w:r>
    </w:p>
    <w:p w14:paraId="77A2C6C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11.</w:t>
      </w:r>
      <w:r w:rsidRPr="00D23BF1">
        <w:rPr>
          <w:rFonts w:ascii="Times" w:hAnsi="Times" w:cs="Times New Roman"/>
          <w:noProof/>
        </w:rPr>
        <w:tab/>
        <w:t xml:space="preserve">Soderholm, J. D. &amp; Perdue, M. H. Stress and gastrointestinal tract. II. Stress and intestinal barrier function. </w:t>
      </w:r>
      <w:r w:rsidRPr="00D23BF1">
        <w:rPr>
          <w:rFonts w:ascii="Times" w:hAnsi="Times" w:cs="Times New Roman"/>
          <w:i/>
          <w:iCs/>
          <w:noProof/>
        </w:rPr>
        <w:t>Am. J. Physiol. Gastrointest. Liver Physiol.</w:t>
      </w:r>
      <w:r w:rsidRPr="00D23BF1">
        <w:rPr>
          <w:rFonts w:ascii="Times" w:hAnsi="Times" w:cs="Times New Roman"/>
          <w:noProof/>
        </w:rPr>
        <w:t xml:space="preserve"> </w:t>
      </w:r>
      <w:r w:rsidRPr="00D23BF1">
        <w:rPr>
          <w:rFonts w:ascii="Times" w:hAnsi="Times" w:cs="Times New Roman"/>
          <w:b/>
          <w:bCs/>
          <w:noProof/>
        </w:rPr>
        <w:t>280</w:t>
      </w:r>
      <w:r w:rsidRPr="00D23BF1">
        <w:rPr>
          <w:rFonts w:ascii="Times" w:hAnsi="Times" w:cs="Times New Roman"/>
          <w:noProof/>
        </w:rPr>
        <w:t>, G7–G13 (2001).</w:t>
      </w:r>
    </w:p>
    <w:p w14:paraId="3AB06BC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12.</w:t>
      </w:r>
      <w:r w:rsidRPr="00D23BF1">
        <w:rPr>
          <w:rFonts w:ascii="Times" w:hAnsi="Times" w:cs="Times New Roman"/>
          <w:noProof/>
        </w:rPr>
        <w:tab/>
        <w:t xml:space="preserve">Tempel, D. J. &amp; Gutierrez, R. J. Fecal corticosterone levels in California spotted owls exposed to low-intensity chainsaw sound. </w:t>
      </w:r>
      <w:r w:rsidRPr="00D23BF1">
        <w:rPr>
          <w:rFonts w:ascii="Times" w:hAnsi="Times" w:cs="Times New Roman"/>
          <w:i/>
          <w:iCs/>
          <w:noProof/>
        </w:rPr>
        <w:t>Wildl. Soc. Bull.</w:t>
      </w:r>
      <w:r w:rsidRPr="00D23BF1">
        <w:rPr>
          <w:rFonts w:ascii="Times" w:hAnsi="Times" w:cs="Times New Roman"/>
          <w:noProof/>
        </w:rPr>
        <w:t xml:space="preserve"> </w:t>
      </w:r>
      <w:r w:rsidRPr="00D23BF1">
        <w:rPr>
          <w:rFonts w:ascii="Times" w:hAnsi="Times" w:cs="Times New Roman"/>
          <w:b/>
          <w:bCs/>
          <w:noProof/>
        </w:rPr>
        <w:t>31</w:t>
      </w:r>
      <w:r w:rsidRPr="00D23BF1">
        <w:rPr>
          <w:rFonts w:ascii="Times" w:hAnsi="Times" w:cs="Times New Roman"/>
          <w:noProof/>
        </w:rPr>
        <w:t>, 698–702 (2003).</w:t>
      </w:r>
    </w:p>
    <w:p w14:paraId="1D228C14"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13.</w:t>
      </w:r>
      <w:r w:rsidRPr="00D23BF1">
        <w:rPr>
          <w:rFonts w:ascii="Times" w:hAnsi="Times" w:cs="Times New Roman"/>
          <w:noProof/>
        </w:rPr>
        <w:tab/>
        <w:t xml:space="preserve">Senzaki, M., Yamaura, Y., Francis, C. D. &amp; Nakamura, F. Traffic noise reduces foraging efficiency in wild owls. </w:t>
      </w:r>
      <w:r w:rsidRPr="00D23BF1">
        <w:rPr>
          <w:rFonts w:ascii="Times" w:hAnsi="Times" w:cs="Times New Roman"/>
          <w:i/>
          <w:iCs/>
          <w:noProof/>
        </w:rPr>
        <w:t>Sci. Rep.</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30602 (2016).</w:t>
      </w:r>
    </w:p>
    <w:p w14:paraId="5164A13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14.</w:t>
      </w:r>
      <w:r w:rsidRPr="00D23BF1">
        <w:rPr>
          <w:rFonts w:ascii="Times" w:hAnsi="Times" w:cs="Times New Roman"/>
          <w:noProof/>
        </w:rPr>
        <w:tab/>
        <w:t xml:space="preserve">L. Quinn, J., J. Whittingham, M., J. Butler, S. &amp; Cresswell, W. Noise, predation risk compensation and vigilance in the chaffinch Fringilla coelebs. </w:t>
      </w:r>
      <w:r w:rsidRPr="00D23BF1">
        <w:rPr>
          <w:rFonts w:ascii="Times" w:hAnsi="Times" w:cs="Times New Roman"/>
          <w:i/>
          <w:iCs/>
          <w:noProof/>
        </w:rPr>
        <w:t>J. Avian Biol.</w:t>
      </w:r>
      <w:r w:rsidRPr="00D23BF1">
        <w:rPr>
          <w:rFonts w:ascii="Times" w:hAnsi="Times" w:cs="Times New Roman"/>
          <w:noProof/>
        </w:rPr>
        <w:t xml:space="preserve"> </w:t>
      </w:r>
      <w:r w:rsidRPr="00D23BF1">
        <w:rPr>
          <w:rFonts w:ascii="Times" w:hAnsi="Times" w:cs="Times New Roman"/>
          <w:b/>
          <w:bCs/>
          <w:noProof/>
        </w:rPr>
        <w:t>37</w:t>
      </w:r>
      <w:r w:rsidRPr="00D23BF1">
        <w:rPr>
          <w:rFonts w:ascii="Times" w:hAnsi="Times" w:cs="Times New Roman"/>
          <w:noProof/>
        </w:rPr>
        <w:t>, 601–608 (2006).</w:t>
      </w:r>
    </w:p>
    <w:p w14:paraId="1C8AE0C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15.</w:t>
      </w:r>
      <w:r w:rsidRPr="00D23BF1">
        <w:rPr>
          <w:rFonts w:ascii="Times" w:hAnsi="Times" w:cs="Times New Roman"/>
          <w:noProof/>
        </w:rPr>
        <w:tab/>
        <w:t xml:space="preserve">McClure, C. J. W., Ware, H. E., Carlisle, J., Kaltenecker, G. &amp; Barber, J. R. An experimental investigation into the effects of traffic noise on distributions of birds: Avoiding the phantom road. </w:t>
      </w:r>
      <w:r w:rsidRPr="00D23BF1">
        <w:rPr>
          <w:rFonts w:ascii="Times" w:hAnsi="Times" w:cs="Times New Roman"/>
          <w:i/>
          <w:iCs/>
          <w:noProof/>
        </w:rPr>
        <w:t>Proc. R. Soc. B Biol. Sci.</w:t>
      </w:r>
      <w:r w:rsidRPr="00D23BF1">
        <w:rPr>
          <w:rFonts w:ascii="Times" w:hAnsi="Times" w:cs="Times New Roman"/>
          <w:noProof/>
        </w:rPr>
        <w:t xml:space="preserve"> </w:t>
      </w:r>
      <w:r w:rsidRPr="00D23BF1">
        <w:rPr>
          <w:rFonts w:ascii="Times" w:hAnsi="Times" w:cs="Times New Roman"/>
          <w:b/>
          <w:bCs/>
          <w:noProof/>
        </w:rPr>
        <w:t>280</w:t>
      </w:r>
      <w:r w:rsidRPr="00D23BF1">
        <w:rPr>
          <w:rFonts w:ascii="Times" w:hAnsi="Times" w:cs="Times New Roman"/>
          <w:noProof/>
        </w:rPr>
        <w:t>, (2013).</w:t>
      </w:r>
    </w:p>
    <w:p w14:paraId="16DD110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16.</w:t>
      </w:r>
      <w:r w:rsidRPr="00D23BF1">
        <w:rPr>
          <w:rFonts w:ascii="Times" w:hAnsi="Times" w:cs="Times New Roman"/>
          <w:noProof/>
        </w:rPr>
        <w:tab/>
        <w:t xml:space="preserve">Cote, J., Clobert, J., Meylan, S. &amp; Fitze, P. S. Experimental enhancement of corticosterone levels positively affects subsequent male survival. </w:t>
      </w:r>
      <w:r w:rsidRPr="00D23BF1">
        <w:rPr>
          <w:rFonts w:ascii="Times" w:hAnsi="Times" w:cs="Times New Roman"/>
          <w:i/>
          <w:iCs/>
          <w:noProof/>
        </w:rPr>
        <w:t>Horm. Behav.</w:t>
      </w:r>
      <w:r w:rsidRPr="00D23BF1">
        <w:rPr>
          <w:rFonts w:ascii="Times" w:hAnsi="Times" w:cs="Times New Roman"/>
          <w:noProof/>
        </w:rPr>
        <w:t xml:space="preserve"> </w:t>
      </w:r>
      <w:r w:rsidRPr="00D23BF1">
        <w:rPr>
          <w:rFonts w:ascii="Times" w:hAnsi="Times" w:cs="Times New Roman"/>
          <w:b/>
          <w:bCs/>
          <w:noProof/>
        </w:rPr>
        <w:t>49</w:t>
      </w:r>
      <w:r w:rsidRPr="00D23BF1">
        <w:rPr>
          <w:rFonts w:ascii="Times" w:hAnsi="Times" w:cs="Times New Roman"/>
          <w:noProof/>
        </w:rPr>
        <w:t>, 320–327 (2006).</w:t>
      </w:r>
    </w:p>
    <w:p w14:paraId="39E3D76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17.</w:t>
      </w:r>
      <w:r w:rsidRPr="00D23BF1">
        <w:rPr>
          <w:rFonts w:ascii="Times" w:hAnsi="Times" w:cs="Times New Roman"/>
          <w:noProof/>
        </w:rPr>
        <w:tab/>
        <w:t xml:space="preserve">Saldanha, C. J., Schlinger, B. A. &amp; Clayton, N. S. Rapid effects of </w:t>
      </w:r>
      <w:r w:rsidRPr="00D23BF1">
        <w:rPr>
          <w:rFonts w:ascii="Times" w:hAnsi="Times" w:cs="Times New Roman"/>
          <w:noProof/>
        </w:rPr>
        <w:lastRenderedPageBreak/>
        <w:t xml:space="preserve">corticosterone on cache recovery in mountain chickadees (Parus gambeli). </w:t>
      </w:r>
      <w:r w:rsidRPr="00D23BF1">
        <w:rPr>
          <w:rFonts w:ascii="Times" w:hAnsi="Times" w:cs="Times New Roman"/>
          <w:i/>
          <w:iCs/>
          <w:noProof/>
        </w:rPr>
        <w:t>Horm. Behav.</w:t>
      </w:r>
      <w:r w:rsidRPr="00D23BF1">
        <w:rPr>
          <w:rFonts w:ascii="Times" w:hAnsi="Times" w:cs="Times New Roman"/>
          <w:noProof/>
        </w:rPr>
        <w:t xml:space="preserve"> </w:t>
      </w:r>
      <w:r w:rsidRPr="00D23BF1">
        <w:rPr>
          <w:rFonts w:ascii="Times" w:hAnsi="Times" w:cs="Times New Roman"/>
          <w:b/>
          <w:bCs/>
          <w:noProof/>
        </w:rPr>
        <w:t>37</w:t>
      </w:r>
      <w:r w:rsidRPr="00D23BF1">
        <w:rPr>
          <w:rFonts w:ascii="Times" w:hAnsi="Times" w:cs="Times New Roman"/>
          <w:noProof/>
        </w:rPr>
        <w:t>, 109–115 (2000).</w:t>
      </w:r>
    </w:p>
    <w:p w14:paraId="74CB15F4"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18.</w:t>
      </w:r>
      <w:r w:rsidRPr="00D23BF1">
        <w:rPr>
          <w:rFonts w:ascii="Times" w:hAnsi="Times" w:cs="Times New Roman"/>
          <w:noProof/>
        </w:rPr>
        <w:tab/>
        <w:t xml:space="preserve">Amini-Khoei, H. </w:t>
      </w:r>
      <w:r w:rsidRPr="00D23BF1">
        <w:rPr>
          <w:rFonts w:ascii="Times" w:hAnsi="Times" w:cs="Times New Roman"/>
          <w:i/>
          <w:iCs/>
          <w:noProof/>
        </w:rPr>
        <w:t>et al.</w:t>
      </w:r>
      <w:r w:rsidRPr="00D23BF1">
        <w:rPr>
          <w:rFonts w:ascii="Times" w:hAnsi="Times" w:cs="Times New Roman"/>
          <w:noProof/>
        </w:rPr>
        <w:t xml:space="preserve"> On the role of corticosterone in behavioral disorders, microbiota composition alteration and neuroimmune response in adult male mice subjected to maternal separation stress. </w:t>
      </w:r>
      <w:r w:rsidRPr="00D23BF1">
        <w:rPr>
          <w:rFonts w:ascii="Times" w:hAnsi="Times" w:cs="Times New Roman"/>
          <w:i/>
          <w:iCs/>
          <w:noProof/>
        </w:rPr>
        <w:t>Int. Immunopharmacol.</w:t>
      </w:r>
      <w:r w:rsidRPr="00D23BF1">
        <w:rPr>
          <w:rFonts w:ascii="Times" w:hAnsi="Times" w:cs="Times New Roman"/>
          <w:noProof/>
        </w:rPr>
        <w:t xml:space="preserve"> </w:t>
      </w:r>
      <w:r w:rsidRPr="00D23BF1">
        <w:rPr>
          <w:rFonts w:ascii="Times" w:hAnsi="Times" w:cs="Times New Roman"/>
          <w:b/>
          <w:bCs/>
          <w:noProof/>
        </w:rPr>
        <w:t>66</w:t>
      </w:r>
      <w:r w:rsidRPr="00D23BF1">
        <w:rPr>
          <w:rFonts w:ascii="Times" w:hAnsi="Times" w:cs="Times New Roman"/>
          <w:noProof/>
        </w:rPr>
        <w:t>, 242–250 (2019).</w:t>
      </w:r>
    </w:p>
    <w:p w14:paraId="2E1630C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19.</w:t>
      </w:r>
      <w:r w:rsidRPr="00D23BF1">
        <w:rPr>
          <w:rFonts w:ascii="Times" w:hAnsi="Times" w:cs="Times New Roman"/>
          <w:noProof/>
        </w:rPr>
        <w:tab/>
        <w:t xml:space="preserve">Nakade, Y. </w:t>
      </w:r>
      <w:r w:rsidRPr="00D23BF1">
        <w:rPr>
          <w:rFonts w:ascii="Times" w:hAnsi="Times" w:cs="Times New Roman"/>
          <w:i/>
          <w:iCs/>
          <w:noProof/>
        </w:rPr>
        <w:t>et al.</w:t>
      </w:r>
      <w:r w:rsidRPr="00D23BF1">
        <w:rPr>
          <w:rFonts w:ascii="Times" w:hAnsi="Times" w:cs="Times New Roman"/>
          <w:noProof/>
        </w:rPr>
        <w:t xml:space="preserve"> Restraint stress stimulates colonic motility via central corticotropin-releasing factor and peripheral 5-HT3 receptors in conscious rats. </w:t>
      </w:r>
      <w:r w:rsidRPr="00D23BF1">
        <w:rPr>
          <w:rFonts w:ascii="Times" w:hAnsi="Times" w:cs="Times New Roman"/>
          <w:i/>
          <w:iCs/>
          <w:noProof/>
        </w:rPr>
        <w:t>Am. J. Physiol. Liver Physiol.</w:t>
      </w:r>
      <w:r w:rsidRPr="00D23BF1">
        <w:rPr>
          <w:rFonts w:ascii="Times" w:hAnsi="Times" w:cs="Times New Roman"/>
          <w:noProof/>
        </w:rPr>
        <w:t xml:space="preserve"> </w:t>
      </w:r>
      <w:r w:rsidRPr="00D23BF1">
        <w:rPr>
          <w:rFonts w:ascii="Times" w:hAnsi="Times" w:cs="Times New Roman"/>
          <w:b/>
          <w:bCs/>
          <w:noProof/>
        </w:rPr>
        <w:t>48</w:t>
      </w:r>
      <w:r w:rsidRPr="00D23BF1">
        <w:rPr>
          <w:rFonts w:ascii="Times" w:hAnsi="Times" w:cs="Times New Roman"/>
          <w:noProof/>
        </w:rPr>
        <w:t>, 1037–1044 (2006).</w:t>
      </w:r>
    </w:p>
    <w:p w14:paraId="245ABF0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20.</w:t>
      </w:r>
      <w:r w:rsidRPr="00D23BF1">
        <w:rPr>
          <w:rFonts w:ascii="Times" w:hAnsi="Times" w:cs="Times New Roman"/>
          <w:noProof/>
        </w:rPr>
        <w:tab/>
        <w:t xml:space="preserve">Ait-Belgnaoui, A., Bradesi, S., Fioramonti, J., Theodorou, V. &amp; Bueno, L. Acute stress-induced hypersensitivity to colonic distension depends upon increase in paracellular permeability: Role of myosin light chain kinase. </w:t>
      </w:r>
      <w:r w:rsidRPr="00D23BF1">
        <w:rPr>
          <w:rFonts w:ascii="Times" w:hAnsi="Times" w:cs="Times New Roman"/>
          <w:i/>
          <w:iCs/>
          <w:noProof/>
        </w:rPr>
        <w:t>Pain</w:t>
      </w:r>
      <w:r w:rsidRPr="00D23BF1">
        <w:rPr>
          <w:rFonts w:ascii="Times" w:hAnsi="Times" w:cs="Times New Roman"/>
          <w:noProof/>
        </w:rPr>
        <w:t xml:space="preserve"> (2005) doi:10.1016/j.pain.2004.10.002.</w:t>
      </w:r>
    </w:p>
    <w:p w14:paraId="485F3CD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21.</w:t>
      </w:r>
      <w:r w:rsidRPr="00D23BF1">
        <w:rPr>
          <w:rFonts w:ascii="Times" w:hAnsi="Times" w:cs="Times New Roman"/>
          <w:noProof/>
        </w:rPr>
        <w:tab/>
        <w:t xml:space="preserve">Dewar, M. L. </w:t>
      </w:r>
      <w:r w:rsidRPr="00D23BF1">
        <w:rPr>
          <w:rFonts w:ascii="Times" w:hAnsi="Times" w:cs="Times New Roman"/>
          <w:i/>
          <w:iCs/>
          <w:noProof/>
        </w:rPr>
        <w:t>et al.</w:t>
      </w:r>
      <w:r w:rsidRPr="00D23BF1">
        <w:rPr>
          <w:rFonts w:ascii="Times" w:hAnsi="Times" w:cs="Times New Roman"/>
          <w:noProof/>
        </w:rPr>
        <w:t xml:space="preserve"> Influence of fasting during moult on the faecal microbiota of penguins. </w:t>
      </w:r>
      <w:r w:rsidRPr="00D23BF1">
        <w:rPr>
          <w:rFonts w:ascii="Times" w:hAnsi="Times" w:cs="Times New Roman"/>
          <w:i/>
          <w:iCs/>
          <w:noProof/>
        </w:rPr>
        <w:t>PLoS One</w:t>
      </w:r>
      <w:r w:rsidRPr="00D23BF1">
        <w:rPr>
          <w:rFonts w:ascii="Times" w:hAnsi="Times" w:cs="Times New Roman"/>
          <w:noProof/>
        </w:rPr>
        <w:t xml:space="preserve"> </w:t>
      </w:r>
      <w:r w:rsidRPr="00D23BF1">
        <w:rPr>
          <w:rFonts w:ascii="Times" w:hAnsi="Times" w:cs="Times New Roman"/>
          <w:b/>
          <w:bCs/>
          <w:noProof/>
        </w:rPr>
        <w:t>9</w:t>
      </w:r>
      <w:r w:rsidRPr="00D23BF1">
        <w:rPr>
          <w:rFonts w:ascii="Times" w:hAnsi="Times" w:cs="Times New Roman"/>
          <w:noProof/>
        </w:rPr>
        <w:t>, (2014).</w:t>
      </w:r>
    </w:p>
    <w:p w14:paraId="08AEFBE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22.</w:t>
      </w:r>
      <w:r w:rsidRPr="00D23BF1">
        <w:rPr>
          <w:rFonts w:ascii="Times" w:hAnsi="Times" w:cs="Times New Roman"/>
          <w:noProof/>
        </w:rPr>
        <w:tab/>
        <w:t xml:space="preserve">Dill-Mcfarland, K. A. </w:t>
      </w:r>
      <w:r w:rsidRPr="00D23BF1">
        <w:rPr>
          <w:rFonts w:ascii="Times" w:hAnsi="Times" w:cs="Times New Roman"/>
          <w:i/>
          <w:iCs/>
          <w:noProof/>
        </w:rPr>
        <w:t>et al.</w:t>
      </w:r>
      <w:r w:rsidRPr="00D23BF1">
        <w:rPr>
          <w:rFonts w:ascii="Times" w:hAnsi="Times" w:cs="Times New Roman"/>
          <w:noProof/>
        </w:rPr>
        <w:t xml:space="preserve"> Hibernation alters the diversity and composition of mucosa-associated bacteria while enhancing antimicrobial defence in the gut of 13-lined ground squirrels. </w:t>
      </w:r>
      <w:r w:rsidRPr="00D23BF1">
        <w:rPr>
          <w:rFonts w:ascii="Times" w:hAnsi="Times" w:cs="Times New Roman"/>
          <w:i/>
          <w:iCs/>
          <w:noProof/>
        </w:rPr>
        <w:t>Mol. Ecol.</w:t>
      </w:r>
      <w:r w:rsidRPr="00D23BF1">
        <w:rPr>
          <w:rFonts w:ascii="Times" w:hAnsi="Times" w:cs="Times New Roman"/>
          <w:noProof/>
        </w:rPr>
        <w:t xml:space="preserve"> </w:t>
      </w:r>
      <w:r w:rsidRPr="00D23BF1">
        <w:rPr>
          <w:rFonts w:ascii="Times" w:hAnsi="Times" w:cs="Times New Roman"/>
          <w:b/>
          <w:bCs/>
          <w:noProof/>
        </w:rPr>
        <w:t>23</w:t>
      </w:r>
      <w:r w:rsidRPr="00D23BF1">
        <w:rPr>
          <w:rFonts w:ascii="Times" w:hAnsi="Times" w:cs="Times New Roman"/>
          <w:noProof/>
        </w:rPr>
        <w:t>, 4658–4669 (2014).</w:t>
      </w:r>
    </w:p>
    <w:p w14:paraId="3C017114"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23.</w:t>
      </w:r>
      <w:r w:rsidRPr="00D23BF1">
        <w:rPr>
          <w:rFonts w:ascii="Times" w:hAnsi="Times" w:cs="Times New Roman"/>
          <w:noProof/>
        </w:rPr>
        <w:tab/>
        <w:t xml:space="preserve">Beli, E. </w:t>
      </w:r>
      <w:r w:rsidRPr="00D23BF1">
        <w:rPr>
          <w:rFonts w:ascii="Times" w:hAnsi="Times" w:cs="Times New Roman"/>
          <w:i/>
          <w:iCs/>
          <w:noProof/>
        </w:rPr>
        <w:t>et al.</w:t>
      </w:r>
      <w:r w:rsidRPr="00D23BF1">
        <w:rPr>
          <w:rFonts w:ascii="Times" w:hAnsi="Times" w:cs="Times New Roman"/>
          <w:noProof/>
        </w:rPr>
        <w:t xml:space="preserve"> Restructuring of the gut microbiome by intermittent fasting prevents retinopathy and prolongs survival in db/db mice. </w:t>
      </w:r>
      <w:r w:rsidRPr="00D23BF1">
        <w:rPr>
          <w:rFonts w:ascii="Times" w:hAnsi="Times" w:cs="Times New Roman"/>
          <w:i/>
          <w:iCs/>
          <w:noProof/>
        </w:rPr>
        <w:t>Diabetes</w:t>
      </w:r>
      <w:r w:rsidRPr="00D23BF1">
        <w:rPr>
          <w:rFonts w:ascii="Times" w:hAnsi="Times" w:cs="Times New Roman"/>
          <w:noProof/>
        </w:rPr>
        <w:t xml:space="preserve"> </w:t>
      </w:r>
      <w:r w:rsidRPr="00D23BF1">
        <w:rPr>
          <w:rFonts w:ascii="Times" w:hAnsi="Times" w:cs="Times New Roman"/>
          <w:b/>
          <w:bCs/>
          <w:noProof/>
        </w:rPr>
        <w:t>67</w:t>
      </w:r>
      <w:r w:rsidRPr="00D23BF1">
        <w:rPr>
          <w:rFonts w:ascii="Times" w:hAnsi="Times" w:cs="Times New Roman"/>
          <w:noProof/>
        </w:rPr>
        <w:t>, 1867–1879 (2018).</w:t>
      </w:r>
    </w:p>
    <w:p w14:paraId="1E5BE8A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24.</w:t>
      </w:r>
      <w:r w:rsidRPr="00D23BF1">
        <w:rPr>
          <w:rFonts w:ascii="Times" w:hAnsi="Times" w:cs="Times New Roman"/>
          <w:noProof/>
        </w:rPr>
        <w:tab/>
        <w:t xml:space="preserve">Berlow, M., Phillips, J. N. &amp; Derryberry, E. P. Effects of Urbanization and Landscape on Gut Microbiomes in White-Crowned Sparrows. </w:t>
      </w:r>
      <w:r w:rsidRPr="00D23BF1">
        <w:rPr>
          <w:rFonts w:ascii="Times" w:hAnsi="Times" w:cs="Times New Roman"/>
          <w:i/>
          <w:iCs/>
          <w:noProof/>
        </w:rPr>
        <w:t>Microb. Ecol.</w:t>
      </w:r>
      <w:r w:rsidRPr="00D23BF1">
        <w:rPr>
          <w:rFonts w:ascii="Times" w:hAnsi="Times" w:cs="Times New Roman"/>
          <w:noProof/>
        </w:rPr>
        <w:t xml:space="preserve"> (2020) doi:10.1007/s00248-020-01569-8.</w:t>
      </w:r>
    </w:p>
    <w:p w14:paraId="46F9271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25.</w:t>
      </w:r>
      <w:r w:rsidRPr="00D23BF1">
        <w:rPr>
          <w:rFonts w:ascii="Times" w:hAnsi="Times" w:cs="Times New Roman"/>
          <w:noProof/>
        </w:rPr>
        <w:tab/>
        <w:t xml:space="preserve">Phillips, J. N., Berlow, M. &amp; Derryberry, E. P. The Effects of Landscape Urbanization on the Gut Microbiome: An Exploration Into the Gut of Urban and Rural White-Crowned Sparrows. </w:t>
      </w:r>
      <w:r w:rsidRPr="00D23BF1">
        <w:rPr>
          <w:rFonts w:ascii="Times" w:hAnsi="Times" w:cs="Times New Roman"/>
          <w:i/>
          <w:iCs/>
          <w:noProof/>
        </w:rPr>
        <w:t>Front. Ecol. Evol.</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(2018).</w:t>
      </w:r>
    </w:p>
    <w:p w14:paraId="5F5D375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26.</w:t>
      </w:r>
      <w:r w:rsidRPr="00D23BF1">
        <w:rPr>
          <w:rFonts w:ascii="Times" w:hAnsi="Times" w:cs="Times New Roman"/>
          <w:noProof/>
        </w:rPr>
        <w:tab/>
        <w:t xml:space="preserve">Derryberry, E. P. </w:t>
      </w:r>
      <w:r w:rsidRPr="00D23BF1">
        <w:rPr>
          <w:rFonts w:ascii="Times" w:hAnsi="Times" w:cs="Times New Roman"/>
          <w:i/>
          <w:iCs/>
          <w:noProof/>
        </w:rPr>
        <w:t>et al.</w:t>
      </w:r>
      <w:r w:rsidRPr="00D23BF1">
        <w:rPr>
          <w:rFonts w:ascii="Times" w:hAnsi="Times" w:cs="Times New Roman"/>
          <w:noProof/>
        </w:rPr>
        <w:t xml:space="preserve"> Patterns of song across natural and anthropogenic soundscapes suggest that white-crowned sparrows minimize acoustic masking and maximize signal content. </w:t>
      </w:r>
      <w:r w:rsidRPr="00D23BF1">
        <w:rPr>
          <w:rFonts w:ascii="Times" w:hAnsi="Times" w:cs="Times New Roman"/>
          <w:i/>
          <w:iCs/>
          <w:noProof/>
        </w:rPr>
        <w:t>PLoS One</w:t>
      </w:r>
      <w:r w:rsidRPr="00D23BF1">
        <w:rPr>
          <w:rFonts w:ascii="Times" w:hAnsi="Times" w:cs="Times New Roman"/>
          <w:noProof/>
        </w:rPr>
        <w:t xml:space="preserve"> </w:t>
      </w:r>
      <w:r w:rsidRPr="00D23BF1">
        <w:rPr>
          <w:rFonts w:ascii="Times" w:hAnsi="Times" w:cs="Times New Roman"/>
          <w:b/>
          <w:bCs/>
          <w:noProof/>
        </w:rPr>
        <w:t>11</w:t>
      </w:r>
      <w:r w:rsidRPr="00D23BF1">
        <w:rPr>
          <w:rFonts w:ascii="Times" w:hAnsi="Times" w:cs="Times New Roman"/>
          <w:noProof/>
        </w:rPr>
        <w:t>, 1–17 (2016).</w:t>
      </w:r>
    </w:p>
    <w:p w14:paraId="16217906"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27.</w:t>
      </w:r>
      <w:r w:rsidRPr="00D23BF1">
        <w:rPr>
          <w:rFonts w:ascii="Times" w:hAnsi="Times" w:cs="Times New Roman"/>
          <w:noProof/>
        </w:rPr>
        <w:tab/>
        <w:t xml:space="preserve">Marler, P. A comparative approach to vocal learning: Song development in white-crowned sparrows. </w:t>
      </w:r>
      <w:r w:rsidRPr="00D23BF1">
        <w:rPr>
          <w:rFonts w:ascii="Times" w:hAnsi="Times" w:cs="Times New Roman"/>
          <w:i/>
          <w:iCs/>
          <w:noProof/>
        </w:rPr>
        <w:t>J. Comp. Physiol. Psychol.</w:t>
      </w:r>
      <w:r w:rsidRPr="00D23BF1">
        <w:rPr>
          <w:rFonts w:ascii="Times" w:hAnsi="Times" w:cs="Times New Roman"/>
          <w:noProof/>
        </w:rPr>
        <w:t xml:space="preserve"> </w:t>
      </w:r>
      <w:r w:rsidRPr="00D23BF1">
        <w:rPr>
          <w:rFonts w:ascii="Times" w:hAnsi="Times" w:cs="Times New Roman"/>
          <w:b/>
          <w:bCs/>
          <w:noProof/>
        </w:rPr>
        <w:t>71</w:t>
      </w:r>
      <w:r w:rsidRPr="00D23BF1">
        <w:rPr>
          <w:rFonts w:ascii="Times" w:hAnsi="Times" w:cs="Times New Roman"/>
          <w:noProof/>
        </w:rPr>
        <w:t>, 1–25 (1970).</w:t>
      </w:r>
    </w:p>
    <w:p w14:paraId="1D2CA24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28.</w:t>
      </w:r>
      <w:r w:rsidRPr="00D23BF1">
        <w:rPr>
          <w:rFonts w:ascii="Times" w:hAnsi="Times" w:cs="Times New Roman"/>
          <w:noProof/>
        </w:rPr>
        <w:tab/>
        <w:t xml:space="preserve">Nelson, D. A., Marler, P. &amp; Palleroni, A. A comparative approach to vocal learning: Intraspecific variation in the learning process. </w:t>
      </w:r>
      <w:r w:rsidRPr="00D23BF1">
        <w:rPr>
          <w:rFonts w:ascii="Times" w:hAnsi="Times" w:cs="Times New Roman"/>
          <w:i/>
          <w:iCs/>
          <w:noProof/>
        </w:rPr>
        <w:t>Anim. Behav.</w:t>
      </w:r>
      <w:r w:rsidRPr="00D23BF1">
        <w:rPr>
          <w:rFonts w:ascii="Times" w:hAnsi="Times" w:cs="Times New Roman"/>
          <w:noProof/>
        </w:rPr>
        <w:t xml:space="preserve"> </w:t>
      </w:r>
      <w:r w:rsidRPr="00D23BF1">
        <w:rPr>
          <w:rFonts w:ascii="Times" w:hAnsi="Times" w:cs="Times New Roman"/>
          <w:b/>
          <w:bCs/>
          <w:noProof/>
        </w:rPr>
        <w:t>50</w:t>
      </w:r>
      <w:r w:rsidRPr="00D23BF1">
        <w:rPr>
          <w:rFonts w:ascii="Times" w:hAnsi="Times" w:cs="Times New Roman"/>
          <w:noProof/>
        </w:rPr>
        <w:t>, 83–97 (1995).</w:t>
      </w:r>
    </w:p>
    <w:p w14:paraId="545AB2D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29.</w:t>
      </w:r>
      <w:r w:rsidRPr="00D23BF1">
        <w:rPr>
          <w:rFonts w:ascii="Times" w:hAnsi="Times" w:cs="Times New Roman"/>
          <w:noProof/>
        </w:rPr>
        <w:tab/>
        <w:t xml:space="preserve">Derryberry, E. P. Evolution of bird song affects signal efficacy: An experimental test using historical and current signals. </w:t>
      </w:r>
      <w:r w:rsidRPr="00D23BF1">
        <w:rPr>
          <w:rFonts w:ascii="Times" w:hAnsi="Times" w:cs="Times New Roman"/>
          <w:i/>
          <w:iCs/>
          <w:noProof/>
        </w:rPr>
        <w:t>Evolution (N. Y).</w:t>
      </w:r>
      <w:r w:rsidRPr="00D23BF1">
        <w:rPr>
          <w:rFonts w:ascii="Times" w:hAnsi="Times" w:cs="Times New Roman"/>
          <w:noProof/>
        </w:rPr>
        <w:t xml:space="preserve"> </w:t>
      </w:r>
      <w:r w:rsidRPr="00D23BF1">
        <w:rPr>
          <w:rFonts w:ascii="Times" w:hAnsi="Times" w:cs="Times New Roman"/>
          <w:b/>
          <w:bCs/>
          <w:noProof/>
        </w:rPr>
        <w:t>61</w:t>
      </w:r>
      <w:r w:rsidRPr="00D23BF1">
        <w:rPr>
          <w:rFonts w:ascii="Times" w:hAnsi="Times" w:cs="Times New Roman"/>
          <w:noProof/>
        </w:rPr>
        <w:t>, 1938–1945 (2007).</w:t>
      </w:r>
    </w:p>
    <w:p w14:paraId="368AF62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30.</w:t>
      </w:r>
      <w:r w:rsidRPr="00D23BF1">
        <w:rPr>
          <w:rFonts w:ascii="Times" w:hAnsi="Times" w:cs="Times New Roman"/>
          <w:noProof/>
        </w:rPr>
        <w:tab/>
        <w:t xml:space="preserve">Searcy, W. A., Peters, S. &amp; Nowicki, S. Effects of early nutrition on growth rate and adult size in song sparrows Melospiza melodia. </w:t>
      </w:r>
      <w:r w:rsidRPr="00D23BF1">
        <w:rPr>
          <w:rFonts w:ascii="Times" w:hAnsi="Times" w:cs="Times New Roman"/>
          <w:i/>
          <w:iCs/>
          <w:noProof/>
        </w:rPr>
        <w:t>J. Avian Biol.</w:t>
      </w:r>
      <w:r w:rsidRPr="00D23BF1">
        <w:rPr>
          <w:rFonts w:ascii="Times" w:hAnsi="Times" w:cs="Times New Roman"/>
          <w:noProof/>
        </w:rPr>
        <w:t xml:space="preserve"> </w:t>
      </w:r>
      <w:r w:rsidRPr="00D23BF1">
        <w:rPr>
          <w:rFonts w:ascii="Times" w:hAnsi="Times" w:cs="Times New Roman"/>
          <w:b/>
          <w:bCs/>
          <w:noProof/>
        </w:rPr>
        <w:t>35</w:t>
      </w:r>
      <w:r w:rsidRPr="00D23BF1">
        <w:rPr>
          <w:rFonts w:ascii="Times" w:hAnsi="Times" w:cs="Times New Roman"/>
          <w:noProof/>
        </w:rPr>
        <w:t>, 269–279 (2004).</w:t>
      </w:r>
    </w:p>
    <w:p w14:paraId="0C115A0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31.</w:t>
      </w:r>
      <w:r w:rsidRPr="00D23BF1">
        <w:rPr>
          <w:rFonts w:ascii="Times" w:hAnsi="Times" w:cs="Times New Roman"/>
          <w:noProof/>
        </w:rPr>
        <w:tab/>
        <w:t xml:space="preserve">Eksteins, M. REAPER. in </w:t>
      </w:r>
      <w:r w:rsidRPr="00D23BF1">
        <w:rPr>
          <w:rFonts w:ascii="Times" w:hAnsi="Times" w:cs="Times New Roman"/>
          <w:i/>
          <w:iCs/>
          <w:noProof/>
        </w:rPr>
        <w:t>Solar Dance</w:t>
      </w:r>
      <w:r w:rsidRPr="00D23BF1">
        <w:rPr>
          <w:rFonts w:ascii="Times" w:hAnsi="Times" w:cs="Times New Roman"/>
          <w:noProof/>
        </w:rPr>
        <w:t xml:space="preserve"> (2012). doi:10.4159/harvard.9780674064942.c49.</w:t>
      </w:r>
    </w:p>
    <w:p w14:paraId="10B6C88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32.</w:t>
      </w:r>
      <w:r w:rsidRPr="00D23BF1">
        <w:rPr>
          <w:rFonts w:ascii="Times" w:hAnsi="Times" w:cs="Times New Roman"/>
          <w:noProof/>
        </w:rPr>
        <w:tab/>
        <w:t xml:space="preserve">Wada, H., Hahn, T. P. &amp; Breuner, C. W. Development of stress reactivity in white-crowned sparrow nestlings: Total corticosterone response increases with age, while free corticosterone response remains low. </w:t>
      </w:r>
      <w:r w:rsidRPr="00D23BF1">
        <w:rPr>
          <w:rFonts w:ascii="Times" w:hAnsi="Times" w:cs="Times New Roman"/>
          <w:i/>
          <w:iCs/>
          <w:noProof/>
        </w:rPr>
        <w:t>Gen. Comp. Endocrinol.</w:t>
      </w:r>
      <w:r w:rsidRPr="00D23BF1">
        <w:rPr>
          <w:rFonts w:ascii="Times" w:hAnsi="Times" w:cs="Times New Roman"/>
          <w:noProof/>
        </w:rPr>
        <w:t xml:space="preserve"> </w:t>
      </w:r>
      <w:r w:rsidRPr="00D23BF1">
        <w:rPr>
          <w:rFonts w:ascii="Times" w:hAnsi="Times" w:cs="Times New Roman"/>
          <w:b/>
          <w:bCs/>
          <w:noProof/>
        </w:rPr>
        <w:t>150</w:t>
      </w:r>
      <w:r w:rsidRPr="00D23BF1">
        <w:rPr>
          <w:rFonts w:ascii="Times" w:hAnsi="Times" w:cs="Times New Roman"/>
          <w:noProof/>
        </w:rPr>
        <w:t>, 405–413 (2007).</w:t>
      </w:r>
    </w:p>
    <w:p w14:paraId="4F37E006"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33.</w:t>
      </w:r>
      <w:r w:rsidRPr="00D23BF1">
        <w:rPr>
          <w:rFonts w:ascii="Times" w:hAnsi="Times" w:cs="Times New Roman"/>
          <w:noProof/>
        </w:rPr>
        <w:tab/>
        <w:t xml:space="preserve">Berlow, M., Kohl, K. D. &amp; Derryberry, E. P. Evaluation of non-lethal gut microbiome sampling methods in a passerine bird. </w:t>
      </w:r>
      <w:r w:rsidRPr="00D23BF1">
        <w:rPr>
          <w:rFonts w:ascii="Times" w:hAnsi="Times" w:cs="Times New Roman"/>
          <w:i/>
          <w:iCs/>
          <w:noProof/>
        </w:rPr>
        <w:t>Ibis (Lond. 1859).</w:t>
      </w:r>
      <w:r w:rsidRPr="00D23BF1">
        <w:rPr>
          <w:rFonts w:ascii="Times" w:hAnsi="Times" w:cs="Times New Roman"/>
          <w:noProof/>
        </w:rPr>
        <w:t xml:space="preserve"> ibi.12807 (2019) doi:10.1111/ibi.12807.</w:t>
      </w:r>
    </w:p>
    <w:p w14:paraId="2D9A1F1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34.</w:t>
      </w:r>
      <w:r w:rsidRPr="00D23BF1">
        <w:rPr>
          <w:rFonts w:ascii="Times" w:hAnsi="Times" w:cs="Times New Roman"/>
          <w:noProof/>
        </w:rPr>
        <w:tab/>
        <w:t xml:space="preserve">Vo,  a.-T. E. &amp; Jedlicka, J. a. Protocols for metagenomic DNA extraction and Illumina amplicon library preparation for faecal and swab samples. </w:t>
      </w:r>
      <w:r w:rsidRPr="00D23BF1">
        <w:rPr>
          <w:rFonts w:ascii="Times" w:hAnsi="Times" w:cs="Times New Roman"/>
          <w:i/>
          <w:iCs/>
          <w:noProof/>
        </w:rPr>
        <w:t>Mol. Ecol. Resour.</w:t>
      </w:r>
      <w:r w:rsidRPr="00D23BF1">
        <w:rPr>
          <w:rFonts w:ascii="Times" w:hAnsi="Times" w:cs="Times New Roman"/>
          <w:noProof/>
        </w:rPr>
        <w:t xml:space="preserve"> </w:t>
      </w:r>
      <w:r w:rsidRPr="00D23BF1">
        <w:rPr>
          <w:rFonts w:ascii="Times" w:hAnsi="Times" w:cs="Times New Roman"/>
          <w:b/>
          <w:bCs/>
          <w:noProof/>
        </w:rPr>
        <w:lastRenderedPageBreak/>
        <w:t>14</w:t>
      </w:r>
      <w:r w:rsidRPr="00D23BF1">
        <w:rPr>
          <w:rFonts w:ascii="Times" w:hAnsi="Times" w:cs="Times New Roman"/>
          <w:noProof/>
        </w:rPr>
        <w:t>, 1183–1197 (2014).</w:t>
      </w:r>
    </w:p>
    <w:p w14:paraId="0CA8B30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35.</w:t>
      </w:r>
      <w:r w:rsidRPr="00D23BF1">
        <w:rPr>
          <w:rFonts w:ascii="Times" w:hAnsi="Times" w:cs="Times New Roman"/>
          <w:noProof/>
        </w:rPr>
        <w:tab/>
        <w:t xml:space="preserve">Caporaso, J. G. </w:t>
      </w:r>
      <w:r w:rsidRPr="00D23BF1">
        <w:rPr>
          <w:rFonts w:ascii="Times" w:hAnsi="Times" w:cs="Times New Roman"/>
          <w:i/>
          <w:iCs/>
          <w:noProof/>
        </w:rPr>
        <w:t>et al.</w:t>
      </w:r>
      <w:r w:rsidRPr="00D23BF1">
        <w:rPr>
          <w:rFonts w:ascii="Times" w:hAnsi="Times" w:cs="Times New Roman"/>
          <w:noProof/>
        </w:rPr>
        <w:t xml:space="preserve"> Ultra-high-throughput microbial community analysis on the Illumina HiSeq and MiSeq platforms. </w:t>
      </w:r>
      <w:r w:rsidRPr="00D23BF1">
        <w:rPr>
          <w:rFonts w:ascii="Times" w:hAnsi="Times" w:cs="Times New Roman"/>
          <w:i/>
          <w:iCs/>
          <w:noProof/>
        </w:rPr>
        <w:t>ISME J.</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1621–1624 (2012).</w:t>
      </w:r>
    </w:p>
    <w:p w14:paraId="3EE96B1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36.</w:t>
      </w:r>
      <w:r w:rsidRPr="00D23BF1">
        <w:rPr>
          <w:rFonts w:ascii="Times" w:hAnsi="Times" w:cs="Times New Roman"/>
          <w:noProof/>
        </w:rPr>
        <w:tab/>
        <w:t xml:space="preserve">Bolyen, E. </w:t>
      </w:r>
      <w:r w:rsidRPr="00D23BF1">
        <w:rPr>
          <w:rFonts w:ascii="Times" w:hAnsi="Times" w:cs="Times New Roman"/>
          <w:i/>
          <w:iCs/>
          <w:noProof/>
        </w:rPr>
        <w:t>et al.</w:t>
      </w:r>
      <w:r w:rsidRPr="00D23BF1">
        <w:rPr>
          <w:rFonts w:ascii="Times" w:hAnsi="Times" w:cs="Times New Roman"/>
          <w:noProof/>
        </w:rPr>
        <w:t xml:space="preserve"> Reproducible, interactive, scalable and extensible microbiome data science using QIIME 2 (Nature Biotechnology, (2019), 37, 8, (852-857), 10.1038/s41587-019-0209-9). </w:t>
      </w:r>
      <w:r w:rsidRPr="00D23BF1">
        <w:rPr>
          <w:rFonts w:ascii="Times" w:hAnsi="Times" w:cs="Times New Roman"/>
          <w:i/>
          <w:iCs/>
          <w:noProof/>
        </w:rPr>
        <w:t>Nat. Biotechnol.</w:t>
      </w:r>
      <w:r w:rsidRPr="00D23BF1">
        <w:rPr>
          <w:rFonts w:ascii="Times" w:hAnsi="Times" w:cs="Times New Roman"/>
          <w:noProof/>
        </w:rPr>
        <w:t xml:space="preserve"> </w:t>
      </w:r>
      <w:r w:rsidRPr="00D23BF1">
        <w:rPr>
          <w:rFonts w:ascii="Times" w:hAnsi="Times" w:cs="Times New Roman"/>
          <w:b/>
          <w:bCs/>
          <w:noProof/>
        </w:rPr>
        <w:t>37</w:t>
      </w:r>
      <w:r w:rsidRPr="00D23BF1">
        <w:rPr>
          <w:rFonts w:ascii="Times" w:hAnsi="Times" w:cs="Times New Roman"/>
          <w:noProof/>
        </w:rPr>
        <w:t>, 852–857 (2019).</w:t>
      </w:r>
    </w:p>
    <w:p w14:paraId="1BBF0144"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37.</w:t>
      </w:r>
      <w:r w:rsidRPr="00D23BF1">
        <w:rPr>
          <w:rFonts w:ascii="Times" w:hAnsi="Times" w:cs="Times New Roman"/>
          <w:noProof/>
        </w:rPr>
        <w:tab/>
        <w:t xml:space="preserve">Rosen, M. J., Callahan, B. J., Fisher, D. S. &amp; Holmes, S. P. Denoising PCR-amplified metagenome data. </w:t>
      </w:r>
      <w:r w:rsidRPr="00D23BF1">
        <w:rPr>
          <w:rFonts w:ascii="Times" w:hAnsi="Times" w:cs="Times New Roman"/>
          <w:i/>
          <w:iCs/>
          <w:noProof/>
        </w:rPr>
        <w:t>BMC Bioinformatics</w:t>
      </w:r>
      <w:r w:rsidRPr="00D23BF1">
        <w:rPr>
          <w:rFonts w:ascii="Times" w:hAnsi="Times" w:cs="Times New Roman"/>
          <w:noProof/>
        </w:rPr>
        <w:t xml:space="preserve"> </w:t>
      </w:r>
      <w:r w:rsidRPr="00D23BF1">
        <w:rPr>
          <w:rFonts w:ascii="Times" w:hAnsi="Times" w:cs="Times New Roman"/>
          <w:b/>
          <w:bCs/>
          <w:noProof/>
        </w:rPr>
        <w:t>13</w:t>
      </w:r>
      <w:r w:rsidRPr="00D23BF1">
        <w:rPr>
          <w:rFonts w:ascii="Times" w:hAnsi="Times" w:cs="Times New Roman"/>
          <w:noProof/>
        </w:rPr>
        <w:t>, (2012).</w:t>
      </w:r>
    </w:p>
    <w:p w14:paraId="09A05D5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38.</w:t>
      </w:r>
      <w:r w:rsidRPr="00D23BF1">
        <w:rPr>
          <w:rFonts w:ascii="Times" w:hAnsi="Times" w:cs="Times New Roman"/>
          <w:noProof/>
        </w:rPr>
        <w:tab/>
        <w:t xml:space="preserve">Price, M. N., Dehal, P. S. &amp; Arkin, A. P. FastTree 2 - Approximately maximum-likelihood trees for large alignments. </w:t>
      </w:r>
      <w:r w:rsidRPr="00D23BF1">
        <w:rPr>
          <w:rFonts w:ascii="Times" w:hAnsi="Times" w:cs="Times New Roman"/>
          <w:i/>
          <w:iCs/>
          <w:noProof/>
        </w:rPr>
        <w:t>PLoS One</w:t>
      </w:r>
      <w:r w:rsidRPr="00D23BF1">
        <w:rPr>
          <w:rFonts w:ascii="Times" w:hAnsi="Times" w:cs="Times New Roman"/>
          <w:noProof/>
        </w:rPr>
        <w:t xml:space="preserve"> </w:t>
      </w:r>
      <w:r w:rsidRPr="00D23BF1">
        <w:rPr>
          <w:rFonts w:ascii="Times" w:hAnsi="Times" w:cs="Times New Roman"/>
          <w:b/>
          <w:bCs/>
          <w:noProof/>
        </w:rPr>
        <w:t>5</w:t>
      </w:r>
      <w:r w:rsidRPr="00D23BF1">
        <w:rPr>
          <w:rFonts w:ascii="Times" w:hAnsi="Times" w:cs="Times New Roman"/>
          <w:noProof/>
        </w:rPr>
        <w:t>, (2010).</w:t>
      </w:r>
    </w:p>
    <w:p w14:paraId="682A22C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39.</w:t>
      </w:r>
      <w:r w:rsidRPr="00D23BF1">
        <w:rPr>
          <w:rFonts w:ascii="Times" w:hAnsi="Times" w:cs="Times New Roman"/>
          <w:noProof/>
        </w:rPr>
        <w:tab/>
        <w:t xml:space="preserve">Quast, C. </w:t>
      </w:r>
      <w:r w:rsidRPr="00D23BF1">
        <w:rPr>
          <w:rFonts w:ascii="Times" w:hAnsi="Times" w:cs="Times New Roman"/>
          <w:i/>
          <w:iCs/>
          <w:noProof/>
        </w:rPr>
        <w:t>et al.</w:t>
      </w:r>
      <w:r w:rsidRPr="00D23BF1">
        <w:rPr>
          <w:rFonts w:ascii="Times" w:hAnsi="Times" w:cs="Times New Roman"/>
          <w:noProof/>
        </w:rPr>
        <w:t xml:space="preserve"> The SILVA ribosomal RNA gene database project: Improved data processing and web-based tools. </w:t>
      </w:r>
      <w:r w:rsidRPr="00D23BF1">
        <w:rPr>
          <w:rFonts w:ascii="Times" w:hAnsi="Times" w:cs="Times New Roman"/>
          <w:i/>
          <w:iCs/>
          <w:noProof/>
        </w:rPr>
        <w:t>Nucleic Acids Res.</w:t>
      </w:r>
      <w:r w:rsidRPr="00D23BF1">
        <w:rPr>
          <w:rFonts w:ascii="Times" w:hAnsi="Times" w:cs="Times New Roman"/>
          <w:noProof/>
        </w:rPr>
        <w:t xml:space="preserve"> </w:t>
      </w:r>
      <w:r w:rsidRPr="00D23BF1">
        <w:rPr>
          <w:rFonts w:ascii="Times" w:hAnsi="Times" w:cs="Times New Roman"/>
          <w:b/>
          <w:bCs/>
          <w:noProof/>
        </w:rPr>
        <w:t>41</w:t>
      </w:r>
      <w:r w:rsidRPr="00D23BF1">
        <w:rPr>
          <w:rFonts w:ascii="Times" w:hAnsi="Times" w:cs="Times New Roman"/>
          <w:noProof/>
        </w:rPr>
        <w:t>, 590–596 (2013).</w:t>
      </w:r>
    </w:p>
    <w:p w14:paraId="338436E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40.</w:t>
      </w:r>
      <w:r w:rsidRPr="00D23BF1">
        <w:rPr>
          <w:rFonts w:ascii="Times" w:hAnsi="Times" w:cs="Times New Roman"/>
          <w:noProof/>
        </w:rPr>
        <w:tab/>
        <w:t xml:space="preserve">Chao, A., Chiu, C.-H. &amp; Jost, L. Unifying Species Diversity, Phylogenetic Diversity, Functional Diversity, and Related Similarity and Differentiation Measures Through Hill Numbers. </w:t>
      </w:r>
      <w:r w:rsidRPr="00D23BF1">
        <w:rPr>
          <w:rFonts w:ascii="Times" w:hAnsi="Times" w:cs="Times New Roman"/>
          <w:i/>
          <w:iCs/>
          <w:noProof/>
        </w:rPr>
        <w:t>Annu. Rev. Ecol. Evol. Syst.</w:t>
      </w:r>
      <w:r w:rsidRPr="00D23BF1">
        <w:rPr>
          <w:rFonts w:ascii="Times" w:hAnsi="Times" w:cs="Times New Roman"/>
          <w:noProof/>
        </w:rPr>
        <w:t xml:space="preserve"> </w:t>
      </w:r>
      <w:r w:rsidRPr="00D23BF1">
        <w:rPr>
          <w:rFonts w:ascii="Times" w:hAnsi="Times" w:cs="Times New Roman"/>
          <w:b/>
          <w:bCs/>
          <w:noProof/>
        </w:rPr>
        <w:t>45</w:t>
      </w:r>
      <w:r w:rsidRPr="00D23BF1">
        <w:rPr>
          <w:rFonts w:ascii="Times" w:hAnsi="Times" w:cs="Times New Roman"/>
          <w:noProof/>
        </w:rPr>
        <w:t>, 297–324 (2014).</w:t>
      </w:r>
    </w:p>
    <w:p w14:paraId="723A3DB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41.</w:t>
      </w:r>
      <w:r w:rsidRPr="00D23BF1">
        <w:rPr>
          <w:rFonts w:ascii="Times" w:hAnsi="Times" w:cs="Times New Roman"/>
          <w:noProof/>
        </w:rPr>
        <w:tab/>
        <w:t xml:space="preserve">Jost, L. Partitioning diversity into independent alpha and beta components. </w:t>
      </w:r>
      <w:r w:rsidRPr="00D23BF1">
        <w:rPr>
          <w:rFonts w:ascii="Times" w:hAnsi="Times" w:cs="Times New Roman"/>
          <w:i/>
          <w:iCs/>
          <w:noProof/>
        </w:rPr>
        <w:t>Ecology</w:t>
      </w:r>
      <w:r w:rsidRPr="00D23BF1">
        <w:rPr>
          <w:rFonts w:ascii="Times" w:hAnsi="Times" w:cs="Times New Roman"/>
          <w:noProof/>
        </w:rPr>
        <w:t xml:space="preserve"> </w:t>
      </w:r>
      <w:r w:rsidRPr="00D23BF1">
        <w:rPr>
          <w:rFonts w:ascii="Times" w:hAnsi="Times" w:cs="Times New Roman"/>
          <w:b/>
          <w:bCs/>
          <w:noProof/>
        </w:rPr>
        <w:t>90</w:t>
      </w:r>
      <w:r w:rsidRPr="00D23BF1">
        <w:rPr>
          <w:rFonts w:ascii="Times" w:hAnsi="Times" w:cs="Times New Roman"/>
          <w:noProof/>
        </w:rPr>
        <w:t>, 3593 (2009).</w:t>
      </w:r>
    </w:p>
    <w:p w14:paraId="3F5F59F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42.</w:t>
      </w:r>
      <w:r w:rsidRPr="00D23BF1">
        <w:rPr>
          <w:rFonts w:ascii="Times" w:hAnsi="Times" w:cs="Times New Roman"/>
          <w:noProof/>
        </w:rPr>
        <w:tab/>
        <w:t xml:space="preserve">Langille, M. G. I. </w:t>
      </w:r>
      <w:r w:rsidRPr="00D23BF1">
        <w:rPr>
          <w:rFonts w:ascii="Times" w:hAnsi="Times" w:cs="Times New Roman"/>
          <w:i/>
          <w:iCs/>
          <w:noProof/>
        </w:rPr>
        <w:t>et al.</w:t>
      </w:r>
      <w:r w:rsidRPr="00D23BF1">
        <w:rPr>
          <w:rFonts w:ascii="Times" w:hAnsi="Times" w:cs="Times New Roman"/>
          <w:noProof/>
        </w:rPr>
        <w:t xml:space="preserve"> Predictive functional profiling of microbial communities using 16S rRNA marker gene sequences. </w:t>
      </w:r>
      <w:r w:rsidRPr="00D23BF1">
        <w:rPr>
          <w:rFonts w:ascii="Times" w:hAnsi="Times" w:cs="Times New Roman"/>
          <w:i/>
          <w:iCs/>
          <w:noProof/>
        </w:rPr>
        <w:t>Nat. Biotechnol.</w:t>
      </w:r>
      <w:r w:rsidRPr="00D23BF1">
        <w:rPr>
          <w:rFonts w:ascii="Times" w:hAnsi="Times" w:cs="Times New Roman"/>
          <w:noProof/>
        </w:rPr>
        <w:t xml:space="preserve"> </w:t>
      </w:r>
      <w:r w:rsidRPr="00D23BF1">
        <w:rPr>
          <w:rFonts w:ascii="Times" w:hAnsi="Times" w:cs="Times New Roman"/>
          <w:b/>
          <w:bCs/>
          <w:noProof/>
        </w:rPr>
        <w:t>31</w:t>
      </w:r>
      <w:r w:rsidRPr="00D23BF1">
        <w:rPr>
          <w:rFonts w:ascii="Times" w:hAnsi="Times" w:cs="Times New Roman"/>
          <w:noProof/>
        </w:rPr>
        <w:t>, 814–21 (2013).</w:t>
      </w:r>
    </w:p>
    <w:p w14:paraId="480C597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43.</w:t>
      </w:r>
      <w:r w:rsidRPr="00D23BF1">
        <w:rPr>
          <w:rFonts w:ascii="Times" w:hAnsi="Times" w:cs="Times New Roman"/>
          <w:noProof/>
        </w:rPr>
        <w:tab/>
        <w:t xml:space="preserve">Pinheiro J, Bates D, DebRoy S, S. D. and R. C. T. nlme: Linear and Nonlinear Mixed Effects Models. R package version 3.1-131, https://CRAN.R-project.org/package=nlme. </w:t>
      </w:r>
      <w:r w:rsidRPr="00D23BF1">
        <w:rPr>
          <w:rFonts w:ascii="Times" w:hAnsi="Times" w:cs="Times New Roman"/>
          <w:i/>
          <w:iCs/>
          <w:noProof/>
        </w:rPr>
        <w:t>R Packag. version 3.1-131, https//CRAN.R-project.org/package=nlme.</w:t>
      </w:r>
      <w:r w:rsidRPr="00D23BF1">
        <w:rPr>
          <w:rFonts w:ascii="Times" w:hAnsi="Times" w:cs="Times New Roman"/>
          <w:noProof/>
        </w:rPr>
        <w:t xml:space="preserve"> (2017) doi:10.1016/j.tibs.2011.05.003.</w:t>
      </w:r>
    </w:p>
    <w:p w14:paraId="1CD1DFB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44.</w:t>
      </w:r>
      <w:r w:rsidRPr="00D23BF1">
        <w:rPr>
          <w:rFonts w:ascii="Times" w:hAnsi="Times" w:cs="Times New Roman"/>
          <w:noProof/>
        </w:rPr>
        <w:tab/>
        <w:t xml:space="preserve">Bates, D., Mächler, M., Bolker, B. &amp; Walker, S. Fitting linear mixed-effects models using lme4. </w:t>
      </w:r>
      <w:r w:rsidRPr="00D23BF1">
        <w:rPr>
          <w:rFonts w:ascii="Times" w:hAnsi="Times" w:cs="Times New Roman"/>
          <w:i/>
          <w:iCs/>
          <w:noProof/>
        </w:rPr>
        <w:t>J. Stat. Softw.</w:t>
      </w:r>
      <w:r w:rsidRPr="00D23BF1">
        <w:rPr>
          <w:rFonts w:ascii="Times" w:hAnsi="Times" w:cs="Times New Roman"/>
          <w:noProof/>
        </w:rPr>
        <w:t xml:space="preserve"> </w:t>
      </w:r>
      <w:r w:rsidRPr="00D23BF1">
        <w:rPr>
          <w:rFonts w:ascii="Times" w:hAnsi="Times" w:cs="Times New Roman"/>
          <w:b/>
          <w:bCs/>
          <w:noProof/>
        </w:rPr>
        <w:t>67</w:t>
      </w:r>
      <w:r w:rsidRPr="00D23BF1">
        <w:rPr>
          <w:rFonts w:ascii="Times" w:hAnsi="Times" w:cs="Times New Roman"/>
          <w:noProof/>
        </w:rPr>
        <w:t>, 51 (2015).</w:t>
      </w:r>
    </w:p>
    <w:p w14:paraId="3A7F1D2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45.</w:t>
      </w:r>
      <w:r w:rsidRPr="00D23BF1">
        <w:rPr>
          <w:rFonts w:ascii="Times" w:hAnsi="Times" w:cs="Times New Roman"/>
          <w:noProof/>
        </w:rPr>
        <w:tab/>
        <w:t xml:space="preserve">Faria, J. C., Jelihovschi, E. G. &amp; Allaman, I. B. Package ‘TukeyC’. </w:t>
      </w:r>
      <w:r w:rsidRPr="00D23BF1">
        <w:rPr>
          <w:rFonts w:ascii="Times" w:hAnsi="Times" w:cs="Times New Roman"/>
          <w:i/>
          <w:iCs/>
          <w:noProof/>
        </w:rPr>
        <w:t>CRAN Repository</w:t>
      </w:r>
      <w:r w:rsidRPr="00D23BF1">
        <w:rPr>
          <w:rFonts w:ascii="Times" w:hAnsi="Times" w:cs="Times New Roman"/>
          <w:noProof/>
        </w:rPr>
        <w:t xml:space="preserve"> (2015).</w:t>
      </w:r>
    </w:p>
    <w:p w14:paraId="398E668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46.</w:t>
      </w:r>
      <w:r w:rsidRPr="00D23BF1">
        <w:rPr>
          <w:rFonts w:ascii="Times" w:hAnsi="Times" w:cs="Times New Roman"/>
          <w:noProof/>
        </w:rPr>
        <w:tab/>
        <w:t>Streiner, D. L. Finding Our Way</w:t>
      </w:r>
      <w:r w:rsidRPr="00D23BF1">
        <w:rPr>
          <w:rFonts w:ascii="Times New Roman" w:hAnsi="Times New Roman" w:cs="Times New Roman"/>
          <w:noProof/>
        </w:rPr>
        <w:t> </w:t>
      </w:r>
      <w:r w:rsidRPr="00D23BF1">
        <w:rPr>
          <w:rFonts w:ascii="Times" w:hAnsi="Times" w:cs="Times New Roman"/>
          <w:noProof/>
        </w:rPr>
        <w:t xml:space="preserve">: An Introduction to Path Analysis. </w:t>
      </w:r>
      <w:r w:rsidRPr="00D23BF1">
        <w:rPr>
          <w:rFonts w:ascii="Times" w:hAnsi="Times" w:cs="Times New Roman"/>
          <w:b/>
          <w:bCs/>
          <w:noProof/>
        </w:rPr>
        <w:t>50</w:t>
      </w:r>
      <w:r w:rsidRPr="00D23BF1">
        <w:rPr>
          <w:rFonts w:ascii="Times" w:hAnsi="Times" w:cs="Times New Roman"/>
          <w:noProof/>
        </w:rPr>
        <w:t>, (2005).</w:t>
      </w:r>
    </w:p>
    <w:p w14:paraId="2700A243"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47.</w:t>
      </w:r>
      <w:r w:rsidRPr="00D23BF1">
        <w:rPr>
          <w:rFonts w:ascii="Times" w:hAnsi="Times" w:cs="Times New Roman"/>
          <w:noProof/>
        </w:rPr>
        <w:tab/>
        <w:t xml:space="preserve">Oksanen, J. Vegan: Community Ecology Package. R package version 2.4-3. </w:t>
      </w:r>
      <w:r w:rsidRPr="00D23BF1">
        <w:rPr>
          <w:rFonts w:ascii="Times" w:hAnsi="Times" w:cs="Times New Roman"/>
          <w:i/>
          <w:iCs/>
          <w:noProof/>
        </w:rPr>
        <w:t>https://CRAN.R-project.org/package=vegan</w:t>
      </w:r>
      <w:r w:rsidRPr="00D23BF1">
        <w:rPr>
          <w:rFonts w:ascii="Times" w:hAnsi="Times" w:cs="Times New Roman"/>
          <w:noProof/>
        </w:rPr>
        <w:t xml:space="preserve"> (2015) doi:10.1038/sj.leu.2402722.</w:t>
      </w:r>
    </w:p>
    <w:p w14:paraId="5E5DADE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48.</w:t>
      </w:r>
      <w:r w:rsidRPr="00D23BF1">
        <w:rPr>
          <w:rFonts w:ascii="Times" w:hAnsi="Times" w:cs="Times New Roman"/>
          <w:noProof/>
        </w:rPr>
        <w:tab/>
        <w:t xml:space="preserve">Bonier, F. </w:t>
      </w:r>
      <w:r w:rsidRPr="00D23BF1">
        <w:rPr>
          <w:rFonts w:ascii="Times" w:hAnsi="Times" w:cs="Times New Roman"/>
          <w:i/>
          <w:iCs/>
          <w:noProof/>
        </w:rPr>
        <w:t>et al.</w:t>
      </w:r>
      <w:r w:rsidRPr="00D23BF1">
        <w:rPr>
          <w:rFonts w:ascii="Times" w:hAnsi="Times" w:cs="Times New Roman"/>
          <w:noProof/>
        </w:rPr>
        <w:t xml:space="preserve"> Sex-specific consequences of life in the city. </w:t>
      </w:r>
      <w:r w:rsidRPr="00D23BF1">
        <w:rPr>
          <w:rFonts w:ascii="Times" w:hAnsi="Times" w:cs="Times New Roman"/>
          <w:i/>
          <w:iCs/>
          <w:noProof/>
        </w:rPr>
        <w:t>Behav. Ecol.</w:t>
      </w:r>
      <w:r w:rsidRPr="00D23BF1">
        <w:rPr>
          <w:rFonts w:ascii="Times" w:hAnsi="Times" w:cs="Times New Roman"/>
          <w:noProof/>
        </w:rPr>
        <w:t xml:space="preserve"> </w:t>
      </w:r>
      <w:r w:rsidRPr="00D23BF1">
        <w:rPr>
          <w:rFonts w:ascii="Times" w:hAnsi="Times" w:cs="Times New Roman"/>
          <w:b/>
          <w:bCs/>
          <w:noProof/>
        </w:rPr>
        <w:t>18</w:t>
      </w:r>
      <w:r w:rsidRPr="00D23BF1">
        <w:rPr>
          <w:rFonts w:ascii="Times" w:hAnsi="Times" w:cs="Times New Roman"/>
          <w:noProof/>
        </w:rPr>
        <w:t>, 121–129 (2007).</w:t>
      </w:r>
    </w:p>
    <w:p w14:paraId="4AE5F87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49.</w:t>
      </w:r>
      <w:r w:rsidRPr="00D23BF1">
        <w:rPr>
          <w:rFonts w:ascii="Times" w:hAnsi="Times" w:cs="Times New Roman"/>
          <w:noProof/>
        </w:rPr>
        <w:tab/>
        <w:t xml:space="preserve">L. Quinn, J., J. Whittingham, M., J. Butler, S. &amp; Cresswell, W. Noise, predation risk compensation and vigilance in the chaffinch Fringilla coelebs. </w:t>
      </w:r>
      <w:r w:rsidRPr="00D23BF1">
        <w:rPr>
          <w:rFonts w:ascii="Times" w:hAnsi="Times" w:cs="Times New Roman"/>
          <w:i/>
          <w:iCs/>
          <w:noProof/>
        </w:rPr>
        <w:t>J. Avian Biol.</w:t>
      </w:r>
      <w:r w:rsidRPr="00D23BF1">
        <w:rPr>
          <w:rFonts w:ascii="Times" w:hAnsi="Times" w:cs="Times New Roman"/>
          <w:noProof/>
        </w:rPr>
        <w:t xml:space="preserve"> </w:t>
      </w:r>
      <w:r w:rsidRPr="00D23BF1">
        <w:rPr>
          <w:rFonts w:ascii="Times" w:hAnsi="Times" w:cs="Times New Roman"/>
          <w:b/>
          <w:bCs/>
          <w:noProof/>
        </w:rPr>
        <w:t>37</w:t>
      </w:r>
      <w:r w:rsidRPr="00D23BF1">
        <w:rPr>
          <w:rFonts w:ascii="Times" w:hAnsi="Times" w:cs="Times New Roman"/>
          <w:noProof/>
        </w:rPr>
        <w:t>, 601–608 (2006).</w:t>
      </w:r>
    </w:p>
    <w:p w14:paraId="737912B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50.</w:t>
      </w:r>
      <w:r w:rsidRPr="00D23BF1">
        <w:rPr>
          <w:rFonts w:ascii="Times" w:hAnsi="Times" w:cs="Times New Roman"/>
          <w:noProof/>
        </w:rPr>
        <w:tab/>
        <w:t xml:space="preserve">Gesi, M. </w:t>
      </w:r>
      <w:r w:rsidRPr="00D23BF1">
        <w:rPr>
          <w:rFonts w:ascii="Times" w:hAnsi="Times" w:cs="Times New Roman"/>
          <w:i/>
          <w:iCs/>
          <w:noProof/>
        </w:rPr>
        <w:t>et al.</w:t>
      </w:r>
      <w:r w:rsidRPr="00D23BF1">
        <w:rPr>
          <w:rFonts w:ascii="Times" w:hAnsi="Times" w:cs="Times New Roman"/>
          <w:noProof/>
        </w:rPr>
        <w:t xml:space="preserve"> Brief and repeated noise exposure produces different morphological and biochemical effects in noradrenaline and adrenaline cells of adrenal medulla. </w:t>
      </w:r>
      <w:r w:rsidRPr="00D23BF1">
        <w:rPr>
          <w:rFonts w:ascii="Times" w:hAnsi="Times" w:cs="Times New Roman"/>
          <w:i/>
          <w:iCs/>
          <w:noProof/>
        </w:rPr>
        <w:t>J. Anat.</w:t>
      </w:r>
      <w:r w:rsidRPr="00D23BF1">
        <w:rPr>
          <w:rFonts w:ascii="Times" w:hAnsi="Times" w:cs="Times New Roman"/>
          <w:noProof/>
        </w:rPr>
        <w:t xml:space="preserve"> </w:t>
      </w:r>
      <w:r w:rsidRPr="00D23BF1">
        <w:rPr>
          <w:rFonts w:ascii="Times" w:hAnsi="Times" w:cs="Times New Roman"/>
          <w:b/>
          <w:bCs/>
          <w:noProof/>
        </w:rPr>
        <w:t>200</w:t>
      </w:r>
      <w:r w:rsidRPr="00D23BF1">
        <w:rPr>
          <w:rFonts w:ascii="Times" w:hAnsi="Times" w:cs="Times New Roman"/>
          <w:noProof/>
        </w:rPr>
        <w:t>, 159–168 (2002).</w:t>
      </w:r>
    </w:p>
    <w:p w14:paraId="06CFE68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51.</w:t>
      </w:r>
      <w:r w:rsidRPr="00D23BF1">
        <w:rPr>
          <w:rFonts w:ascii="Times" w:hAnsi="Times" w:cs="Times New Roman"/>
          <w:noProof/>
        </w:rPr>
        <w:tab/>
        <w:t xml:space="preserve">Mittal, R. </w:t>
      </w:r>
      <w:r w:rsidRPr="00D23BF1">
        <w:rPr>
          <w:rFonts w:ascii="Times" w:hAnsi="Times" w:cs="Times New Roman"/>
          <w:i/>
          <w:iCs/>
          <w:noProof/>
        </w:rPr>
        <w:t>et al.</w:t>
      </w:r>
      <w:r w:rsidRPr="00D23BF1">
        <w:rPr>
          <w:rFonts w:ascii="Times" w:hAnsi="Times" w:cs="Times New Roman"/>
          <w:noProof/>
        </w:rPr>
        <w:t xml:space="preserve"> Neurotransmitters: The Critical Modulators Regulating Gut–Brain Axis. </w:t>
      </w:r>
      <w:r w:rsidRPr="00D23BF1">
        <w:rPr>
          <w:rFonts w:ascii="Times" w:hAnsi="Times" w:cs="Times New Roman"/>
          <w:i/>
          <w:iCs/>
          <w:noProof/>
        </w:rPr>
        <w:t>J. Cell. Physiol.</w:t>
      </w:r>
      <w:r w:rsidRPr="00D23BF1">
        <w:rPr>
          <w:rFonts w:ascii="Times" w:hAnsi="Times" w:cs="Times New Roman"/>
          <w:noProof/>
        </w:rPr>
        <w:t xml:space="preserve"> </w:t>
      </w:r>
      <w:r w:rsidRPr="00D23BF1">
        <w:rPr>
          <w:rFonts w:ascii="Times" w:hAnsi="Times" w:cs="Times New Roman"/>
          <w:b/>
          <w:bCs/>
          <w:noProof/>
        </w:rPr>
        <w:t>232</w:t>
      </w:r>
      <w:r w:rsidRPr="00D23BF1">
        <w:rPr>
          <w:rFonts w:ascii="Times" w:hAnsi="Times" w:cs="Times New Roman"/>
          <w:noProof/>
        </w:rPr>
        <w:t>, 2359–2372 (2017).</w:t>
      </w:r>
    </w:p>
    <w:p w14:paraId="70CA8541" w14:textId="77777777" w:rsidR="00041ADB" w:rsidRPr="00D23BF1" w:rsidRDefault="00041ADB" w:rsidP="00F20BE1">
      <w:pPr>
        <w:widowControl w:val="0"/>
        <w:autoSpaceDE w:val="0"/>
        <w:autoSpaceDN w:val="0"/>
        <w:adjustRightInd w:val="0"/>
        <w:ind w:left="640"/>
        <w:rPr>
          <w:rFonts w:ascii="Times" w:hAnsi="Times"/>
          <w:noProof/>
        </w:rPr>
      </w:pPr>
      <w:r w:rsidRPr="00D23BF1">
        <w:rPr>
          <w:rFonts w:ascii="Times" w:hAnsi="Times" w:cs="Times New Roman"/>
          <w:noProof/>
        </w:rPr>
        <w:t>52.</w:t>
      </w:r>
      <w:r w:rsidRPr="00D23BF1">
        <w:rPr>
          <w:rFonts w:ascii="Times" w:hAnsi="Times" w:cs="Times New Roman"/>
          <w:noProof/>
        </w:rPr>
        <w:tab/>
        <w:t xml:space="preserve">Teyssier, A. </w:t>
      </w:r>
      <w:r w:rsidRPr="00D23BF1">
        <w:rPr>
          <w:rFonts w:ascii="Times" w:hAnsi="Times" w:cs="Times New Roman"/>
          <w:i/>
          <w:iCs/>
          <w:noProof/>
        </w:rPr>
        <w:t>et al.</w:t>
      </w:r>
      <w:r w:rsidRPr="00D23BF1">
        <w:rPr>
          <w:rFonts w:ascii="Times" w:hAnsi="Times" w:cs="Times New Roman"/>
          <w:noProof/>
        </w:rPr>
        <w:t xml:space="preserve"> Diet contributes to urban-induced alterations in gut microbiota: experimental evidence from a wild passerine. </w:t>
      </w:r>
      <w:r w:rsidRPr="00D23BF1">
        <w:rPr>
          <w:rFonts w:ascii="Times" w:hAnsi="Times" w:cs="Times New Roman"/>
          <w:i/>
          <w:iCs/>
          <w:noProof/>
        </w:rPr>
        <w:t>Proceedings. Biol. Sci.</w:t>
      </w:r>
      <w:r w:rsidRPr="00D23BF1">
        <w:rPr>
          <w:rFonts w:ascii="Times" w:hAnsi="Times" w:cs="Times New Roman"/>
          <w:noProof/>
        </w:rPr>
        <w:t xml:space="preserve"> </w:t>
      </w:r>
      <w:r w:rsidRPr="00D23BF1">
        <w:rPr>
          <w:rFonts w:ascii="Times" w:hAnsi="Times" w:cs="Times New Roman"/>
          <w:b/>
          <w:bCs/>
          <w:noProof/>
        </w:rPr>
        <w:t>287</w:t>
      </w:r>
      <w:r w:rsidRPr="00D23BF1">
        <w:rPr>
          <w:rFonts w:ascii="Times" w:hAnsi="Times" w:cs="Times New Roman"/>
          <w:noProof/>
        </w:rPr>
        <w:t>, 20192182 (2020).</w:t>
      </w:r>
    </w:p>
    <w:p w14:paraId="2466F6C4" w14:textId="77777777" w:rsidR="00041ADB" w:rsidRPr="00D23BF1" w:rsidRDefault="00041ADB" w:rsidP="00F20BE1">
      <w:pPr>
        <w:rPr>
          <w:rFonts w:ascii="Times" w:hAnsi="Times"/>
        </w:rPr>
      </w:pPr>
      <w:r w:rsidRPr="00D23BF1">
        <w:rPr>
          <w:rFonts w:ascii="Times" w:hAnsi="Times"/>
        </w:rPr>
        <w:fldChar w:fldCharType="end"/>
      </w:r>
    </w:p>
    <w:p w14:paraId="1D158343" w14:textId="77777777" w:rsidR="00041ADB" w:rsidRPr="00D23BF1" w:rsidRDefault="00041ADB" w:rsidP="00F20BE1">
      <w:pPr>
        <w:rPr>
          <w:rFonts w:ascii="Times" w:hAnsi="Times"/>
          <w:color w:val="FF0000"/>
        </w:rPr>
      </w:pPr>
    </w:p>
    <w:p w14:paraId="2D7B7116" w14:textId="1110ED0E" w:rsidR="00041ADB" w:rsidRPr="00D23BF1" w:rsidRDefault="00041ADB" w:rsidP="00F20BE1">
      <w:pPr>
        <w:rPr>
          <w:rFonts w:ascii="Times" w:hAnsi="Times"/>
          <w:b/>
          <w:bCs/>
        </w:rPr>
      </w:pPr>
    </w:p>
    <w:p w14:paraId="074B156C" w14:textId="6E21337B" w:rsidR="00041ADB" w:rsidRPr="00D23BF1" w:rsidRDefault="00041ADB" w:rsidP="00F20BE1">
      <w:pPr>
        <w:rPr>
          <w:rFonts w:ascii="Times" w:hAnsi="Times"/>
          <w:color w:val="FF0000"/>
        </w:rPr>
      </w:pPr>
    </w:p>
    <w:p w14:paraId="66819458" w14:textId="77777777" w:rsidR="00041ADB" w:rsidRPr="00D23BF1" w:rsidRDefault="00041ADB" w:rsidP="00F20BE1">
      <w:pPr>
        <w:rPr>
          <w:rFonts w:ascii="Times" w:hAnsi="Times"/>
          <w:color w:val="FF0000"/>
        </w:rPr>
      </w:pPr>
    </w:p>
    <w:p w14:paraId="1424D215" w14:textId="77777777" w:rsidR="00041ADB" w:rsidRPr="00D23BF1" w:rsidRDefault="00041ADB" w:rsidP="00F20BE1">
      <w:pPr>
        <w:pStyle w:val="Heading1"/>
      </w:pPr>
    </w:p>
    <w:p w14:paraId="639C287F" w14:textId="77777777" w:rsidR="00041ADB" w:rsidRPr="00D23BF1" w:rsidRDefault="00041ADB" w:rsidP="00F20BE1">
      <w:pPr>
        <w:pStyle w:val="Heading1"/>
      </w:pPr>
    </w:p>
    <w:p w14:paraId="78CA8B2A" w14:textId="77777777" w:rsidR="00041ADB" w:rsidRPr="00D23BF1" w:rsidRDefault="00041ADB" w:rsidP="00F20BE1">
      <w:pPr>
        <w:pStyle w:val="Heading1"/>
      </w:pPr>
    </w:p>
    <w:p w14:paraId="0D49D434" w14:textId="77777777" w:rsidR="00041ADB" w:rsidRPr="00D23BF1" w:rsidRDefault="00041ADB" w:rsidP="00F20BE1">
      <w:pPr>
        <w:pStyle w:val="Heading1"/>
      </w:pPr>
    </w:p>
    <w:p w14:paraId="645E91CD" w14:textId="77777777" w:rsidR="00041ADB" w:rsidRPr="00D23BF1" w:rsidRDefault="00041ADB" w:rsidP="00F20BE1">
      <w:pPr>
        <w:pStyle w:val="Heading1"/>
      </w:pPr>
    </w:p>
    <w:p w14:paraId="1B0C472F" w14:textId="77777777" w:rsidR="00041ADB" w:rsidRPr="00D23BF1" w:rsidRDefault="00041ADB" w:rsidP="00F20BE1">
      <w:pPr>
        <w:pStyle w:val="Heading1"/>
      </w:pPr>
    </w:p>
    <w:p w14:paraId="41138428" w14:textId="77777777" w:rsidR="00041ADB" w:rsidRPr="00D23BF1" w:rsidRDefault="00041ADB" w:rsidP="00F20BE1">
      <w:pPr>
        <w:pStyle w:val="Heading1"/>
      </w:pPr>
    </w:p>
    <w:p w14:paraId="24C1C135" w14:textId="77777777" w:rsidR="00041ADB" w:rsidRPr="00D23BF1" w:rsidRDefault="00041ADB" w:rsidP="00F20BE1">
      <w:pPr>
        <w:pStyle w:val="Heading1"/>
      </w:pPr>
    </w:p>
    <w:p w14:paraId="381DDD74" w14:textId="77777777" w:rsidR="00041ADB" w:rsidRPr="00D23BF1" w:rsidRDefault="00041ADB" w:rsidP="00F20BE1">
      <w:pPr>
        <w:pStyle w:val="Heading1"/>
      </w:pPr>
    </w:p>
    <w:p w14:paraId="6CC584C1" w14:textId="77777777" w:rsidR="00041ADB" w:rsidRPr="00D23BF1" w:rsidRDefault="00041ADB" w:rsidP="00F20BE1">
      <w:pPr>
        <w:pStyle w:val="Heading1"/>
      </w:pPr>
    </w:p>
    <w:p w14:paraId="7082C33E" w14:textId="77777777" w:rsidR="00041ADB" w:rsidRPr="00D23BF1" w:rsidRDefault="00041ADB" w:rsidP="00F20BE1">
      <w:pPr>
        <w:pStyle w:val="Heading1"/>
      </w:pPr>
    </w:p>
    <w:p w14:paraId="63890759" w14:textId="77777777" w:rsidR="00041ADB" w:rsidRPr="00D23BF1" w:rsidRDefault="00041ADB" w:rsidP="00F20BE1">
      <w:pPr>
        <w:pStyle w:val="Heading1"/>
      </w:pPr>
    </w:p>
    <w:p w14:paraId="1AEBDBD8" w14:textId="77777777" w:rsidR="00041ADB" w:rsidRPr="00D23BF1" w:rsidRDefault="00041ADB" w:rsidP="00F20BE1">
      <w:pPr>
        <w:pStyle w:val="Heading1"/>
      </w:pPr>
    </w:p>
    <w:p w14:paraId="655DA045" w14:textId="77777777" w:rsidR="00041ADB" w:rsidRPr="00D23BF1" w:rsidRDefault="00041ADB" w:rsidP="00F20BE1">
      <w:pPr>
        <w:pStyle w:val="Heading1"/>
      </w:pPr>
    </w:p>
    <w:p w14:paraId="53DA56C0" w14:textId="77777777" w:rsidR="00041ADB" w:rsidRPr="00D23BF1" w:rsidRDefault="00041ADB" w:rsidP="00F20BE1">
      <w:pPr>
        <w:pStyle w:val="Heading1"/>
      </w:pPr>
    </w:p>
    <w:p w14:paraId="7A3EDBDD" w14:textId="77777777" w:rsidR="00041ADB" w:rsidRPr="00D23BF1" w:rsidRDefault="00041ADB" w:rsidP="00F20BE1">
      <w:pPr>
        <w:pStyle w:val="Heading1"/>
      </w:pPr>
    </w:p>
    <w:p w14:paraId="58859E80" w14:textId="77777777" w:rsidR="00041ADB" w:rsidRPr="00D23BF1" w:rsidRDefault="00041ADB" w:rsidP="00F20BE1">
      <w:pPr>
        <w:pStyle w:val="Heading1"/>
      </w:pPr>
    </w:p>
    <w:p w14:paraId="191E8006" w14:textId="77777777" w:rsidR="00041ADB" w:rsidRPr="00D23BF1" w:rsidRDefault="00041ADB" w:rsidP="00F20BE1">
      <w:pPr>
        <w:pStyle w:val="Heading1"/>
      </w:pPr>
    </w:p>
    <w:p w14:paraId="422232C2" w14:textId="77777777" w:rsidR="00041ADB" w:rsidRPr="00D23BF1" w:rsidRDefault="00041ADB" w:rsidP="00F20BE1">
      <w:pPr>
        <w:pStyle w:val="Heading1"/>
      </w:pPr>
    </w:p>
    <w:p w14:paraId="35020861" w14:textId="77777777" w:rsidR="00041ADB" w:rsidRPr="00D23BF1" w:rsidRDefault="00041ADB" w:rsidP="00F20BE1">
      <w:pPr>
        <w:pStyle w:val="Heading1"/>
      </w:pPr>
      <w:bookmarkStart w:id="132" w:name="_Toc69972891"/>
      <w:r w:rsidRPr="00D23BF1">
        <w:t>Conclusion</w:t>
      </w:r>
      <w:bookmarkEnd w:id="132"/>
    </w:p>
    <w:p w14:paraId="2A084B27" w14:textId="77777777" w:rsidR="00041ADB" w:rsidRPr="00D23BF1" w:rsidRDefault="00041ADB" w:rsidP="00F20BE1">
      <w:pPr>
        <w:rPr>
          <w:rFonts w:ascii="Times" w:eastAsia="Helvetica Neue" w:hAnsi="Times" w:cs="Helvetica Neue"/>
          <w:color w:val="000000"/>
        </w:rPr>
      </w:pPr>
      <w:r w:rsidRPr="00D23BF1">
        <w:rPr>
          <w:rFonts w:ascii="Times" w:eastAsia="Helvetica Neue" w:hAnsi="Times" w:cs="Helvetica Neue"/>
          <w:color w:val="000000"/>
        </w:rPr>
        <w:br w:type="page"/>
      </w:r>
    </w:p>
    <w:p w14:paraId="1B37EFD0" w14:textId="77777777" w:rsidR="00041ADB" w:rsidRPr="00D23BF1" w:rsidRDefault="00041ADB" w:rsidP="00F20BE1">
      <w:pPr>
        <w:rPr>
          <w:rFonts w:ascii="Times" w:eastAsia="Helvetica Neue" w:hAnsi="Times" w:cs="Helvetica Neue"/>
          <w:color w:val="000000"/>
        </w:rPr>
      </w:pPr>
    </w:p>
    <w:p w14:paraId="4BF7AD78" w14:textId="77777777" w:rsidR="00041ADB" w:rsidRPr="00D23BF1" w:rsidRDefault="00041ADB" w:rsidP="00F20BE1">
      <w:pPr>
        <w:rPr>
          <w:rFonts w:ascii="Times" w:eastAsia="Helvetica Neue" w:hAnsi="Times" w:cs="Helvetica Neue"/>
          <w:color w:val="000000"/>
        </w:rPr>
      </w:pPr>
    </w:p>
    <w:p w14:paraId="77C6A331" w14:textId="77777777" w:rsidR="00041ADB" w:rsidRPr="00D23BF1" w:rsidRDefault="00041ADB" w:rsidP="00F20BE1">
      <w:pPr>
        <w:rPr>
          <w:rFonts w:ascii="Times" w:eastAsia="Helvetica Neue" w:hAnsi="Times" w:cs="Helvetica Neue"/>
          <w:color w:val="000000"/>
        </w:rPr>
      </w:pPr>
      <w:r w:rsidRPr="00D23BF1">
        <w:rPr>
          <w:rFonts w:ascii="Times" w:eastAsia="Helvetica Neue" w:hAnsi="Times" w:cs="Helvetica Neue"/>
          <w:color w:val="000000"/>
        </w:rPr>
        <w:t xml:space="preserve">My dissertation research demonstrated that urbanization changes the community structure and membership of avian gut microbiomes as well as provided correlational and experimental evidence for the biotic and abiotic traits driving these changes. Urban birds differed from rural ones in terms of community composition measured both by alpha and beta diversity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{"citationItems":[{"id":"ITEM-1","itemData":{"DOI":"10.1007/s00248-020-01569-8","ISSN":"1432184X","abstract":"Habitats are changing rapidly around the globe and urbanization is one of the primary drivers. Urbanization changes food availability, environmental stressors, and the prevalence of disease for many species. These changes can lead to divergence in phenotypic traits, including behavioral, physiological, and morphological features between urban and rural populations. Recent research highlights that urbanization is also changing the gut microbial communities found in a diverse group of host species. These changes have not been uniform, leaving uncertainty as to how urban habitats are shaping gut microbial communities. To better understand these effects, we investigated the gut bacterial communities of White-Crowned Sparrow (Zonotrichia leucophrys) populations along an urbanization gradient in the San Francisco Bay area. We examined how gut bacterial communities vary with the local environment and host morphological characteristics. We found direct effects of environmental factors, including urban noise levels and territory land cover, as well as indirect effects through body size and condition, on alpha and beta diversity of gut microbial communities. We also found that urban and rural birds’ microbiomes differed in which variables predicted their diversity, with urban communities driven by host morphology, and rural communities driven by environmental factors. Elucidating these effects provides a better understanding of how urbanization affects wild avian physiology.","author":[{"dropping-particle":"","family":"Berlow","given":"Mae","non-dropping-particle":"","parse-names":false,"suffix":""},{"dropping-particle":"","family":"Phillips","given":"Jennifer N.","non-dropping-particle":"","parse-names":false,"suffix":""},{"dropping-particle":"","family":"Derryberry","given":"Elizabeth P.","non-dropping-particle":"","parse-names":false,"suffix":""}],"container-title":"Microbial Ecology","id":"ITEM-1","issued":{"date-parts":[["2020"]]},"publisher":"Microbial Ecology","title":"Effects of Urbanization and Landscape on Gut Microbiomes in White-Crowned Sparrows","type":"article-journal"},"uris":["http://www.mendeley.com/documents/?uuid=c656f4b4-5239-4473-9592-ae645591f882"]}],"mendeley":{"formattedCitation":"&lt;sup&gt;1&lt;/sup&gt;","plainTextFormattedCitation":"1","previouslyFormattedCitation":"(Berlow &lt;i&gt;et al.&lt;/i&gt; 2020)"},"properties":{"noteIndex":0},"schema":"https://github.com/citation-style-language/schema/raw/master/csl-citation.json"}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1</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w:t>
      </w:r>
      <w:sdt>
        <w:sdtPr>
          <w:rPr>
            <w:rFonts w:ascii="Times" w:hAnsi="Times"/>
          </w:rPr>
          <w:tag w:val="goog_rdk_1"/>
          <w:id w:val="-1157223042"/>
        </w:sdtPr>
        <w:sdtEndPr/>
        <w:sdtContent/>
      </w:sdt>
      <w:r w:rsidRPr="00D23BF1">
        <w:rPr>
          <w:rFonts w:ascii="Times" w:eastAsia="Helvetica Neue" w:hAnsi="Times" w:cs="Helvetica Neue"/>
          <w:color w:val="000000"/>
        </w:rPr>
        <w:t xml:space="preserve">  I also found evidence that noise pollution – the aspect of urbanization that originally motivated my dissertation work – explain</w:t>
      </w:r>
      <w:sdt>
        <w:sdtPr>
          <w:rPr>
            <w:rFonts w:ascii="Times" w:hAnsi="Times"/>
          </w:rPr>
          <w:tag w:val="goog_rdk_4"/>
          <w:id w:val="785542147"/>
        </w:sdtPr>
        <w:sdtEndPr/>
        <w:sdtContent>
          <w:r w:rsidRPr="00D23BF1">
            <w:rPr>
              <w:rFonts w:ascii="Times" w:eastAsia="Helvetica Neue" w:hAnsi="Times" w:cs="Helvetica Neue"/>
              <w:color w:val="000000"/>
            </w:rPr>
            <w:t>s some</w:t>
          </w:r>
        </w:sdtContent>
      </w:sdt>
      <w:r w:rsidRPr="00D23BF1">
        <w:rPr>
          <w:rFonts w:ascii="Times" w:hAnsi="Times"/>
        </w:rPr>
        <w:t xml:space="preserve"> </w:t>
      </w:r>
      <w:r w:rsidRPr="00D23BF1">
        <w:rPr>
          <w:rFonts w:ascii="Times" w:eastAsia="Helvetica Neue" w:hAnsi="Times" w:cs="Helvetica Neue"/>
          <w:color w:val="000000"/>
        </w:rPr>
        <w:t xml:space="preserve">variation in alpha diversity among urban and rural birds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using spatial analyses of land cover (impervious, scrub, grass, and trees) at the regional level and territory level in urban San Francisco, CA and nearby rural Point Reyes, CA. We hypothesized that urbanization of habitats affects gut microbial composition and diversity through direct effects on diet and/or indirect environmental effects. We measured gut microbial community diversity from 16s rRNA sequences amplified from cloacal swabs. We find that the urban and rural microbiomes are significantly different, such that the urban microbiome is more diverse than the rural microbiome. This relationship may be due to a more variable landscape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provides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Evolution","id":"ITEM-1","issue":"September","issued":{"date-parts":[["2018"]]},"page":"1-10","title":"The Effects of Landscape Urbanization on the Gut Microbiome: An Exploration Into the Gut of Urban and Rural White-Crowned Sparrows","type":"article-journal","volume":"6"},"uris":["http://www.mendeley.com/documents/?uuid=57a5183b-159d-4236-8f35-16ec70fd1a5b"]}],"mendeley":{"formattedCitation":"&lt;sup&gt;2&lt;/sup&gt;","plainTextFormattedCitation":"2","previouslyFormattedCitation":"(Phillips &lt;i&gt;et al.&lt;/i&gt; 2018a)"},"properties":{"noteIndex":0},"schema":"https://github.com/citation-style-language/schema/raw/master/csl-citation.json"}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2</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xml:space="preserve">. Building upon this finding, I experimentally showed that the gut microbiome changes with exposure to noise, as does food intake and plasma corticosterone (Berlow et al. in prep). However, </w:t>
      </w:r>
      <w:sdt>
        <w:sdtPr>
          <w:rPr>
            <w:rFonts w:ascii="Times" w:hAnsi="Times"/>
          </w:rPr>
          <w:tag w:val="goog_rdk_6"/>
          <w:id w:val="803271348"/>
        </w:sdtPr>
        <w:sdtEndPr/>
        <w:sdtContent>
          <w:r w:rsidRPr="00D23BF1">
            <w:rPr>
              <w:rFonts w:ascii="Times" w:eastAsia="Helvetica Neue" w:hAnsi="Times" w:cs="Helvetica Neue"/>
              <w:color w:val="000000"/>
            </w:rPr>
            <w:t>contrary</w:t>
          </w:r>
        </w:sdtContent>
      </w:sdt>
      <w:r w:rsidRPr="00D23BF1">
        <w:rPr>
          <w:rFonts w:ascii="Times" w:eastAsia="Helvetica Neue" w:hAnsi="Times" w:cs="Helvetica Neue"/>
          <w:color w:val="000000"/>
        </w:rPr>
        <w:t xml:space="preserve"> to my hypothesis, food intake and corticosterone were not the mediating factors between noise and the gut microbiome. All of this work was accomplished using</w:t>
      </w:r>
      <w:sdt>
        <w:sdtPr>
          <w:rPr>
            <w:rFonts w:ascii="Times" w:hAnsi="Times"/>
          </w:rPr>
          <w:tag w:val="goog_rdk_8"/>
          <w:id w:val="257184560"/>
        </w:sdtPr>
        <w:sdtEndPr/>
        <w:sdtContent>
          <w:r w:rsidRPr="00D23BF1">
            <w:rPr>
              <w:rFonts w:ascii="Times" w:eastAsia="Helvetica Neue" w:hAnsi="Times" w:cs="Helvetica Neue"/>
              <w:color w:val="000000"/>
            </w:rPr>
            <w:t xml:space="preserve"> noninvasive</w:t>
          </w:r>
        </w:sdtContent>
      </w:sdt>
      <w:r w:rsidRPr="00D23BF1">
        <w:rPr>
          <w:rFonts w:ascii="Times" w:eastAsia="Helvetica Neue" w:hAnsi="Times" w:cs="Helvetica Neue"/>
          <w:color w:val="000000"/>
        </w:rPr>
        <w:t xml:space="preserve"> cloacal swabs to measure the gut microbiome, which my dissertation research found </w:t>
      </w:r>
      <w:sdt>
        <w:sdtPr>
          <w:rPr>
            <w:rFonts w:ascii="Times" w:hAnsi="Times"/>
          </w:rPr>
          <w:tag w:val="goog_rdk_12"/>
          <w:id w:val="-1766924203"/>
        </w:sdtPr>
        <w:sdtEndPr/>
        <w:sdtContent>
          <w:r w:rsidRPr="00D23BF1">
            <w:rPr>
              <w:rFonts w:ascii="Times" w:eastAsia="Helvetica Neue" w:hAnsi="Times" w:cs="Helvetica Neue"/>
              <w:color w:val="000000"/>
            </w:rPr>
            <w:t>are</w:t>
          </w:r>
        </w:sdtContent>
      </w:sdt>
      <w:r w:rsidRPr="00D23BF1">
        <w:rPr>
          <w:rFonts w:ascii="Times" w:eastAsia="Helvetica Neue" w:hAnsi="Times" w:cs="Helvetica Neue"/>
          <w:color w:val="000000"/>
        </w:rPr>
        <w:t xml:space="preserve"> reflective of the large intestine and capture individual variation in the microbiome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{"citationItems":[{"id":"ITEM-1","itemData":{"DOI":"10.1111/ibi.12807","ISSN":"1474919X","abstract":"Gut microbial communities play critical roles in the biological functions of their host, such as mediating nutrient absorption, digesting food components the host cannot, and offering protection against enteric pathogens. Extensive research on gut microbial communities has been conducted on mammals, including humans and rodents, but much less work has been done in birds. Furthermore, much of the research on host–microbe interactions make use of faecal samples and rectal/cloacal swabs as a proxy for intestinal samples, which can be difficult to obtain directly. However, little is known about the overlap between the microbial communities of the gut, faeces and swabs, which limits interpretability of results based on faecal samples and swabs. To address this gap in knowledge, we compared the microbiome from five sample types – proventriculus, small intestine, large intestine, cloacal swabs and faeces – across individual Zebra Finches Taeniopygia guttata housed in constant conditions with a standardized diet. We compared diversity and community composition through 16S rRNA gene sequencing. Our results show that microbial communities from both cloacal swabs and faeces were distinct from proventriculus and small intestinal samples, but generally indistinguishable from large intestinal samples, indicating that these non-lethal samples may be useful proxies for large intestinal bacterial communities. Gaining insight into non-invasive sampling techniques for passerines has implications for studies of gut microbial diversity and abundance in wild bird populations. Furthermore, reliable non-lethal sampling is necessary for experiments where repeated sampling is required.","author":[{"dropping-particle":"","family":"Berlow","given":"Mae","non-dropping-particle":"","parse-names":false,"suffix":""},{"dropping-particle":"","family":"Kohl","given":"Kevin D.","non-dropping-particle":"","parse-names":false,"suffix":""},{"dropping-particle":"","family":"Derryberry","given":"Elizabeth P.","non-dropping-particle":"","parse-names":false,"suffix":""}],"container-title":"Ibis","id":"ITEM-1","issued":{"date-parts":[["2019","12","3"]]},"page":"ibi.12807","title":"Evaluation of non-lethal gut microbiome sampling methods in a passerine bird","type":"article-journal"},"uris":["http://www.mendeley.com/documents/?uuid=8964466e-d674-3773-8b40-73d72dfff6ef"]}],"mendeley":{"formattedCitation":"&lt;sup&gt;3&lt;/sup&gt;","plainTextFormattedCitation":"3","previouslyFormattedCitation":"(Berlow &lt;i&gt;et al.&lt;/i&gt; 2019)"},"properties":{"noteIndex":0},"schema":"https://github.com/citation-style-language/schema/raw/master/csl-citation.json"}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3</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xml:space="preserve">. The work that comprised my dissertation will impact methods decisions in future microbiome studies in both free-living and captive birds. It will also contribute to the way we look at the relationships between host environment, host, and the gut microbiome, as well as influence how we think about urban ecology as a whole. Altogether, my dissertation research accomplished my goal to work in an emerging field at the interface of urban and microbial ecology. </w:t>
      </w:r>
    </w:p>
    <w:p w14:paraId="1A6F7D66" w14:textId="77777777" w:rsidR="00041ADB" w:rsidRPr="00D23BF1" w:rsidRDefault="00041ADB" w:rsidP="00F20BE1">
      <w:pPr>
        <w:rPr>
          <w:rFonts w:ascii="Times" w:eastAsia="Helvetica Neue" w:hAnsi="Times" w:cs="Helvetica Neue"/>
          <w:i/>
          <w:color w:val="000000"/>
        </w:rPr>
      </w:pPr>
    </w:p>
    <w:p w14:paraId="422A696D" w14:textId="77777777" w:rsidR="00041ADB" w:rsidRPr="00D23BF1" w:rsidRDefault="00041ADB" w:rsidP="00F20BE1">
      <w:pPr>
        <w:rPr>
          <w:rFonts w:ascii="Times" w:eastAsia="Helvetica Neue" w:hAnsi="Times" w:cs="Helvetica Neue"/>
          <w:color w:val="000000"/>
        </w:rPr>
      </w:pPr>
      <w:r w:rsidRPr="00D23BF1">
        <w:rPr>
          <w:rFonts w:ascii="Times" w:eastAsia="Helvetica Neue" w:hAnsi="Times" w:cs="Helvetica Neue"/>
          <w:color w:val="000000"/>
        </w:rPr>
        <w:t xml:space="preserve">To assess the impact of my findings within the broader field of gut microbial ecology, I consider whether and how my dissertation research has changed how we study or think about gut microbial ecology. Many studies using non-lethal or indirect sampling methods to investigate the gut microbiome are rightfully hesitant to draw conclusions about gut bacterial communities from their samples. However, this limits our ability to interpret results and draw conclusions that are biologically relevant to the animals we study. My first chapter provided evidence that cloacal swabs and fecal samples in passerines most closely resemble the large intestine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{"citationItems":[{"id":"ITEM-1","itemData":{"DOI":"10.1111/ibi.12807","ISSN":"1474919X","abstract":"Gut microbial communities play critical roles in the biological functions of their host, such as mediating nutrient absorption, digesting food components the host cannot, and offering protection against enteric pathogens. Extensive research on gut microbial communities has been conducted on mammals, including humans and rodents, but much less work has been done in birds. Furthermore, much of the research on host–microbe interactions make use of faecal samples and rectal/cloacal swabs as a proxy for intestinal samples, which can be difficult to obtain directly. However, little is known about the overlap between the microbial communities of the gut, faeces and swabs, which limits interpretability of results based on faecal samples and swabs. To address this gap in knowledge, we compared the microbiome from five sample types – proventriculus, small intestine, large intestine, cloacal swabs and faeces – across individual Zebra Finches Taeniopygia guttata housed in constant conditions with a standardized diet. We compared diversity and community composition through 16S rRNA gene sequencing. Our results show that microbial communities from both cloacal swabs and faeces were distinct from proventriculus and small intestinal samples, but generally indistinguishable from large intestinal samples, indicating that these non-lethal samples may be useful proxies for large intestinal bacterial communities. Gaining insight into non-invasive sampling techniques for passerines has implications for studies of gut microbial diversity and abundance in wild bird populations. Furthermore, reliable non-lethal sampling is necessary for experiments where repeated sampling is required.","author":[{"dropping-particle":"","family":"Berlow","given":"Mae","non-dropping-particle":"","parse-names":false,"suffix":""},{"dropping-particle":"","family":"Kohl","given":"Kevin D.","non-dropping-particle":"","parse-names":false,"suffix":""},{"dropping-particle":"","family":"Derryberry","given":"Elizabeth P.","non-dropping-particle":"","parse-names":false,"suffix":""}],"container-title":"Ibis","id":"ITEM-1","issued":{"date-parts":[["2019","12","3"]]},"page":"ibi.12807","title":"Evaluation of non-lethal gut microbiome sampling methods in a passerine bird","type":"article-journal"},"uris":["http://www.mendeley.com/documents/?uuid=8964466e-d674-3773-8b40-73d72dfff6ef"]}],"mendeley":{"formattedCitation":"&lt;sup&gt;3&lt;/sup&gt;","plainTextFormattedCitation":"3","previouslyFormattedCitation":"(Berlow &lt;i&gt;et al.&lt;/i&gt; 2019)"},"properties":{"noteIndex":0},"schema":"https://github.com/citation-style-language/schema/raw/master/csl-citation.json"}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3</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xml:space="preserve">. This will allow us to more confidently interpret results from non-lethal samples as being reflective of processes taking place in the large intestine specifically. In addition to sampling methodology, my research has also increased our understanding of avian gut microbiomes. Most of what we know about gut microbiomes comes from studies conducted on mammals, primarily humans and captive rodents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{"citationItems":[{"id":"ITEM-1","itemData":{"DOI":"10.1111/jav.01788","ISBN":"0000000329","ISSN":"1600048X","abstract":"Gastrointestinal microbiota play a vital role in maintaining organismal health, through facilitating nutrient uptake, detoxification and interactions with the immune system. The gastrointestinal microbiota of birds has been poorly studied, especially in wild species under natural conditions. Studies of avian gut microbiota are outnumbered ten to one by studies of mammals, and are dominated by research on domestic poultry. Unlike domestic poultry, wild birds vary widely in environmental preferences, physiology, and life-history traits, such as migratory behavior and mating systems. Species characteristics result in a vast diversity in gut microbiota and its composition and function. Avian life-history characteristics pose selection pressures on the gut microbiota, and ultimately affect host health. Here, we review current knowledge of the gut microbiota of wild birds, including: partitioning of digestive function and microbiota among different gastrointestinal compartments, microbial diversity and function in the context of host diet, energetics and behavior, and the intrinsic and extrinsic factors impacting gut microbiota in free-living birds. The shared core microbiota of wild bird species is dominated by members of four major phyla: Firmicutes, Proteobacteria, Bacteroidetes and Actinobacteria. However, microbial communities varies inter- and intra-specifically, and among gastrointestinal tract sections. To conclude, we identify three key research areas that warrant further investigation: 1) expanding the range of avian host taxa investigated, 2) identifying the function of avian gut microbiota in physiology and immunology, and 3) transitioning from observational studies to experimental manipulations to identify key determinants of wild bird gut microbiota composition.","author":[{"dropping-particle":"","family":"Grond","given":"Kirsten","non-dropping-particle":"","parse-names":false,"suffix":""},{"dropping-particle":"","family":"Sandercock","given":"Brett K.","non-dropping-particle":"","parse-names":false,"suffix":""},{"dropping-particle":"","family":"Jumpponen","given":"Ari","non-dropping-particle":"","parse-names":false,"suffix":""},{"dropping-particle":"","family":"Zeglin","given":"Lydia H.","non-dropping-particle":"","parse-names":false,"suffix":""}],"container-title":"Journal of Avian Biology","id":"ITEM-1","issue":"11","issued":{"date-parts":[["2018"]]},"page":"1-19","title":"The avian gut microbiota: community, physiology and function in wild birds","type":"article-journal","volume":"49"},"uris":["http://www.mendeley.com/documents/?uuid=32d70b63-3a60-47e5-ba9d-2b1624fd5815"]}],"mendeley":{"formattedCitation":"&lt;sup&gt;4&lt;/sup&gt;","plainTextFormattedCitation":"4","previouslyFormattedCitation":"(Grond &lt;i&gt;et al.&lt;/i&gt; 2018)"},"properties":{"noteIndex":0},"schema":"https://github.com/citation-style-language/schema/raw/master/csl-citation.json"}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4</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xml:space="preserve">. This deficit limits our ability to understand what role the gut microbiome plays in the lives of wild birds, as the development and physiology of birds differs in many ways from mammals, and captivity itself has the potential to significantly change gut bacterial communities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{"citationItems":[{"id":"ITEM-1","itemData":{"DOI":"10.1093/icb/icx090","ISSN":"15577023","PMID":"28985326","abstract":"Recent studies increasingly note the effect of captivity or the built environment on the microbiome of humans and other animals. As symbiotic microbes are essential to many aspects of biology (e.g., digestive and immune functions), it is important to understand how lifestyle differences can impact the microbiome, and, consequently, the health of hosts. Animals living in captivity experience a range of changes that may influence the gut bacteria, such as diet changes, treatments, and reduced contact with other individuals, species and variable environmental substrates that act as sources of bacterial diversity. Thus far, initial results from previous studies point to a pattern of decreased bacterial diversity in captive animals. However, these studies are relatively limited in the scope of species that have been examined. Here we present a dataset that includes paired wild and captive samples from mammalian taxa across six Orders to investigate generalizable patterns of the effects captivity on mammalian gut bacteria. In comparing the wild to the captive condition, our results indicate that alpha diversity of the gut bacteria remains consistent in some mammalian hosts (bovids, giraffes, anteaters, and aardvarks), declines in the captive condition in some hosts (canids, primates, and equids), and increases in the captive condition in one host taxon (rhinoceros). Differences in gut bacterial beta diversity between the captive and wild state were observed for most of the taxa surveyed, except the even-toed ungulates (bovids and giraffes). Additionally, beta diversity variation was also strongly influenced by host taxonomic group, diet type, and gut fermentation physiology. Bacterial taxa that demonstrated larger shifts in relative abundance between the captive and wild states included members of the Firmicutes and Bacteroidetes. Overall, the patterns that we observe will inform a range of disciplines from veterinary practice to captive breeding efforts for biological conservation. Furthermore, bacterial taxa that persist in the captive state provide unique insight into symbiotic relationships with the host.","author":[{"dropping-particle":"","family":"McKenzie","given":"Valerie J.","non-dropping-particle":"","parse-names":false,"suffix":""},{"dropping-particle":"","family":"Song","given":"Se Jin","non-dropping-particle":"","parse-names":false,"suffix":""},{"dropping-particle":"","family":"Delsuc","given":"Frédéric","non-dropping-particle":"","parse-names":false,"suffix":""},{"dropping-particle":"","family":"Prest","given":"Tiffany L.","non-dropping-particle":"","parse-names":false,"suffix":""},{"dropping-particle":"","family":"Oliverio","given":"Angela M.","non-dropping-particle":"","parse-names":false,"suffix":""},{"dropping-particle":"","family":"Korpita","given":"Timothy M.","non-dropping-particle":"","parse-names":false,"suffix":""},{"dropping-particle":"","family":"Alexiev","given":"Alexandra","non-dropping-particle":"","parse-names":false,"suffix":""},{"dropping-particle":"","family":"Amato","given":"Katherine R.","non-dropping-particle":"","parse-names":false,"suffix":""},{"dropping-particle":"","family":"Metcalf","given":"Jessica L.","non-dropping-particle":"","parse-names":false,"suffix":""},{"dropping-particle":"","family":"Kowalewski","given":"Martin","non-dropping-particle":"","parse-names":false,"suffix":""},{"dropping-particle":"","family":"Avenant","given":"Nico L.","non-dropping-particle":"","parse-names":false,"suffix":""},{"dropping-particle":"","family":"Link","given":"Andres","non-dropping-particle":"","parse-names":false,"suffix":""},{"dropping-particle":"","family":"Fiore","given":"Anthony","non-dropping-particle":"Di","parse-names":false,"suffix":""},{"dropping-particle":"","family":"Seguin-Orlando","given":"Andaine","non-dropping-particle":"","parse-names":false,"suffix":""},{"dropping-particle":"","family":"Feh","given":"Claudia","non-dropping-particle":"","parse-names":false,"suffix":""},{"dropping-particle":"","family":"Orlando","given":"Ludovic","non-dropping-particle":"","parse-names":false,"suffix":""},{"dropping-particle":"","family":"Mendelson","given":"Joseph R.","non-dropping-particle":"","parse-names":false,"suffix":""},{"dropping-particle":"","family":"Sanders","given":"Jon","non-dropping-particle":"","parse-names":false,"suffix":""},{"dropping-particle":"","family":"Knight","given":"Rob","non-dropping-particle":"","parse-names":false,"suffix":""}],"container-title":"Integrative and Comparative Biology","id":"ITEM-1","issue":"4","issued":{"date-parts":[["2017"]]},"page":"690-704","title":"The effects of captivity on the mammalian gut microbiome","type":"article-journal","volume":"57"},"uris":["http://www.mendeley.com/documents/?uuid=78ef737f-7b46-4a56-977d-1a2c70671e37"]},{"id":"ITEM-2","itemData":{"DOI":"10.1098/rspb.2019.2182","ISSN":"14712954","abstract":"Urban sprawl increasingly affects the ecology of natural populations, including host-microbiota interactions, with observed differences in the gut microbiota between urban and rural hosts. While different mechanisms could explain this pattern, dietary uptake constitutes a likely candidate. To assess the contribution of diet in explaining urban-rural variation in gut microbiota, we performed an aviary experiment in which urban and rural house sparrows were fed with mimics of urban or rural diets. Before the experiment, rural sparrows hosted more diverse gut communities, with a higher relative abundance of Enterococcaceae and Staphylococcaceae and lower abundance of genes involved in xenobiotic degradation and lipid metabolism than their urban counterparts. The experimental diets significantly altered gut microbiota α- and β-diversity and taxonomic composition, with the strongest shifts occurring in individuals exposed to contrasting diets. Overall, diet-induced shifts resembled initial differences between free-ranging urban and rural hosts. Furthermore, rural diet had a positive impact on urban host body mass but only in hosts with the highest initial gut diversity. Overall, our results indicate that diet constitutes an important factor contributing to differences in gut microbiota along the urbanization gradient and provide new insights on possible fitness consequences of a reduced gut diversity in urban settings.","author":[{"dropping-particle":"","family":"Teyssier","given":"Aimeric","non-dropping-particle":"","parse-names":false,"suffix":""},{"dropping-particle":"","family":"Matthysen","given":"Erik","non-dropping-particle":"","parse-names":false,"suffix":""},{"dropping-particle":"","family":"Hudin","given":"Noraine Salleh","non-dropping-particle":"","parse-names":false,"suffix":""},{"dropping-particle":"","family":"Neve","given":"Liesbeth","non-dropping-particle":"de","parse-names":false,"suffix":""},{"dropping-particle":"","family":"White","given":"Joël","non-dropping-particle":"","parse-names":false,"suffix":""},{"dropping-particle":"","family":"Lens","given":"Luc","non-dropping-particle":"","parse-names":false,"suffix":""}],"container-title":"Proceedings. Biological sciences","id":"ITEM-2","issue":"1920","issued":{"date-parts":[["2020"]]},"note":"for birds with significantly different diets this makes sense, I need to find out for sure whether wcsp have different diets, because despite different locations the microhabitat is somewhat similar","page":"20192182","title":"Diet contributes to urban-induced alterations in gut microbiota: experimental evidence from a wild passerine","type":"article-journal","volume":"287"},"uris":["http://www.mendeley.com/documents/?uuid=f5c7c019-3e67-44a3-9903-964c2a58c0d3"]}],"mendeley":{"formattedCitation":"&lt;sup&gt;5,6&lt;/sup&gt;","plainTextFormattedCitation":"5,6","previouslyFormattedCitation":"(McKenzie &lt;i&gt;et al.&lt;/i&gt; 2017, Teyssier &lt;i&gt;et al.&lt;/i&gt; 2020)"},"properties":{"noteIndex":0},"schema":"https://github.com/citation-style-language/schema/raw/master/csl-citation.json"}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5,6</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Studying wild bird species whose gut microbiome</w:t>
      </w:r>
      <w:sdt>
        <w:sdtPr>
          <w:rPr>
            <w:rFonts w:ascii="Times" w:hAnsi="Times"/>
          </w:rPr>
          <w:tag w:val="goog_rdk_14"/>
          <w:id w:val="1056277229"/>
        </w:sdtPr>
        <w:sdtEndPr/>
        <w:sdtContent>
          <w:r w:rsidRPr="00D23BF1">
            <w:rPr>
              <w:rFonts w:ascii="Times" w:eastAsia="Helvetica Neue" w:hAnsi="Times" w:cs="Helvetica Neue"/>
              <w:color w:val="000000"/>
            </w:rPr>
            <w:t>s</w:t>
          </w:r>
        </w:sdtContent>
      </w:sdt>
      <w:r w:rsidRPr="00D23BF1">
        <w:rPr>
          <w:rFonts w:ascii="Times" w:eastAsia="Helvetica Neue" w:hAnsi="Times" w:cs="Helvetica Neue"/>
          <w:color w:val="000000"/>
        </w:rPr>
        <w:t xml:space="preserve"> ha</w:t>
      </w:r>
      <w:sdt>
        <w:sdtPr>
          <w:rPr>
            <w:rFonts w:ascii="Times" w:hAnsi="Times"/>
          </w:rPr>
          <w:tag w:val="goog_rdk_15"/>
          <w:id w:val="188187335"/>
        </w:sdtPr>
        <w:sdtEndPr/>
        <w:sdtContent>
          <w:r w:rsidRPr="00D23BF1">
            <w:rPr>
              <w:rFonts w:ascii="Times" w:eastAsia="Helvetica Neue" w:hAnsi="Times" w:cs="Helvetica Neue"/>
              <w:color w:val="000000"/>
            </w:rPr>
            <w:t>ve</w:t>
          </w:r>
        </w:sdtContent>
      </w:sdt>
      <w:r w:rsidRPr="00D23BF1">
        <w:rPr>
          <w:rFonts w:ascii="Times" w:eastAsia="Helvetica Neue" w:hAnsi="Times" w:cs="Helvetica Neue"/>
          <w:color w:val="000000"/>
        </w:rPr>
        <w:t xml:space="preserve"> not yet been investigated also adds valuable breadth to our understanding of what makes avian gut microbiota unique and reveals important areas for future investigation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{"citationItems":[{"id":"ITEM-1","itemData":{"DOI":"10.3389/fmicb.2017.00725","ISSN":"1664-302X","abstract":"The microbiome is a vital component to the evolution of a host and much of what we know about the microbiome derives from studies on humans and captive animals. But captivity alters the microbiome and mammals have unique biological adaptations that affect their microbiomes (e.g., milk). Birds represent over 30% of known tetrapod diversity and possess their own suite of adaptations relevant to the microbiome. In a previous study, we showed that 59 species of bird displayed immense variation in their microbiomes and host (bird) taxonomy and ecology were most correlated with the gut microbiome. In this Frontiers Focused Review, I put those results in a broader context by discussing how collecting and analyzing wild microbiomes contributes to the main goals of evolutionary biology and the specific ways that birds are unique microbial hosts. Finally, I outline some of the methodological considerations for adding microbiome sampling to the research of wild animals and urge researchers to do so. To truly understand the evolution of a host, we need to understand the millions of microorganisms that inhabit it as well: evolutionary biology needs wild microbiomes.","author":[{"dropping-particle":"","family":"Hird","given":"Sarah M.","non-dropping-particle":"","parse-names":false,"suffix":""}],"container-title":"Frontiers in Microbiology","id":"ITEM-1","issue":"April","issued":{"date-parts":[["2017"]]},"page":"725","title":"Evolutionary Biology Needs Wild Microbiomes","type":"article-journal","volume":"8"},"uris":["http://www.mendeley.com/documents/?uuid=4ad77c0a-1864-4e51-bcf4-30f3816785f3"]}],"mendeley":{"formattedCitation":"&lt;sup&gt;7&lt;/sup&gt;","plainTextFormattedCitation":"7","previouslyFormattedCitation":"(Hird 2017)"},"properties":{"noteIndex":0},"schema":"https://github.com/citation-style-language/schema/raw/master/csl-citation.json"}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7</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xml:space="preserve">. </w:t>
      </w:r>
    </w:p>
    <w:p w14:paraId="701B5D5A" w14:textId="77777777" w:rsidR="00041ADB" w:rsidRPr="00D23BF1" w:rsidRDefault="00041ADB" w:rsidP="00F20BE1">
      <w:pPr>
        <w:rPr>
          <w:rFonts w:ascii="Times" w:eastAsia="Helvetica Neue" w:hAnsi="Times" w:cs="Helvetica Neue"/>
          <w:color w:val="000000"/>
        </w:rPr>
      </w:pPr>
    </w:p>
    <w:p w14:paraId="64D92EF8" w14:textId="77777777" w:rsidR="00041ADB" w:rsidRPr="00D23BF1" w:rsidRDefault="00041ADB" w:rsidP="00F20BE1">
      <w:pPr>
        <w:rPr>
          <w:rFonts w:ascii="Times" w:eastAsia="Helvetica Neue" w:hAnsi="Times" w:cs="Helvetica Neue"/>
          <w:color w:val="000000"/>
        </w:rPr>
      </w:pPr>
      <w:r w:rsidRPr="00D23BF1">
        <w:rPr>
          <w:rFonts w:ascii="Times" w:eastAsia="Helvetica Neue" w:hAnsi="Times" w:cs="Helvetica Neue"/>
          <w:color w:val="000000"/>
        </w:rPr>
        <w:t xml:space="preserve">To assess the impact of my findings within the broader field of urban ecology, I consider whether and how my dissertation research has changed how we study or think about urban ecology. My research tells us that the gut microbiome should not be omitted from discussions about the physiological consequences of urbanization. This should be of interest to urban ecologists at multiple scales, from the microbial community up to the broader ecosystem containing the host. The gut microbiome is itself a community shaped by urbanization. Further, as I have discussed throughout my dissertation, the gut microbiome has consequences for many areas of an animal’s life. Thus, changes in gut microbiota could impact how vertebrates </w:t>
      </w:r>
      <w:r w:rsidRPr="00D23BF1">
        <w:rPr>
          <w:rFonts w:ascii="Times" w:eastAsia="Helvetica Neue" w:hAnsi="Times" w:cs="Helvetica Neue"/>
          <w:color w:val="000000"/>
        </w:rPr>
        <w:lastRenderedPageBreak/>
        <w:t xml:space="preserve">interact with their larger communities through social interactions, foraging choices, disease resistance and more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{"citationItems":[{"id":"ITEM-1","itemData":{"DOI":"10.1126/sciadv.1500997","author":[{"dropping-particle":"","family":"Moeller","given":"Andrew H","non-dropping-particle":"","parse-names":false,"suffix":""},{"dropping-particle":"","family":"Foerster","given":"Steffen","non-dropping-particle":"","parse-names":false,"suffix":""},{"dropping-particle":"","family":"Wilson","given":"Michael L","non-dropping-particle":"","parse-names":false,"suffix":""},{"dropping-particle":"","family":"Pusey","given":"Anne E","non-dropping-particle":"","parse-names":false,"suffix":""},{"dropping-particle":"","family":"Hahn","given":"Beatrice H","non-dropping-particle":"","parse-names":false,"suffix":""},{"dropping-particle":"","family":"Ochman","given":"Howard","non-dropping-particle":"","parse-names":false,"suffix":""}],"container-title":"Sci. Adv","id":"ITEM-1","issue":"January","issued":{"date-parts":[["2016"]]},"page":"1500997","title":"Social behavior shapes the chimpanzee pan-microbiome","type":"article-journal","volume":"2"},"uris":["http://www.mendeley.com/documents/?uuid=35e03367-4d58-4c61-b605-29fc08a1dcb5"]},{"id":"ITEM-2","itemData":{"DOI":"10.1002/bies.201400071","ISSN":"02659247","author":[{"dropping-particle":"","family":"Alcock","given":"Joe","non-dropping-particle":"","parse-names":false,"suffix":""},{"dropping-particle":"","family":"Maley","given":"Carlo C.","non-dropping-particle":"","parse-names":false,"suffix":""},{"dropping-particle":"","family":"Aktipis","given":"C. Athena","non-dropping-particle":"","parse-names":false,"suffix":""}],"container-title":"BioEssays","id":"ITEM-2","issue":"10","issued":{"date-parts":[["2014"]]},"page":"940-949","title":"Is eating behavior manipulated by the gastrointestinal microbiota? Evolutionary pressures and potential mechanisms","type":"article-journal","volume":"36"},"uris":["http://www.mendeley.com/documents/?uuid=698c72e4-e861-403d-a5ea-19355807b06d"]},{"id":"ITEM-3","itemData":{"DOI":"10.1038/s41579-018-0014-3","ISSN":"1740-1534","PMID":"29691482","author":[{"dropping-particle":"V","family":"Johnson","given":"Katerina","non-dropping-particle":"","parse-names":false,"suffix":""},{"dropping-particle":"","family":"Foster","given":"Kevin R","non-dropping-particle":"","parse-names":false,"suffix":""}],"container-title":"Nature Reviews Microbiology","id":"ITEM-3","issue":"16","issued":{"date-parts":[["2018"]]},"page":"647–655","publisher":"Springer US","title":"Why does the microbiome affect behaviour?","type":"article-journal"},"uris":["http://www.mendeley.com/documents/?uuid=8998c514-1d4d-4e0c-9379-517d75b0d684"]},{"id":"ITEM-4","itemData":{"DOI":"10.1007/s10531-016-1272-x","ISSN":"15729710","abstract":"Recent research in humans, livestock, and wildlife using high-throughput next-generation sequencing (NGS) has identified that resident microbiota play an essential role in disease resistance, host health, and adaptation to biotic and abiotic stressors. Since amphibians are currently facing population declines and extinctions attributable to anthropogenic pressures and emerging diseases, an understanding of the effects of microbiome dysbiosis and mitigation is a prerequisite for amphibian conservation and disease management. Interest is now growing with regard to understanding the influence of unfavorable environmental conditions on the amphibian microbiome and the effects of dysbiosis on the susceptibility to pathogenic infections. Here, we summarize information on the amphibian microbiome, specifically concerning intrinsic and extrinsic factors that shape the skin and gut microbiome. We explore diverse types of unfavorable environmental perturbations and the ways in which they can impact the microbiota of an individual so that we can better comprehend the consequences of stressors and dysbiosis on pathogen emergence and health. We discuss the role of the microbiome in amphibian conservation and identify gaps of knowledge that need to be filled if we are to achieve a meta-organism conservation approach. NGS studies should be complemented with other high-throughput “-omic” approaches to target microbiome functionality. Understanding the microbiome might be the missing piece in the overall strategy that will help maintain the health of amphibians in a world with highly affected environments and that will prevent/mitigate emerging infectious diseases.","author":[{"dropping-particle":"","family":"Jiménez","given":"Randall R.","non-dropping-particle":"","parse-names":false,"suffix":""},{"dropping-particle":"","family":"Sommer","given":"Simone","non-dropping-particle":"","parse-names":false,"suffix":""}],"container-title":"Biodiversity and Conservation","id":"ITEM-4","issue":"4","issued":{"date-parts":[["2017"]]},"page":"763-786","title":"The amphibian microbiome: natural range of variation, pathogenic dysbiosis, and role in conservation","type":"article-journal","volume":"26"},"uris":["http://www.mendeley.com/documents/?uuid=b76a53da-3b95-306d-9c48-b5ec3cab70b6"]}],"mendeley":{"formattedCitation":"&lt;sup&gt;8–11&lt;/sup&gt;","plainTextFormattedCitation":"8–11","previouslyFormattedCitation":"(Alcock &lt;i&gt;et al.&lt;/i&gt; 2014, Moeller &lt;i&gt;et al.&lt;/i&gt; 2016, Jiménez &amp; Sommer 2017, Johnson &amp; Foster 2018)"},"properties":{"noteIndex":0},"schema":"https://github.com/citation-style-language/schema/raw/master/csl-citation.json"}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8–11</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xml:space="preserve">. Though there was already evidence that urbanization affected the gut microbiomes of other taxa such as mammals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{"citationItems":[{"id":"ITEM-1","itemData":{"DOI":"10.1016/j.celrep.2018.05.018","ISSN":"22111247","PMID":"29874590","abstract":"We assessed the subsistence-related variation of the human gut microbiome at a fine resolution for two of the main dimensions of microbiome variation, age and geography. For this, we investigated the fecal microbiome and metabolome in rural Bassa and urbanized individuals from Nigeria, including infants, and compared data with worldwide populations practicing varying subsistence. Our data highlight specific microbiome traits that are progressively lost with urbanization, such as the dominance of pristine fiber degraders and the low inter-individual variation. For the Bassa, this last feature is the result of their subsistence-related practices favoring microbial dispersal, such as their extensive environmental contact and the usage of untreated waters from the Usuma River. The high degree of microbial dispersal observed in the Bassa meta-community nullifies the differences between infant and adult intestinal ecosystems, suggesting that the infant-type microbiome in Western populations could be the result of microbiome-associated neotenic traits favored by urbanization. Ayeni et al. characterize the fecal microbiome and metabolome of rural Bassa and urban individuals from Nigeria, including infants. Their findings stress the loss of ancient signatures along with urbanization and support distinct trajectories of development of the intestinal ecosystem in early life, depending on human subsistence.","author":[{"dropping-particle":"","family":"Ayeni","given":"Funmilola A.","non-dropping-particle":"","parse-names":false,"suffix":""},{"dropping-particle":"","family":"Biagi","given":"Elena","non-dropping-particle":"","parse-names":false,"suffix":""},{"dropping-particle":"","family":"Rampelli","given":"Simone","non-dropping-particle":"","parse-names":false,"suffix":""},{"dropping-particle":"","family":"Fiori","given":"Jessica","non-dropping-particle":"","parse-names":false,"suffix":""},{"dropping-particle":"","family":"Soverini","given":"Matteo","non-dropping-particle":"","parse-names":false,"suffix":""},{"dropping-particle":"","family":"Audu","given":"Haruna J.","non-dropping-particle":"","parse-names":false,"suffix":""},{"dropping-particle":"","family":"Cristino","given":"Sandra","non-dropping-particle":"","parse-names":false,"suffix":""},{"dropping-particle":"","family":"Caporali","given":"Leonardo","non-dropping-particle":"","parse-names":false,"suffix":""},{"dropping-particle":"","family":"Schnorr","given":"Stephanie L.","non-dropping-particle":"","parse-names":false,"suffix":""},{"dropping-particle":"","family":"Carelli","given":"Valerio","non-dropping-particle":"","parse-names":false,"suffix":""},{"dropping-particle":"","family":"Brigidi","given":"Patrizia","non-dropping-particle":"","parse-names":false,"suffix":""},{"dropping-particle":"","family":"Candela","given":"Marco","non-dropping-particle":"","parse-names":false,"suffix":""},{"dropping-particle":"","family":"Turroni","given":"Silvia","non-dropping-particle":"","parse-names":false,"suffix":""}],"container-title":"Cell Reports","id":"ITEM-1","issue":"10","issued":{"date-parts":[["2018"]]},"page":"3056-3067","publisher":"ElsevierCompany.","title":"Infant and Adult Gut Microbiome and Metabolome in Rural Bassa and Urban Settlers from Nigeria","type":"article-journal","volume":"23"},"uris":["http://www.mendeley.com/documents/?uuid=e4a668ad-2768-46e1-ab78-d21e4b40f19c"]},{"id":"ITEM-2","itemData":{"DOI":"10.1038/s41598-018-28550-3","ISSN":"2045-2322","author":[{"dropping-particle":"","family":"Das","given":"Bhabatosh","non-dropping-particle":"","parse-names":false,"suffix":""},{"dropping-particle":"","family":"Ghosh","given":"Tarini Shankar","non-dropping-particle":"","parse-names":false,"suffix":""},{"dropping-particle":"","family":"Kedia","given":"Saurabh","non-dropping-particle":"","parse-names":false,"suffix":""},{"dropping-particle":"","family":"Rampal","given":"Ritika","non-dropping-particle":"","parse-names":false,"suffix":""},{"dropping-particle":"","family":"Saxena","given":"Shruti","non-dropping-particle":"","parse-names":false,"suffix":""},{"dropping-particle":"","family":"Bag","given":"Satyabrata","non-dropping-particle":"","parse-names":false,"suffix":""},{"dropping-particle":"","family":"Mitra","given":"Ridhima","non-dropping-particle":"","parse-names":false,"suffix":""},{"dropping-particle":"","family":"Dayal","given":"Mayanka","non-dropping-particle":"","parse-names":false,"suffix":""},{"dropping-particle":"","family":"Mehta","given":"Ojasvi","non-dropping-particle":"","parse-names":false,"suffix":""},{"dropping-particle":"","family":"Surendranath","given":"A.","non-dropping-particle":"","parse-names":false,"suffix":""},{"dropping-particle":"","family":"Travis","given":"Simon P. L.","non-dropping-particle":"","parse-names":false,"suffix":""},{"dropping-particle":"","family":"Tripathi","given":"Prabhanshu","non-dropping-particle":"","parse-names":false,"suffix":""},{"dropping-particle":"","family":"Nair","given":"G. Balakrish","non-dropping-particle":"","parse-names":false,"suffix":""},{"dropping-particle":"","family":"Ahuja","given":"Vineet","non-dropping-particle":"","parse-names":false,"suffix":""}],"container-title":"Scientific Reports","id":"ITEM-2","issue":"1","issued":{"date-parts":[["2018"]]},"page":"10104","publisher":"Springer US","title":"Analysis of the Gut Microbiome of Rural and Urban Healthy Indians Living in Sea Level and High Altitude Areas","type":"article-journal","volume":"8"},"uris":["http://www.mendeley.com/documents/?uuid=19a2c70b-1318-418a-800f-2be319308d1c"]}],"mendeley":{"formattedCitation":"&lt;sup&gt;12,13&lt;/sup&gt;","plainTextFormattedCitation":"12,13","previouslyFormattedCitation":"(Ayeni &lt;i&gt;et al.&lt;/i&gt; 2018, Das &lt;i&gt;et al.&lt;/i&gt; 2018)"},"properties":{"noteIndex":0},"schema":"https://github.com/citation-style-language/schema/raw/master/csl-citation.json"}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12,13</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there are unique implications for the finding that this impact extends to birds. For example, unlike many mammals found in urban areas, birds that are long-distance migra</w:t>
      </w:r>
      <w:sdt>
        <w:sdtPr>
          <w:rPr>
            <w:rFonts w:ascii="Times" w:hAnsi="Times"/>
          </w:rPr>
          <w:tag w:val="goog_rdk_17"/>
          <w:id w:val="-309320469"/>
        </w:sdtPr>
        <w:sdtEndPr/>
        <w:sdtContent>
          <w:sdt>
            <w:sdtPr>
              <w:rPr>
                <w:rFonts w:ascii="Times" w:hAnsi="Times"/>
              </w:rPr>
              <w:tag w:val="goog_rdk_18"/>
              <w:id w:val="-991483276"/>
            </w:sdtPr>
            <w:sdtEndPr/>
            <w:sdtContent/>
          </w:sdt>
          <w:r w:rsidRPr="00D23BF1">
            <w:rPr>
              <w:rFonts w:ascii="Times" w:eastAsia="Helvetica Neue" w:hAnsi="Times" w:cs="Helvetica Neue"/>
              <w:color w:val="000000"/>
            </w:rPr>
            <w:t>nts</w:t>
          </w:r>
        </w:sdtContent>
      </w:sdt>
      <w:r w:rsidRPr="00D23BF1">
        <w:rPr>
          <w:rFonts w:ascii="Times" w:eastAsia="Helvetica Neue" w:hAnsi="Times" w:cs="Helvetica Neue"/>
          <w:color w:val="000000"/>
        </w:rPr>
        <w:t xml:space="preserve"> may face disproportionate consequences for an “urbanized” gut microbiome, or conversely may not be able to exploit urban environments without an urban-adapted gut microbiome. Finally, over the course of my dissertation</w:t>
      </w:r>
      <w:sdt>
        <w:sdtPr>
          <w:rPr>
            <w:rFonts w:ascii="Times" w:hAnsi="Times"/>
          </w:rPr>
          <w:tag w:val="goog_rdk_21"/>
          <w:id w:val="402269656"/>
        </w:sdtPr>
        <w:sdtEndPr/>
        <w:sdtContent>
          <w:r w:rsidRPr="00D23BF1">
            <w:rPr>
              <w:rFonts w:ascii="Times" w:eastAsia="Helvetica Neue" w:hAnsi="Times" w:cs="Helvetica Neue"/>
              <w:color w:val="000000"/>
            </w:rPr>
            <w:t>,</w:t>
          </w:r>
        </w:sdtContent>
      </w:sdt>
      <w:r w:rsidRPr="00D23BF1">
        <w:rPr>
          <w:rFonts w:ascii="Times" w:eastAsia="Helvetica Neue" w:hAnsi="Times" w:cs="Helvetica Neue"/>
          <w:color w:val="000000"/>
        </w:rPr>
        <w:t xml:space="preserve"> I have come to see the gut microbiome not only as another area where animals face negative consequences of urbanization, but also as a potential trait that could buffer an animal from the consequences of urbanization. </w:t>
      </w:r>
    </w:p>
    <w:p w14:paraId="7AEBC1DF" w14:textId="77777777" w:rsidR="00041ADB" w:rsidRPr="00D23BF1" w:rsidRDefault="00041ADB" w:rsidP="00F20BE1">
      <w:pPr>
        <w:rPr>
          <w:rFonts w:ascii="Times" w:eastAsia="Helvetica Neue" w:hAnsi="Times" w:cs="Helvetica Neue"/>
          <w:color w:val="000000"/>
        </w:rPr>
      </w:pPr>
    </w:p>
    <w:p w14:paraId="417989CA" w14:textId="77777777" w:rsidR="00041ADB" w:rsidRPr="00D23BF1" w:rsidRDefault="00041ADB" w:rsidP="00F20BE1">
      <w:pPr>
        <w:rPr>
          <w:rFonts w:ascii="Times" w:eastAsia="Helvetica Neue" w:hAnsi="Times" w:cs="Helvetica Neue"/>
          <w:color w:val="000000"/>
        </w:rPr>
      </w:pPr>
      <w:r w:rsidRPr="00D23BF1">
        <w:rPr>
          <w:rFonts w:ascii="Times" w:eastAsia="Helvetica Neue" w:hAnsi="Times" w:cs="Helvetica Neue"/>
          <w:color w:val="000000"/>
        </w:rPr>
        <w:t xml:space="preserve">When I started my dissertation research in 2015, there were very few studies at the interface of urban and microbial ecology. There is now a substantial body of evidence showing that urbanization is associated with differences in gut bacterial communities, and several of the key papers in this emerging field are chapters from my dissertation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{"citationItems":[{"id":"ITEM-1","itemData":{"DOI":"10.1016/j.celrep.2018.05.018","ISSN":"22111247","PMID":"29874590","abstract":"We assessed the subsistence-related variation of the human gut microbiome at a fine resolution for two of the main dimensions of microbiome variation, age and geography. For this, we investigated the fecal microbiome and metabolome in rural Bassa and urbanized individuals from Nigeria, including infants, and compared data with worldwide populations practicing varying subsistence. Our data highlight specific microbiome traits that are progressively lost with urbanization, such as the dominance of pristine fiber degraders and the low inter-individual variation. For the Bassa, this last feature is the result of their subsistence-related practices favoring microbial dispersal, such as their extensive environmental contact and the usage of untreated waters from the Usuma River. The high degree of microbial dispersal observed in the Bassa meta-community nullifies the differences between infant and adult intestinal ecosystems, suggesting that the infant-type microbiome in Western populations could be the result of microbiome-associated neotenic traits favored by urbanization. Ayeni et al. characterize the fecal microbiome and metabolome of rural Bassa and urban individuals from Nigeria, including infants. Their findings stress the loss of ancient signatures along with urbanization and support distinct trajectories of development of the intestinal ecosystem in early life, depending on human subsistence.","author":[{"dropping-particle":"","family":"Ayeni","given":"Funmilola A.","non-dropping-particle":"","parse-names":false,"suffix":""},{"dropping-particle":"","family":"Biagi","given":"Elena","non-dropping-particle":"","parse-names":false,"suffix":""},{"dropping-particle":"","family":"Rampelli","given":"Simone","non-dropping-particle":"","parse-names":false,"suffix":""},{"dropping-particle":"","family":"Fiori","given":"Jessica","non-dropping-particle":"","parse-names":false,"suffix":""},{"dropping-particle":"","family":"Soverini","given":"Matteo","non-dropping-particle":"","parse-names":false,"suffix":""},{"dropping-particle":"","family":"Audu","given":"Haruna J.","non-dropping-particle":"","parse-names":false,"suffix":""},{"dropping-particle":"","family":"Cristino","given":"Sandra","non-dropping-particle":"","parse-names":false,"suffix":""},{"dropping-particle":"","family":"Caporali","given":"Leonardo","non-dropping-particle":"","parse-names":false,"suffix":""},{"dropping-particle":"","family":"Schnorr","given":"Stephanie L.","non-dropping-particle":"","parse-names":false,"suffix":""},{"dropping-particle":"","family":"Carelli","given":"Valerio","non-dropping-particle":"","parse-names":false,"suffix":""},{"dropping-particle":"","family":"Brigidi","given":"Patrizia","non-dropping-particle":"","parse-names":false,"suffix":""},{"dropping-particle":"","family":"Candela","given":"Marco","non-dropping-particle":"","parse-names":false,"suffix":""},{"dropping-particle":"","family":"Turroni","given":"Silvia","non-dropping-particle":"","parse-names":false,"suffix":""}],"container-title":"Cell Reports","id":"ITEM-1","issue":"10","issued":{"date-parts":[["2018"]]},"page":"3056-3067","publisher":"ElsevierCompany.","title":"Infant and Adult Gut Microbiome and Metabolome in Rural Bassa and Urban Settlers from Nigeria","type":"article-journal","volume":"23"},"uris":["http://www.mendeley.com/documents/?uuid=e4a668ad-2768-46e1-ab78-d21e4b40f19c"]},{"id":"ITEM-2","itemData":{"DOI":"10.3389/fevo.2018.00148","ISSN":"2296-701X","abstract":"Urban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males using spatial analyses of land cover (impervious, scrub, grass, and trees) at the regional level and territory level in urban San Francisco, CA and nearby rural Point Reyes, California. We hypothesized that urbanization of habitats affects gut microbial composition and diversity, potentially through direct effects on diet and/or indirect environmental effects. We measured gut microbial community diversity from 16s rRNA sequences amplified from cloacal swabs. We find that the urban and rural male gut microbiomes are significantly different, such that the urban gut microbiome is more diverse than the rural gut microbiome. This relationship may be due to more variable land cover types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Evolution","id":"ITEM-2","issued":{"date-parts":[["2018","9","24"]]},"title":"The Effects of Landscape Urbanization on the Gut Microbiome: An Exploration Into the Gut of Urban and Rural White-Crowned Sparrows","type":"article-journal","volume":"6"},"uris":["http://www.mendeley.com/documents/?uuid=5f91c1ce-dae3-30cf-ae5f-0fdb182fb176"]},{"id":"ITEM-3","itemData":{"DOI":"10.1016/j.scitotenv.2017.09.035","ISSN":"00489697","abstract":"Urbanisation represents one of the most radical forms of terrestrial land use change and has been shown to lead to alterations in ecosystem functioning and community dynamics and changes in individual phenotypic traits. While the recent surge in microbiome studies has brought about a paradigm shift by which individuals cannot truly be considered independently of the bacterial communities they host, the role of gut microbiota in organismal response to human-induced environmental change is still scarcely studied. Here, we applied a metabarcoding approach to examine the impact of urbanisation on the gut microbiota of Passer domesticus. We found urbanisation to be associated to lower microbiota species diversity, modifications in taxonomic composition and community structure, and changes in functional composition. The strength of these relationships, however, depended on the spatial scale and season at which they were considered. Such spatio-temporal effect suggests that urbanisation may dampen the natural seasonal variation of the gut microbiota observed in more pristine habitats, potentially influencing the fitness of urban organisms. Our results hence shed light on a hitherto little considered perspective, i.e. that the negative effects of urbanisation on city-dwelling organisms may extend to their microbiomes, causing potential dysbioses.","author":[{"dropping-particle":"","family":"Teyssier","given":"Aimeric","non-dropping-particle":"","parse-names":false,"suffix":""},{"dropping-particle":"","family":"Rouffaer","given":"Lieze Oscar","non-dropping-particle":"","parse-names":false,"suffix":""},{"dropping-particle":"","family":"Saleh Hudin","given":"Noraine","non-dropping-particle":"","parse-names":false,"suffix":""},{"dropping-particle":"","family":"Strubbe","given":"Diederik","non-dropping-particle":"","parse-names":false,"suffix":""},{"dropping-particle":"","family":"Matthysen","given":"Erik","non-dropping-particle":"","parse-names":false,"suffix":""},{"dropping-particle":"","family":"Lens","given":"Luc","non-dropping-particle":"","parse-names":false,"suffix":""},{"dropping-particle":"","family":"White","given":"Joël","non-dropping-particle":"","parse-names":false,"suffix":""}],"container-title":"Science of The Total Environment","id":"ITEM-3","issued":{"date-parts":[["2018"]]},"page":"1276-1286","publisher":"Elsevier B.V.","title":"Inside the guts of the city: Urban-induced alterations of the gut microbiota in a wild passerine","type":"article-journal","volume":"612"},"uris":["http://www.mendeley.com/documents/?uuid=0a16ed80-e088-46cb-8182-f6ebba9f38d7"]},{"id":"ITEM-4","itemData":{"DOI":"10.1111/mec.15240","ISSN":"1365294X","abstract":"Urbanisation is one of the most significant threats to biodiversity, due to the rapid and large-scale environmental alterations it imposes on the natural landscape. It is, therefore, imperative that we understand the consequences of and mechanisms by which, species can respond to it. In recent years, research has shown that plasticity of the gut microbiome may be an important mechanism by which animals can adapt to environmental change, yet empirical evidence of this in wild non-model species remains sparse. Using an empirical replicated study system, we show that city life alters the gut microbiome and stable isotope profiling of a wild native non-model species – the eastern water dragon (Intellagama lesueurii) in Queensland, Australia. City dragons exhibit a more diverse gut microbiome than their native habitat counterparts and show gut microbial signatures of a high fat and plant rich diet. Additionally, we also show that city dragons have elevated levels of the Nitrogen-15 isotope in their blood suggesting that a city diet, which incorporates novel anthropogenic food sources, may also be richer in protein. These results highlight the role that gut microbial plasticity plays in an animals' response to human-altered landscapes.","author":[{"dropping-particle":"","family":"Littleford-Colquhoun","given":"Bethan L.","non-dropping-particle":"","parse-names":false,"suffix":""},{"dropping-particle":"","family":"Weyrich","given":"Laura S.","non-dropping-particle":"","parse-names":false,"suffix":""},{"dropping-particle":"","family":"Kent","given":"Nicola","non-dropping-particle":"","parse-names":false,"suffix":""},{"dropping-particle":"","family":"Frere","given":"Celine H.","non-dropping-particle":"","parse-names":false,"suffix":""}],"container-title":"Molecular Ecology","id":"ITEM-4","issue":"20","issued":{"date-parts":[["2019"]]},"page":"4592-4607","title":"City life alters the gut microbiome and stable isotope profiling of the eastern water dragon (Intellagama lesueurii)","type":"article-journal","volume":"28"},"uris":["http://www.mendeley.com/documents/?uuid=a3f34b8b-b9b9-3c82-a021-64c6a6b70fa4"]},{"id":"ITEM-5","itemData":{"DOI":"10.1007/s00248-020-01569-8","ISSN":"1432184X","abstract":"Habitats are changing rapidly around the globe and urbanization is one of the primary drivers. Urbanization changes food availability, environmental stressors, and the prevalence of disease for many species. These changes can lead to divergence in phenotypic traits, including behavioral, physiological, and morphological features between urban and rural populations. Recent research highlights that urbanization is also changing the gut microbial communities found in a diverse group of host species. These changes have not been uniform, leaving uncertainty as to how urban habitats are shaping gut microbial communities. To better understand these effects, we investigated the gut bacterial communities of White-Crowned Sparrow (Zonotrichia leucophrys) populations along an urbanization gradient in the San Francisco Bay area. We examined how gut bacterial communities vary with the local environment and host morphological characteristics. We found direct effects of environmental factors, including urban noise levels and territory land cover, as well as indirect effects through body size and condition, on alpha and beta diversity of gut microbial communities. We also found that urban and rural birds’ microbiomes differed in which variables predicted their diversity, with urban communities driven by host morphology, and rural communities driven by environmental factors. Elucidating these effects provides a better understanding of how urbanization affects wild avian physiology.","author":[{"dropping-particle":"","family":"Berlow","given":"Mae","non-dropping-particle":"","parse-names":false,"suffix":""},{"dropping-particle":"","family":"Phillips","given":"Jennifer N.","non-dropping-particle":"","parse-names":false,"suffix":""},{"dropping-particle":"","family":"Derryberry","given":"Elizabeth P.","non-dropping-particle":"","parse-names":false,"suffix":""}],"container-title":"Microbial Ecology","id":"ITEM-5","issued":{"date-parts":[["2020"]]},"publisher":"Microbial Ecology","title":"Effects of Urbanization and Landscape on Gut Microbiomes in White-Crowned Sparrows","type":"article-journal"},"uris":["http://www.mendeley.com/documents/?uuid=c656f4b4-5239-4473-9592-ae645591f882"]}],"mendeley":{"formattedCitation":"&lt;sup&gt;1,12,14–16&lt;/sup&gt;","plainTextFormattedCitation":"1,12,14–16","previouslyFormattedCitation":"(Ayeni &lt;i&gt;et al.&lt;/i&gt; 2018, Phillips &lt;i&gt;et al.&lt;/i&gt; 2018b, Teyssier &lt;i&gt;et al.&lt;/i&gt; 2018, Littleford-Colquhoun &lt;i&gt;et al.&lt;/i&gt; 2019, Berlow &lt;i&gt;et al.&lt;/i&gt; 2020)"},"properties":{"noteIndex":0},"schema":"https://github.com/citation-style-language/schema/raw/master/csl-citation.json"}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1,12,14–16</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xml:space="preserve">. There is also building evidence of the mechanisms underlying variation in gut microbial communities along urban gradients. One obvious contributing factor is diet, as many species exploit different food sources in such drastically different habitat types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{"citationItems":[{"id":"ITEM-1","itemData":{"DOI":"10.1098/rspb.2019.2182","ISSN":"14712954","abstract":"Urban sprawl increasingly affects the ecology of natural populations, including host-microbiota interactions, with observed differences in the gut microbiota between urban and rural hosts. While different mechanisms could explain this pattern, dietary uptake constitutes a likely candidate. To assess the contribution of diet in explaining urban-rural variation in gut microbiota, we performed an aviary experiment in which urban and rural house sparrows were fed with mimics of urban or rural diets. Before the experiment, rural sparrows hosted more diverse gut communities, with a higher relative abundance of Enterococcaceae and Staphylococcaceae and lower abundance of genes involved in xenobiotic degradation and lipid metabolism than their urban counterparts. The experimental diets significantly altered gut microbiota α- and β-diversity and taxonomic composition, with the strongest shifts occurring in individuals exposed to contrasting diets. Overall, diet-induced shifts resembled initial differences between free-ranging urban and rural hosts. Furthermore, rural diet had a positive impact on urban host body mass but only in hosts with the highest initial gut diversity. Overall, our results indicate that diet constitutes an important factor contributing to differences in gut microbiota along the urbanization gradient and provide new insights on possible fitness consequences of a reduced gut diversity in urban settings.","author":[{"dropping-particle":"","family":"Teyssier","given":"Aimeric","non-dropping-particle":"","parse-names":false,"suffix":""},{"dropping-particle":"","family":"Matthysen","given":"Erik","non-dropping-particle":"","parse-names":false,"suffix":""},{"dropping-particle":"","family":"Hudin","given":"Noraine Salleh","non-dropping-particle":"","parse-names":false,"suffix":""},{"dropping-particle":"","family":"Neve","given":"Liesbeth","non-dropping-particle":"de","parse-names":false,"suffix":""},{"dropping-particle":"","family":"White","given":"Joël","non-dropping-particle":"","parse-names":false,"suffix":""},{"dropping-particle":"","family":"Lens","given":"Luc","non-dropping-particle":"","parse-names":false,"suffix":""}],"container-title":"Proceedings. Biological sciences","id":"ITEM-1","issue":"1920","issued":{"date-parts":[["2020"]]},"note":"for birds with significantly different diets this makes sense, I need to find out for sure whether wcsp have different diets, because despite different locations the microhabitat is somewhat similar","page":"20192182","title":"Diet contributes to urban-induced alterations in gut microbiota: experimental evidence from a wild passerine","type":"article-journal","volume":"287"},"uris":["http://www.mendeley.com/documents/?uuid=f5c7c019-3e67-44a3-9903-964c2a58c0d3"]}],"mendeley":{"formattedCitation":"&lt;sup&gt;6&lt;/sup&gt;","plainTextFormattedCitation":"6","previouslyFormattedCitation":"(Teyssier &lt;i&gt;et al.&lt;/i&gt; 2020)"},"properties":{"noteIndex":0},"schema":"https://github.com/citation-style-language/schema/raw/master/csl-citation.json"}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6</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xml:space="preserve">. However, this does not explain all of the variation we see in the gut microbiome across landscapes. My dissertation research suggests that less obvious, but ubiquitous, features of the urban environment such as noise pollution are also important in shaping gut microbial communities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{"citationItems":[{"id":"ITEM-1","itemData":{"DOI":"10.3389/fevo.2018.00148","ISSN":"2296-701X","abstract":"Urban habitats present new ecological and evolutionary challenges for animals. Noise and infrastructure often change behavior and community composition, with potential physical costs such as decreased condition. However, the underlying mechanisms driving these patterns are virtually unknown. One potential driver of condition within a species is the diversity of the gut microbiome. Here, we investigate how the urban habitat affects the gut microbiome of White-crowned Sparrows (Zonotrichia leucophrys) males using spatial analyses of land cover (impervious, scrub, grass, and trees) at the regional level and territory level in urban San Francisco, CA and nearby rural Point Reyes, California. We hypothesized that urbanization of habitats affects gut microbial composition and diversity, potentially through direct effects on diet and/or indirect environmental effects. We measured gut microbial community diversity from 16s rRNA sequences amplified from cloacal swabs. We find that the urban and rural male gut microbiomes are significantly different, such that the urban gut microbiome is more diverse than the rural gut microbiome. This relationship may be due to more variable land cover types in urban habitats as compared to rural habitats, which are mainly composed of native scrub. We do not find support for regional impervious cover affecting the gut microbiome, but the more precise territory level analyses show that higher tree cover correlates with increased alpha diversity and impervious cover correlates with relative abundances of gut microbial taxa (Unifrac beta diversity). Although some studies show that gut diversity affects physiology, our measures of body condition do not indicate a strong relationship. Our results highlight how changes in the landscape may affect the gut microbiome of animals in an ever-urbanizing world, and provide a baseline for future studies of how anthropogenic change affects communities at multiple levels.","author":[{"dropping-particle":"","family":"Phillips","given":"Jennifer N.","non-dropping-particle":"","parse-names":false,"suffix":""},{"dropping-particle":"","family":"Berlow","given":"Mae","non-dropping-particle":"","parse-names":false,"suffix":""},{"dropping-particle":"","family":"Derryberry","given":"Elizabeth P.","non-dropping-particle":"","parse-names":false,"suffix":""}],"container-title":"Frontiers in Ecology and Evolution","id":"ITEM-1","issued":{"date-parts":[["2018","9","24"]]},"title":"The Effects of Landscape Urbanization on the Gut Microbiome: An Exploration Into the Gut of Urban and Rural White-Crowned Sparrows","type":"article-journal","volume":"6"},"uris":["http://www.mendeley.com/documents/?uuid=5f91c1ce-dae3-30cf-ae5f-0fdb182fb176"]},{"id":"ITEM-2","itemData":{"DOI":"10.1007/s00248-020-01569-8","ISSN":"1432184X","abstract":"Habitats are changing rapidly around the globe and urbanization is one of the primary drivers. Urbanization changes food availability, environmental stressors, and the prevalence of disease for many species. These changes can lead to divergence in phenotypic traits, including behavioral, physiological, and morphological features between urban and rural populations. Recent research highlights that urbanization is also changing the gut microbial communities found in a diverse group of host species. These changes have not been uniform, leaving uncertainty as to how urban habitats are shaping gut microbial communities. To better understand these effects, we investigated the gut bacterial communities of White-Crowned Sparrow (Zonotrichia leucophrys) populations along an urbanization gradient in the San Francisco Bay area. We examined how gut bacterial communities vary with the local environment and host morphological characteristics. We found direct effects of environmental factors, including urban noise levels and territory land cover, as well as indirect effects through body size and condition, on alpha and beta diversity of gut microbial communities. We also found that urban and rural birds’ microbiomes differed in which variables predicted their diversity, with urban communities driven by host morphology, and rural communities driven by environmental factors. Elucidating these effects provides a better understanding of how urbanization affects wild avian physiology.","author":[{"dropping-particle":"","family":"Berlow","given":"Mae","non-dropping-particle":"","parse-names":false,"suffix":""},{"dropping-particle":"","family":"Phillips","given":"Jennifer N.","non-dropping-particle":"","parse-names":false,"suffix":""},{"dropping-particle":"","family":"Derryberry","given":"Elizabeth P.","non-dropping-particle":"","parse-names":false,"suffix":""}],"container-title":"Microbial Ecology","id":"ITEM-2","issued":{"date-parts":[["2020"]]},"publisher":"Microbial Ecology","title":"Effects of Urbanization and Landscape on Gut Microbiomes in White-Crowned Sparrows","type":"article-journal"},"uris":["http://www.mendeley.com/documents/?uuid=c656f4b4-5239-4473-9592-ae645591f882"]}],"mendeley":{"formattedCitation":"&lt;sup&gt;1,14&lt;/sup&gt;","manualFormatting":"(Phillips et al. 2018b, Berlow et al. 2020, Berlow et al. in prep)","plainTextFormattedCitation":"1,14","previouslyFormattedCitation":"(Phillips &lt;i&gt;et al.&lt;/i&gt; 2018b, Berlow &lt;i&gt;et al.&lt;/i&gt; 2020)"},"properties":{"noteIndex":0},"schema":"https://github.com/citation-style-language/schema/raw/master/csl-citation.json"}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rPr>
        <w:t xml:space="preserve">(Phillips </w:t>
      </w:r>
      <w:r w:rsidRPr="00D23BF1">
        <w:rPr>
          <w:rFonts w:ascii="Times" w:eastAsia="Helvetica Neue" w:hAnsi="Times" w:cs="Helvetica Neue"/>
          <w:i/>
          <w:noProof/>
          <w:color w:val="000000"/>
        </w:rPr>
        <w:t>et al.</w:t>
      </w:r>
      <w:r w:rsidRPr="00D23BF1">
        <w:rPr>
          <w:rFonts w:ascii="Times" w:eastAsia="Helvetica Neue" w:hAnsi="Times" w:cs="Helvetica Neue"/>
          <w:noProof/>
          <w:color w:val="000000"/>
        </w:rPr>
        <w:t xml:space="preserve"> 2018b, Berlow </w:t>
      </w:r>
      <w:r w:rsidRPr="00D23BF1">
        <w:rPr>
          <w:rFonts w:ascii="Times" w:eastAsia="Helvetica Neue" w:hAnsi="Times" w:cs="Helvetica Neue"/>
          <w:i/>
          <w:noProof/>
          <w:color w:val="000000"/>
        </w:rPr>
        <w:t>et al.</w:t>
      </w:r>
      <w:r w:rsidRPr="00D23BF1">
        <w:rPr>
          <w:rFonts w:ascii="Times" w:eastAsia="Helvetica Neue" w:hAnsi="Times" w:cs="Helvetica Neue"/>
          <w:noProof/>
          <w:color w:val="000000"/>
        </w:rPr>
        <w:t xml:space="preserve"> 2020, Berlow </w:t>
      </w:r>
      <w:r w:rsidRPr="00D23BF1">
        <w:rPr>
          <w:rFonts w:ascii="Times" w:eastAsia="Helvetica Neue" w:hAnsi="Times" w:cs="Helvetica Neue"/>
          <w:i/>
          <w:iCs/>
          <w:noProof/>
          <w:color w:val="000000"/>
        </w:rPr>
        <w:t>et al.</w:t>
      </w:r>
      <w:r w:rsidRPr="00D23BF1">
        <w:rPr>
          <w:rFonts w:ascii="Times" w:eastAsia="Helvetica Neue" w:hAnsi="Times" w:cs="Helvetica Neue"/>
          <w:noProof/>
          <w:color w:val="000000"/>
        </w:rPr>
        <w:t xml:space="preserve"> in prep)</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xml:space="preserve">. My work highlights the need for more experimental </w:t>
      </w:r>
      <w:sdt>
        <w:sdtPr>
          <w:rPr>
            <w:rFonts w:ascii="Times" w:hAnsi="Times"/>
          </w:rPr>
          <w:tag w:val="goog_rdk_23"/>
          <w:id w:val="-877861133"/>
        </w:sdtPr>
        <w:sdtEndPr/>
        <w:sdtContent>
          <w:sdt>
            <w:sdtPr>
              <w:rPr>
                <w:rFonts w:ascii="Times" w:hAnsi="Times"/>
              </w:rPr>
              <w:tag w:val="goog_rdk_24"/>
              <w:id w:val="-2093383734"/>
            </w:sdtPr>
            <w:sdtEndPr/>
            <w:sdtContent/>
          </w:sdt>
          <w:r w:rsidRPr="00D23BF1">
            <w:rPr>
              <w:rFonts w:ascii="Times" w:eastAsia="Helvetica Neue" w:hAnsi="Times" w:cs="Helvetica Neue"/>
              <w:color w:val="000000"/>
            </w:rPr>
            <w:t>studies</w:t>
          </w:r>
        </w:sdtContent>
      </w:sdt>
      <w:r w:rsidRPr="00D23BF1">
        <w:rPr>
          <w:rFonts w:ascii="Times" w:eastAsia="Helvetica Neue" w:hAnsi="Times" w:cs="Helvetica Neue"/>
          <w:color w:val="000000"/>
        </w:rPr>
        <w:t xml:space="preserve"> at the interface of urban and microbial ecology.</w:t>
      </w:r>
    </w:p>
    <w:p w14:paraId="6EA7D4EF" w14:textId="77777777" w:rsidR="00041ADB" w:rsidRPr="00D23BF1" w:rsidRDefault="00041ADB" w:rsidP="00F20BE1">
      <w:pPr>
        <w:rPr>
          <w:rFonts w:ascii="Times" w:eastAsia="Helvetica Neue" w:hAnsi="Times" w:cs="Helvetica Neue"/>
          <w:color w:val="000000"/>
        </w:rPr>
      </w:pPr>
    </w:p>
    <w:p w14:paraId="37A0CAC3" w14:textId="77777777" w:rsidR="00041ADB" w:rsidRPr="00D23BF1" w:rsidRDefault="00041ADB" w:rsidP="00F20BE1">
      <w:pPr>
        <w:rPr>
          <w:rFonts w:ascii="Times" w:eastAsia="Helvetica Neue" w:hAnsi="Times" w:cs="Helvetica Neue"/>
          <w:color w:val="000000"/>
        </w:rPr>
      </w:pPr>
      <w:r w:rsidRPr="00D23BF1">
        <w:rPr>
          <w:rFonts w:ascii="Times" w:eastAsia="Helvetica Neue" w:hAnsi="Times" w:cs="Helvetica Neue"/>
          <w:color w:val="000000"/>
        </w:rPr>
        <w:t xml:space="preserve">My dissertation research also highlights a need for a strategic approach in this emerging field rather than a series of studies characterizing gut microbial communities across urban dwellers. Although we have some broad understanding of how urbanization could directly and indirectly impact the gut microbiome, even within one species different specific variables predict gut bacterial diversity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{"citationItems":[{"id":"ITEM-1","itemData":{"DOI":"10.1007/s00248-020-01569-8","ISSN":"1432184X","abstract":"Habitats are changing rapidly around the globe and urbanization is one of the primary drivers. Urbanization changes food availability, environmental stressors, and the prevalence of disease for many species. These changes can lead to divergence in phenotypic traits, including behavioral, physiological, and morphological features between urban and rural populations. Recent research highlights that urbanization is also changing the gut microbial communities found in a diverse group of host species. These changes have not been uniform, leaving uncertainty as to how urban habitats are shaping gut microbial communities. To better understand these effects, we investigated the gut bacterial communities of White-Crowned Sparrow (Zonotrichia leucophrys) populations along an urbanization gradient in the San Francisco Bay area. We examined how gut bacterial communities vary with the local environment and host morphological characteristics. We found direct effects of environmental factors, including urban noise levels and territory land cover, as well as indirect effects through body size and condition, on alpha and beta diversity of gut microbial communities. We also found that urban and rural birds’ microbiomes differed in which variables predicted their diversity, with urban communities driven by host morphology, and rural communities driven by environmental factors. Elucidating these effects provides a better understanding of how urbanization affects wild avian physiology.","author":[{"dropping-particle":"","family":"Berlow","given":"Mae","non-dropping-particle":"","parse-names":false,"suffix":""},{"dropping-particle":"","family":"Phillips","given":"Jennifer N.","non-dropping-particle":"","parse-names":false,"suffix":""},{"dropping-particle":"","family":"Derryberry","given":"Elizabeth P.","non-dropping-particle":"","parse-names":false,"suffix":""}],"container-title":"Microbial Ecology","id":"ITEM-1","issued":{"date-parts":[["2020"]]},"publisher":"Microbial Ecology","title":"Effects of Urbanization and Landscape on Gut Microbiomes in White-Crowned Sparrows","type":"article-journal"},"uris":["http://www.mendeley.com/documents/?uuid=c656f4b4-5239-4473-9592-ae645591f882"]}],"mendeley":{"formattedCitation":"&lt;sup&gt;1&lt;/sup&gt;","plainTextFormattedCitation":"1","previouslyFormattedCitation":"(Berlow &lt;i&gt;et al.&lt;/i&gt; 2020)"},"properties":{"noteIndex":0},"schema":"https://github.com/citation-style-language/schema/raw/master/csl-citation.json"}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1</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Thus, it is certainly possible that a variable that explains the relationship between urbanization and a physiological consequence in one animal may not be the mechanism underlying all such relationships across taxa. My work suggests a need to refine the purpose of the questions we ask, because the mechanisms underlying differences in animal biology due to urbanization will likely differ drastically depending on the system. There is of course a need to characterize the gut microbiome across multiple systems, but perhaps a more powerful approach is to ask</w:t>
      </w:r>
      <w:sdt>
        <w:sdtPr>
          <w:rPr>
            <w:rFonts w:ascii="Times" w:hAnsi="Times"/>
          </w:rPr>
          <w:tag w:val="goog_rdk_26"/>
          <w:id w:val="1881974885"/>
        </w:sdtPr>
        <w:sdtEndPr/>
        <w:sdtContent>
          <w:r w:rsidRPr="00D23BF1">
            <w:rPr>
              <w:rFonts w:ascii="Times" w:eastAsia="Helvetica Neue" w:hAnsi="Times" w:cs="Helvetica Neue"/>
              <w:color w:val="000000"/>
            </w:rPr>
            <w:t>,</w:t>
          </w:r>
        </w:sdtContent>
      </w:sdt>
      <w:r w:rsidRPr="00D23BF1">
        <w:rPr>
          <w:rFonts w:ascii="Times" w:eastAsia="Helvetica Neue" w:hAnsi="Times" w:cs="Helvetica Neue"/>
          <w:color w:val="000000"/>
        </w:rPr>
        <w:t xml:space="preserve"> </w:t>
      </w:r>
      <w:sdt>
        <w:sdtPr>
          <w:rPr>
            <w:rFonts w:ascii="Times" w:hAnsi="Times"/>
          </w:rPr>
          <w:tag w:val="goog_rdk_27"/>
          <w:id w:val="-2060544674"/>
        </w:sdtPr>
        <w:sdtEndPr/>
        <w:sdtContent>
          <w:r w:rsidRPr="00D23BF1">
            <w:rPr>
              <w:rFonts w:ascii="Times" w:eastAsia="Helvetica Neue" w:hAnsi="Times" w:cs="Helvetica Neue"/>
              <w:color w:val="000000"/>
            </w:rPr>
            <w:t>“</w:t>
          </w:r>
        </w:sdtContent>
      </w:sdt>
      <w:r w:rsidRPr="00D23BF1">
        <w:rPr>
          <w:rFonts w:ascii="Times" w:eastAsia="Helvetica Neue" w:hAnsi="Times" w:cs="Helvetica Neue"/>
          <w:color w:val="000000"/>
        </w:rPr>
        <w:t>how might the gut microbiome play a role in which species (hosts) persist and which are excluded from urban environments?</w:t>
      </w:r>
      <w:sdt>
        <w:sdtPr>
          <w:rPr>
            <w:rFonts w:ascii="Times" w:hAnsi="Times"/>
          </w:rPr>
          <w:tag w:val="goog_rdk_28"/>
          <w:id w:val="-2005275971"/>
        </w:sdtPr>
        <w:sdtEndPr/>
        <w:sdtContent>
          <w:r w:rsidRPr="00D23BF1">
            <w:rPr>
              <w:rFonts w:ascii="Times" w:eastAsia="Helvetica Neue" w:hAnsi="Times" w:cs="Helvetica Neue"/>
              <w:color w:val="000000"/>
            </w:rPr>
            <w:t>”</w:t>
          </w:r>
        </w:sdtContent>
      </w:sdt>
      <w:r w:rsidRPr="00D23BF1">
        <w:rPr>
          <w:rFonts w:ascii="Times" w:eastAsia="Helvetica Neue" w:hAnsi="Times" w:cs="Helvetica Neue"/>
          <w:color w:val="000000"/>
        </w:rPr>
        <w:t xml:space="preserve"> In this case, one could compare the gut microbiomes of pairs of closely-related species that vary in how well they do in urban environments. Going forward, I am interested in continuing to work at the interface of urban ecology and gut microbial ecology, because I think that gut microbiomes may play a very important role in facilitating host responses to urban environments.</w:t>
      </w:r>
    </w:p>
    <w:p w14:paraId="2E8F7115" w14:textId="77777777" w:rsidR="00041ADB" w:rsidRPr="00D23BF1" w:rsidRDefault="00041ADB" w:rsidP="00F20BE1">
      <w:pPr>
        <w:rPr>
          <w:rFonts w:ascii="Times" w:eastAsia="Helvetica Neue" w:hAnsi="Times" w:cs="Helvetica Neue"/>
          <w:color w:val="000000"/>
        </w:rPr>
      </w:pPr>
      <w:r w:rsidRPr="00D23BF1">
        <w:rPr>
          <w:rFonts w:ascii="Times" w:eastAsia="Helvetica Neue" w:hAnsi="Times" w:cs="Helvetica Neue"/>
          <w:color w:val="000000"/>
        </w:rPr>
        <w:t xml:space="preserve">  </w:t>
      </w:r>
    </w:p>
    <w:p w14:paraId="4FF20F17" w14:textId="54916EF7" w:rsidR="00041ADB" w:rsidRPr="00D23BF1" w:rsidRDefault="00041ADB" w:rsidP="00F20BE1">
      <w:pPr>
        <w:rPr>
          <w:rFonts w:ascii="Times" w:eastAsia="Helvetica Neue" w:hAnsi="Times" w:cs="Helvetica Neue"/>
          <w:color w:val="000000"/>
        </w:rPr>
      </w:pPr>
      <w:r w:rsidRPr="00D23BF1">
        <w:rPr>
          <w:rFonts w:ascii="Times" w:eastAsia="Helvetica Neue" w:hAnsi="Times" w:cs="Helvetica Neue"/>
          <w:color w:val="000000"/>
        </w:rPr>
        <w:t>Another aspect to consider is incorporating the gut microbiome into how we think vertebrates plastically respond to rapidly shifting environments</w:t>
      </w:r>
      <w:r w:rsidR="0049322E">
        <w:rPr>
          <w:rFonts w:ascii="Times" w:eastAsia="Helvetica Neue" w:hAnsi="Times" w:cs="Helvetica Neue"/>
          <w:color w:val="000000"/>
        </w:rPr>
        <w:t xml:space="preserve"> (figure 19)</w:t>
      </w:r>
      <w:r w:rsidRPr="00D23BF1">
        <w:rPr>
          <w:rFonts w:ascii="Times" w:eastAsia="Helvetica Neue" w:hAnsi="Times" w:cs="Helvetica Neue"/>
          <w:color w:val="000000"/>
        </w:rPr>
        <w:t xml:space="preserve">.  Plasticity is a key trait in the ability of organisms to respond to human-induced rapid environmental change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{"citationItems":[{"id":"ITEM-1","itemData":{"DOI":"10.1111/j.1752-4571.2010.00166.x","ISSN":"17524563","abstract":"Almost all organisms live in environments that have been altered, to some degree, by human activities. Because behaviour mediates interactions between an individual and its environment, the ability of organisms to behave appropriately under these new conditions is crucial for determining their immediate success or failure in these modified environments. While hundreds of species are suffering dramatically from these environmental changes, others, such as urbanized and pest species, are doing better than ever. Our goal is to provide insights into explaining such variation. We first summarize the responses of some species to novel situations, including novel risks and resources, habitat loss/fragmentation, pollutants and climate change. Using a sensory ecology approach, we present a mechanistic framework for predicting variation in behavioural responses to environmental change, drawing from models of decision-making processes and an understanding of the selective background against which they evolved. Where immediate behavioural responses are inadequate, learning or evolutionary adaptation may prove useful, although these mechanisms are also constrained by evolutionary history. Although predicting the responses of species to environmental change is difficult, we highlight the need for a better understanding of the role of evolutionary history in shaping individuals' responses to their environment and provide suggestion for future work. © 2011 Blackwell Publishing Ltd.","author":[{"dropping-particle":"","family":"Sih","given":"Andrew","non-dropping-particle":"","parse-names":false,"suffix":""},{"dropping-particle":"","family":"Ferrari","given":"Maud C.O.","non-dropping-particle":"","parse-names":false,"suffix":""},{"dropping-particle":"","family":"Harris","given":"David J.","non-dropping-particle":"","parse-names":false,"suffix":""}],"container-title":"Evolutionary Applications","id":"ITEM-1","issue":"2","issued":{"date-parts":[["2011"]]},"page":"367-387","title":"Evolution and behavioural responses to human-induced rapid environmental change","type":"article-journal","volume":"4"},"uris":["http://www.mendeley.com/documents/?uuid=6ea0f2fd-e4f1-4841-8098-cca8e6004205"]}],"mendeley":{"formattedCitation":"&lt;sup&gt;17&lt;/sup&gt;","plainTextFormattedCitation":"17","previouslyFormattedCitation":"(Sih &lt;i&gt;et al.&lt;/i&gt; 2011)"},"properties":{"noteIndex":0},"schema":"https://github.com/citation-style-language/schema/raw/master/csl-citation.json"}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17</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xml:space="preserve">, but most work has focused on behavioral plasticity. The gut microbiome could also facilitate such plastic responses. While behavioral plasticity is an innate trait that an animal brings to a new environmental challenge, the gut microbiome is to some degree an acquired trait that can be </w:t>
      </w:r>
      <w:r w:rsidRPr="00D23BF1">
        <w:rPr>
          <w:rFonts w:ascii="Times" w:eastAsia="Helvetica Neue" w:hAnsi="Times" w:cs="Helvetica Neue"/>
          <w:color w:val="000000"/>
        </w:rPr>
        <w:lastRenderedPageBreak/>
        <w:t xml:space="preserve">shaped by the same environmental challenge in question. The gut microbiome has the potential to provide a buffer or means of adaptation to large-scale environmental change through dietary assistance, immune system support, and pathogen resistance, all of which have been shown to be impacted by urbanization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{"citationItems":[{"id":"ITEM-1","itemData":{"DOI":"10.1007/s00360-008-0290-8","ISSN":"01741578","abstract":"The urban environment presents new and different challenges to wildlife, but also potential opportunities depending on the species. As urban encroachment onto native habitats continues, understanding the impact of this expansion on native species is vital to conservation. A key physiological indicator of environmental disturbance is the vertebrate stress response, involving increases in circulating glucocorticoids (i.e. corticosterone), which exert influence on numerous physiological parameters including energy storage, reproduction, and immunity. We examined how urbanization in Phoenix, Arizona influences corticosterone levels, blood parasitism, and innate immunity in populations of tree lizards (Urosaurus ornatus) to determine whether urbanization may be detrimental or beneficial to this species. Both baseline and stress-induced corticosterone concentrations were significantly lower in urban lizards relative to the rural ones, however, the magnitude of the increase in corticosterone with stress did not differ across populations. Urban lizards also had a lower ratio of heterophils to lymphocytes, but elevated overall leukocyte count, as compared to lizards from the natural site. Urban and rural lizards did not differ in their prevalence of the blood parasite, Plasmodium mexicanum. Taken together, these results suggest that urban tree lizards may have suppressed overall corticosterone concentrations possibly from down-regulation as a result of frequent exposure to stressors, or increased access to urban resources. Also, urban lizards may have bolstered immunocompetence possibly from increased immune challenges, such as wounding, in the urban environment, or from greater energetic reserves being available as a result of access to urban resources. © 2008 Springer-Verlag.","author":[{"dropping-particle":"","family":"French","given":"Susannah S.","non-dropping-particle":"","parse-names":false,"suffix":""},{"dropping-particle":"","family":"Fokidis","given":"H. Bobby","non-dropping-particle":"","parse-names":false,"suffix":""},{"dropping-particle":"","family":"Moore","given":"Michael C.","non-dropping-particle":"","parse-names":false,"suffix":""}],"container-title":"Journal of Comparative Physiology B: Biochemical, Systemic, and Environmental Physiology","id":"ITEM-1","issue":"8","issued":{"date-parts":[["2008"]]},"page":"997-1005","title":"Variation in stress and innate immunity in the tree lizard (Urosaurus ornatus) across an urban-rural gradient","type":"article-journal","volume":"178"},"uris":["http://www.mendeley.com/documents/?uuid=2c62bd57-2794-4bad-810e-71f1720dbd57"]},{"id":"ITEM-2","itemData":{"DOI":"10.1016/j.cbpa.2011.01.011","ISBN":"1531-4332 (Electronic) 1095-6433 (Linking)","ISSN":"10956433","PMID":"21266199","abstract":"We compared the activity and responsiveness of the hypothalamo-pituitary-adrenal (HPA) axis of an urban (Phoenix, Arizona) and desert population of a male songbird species (Curve-billed Thrasher, Toxostoma curvirostre), by measuring plasma corticosterone in response to acute administration of corticotropin-releasing factor, arginine vasotocin, or adrenocorticotropin hormone. Urban adult male thrashers showed greater responsiveness than desert birds to an injection of arginine vasotocin or adrenocorticotropin hormone, suggesting a population difference in pituitary and adrenal gland sensitivity. Plasma corticosterone in response to corticotropin-releasing factor injection did, however, not differ between populations. The differential corticosterone response to arginine vasotocin and corticotropin-releasing factor may reflect effects of chronic stress or habituation, which are known to favor arginine vasotocin over corticotropin-releasing factor sensitivity. Efficacy of HPA negative feedback by glucocorticoids was determined by measuring plasma corticosterone in response to acute administration of the synthetic glucocorticoid dexamethasone. This administration decreased plasma corticosterone similarly in urban and desert thrashers, suggesting that the negative feedback of glucocorticoids on the HPA axis in the two populations was equally effective. The higher sensitivity of urban than desert thrashers to adrenocorticotropin hormone and arginine vasotocin may result from up-regulation of the HPA axis in urban birds. This up-regulation may in turn make it easier for city birds to cope with urban environment-associated stressors. ?? 2010 Elsevier Inc.","author":[{"dropping-particle":"","family":"Fokidis","given":"H. Bobby","non-dropping-particle":"","parse-names":false,"suffix":""},{"dropping-particle":"","family":"Deviche","given":"Pierre","non-dropping-particle":"","parse-names":false,"suffix":""}],"container-title":"Comparative Biochemistry and Physiology - A Molecular and Integrative Physiology","id":"ITEM-2","issue":"1","issued":{"date-parts":[["2011"]]},"page":"32-38","publisher":"Elsevier Inc.","title":"Plasma corticosterone of city and desert Curve-billed Thrashers, Toxostoma curvirostre, in response to stress-related peptide administration","type":"article-journal","volume":"159"},"uris":["http://www.mendeley.com/documents/?uuid=b4801f83-d264-4611-9b8d-2a74cc4d014f"]},{"id":"ITEM-3","itemData":{"DOI":"10.1007/s00442-016-3730-2","ISSN":"00298549","PMID":"27646717","abstract":"Urban habitats are described as having an overall negative influence on many fitness-related traits in several bird species, but a vital function such as immunity remains poorly studied. The immune response is strongly linked to individual condition, which partly depends on resource availability and the parasitic context that often differ between urban and natural habitats. A difference between the immunity of populations dwelling in urban areas and populations from more natural habitats can, therefore, be hypothesized. We conducted a 2-year experimental study on great tits (Parus major) in urban and forest areas. We stimulated the constitutive immunity of nestlings and assessed both the inflammatory response by measuring the plasma levels of haptoglobin, an inflammatory marker, and its activation cost through the loss of body mass. In addition, we checked the nestlings for ectoparasites and assessed haemosporidian prevalence in adults. Nestlings from urban sites produced relatively less haptoglobin and lost more body mass than those from forest sites, which suggests that the activation of constitutive immunity is more costly for birds living in urban sites than for those living in the forest. We detected no ectoparasite in birds in both habitats. However, urban adults showed lower haemosporidian prevalence than forest ones, suggesting a reduced exposure to these parasites and their vectors in towns. Overall, our study provides evidence for an immune difference between urban and forest populations. Because immunity is crucial for organism fitness, it is of prime interest to identify causes and processes at the origin of this difference.","author":[{"dropping-particle":"","family":"Bailly","given":"Juliette","non-dropping-particle":"","parse-names":false,"suffix":""},{"dropping-particle":"","family":"Scheifler","given":"Renaud","non-dropping-particle":"","parse-names":false,"suffix":""},{"dropping-particle":"","family":"Belvalette","given":"Marie","non-dropping-particle":"","parse-names":false,"suffix":""},{"dropping-particle":"","family":"Garnier","given":"Stéphane","non-dropping-particle":"","parse-names":false,"suffix":""},{"dropping-particle":"","family":"Boissier","given":"Elena","non-dropping-particle":"","parse-names":false,"suffix":""},{"dropping-particle":"","family":"Clément-Demange","given":"Valérie Anne","non-dropping-particle":"","parse-names":false,"suffix":""},{"dropping-particle":"","family":"Gète","given":"Maud","non-dropping-particle":"","parse-names":false,"suffix":""},{"dropping-particle":"","family":"Leblond","given":"Matthieu","non-dropping-particle":"","parse-names":false,"suffix":""},{"dropping-particle":"","family":"Pasteur","given":"Baptiste","non-dropping-particle":"","parse-names":false,"suffix":""},{"dropping-particle":"","family":"Piget","given":"Quentin","non-dropping-particle":"","parse-names":false,"suffix":""},{"dropping-particle":"","family":"Sage","given":"Mickaël","non-dropping-particle":"","parse-names":false,"suffix":""},{"dropping-particle":"","family":"Faivre","given":"Bruno","non-dropping-particle":"","parse-names":false,"suffix":""}],"container-title":"Oecologia","id":"ITEM-3","issue":"4","issued":{"date-parts":[["2016"]]},"page":"1053-1062","publisher":"Springer Berlin Heidelberg","title":"Negative impact of urban habitat on immunity in the great tit Parus major","type":"article-journal","volume":"182"},"uris":["http://www.mendeley.com/documents/?uuid=38ef5474-fd64-4caa-8235-4a560c06430e"]}],"mendeley":{"formattedCitation":"&lt;sup&gt;18–20&lt;/sup&gt;","plainTextFormattedCitation":"18–20","previouslyFormattedCitation":"(French &lt;i&gt;et al.&lt;/i&gt; 2008, Fokidis &amp; Deviche 2011, Bailly &lt;i&gt;et al.&lt;/i&gt; 2016)"},"properties":{"noteIndex":0},"schema":"https://github.com/citation-style-language/schema/raw/master/csl-citation.json"}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18–20</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Many species acquire their gut microbiome through vertical or horizontal transmission from conspecifics</w:t>
      </w:r>
      <w:sdt>
        <w:sdtPr>
          <w:rPr>
            <w:rFonts w:ascii="Times" w:hAnsi="Times"/>
          </w:rPr>
          <w:tag w:val="goog_rdk_32"/>
          <w:id w:val="-1151675647"/>
        </w:sdtPr>
        <w:sdtEndPr/>
        <w:sdtContent>
          <w:r w:rsidRPr="00D23BF1">
            <w:rPr>
              <w:rFonts w:ascii="Times" w:eastAsia="Helvetica Neue" w:hAnsi="Times" w:cs="Helvetica Neue"/>
              <w:color w:val="000000"/>
            </w:rPr>
            <w:t>;</w:t>
          </w:r>
        </w:sdtContent>
      </w:sdt>
      <w:r w:rsidRPr="00D23BF1">
        <w:rPr>
          <w:rFonts w:ascii="Times" w:eastAsia="Helvetica Neue" w:hAnsi="Times" w:cs="Helvetica Neue"/>
          <w:color w:val="000000"/>
        </w:rPr>
        <w:t xml:space="preserve"> therefore changes incurred over an animal’s lifetime as a result of environmental change can be passed down to offspring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{"citationItems":[{"id":"ITEM-1","itemData":{"DOI":"10.1371/journal.pbio.1001631","ISSN":"15449173","PMID":"23976878","author":[{"dropping-particle":"","family":"Funkhouser","given":"Lisa J.","non-dropping-particle":"","parse-names":false,"suffix":""},{"dropping-particle":"","family":"Bordenstein","given":"Seth R.","non-dropping-particle":"","parse-names":false,"suffix":""}],"container-title":"PLoS Biology","id":"ITEM-1","issue":"8","issued":{"date-parts":[["2013"]]},"page":"1-9","title":"Mom Knows Best: The Universality of Maternal Microbial Transmission","type":"article-journal","volume":"11"},"uris":["http://www.mendeley.com/documents/?uuid=29b67b62-686d-4af6-adc8-ec959e7d7890"]}],"mendeley":{"formattedCitation":"&lt;sup&gt;21&lt;/sup&gt;","plainTextFormattedCitation":"21","previouslyFormattedCitation":"(Funkhouser &amp; Bordenstein 2013)"},"properties":{"noteIndex":0},"schema":"https://github.com/citation-style-language/schema/raw/master/csl-citation.json"}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21</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xml:space="preserve">. If the bacteria (or bacterial genes) needed to provide these advantages are present, the environmental circumstances may lead them to increase in abundance, creating an urban-adapted microbiome. Alternatively, individuals lacking these bacteria, or individuals with other components of their bacterial communities that prevent the proliferation of more helpful members, may not be as successful in urban environments. Finally, as with behavioral plasticity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{"citationItems":[{"id":"ITEM-1","itemData":{"DOI":"10.1111/j.1752-4571.2010.00166.x","ISSN":"17524563","abstract":"Almost all organisms live in environments that have been altered, to some degree, by human activities. Because behaviour mediates interactions between an individual and its environment, the ability of organisms to behave appropriately under these new conditions is crucial for determining their immediate success or failure in these modified environments. While hundreds of species are suffering dramatically from these environmental changes, others, such as urbanized and pest species, are doing better than ever. Our goal is to provide insights into explaining such variation. We first summarize the responses of some species to novel situations, including novel risks and resources, habitat loss/fragmentation, pollutants and climate change. Using a sensory ecology approach, we present a mechanistic framework for predicting variation in behavioural responses to environmental change, drawing from models of decision-making processes and an understanding of the selective background against which they evolved. Where immediate behavioural responses are inadequate, learning or evolutionary adaptation may prove useful, although these mechanisms are also constrained by evolutionary history. Although predicting the responses of species to environmental change is difficult, we highlight the need for a better understanding of the role of evolutionary history in shaping individuals' responses to their environment and provide suggestion for future work. © 2011 Blackwell Publishing Ltd.","author":[{"dropping-particle":"","family":"Sih","given":"Andrew","non-dropping-particle":"","parse-names":false,"suffix":""},{"dropping-particle":"","family":"Ferrari","given":"Maud C.O.","non-dropping-particle":"","parse-names":false,"suffix":""},{"dropping-particle":"","family":"Harris","given":"David J.","non-dropping-particle":"","parse-names":false,"suffix":""}],"container-title":"Evolutionary Applications","id":"ITEM-1","issue":"2","issued":{"date-parts":[["2011"]]},"page":"367-387","title":"Evolution and behavioural responses to human-induced rapid environmental change","type":"article-journal","volume":"4"},"uris":["http://www.mendeley.com/documents/?uuid=6ea0f2fd-e4f1-4841-8098-cca8e6004205"]}],"mendeley":{"formattedCitation":"&lt;sup&gt;17&lt;/sup&gt;","plainTextFormattedCitation":"17","previouslyFormattedCitation":"(Sih &lt;i&gt;et al.&lt;/i&gt; 2011)"},"properties":{"noteIndex":0},"schema":"https://github.com/citation-style-language/schema/raw/master/csl-citation.json"}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17</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there may be a limited range of possible adaptations that the gut microbiome can facilitate, with some challenges being too great for the microbiome to accommodate or buffer. This range of potential benefits provided by the gut microbiome may be part of what determines whether a species is able to persist in urban environments.</w:t>
      </w:r>
    </w:p>
    <w:p w14:paraId="1439C4BE" w14:textId="77777777" w:rsidR="00041ADB" w:rsidRPr="00D23BF1" w:rsidRDefault="00041ADB" w:rsidP="00F20BE1">
      <w:pPr>
        <w:rPr>
          <w:rFonts w:ascii="Times" w:eastAsia="Helvetica Neue" w:hAnsi="Times" w:cs="Helvetica Neue"/>
          <w:color w:val="000000"/>
        </w:rPr>
      </w:pPr>
    </w:p>
    <w:p w14:paraId="073D6945" w14:textId="77777777" w:rsidR="00041ADB" w:rsidRPr="00D23BF1" w:rsidRDefault="00041ADB" w:rsidP="00F20BE1">
      <w:pPr>
        <w:pStyle w:val="Heading2"/>
        <w:rPr>
          <w:rFonts w:ascii="Times" w:hAnsi="Times"/>
        </w:rPr>
      </w:pPr>
      <w:bookmarkStart w:id="133" w:name="_Toc69972892"/>
      <w:r w:rsidRPr="00D23BF1">
        <w:rPr>
          <w:rFonts w:ascii="Times" w:hAnsi="Times"/>
        </w:rPr>
        <w:t>Future steps</w:t>
      </w:r>
      <w:bookmarkEnd w:id="133"/>
      <w:r w:rsidRPr="00D23BF1">
        <w:rPr>
          <w:rFonts w:ascii="Times" w:hAnsi="Times"/>
        </w:rPr>
        <w:t xml:space="preserve"> </w:t>
      </w:r>
    </w:p>
    <w:p w14:paraId="59FC310A" w14:textId="77777777" w:rsidR="00041ADB" w:rsidRPr="00D23BF1" w:rsidRDefault="00041ADB" w:rsidP="00F20BE1">
      <w:pPr>
        <w:rPr>
          <w:rFonts w:ascii="Times" w:eastAsia="Helvetica Neue" w:hAnsi="Times" w:cs="Helvetica Neue"/>
          <w:color w:val="000000"/>
        </w:rPr>
      </w:pPr>
    </w:p>
    <w:p w14:paraId="3AF23695" w14:textId="77777777" w:rsidR="00041ADB" w:rsidRPr="00D23BF1" w:rsidRDefault="00041ADB" w:rsidP="00F20BE1">
      <w:pPr>
        <w:rPr>
          <w:rFonts w:ascii="Times" w:eastAsia="Helvetica Neue" w:hAnsi="Times" w:cs="Helvetica Neue"/>
          <w:color w:val="000000"/>
        </w:rPr>
      </w:pPr>
      <w:r w:rsidRPr="00D23BF1">
        <w:rPr>
          <w:rFonts w:ascii="Times" w:eastAsia="Helvetica Neue" w:hAnsi="Times" w:cs="Helvetica Neue"/>
          <w:color w:val="000000"/>
        </w:rPr>
        <w:t xml:space="preserve">One crucial next step in avian gut microbial research is experimental follow-up for correlations found in the wild. It would be especially informative to conduct microbial transplant experiments, for example inoculating captive birds with microbiota from either urban or rural wild birds and observing their behavioral and physiological responses to environmental manipulation. These kinds of experiments have been very helpful in mammals for isolating the effects of the gut microbiome from other host factors such as genotype and past experience, especially in addressing human medical questions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{"citationItems":[{"id":"ITEM-1","itemData":{"DOI":"10.1016/j.mib.2013.06.004","ISBN":"1879-0364 (Electronic)\\r1369-5274 (Linking)","ISSN":"13695274","PMID":"23845749","abstract":"There is growing interest in the ability of the intestinal microbiome to influence host function within and beyond the gastrointestinal tract. Here we review evidence of microbiome-brain interactions in mice and focus on the ability to transfer behavioral traits between mouse strains using fecal microbiota transplantation (FMT). Transplantation alters brain chemistry and behavior in recipient ex-germ free mice, raising the possibility of using FMT for disorders of the central nervous system, and prompting caution in the selection of FMT donors for conditions that may include refractory Clostridium difficile infection, diabetes and inflammatory bowel disease in humans. ?? 2013 Elsevier Ltd.","author":[{"dropping-particle":"","family":"Collins","given":"Stephen M.","non-dropping-particle":"","parse-names":false,"suffix":""},{"dropping-particle":"","family":"Kassam","given":"Zain","non-dropping-particle":"","parse-names":false,"suffix":""},{"dropping-particle":"","family":"Bercik","given":"Premysl","non-dropping-particle":"","parse-names":false,"suffix":""}],"container-title":"Current Opinion in Microbiology","id":"ITEM-1","issue":"3","issued":{"date-parts":[["2013"]]},"page":"240-245","publisher":"Elsevier Ltd","title":"The adoptive transfer of behavioral phenotype via the intestinal microbiota: Experimental evidence and clinical implications","type":"article-journal","volume":"16"},"uris":["http://www.mendeley.com/documents/?uuid=f760f653-8af3-47ea-99ec-2e4f5b356a28"]},{"id":"ITEM-2","itemData":{"DOI":"10.1111/nmo.12198","ISBN":"1365-2982","ISSN":"13501925","PMID":"23910373","abstract":"There is a growing awareness of the potential for microbiota to influence gut-brain communication in health and disease. A variety of strategies have been used to study the impact of the microbiota on brain function and these include antibiotic use, probiotic treatments, fecal microbiota transplantation, gastrointestinal infection studies, and germ-free studies. All of these approaches provide evidence to support the view that the microbiota can influence brain chemistry and consequently behavior. Efforts are now turning to investigate the role of microbiota in animal models of psychopathology. Animal models of depression are thus essential in studying the complex interplay between the microbiota and brain. Recent studies published in this Journal and elsewhere demonstrate that there is a distinct perturbation of the composition of gut microbiota in animal models of depression and chronic stress. This has direct implications for the development of psychobiotic-based therapeutic strategies for psychiatric disorders. Moreover, given that affective co-morbidities, such as major depression and anxiety states, are common in patients presenting with irritable bowel syndrome (IBS), it may have implications for functional bowel disorders also. Further studies require appropriately phenotyped patients with depression and/or IBS using a judicious use of techniques including functional imaging and in depth microbial pyrosequencing.","author":[{"dropping-particle":"","family":"Dinan","given":"T. G.","non-dropping-particle":"","parse-names":false,"suffix":""},{"dropping-particle":"","family":"Cryan","given":"J. F.","non-dropping-particle":"","parse-names":false,"suffix":""}],"container-title":"Neurogastroenterology and Motility","id":"ITEM-2","issue":"9","issued":{"date-parts":[["2013"]]},"page":"713-719","title":"Melancholic microbes: A link between gut microbiota and depression?","type":"article-journal","volume":"25"},"uris":["http://www.mendeley.com/documents/?uuid=127c601b-38f3-42fe-9960-30c347f0d2da"]},{"id":"ITEM-3","itemData":{"DOI":"10.1080/19490976.2016.1155022","ISSN":"19490984","abstract":"A major goal of microbiome research is to identify the factors that determine bacterial composition within and upon a host. Environmental factors are thought to play a large role, such as diet in determining gut microbiome composition and moisture in determining skin microbiome composition. The role of host genetics, however, has been a source of debate in the literature. Recently, we examined the association of host genetics with human gut microbiome composition in the Hutterites, a population that lives and eats communally. We identified heritable bacterial taxa and host genetic loci associated with their abundances. In this addendum, I put these results into a broader context along with other recent studies of microbiome heritability, and synthesize common themes that appear across organisms and tissues, such as the relatively small extent genetics plays compared to environment and the role of host genetic variation in immune response and barrier integrity.","author":[{"dropping-particle":"","family":"Davenport","given":"Emily R.","non-dropping-particle":"","parse-names":false,"suffix":""}],"container-title":"Gut microbes","id":"ITEM-3","issue":"2","issued":{"date-parts":[["2016"]]},"page":"178-184","publisher":"Taylor &amp; Francis","title":"Elucidating the role of the host genome in shaping microbiome composition","type":"article-journal","volume":"7"},"uris":["http://www.mendeley.com/documents/?uuid=7a7b5b55-15a1-4235-b9cd-60823b09ffe0"]}],"mendeley":{"formattedCitation":"&lt;sup&gt;22–24&lt;/sup&gt;","plainTextFormattedCitation":"22–24","previouslyFormattedCitation":"(Collins &lt;i&gt;et al.&lt;/i&gt; 2013, Dinan &amp; Cryan 2013, Davenport 2016)"},"properties":{"noteIndex":0},"schema":"https://github.com/citation-style-language/schema/raw/master/csl-citation.json"}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22–24</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xml:space="preserve">. Except in chickens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{"citationItems":[{"id":"ITEM-1","itemData":{"DOI":"10.1128/AEM.02330-17","ISSN":"10985336","PMID":"29101192","abstract":"Chickens with good or poor feed efficiency (FE) have been shown to differ in their intestinal microbiota composition. This study investigated differences in the fecal bacterial community of highly and poorly feed-efficient chickens at 16 and 29 days posthatch (dph) and evaluated whether a fecal microbiota transplant (FMT) from feed-efficient donors early in life can affect the fecal microbiota in chickens at 16 and 29 dph and chicken FE and nutrient retention at 4 weeks of age. A total of 110 chickens were inoculated with a FMT or a control transplant (CT) on dph 1, 6, and 9 and ranked according to residual feed intake (RFI; the metric for FE) on 30 dph. Fifty-six chickens across both inoculation groups were selected as the extremes in RFI (29 low, 27 high). RFI-related fecal bacterial profiles were discernible at 16 and 29 dph. In particular, Lactobacillus salivarius, Lactobacillus crispatus, and Anaerobacterium operational taxonomic units were associated with low RFI (good FE). Multiple administrations of the FMT only slightly changed the fecal bacterial composition, which was supported by weighted UniFrac analysis, showing similar bacterial communities in the feces of both inoculation groups at 16 and 29 dph. Moreover, the FMT did not change the RFI and nutrient retention of highly and poorly feedefficient recipients, whereas it tended to increase feed intake and body weight gain in female chickens. This finding suggests that host- and environment-related factors may more strongly affect chicken fecal microbiota and FE than the FMT.","author":[{"dropping-particle":"","family":"Siegerstetter","given":"Sina Catherine","non-dropping-particle":"","parse-names":false,"suffix":""},{"dropping-particle":"","family":"Petri","given":"Renée M.","non-dropping-particle":"","parse-names":false,"suffix":""},{"dropping-particle":"","family":"Magowan","given":"Elizabeth","non-dropping-particle":"","parse-names":false,"suffix":""},{"dropping-particle":"","family":"Lawlor","given":"Peadar G.","non-dropping-particle":"","parse-names":false,"suffix":""},{"dropping-particle":"","family":"Zebeli","given":"Qendrim","non-dropping-particle":"","parse-names":false,"suffix":""},{"dropping-particle":"","family":"O'Connell","given":"Niamh E.","non-dropping-particle":"","parse-names":false,"suffix":""},{"dropping-particle":"","family":"Metzler-Zebeli","given":"Barbara U.","non-dropping-particle":"","parse-names":false,"suffix":""}],"container-title":"Applied and Environmental Microbiology","id":"ITEM-1","issue":"2","issued":{"date-parts":[["2018"]]},"page":"1-13","title":"Fecal microbiota transplant from highly feed-efficient donors shows little effect on age-related changes in feedefficiency- associated fecal microbiota from chickens","type":"article-journal","volume":"84"},"uris":["http://www.mendeley.com/documents/?uuid=453853a1-5f37-42a1-b1bf-20834c595d22"]},{"id":"ITEM-2","itemData":{"DOI":"10.1038/s41598-020-59125-w","ISSN":"20452322","PMID":"32066789","abstract":"Gut microbiota influences host behaviour and physiology, such as anxiety, stress, serotonergic and immune systems. These behavioural and physiological characteristics are related to feather pecking (FP), a damaging behaviour in chickens that reduces animal welfare and productivity. Moreover, high FP (HFP) and low FP (LFP) lines differed in microbiota composition. However, it is unknown whether microbiota can influence the development of FP. For the first time, we identified the effects of microbiota transplantation on FP, and behavioural and physiological characteristics related to FP. HFP and LFP chicks received sterile saline (control), HFP or LFP microbiota transplantation during the first two weeks post-hatch. Microbiota transplantation influenced behavioural responses of the HFP line during treatment and of the LFP line after treatment. In both lines, homologous microbiota transplantation (i.e., receiving microbiota from their line) resulted in more active behavioural responses. Furthermore, microbiota transplantation influenced immune characteristics (natural antibodies) in both lines and peripheral serotonin in the LFP line. However, limited effects on microbiota composition, stress response (corticosterone) and FP were noted. Thus, early-life microbiota transplantation had immediate and long-term effects on behavioural responses and long-term effects on immune characteristics and peripheral serotonin; however, the effects were dependent on host genotype. Since early-life microbiota transplantation influenced behavioural and physiological characteristics that are related to FP, it could thus influence the development of FP later in life.","author":[{"dropping-particle":"","family":"Eijk","given":"Jerine A.J.","non-dropping-particle":"van der","parse-names":false,"suffix":""},{"dropping-particle":"","family":"Rodenburg","given":"T. Bas","non-dropping-particle":"","parse-names":false,"suffix":""},{"dropping-particle":"","family":"Vries","given":"Hugo","non-dropping-particle":"de","parse-names":false,"suffix":""},{"dropping-particle":"","family":"Kjaer","given":"Joergen B.","non-dropping-particle":"","parse-names":false,"suffix":""},{"dropping-particle":"","family":"Smidt","given":"Hauke","non-dropping-particle":"","parse-names":false,"suffix":""},{"dropping-particle":"","family":"Naguib","given":"Marc","non-dropping-particle":"","parse-names":false,"suffix":""},{"dropping-particle":"","family":"Kemp","given":"Bas","non-dropping-particle":"","parse-names":false,"suffix":""},{"dropping-particle":"","family":"Lammers","given":"Aart","non-dropping-particle":"","parse-names":false,"suffix":""}],"container-title":"Scientific Reports","id":"ITEM-2","issue":"1","issued":{"date-parts":[["2020"]]},"page":"1-13","title":"Early-life microbiota transplantation affects behavioural responses, serotonin and immune characteristics in chicken lines divergently selected on feather pecking","type":"article-journal","volume":"10"},"uris":["http://www.mendeley.com/documents/?uuid=68a4084a-821d-44ed-9b36-577a4805161d"]}],"mendeley":{"formattedCitation":"&lt;sup&gt;25,26&lt;/sup&gt;","plainTextFormattedCitation":"25,26","previouslyFormattedCitation":"(Siegerstetter &lt;i&gt;et al.&lt;/i&gt; 2018, van der Eijk &lt;i&gt;et al.&lt;/i&gt; 2020)"},"properties":{"noteIndex":0},"schema":"https://github.com/citation-style-language/schema/raw/master/csl-citation.json"}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25,26</w:t>
      </w:r>
      <w:r w:rsidRPr="00D23BF1">
        <w:rPr>
          <w:rFonts w:ascii="Times" w:eastAsia="Helvetica Neue" w:hAnsi="Times" w:cs="Helvetica Neue"/>
          <w:color w:val="000000"/>
        </w:rPr>
        <w:fldChar w:fldCharType="end"/>
      </w:r>
      <w:sdt>
        <w:sdtPr>
          <w:rPr>
            <w:rFonts w:ascii="Times" w:hAnsi="Times"/>
          </w:rPr>
          <w:tag w:val="goog_rdk_34"/>
          <w:id w:val="-1378081746"/>
        </w:sdtPr>
        <w:sdtEndPr/>
        <w:sdtContent>
          <w:r w:rsidRPr="00D23BF1">
            <w:rPr>
              <w:rFonts w:ascii="Times" w:eastAsia="Helvetica Neue" w:hAnsi="Times" w:cs="Helvetica Neue"/>
              <w:color w:val="000000"/>
            </w:rPr>
            <w:t>,</w:t>
          </w:r>
        </w:sdtContent>
      </w:sdt>
      <w:r w:rsidRPr="00D23BF1">
        <w:rPr>
          <w:rFonts w:ascii="Times" w:eastAsia="Helvetica Neue" w:hAnsi="Times" w:cs="Helvetica Neue"/>
          <w:color w:val="000000"/>
        </w:rPr>
        <w:t xml:space="preserve"> these microbial transplants have not been conducted</w:t>
      </w:r>
      <w:sdt>
        <w:sdtPr>
          <w:rPr>
            <w:rFonts w:ascii="Times" w:hAnsi="Times"/>
          </w:rPr>
          <w:tag w:val="goog_rdk_35"/>
          <w:id w:val="1428927907"/>
        </w:sdtPr>
        <w:sdtEndPr/>
        <w:sdtContent>
          <w:r w:rsidRPr="00D23BF1">
            <w:rPr>
              <w:rFonts w:ascii="Times" w:eastAsia="Helvetica Neue" w:hAnsi="Times" w:cs="Helvetica Neue"/>
              <w:color w:val="000000"/>
            </w:rPr>
            <w:t xml:space="preserve"> in birds</w:t>
          </w:r>
        </w:sdtContent>
      </w:sdt>
      <w:r w:rsidRPr="00D23BF1">
        <w:rPr>
          <w:rFonts w:ascii="Times" w:eastAsia="Helvetica Neue" w:hAnsi="Times" w:cs="Helvetica Neue"/>
          <w:color w:val="000000"/>
        </w:rPr>
        <w:t>, likely due to serious logistical challenges. While germ-free mice have been raised in lab settings for many generations, we do not currently have a lab bird with a comparable germ-free husbandry protocol. It is possible that microbial transplants may be achieved after administration of heavy-duty antibiotics</w:t>
      </w:r>
      <w:sdt>
        <w:sdtPr>
          <w:rPr>
            <w:rFonts w:ascii="Times" w:hAnsi="Times"/>
          </w:rPr>
          <w:tag w:val="goog_rdk_36"/>
          <w:id w:val="-1706548157"/>
        </w:sdtPr>
        <w:sdtEndPr/>
        <w:sdtContent>
          <w:r w:rsidRPr="00D23BF1">
            <w:rPr>
              <w:rFonts w:ascii="Times" w:eastAsia="Helvetica Neue" w:hAnsi="Times" w:cs="Helvetica Neue"/>
              <w:color w:val="000000"/>
            </w:rPr>
            <w:t>;</w:t>
          </w:r>
        </w:sdtContent>
      </w:sdt>
      <w:r w:rsidRPr="00D23BF1">
        <w:rPr>
          <w:rFonts w:ascii="Times" w:eastAsia="Helvetica Neue" w:hAnsi="Times" w:cs="Helvetica Neue"/>
          <w:color w:val="000000"/>
        </w:rPr>
        <w:t xml:space="preserve"> however</w:t>
      </w:r>
      <w:sdt>
        <w:sdtPr>
          <w:rPr>
            <w:rFonts w:ascii="Times" w:hAnsi="Times"/>
          </w:rPr>
          <w:tag w:val="goog_rdk_38"/>
          <w:id w:val="-681816086"/>
        </w:sdtPr>
        <w:sdtEndPr/>
        <w:sdtContent>
          <w:r w:rsidRPr="00D23BF1">
            <w:rPr>
              <w:rFonts w:ascii="Times" w:eastAsia="Helvetica Neue" w:hAnsi="Times" w:cs="Helvetica Neue"/>
              <w:color w:val="000000"/>
            </w:rPr>
            <w:t>,</w:t>
          </w:r>
        </w:sdtContent>
      </w:sdt>
      <w:r w:rsidRPr="00D23BF1">
        <w:rPr>
          <w:rFonts w:ascii="Times" w:eastAsia="Helvetica Neue" w:hAnsi="Times" w:cs="Helvetica Neue"/>
          <w:color w:val="000000"/>
        </w:rPr>
        <w:t xml:space="preserve"> this poses an issue for our ability to interpret the results of an experiment, as there are effects of the antibiotics alone on the host animal that are then impossible to discern from the effects of the microbial community transplanted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{"citationItems":[{"id":"ITEM-1","itemData":{"DOI":"10.1111/mec.14460","ISBN":"0000000154871","ISSN":"1365294X","PMID":"27935037","abstract":"Host-associated microbial communities consist of stable and transient members that can assemble through purely stochastic processes associated with the environment or by interactions with the host. Phylosymbiosis predicts that if host-microbiota interactions impact assembly patterns, then one conceivable outcome is concordance between host evolutionary histories (phylogeny) and the ecological similarities in microbial community structures (microbiota dendrogram). This assembly pattern has been demonstrated in several clades of animal hosts in laboratory and natural populations, but in vertebrates, it has only been investigated using samples from faeces or the distal colon. Here, we collected the contents of five gut regions from seven rodent species and inventoried the bacterial communities by sequencing the 16S rRNA gene. We investigated how community structures varied across gut regions and whether the pattern of phylosymbiosis was present along the length of the gut. Gut communities varied by host species and gut region, with Oscillospira and Ruminococcus being more abundant in the stomach and hindgut regions. Gut microbial communities were highly distinguishable by host species across all gut regions, with the strength of the discrimination increasing along the length of the gut. Last, the pattern of phylosymbiosis was found in all five gut regions, as well as faeces. Aspects of the gut environment, such as oxygen levels, production of antimicrobials or other factors, may shift microbial communities across gut regions. However, regardless of these differences, host species maintain distinguishable, phylosymbiotic assemblages of microbes that may have functional impacts for the host.","author":[{"dropping-particle":"","family":"Kohl","given":"Kevin D.","non-dropping-particle":"","parse-names":false,"suffix":""},{"dropping-particle":"","family":"Dearing","given":"M. Denise","non-dropping-particle":"","parse-names":false,"suffix":""},{"dropping-particle":"","family":"Bordenstein","given":"Seth R.","non-dropping-particle":"","parse-names":false,"suffix":""}],"container-title":"Molecular Ecology","id":"ITEM-1","issue":"8","issued":{"date-parts":[["2018"]]},"page":"1874-1883","title":"Microbial communities exhibit host species distinguishability and phylosymbiosis along the length of the gastrointestinal tract","type":"article-journal","volume":"27"},"uris":["http://www.mendeley.com/documents/?uuid=2b0c2922-888d-4294-ba19-dd237feef608"]}],"mendeley":{"formattedCitation":"&lt;sup&gt;27&lt;/sup&gt;","plainTextFormattedCitation":"27","previouslyFormattedCitation":"(Kohl &lt;i&gt;et al.&lt;/i&gt; 2018)"},"properties":{"noteIndex":0},"schema":"https://github.com/citation-style-language/schema/raw/master/csl-citation.json"}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27</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Further, due to the necessity for larger enclosures, high levels of air flow, and, in some species, group housing unique to keeping birds in captivity, it is much harder to prevent the introduction and exchange of bacteria between birds, and with the environment. However, none of these challenges are impossible to overcome. When solutions are found and microbial transplants are successfully and reproducibly possible in non-poultry birds, we will have the opportunity to answer important questions about the precise role played by the gut microbiome in birds.</w:t>
      </w:r>
    </w:p>
    <w:p w14:paraId="7924C5D2" w14:textId="77777777" w:rsidR="00041ADB" w:rsidRPr="00D23BF1" w:rsidRDefault="00041ADB" w:rsidP="00F20BE1">
      <w:pPr>
        <w:rPr>
          <w:rFonts w:ascii="Times" w:eastAsia="Helvetica Neue" w:hAnsi="Times" w:cs="Helvetica Neue"/>
          <w:color w:val="000000"/>
        </w:rPr>
      </w:pPr>
    </w:p>
    <w:p w14:paraId="51C8DF8F" w14:textId="6A5AD12B" w:rsidR="00041ADB" w:rsidRDefault="00041ADB" w:rsidP="0049322E">
      <w:pPr>
        <w:rPr>
          <w:rFonts w:ascii="Times" w:eastAsia="Helvetica Neue" w:hAnsi="Times" w:cs="Helvetica Neue"/>
          <w:color w:val="000000"/>
        </w:rPr>
      </w:pPr>
      <w:r w:rsidRPr="00D23BF1">
        <w:rPr>
          <w:rFonts w:ascii="Times" w:eastAsia="Helvetica Neue" w:hAnsi="Times" w:cs="Helvetica Neue"/>
          <w:color w:val="000000"/>
        </w:rPr>
        <w:t xml:space="preserve">Another important next step in urban microbial ecology is to investigate the </w:t>
      </w:r>
      <w:r w:rsidRPr="00D23BF1">
        <w:rPr>
          <w:rFonts w:ascii="Times" w:hAnsi="Times"/>
        </w:rPr>
        <w:t xml:space="preserve">functional </w:t>
      </w:r>
      <w:r w:rsidRPr="00D23BF1">
        <w:rPr>
          <w:rFonts w:ascii="Times" w:eastAsia="Helvetica Neue" w:hAnsi="Times" w:cs="Helvetica Neue"/>
          <w:color w:val="000000"/>
        </w:rPr>
        <w:t>consequences of the changes we see in gut bacterial communities for their hosts. Thus far</w:t>
      </w:r>
      <w:sdt>
        <w:sdtPr>
          <w:rPr>
            <w:rFonts w:ascii="Times" w:hAnsi="Times"/>
          </w:rPr>
          <w:tag w:val="goog_rdk_42"/>
          <w:id w:val="1566919693"/>
        </w:sdtPr>
        <w:sdtEndPr/>
        <w:sdtContent>
          <w:r w:rsidRPr="00D23BF1">
            <w:rPr>
              <w:rFonts w:ascii="Times" w:eastAsia="Helvetica Neue" w:hAnsi="Times" w:cs="Helvetica Neue"/>
              <w:color w:val="000000"/>
            </w:rPr>
            <w:t>,</w:t>
          </w:r>
        </w:sdtContent>
      </w:sdt>
      <w:r w:rsidRPr="00D23BF1">
        <w:rPr>
          <w:rFonts w:ascii="Times" w:eastAsia="Helvetica Neue" w:hAnsi="Times" w:cs="Helvetica Neue"/>
          <w:color w:val="000000"/>
        </w:rPr>
        <w:t xml:space="preserve"> studies (including my dissertation) have focused on finding taxonomic differences between urban and rural gut bacterial communities. While this is informative for our understanding of how bacterial communities assemble under different circumstances, these methods are not able to tell us about what roles the bacterial communities are serving for their hosts. To address this issue, future research needs to use multi -omics approaches to discover what bacterial genes </w:t>
      </w:r>
      <w:r w:rsidRPr="00D23BF1">
        <w:rPr>
          <w:rFonts w:ascii="Times" w:eastAsia="Helvetica Neue" w:hAnsi="Times" w:cs="Helvetica Neue"/>
          <w:color w:val="000000"/>
        </w:rPr>
        <w:lastRenderedPageBreak/>
        <w:t xml:space="preserve">are present in the community (metagenomics), which of these bacterial processes are operating (transcriptomics), and what the functional results of these processes are (metabolomics) </w:t>
      </w:r>
      <w:r w:rsidRPr="00D23BF1">
        <w:rPr>
          <w:rFonts w:ascii="Times" w:eastAsia="Helvetica Neue" w:hAnsi="Times" w:cs="Helvetica Neue"/>
          <w:color w:val="000000"/>
        </w:rPr>
        <w:fldChar w:fldCharType="begin" w:fldLock="1"/>
      </w:r>
      <w:r w:rsidRPr="00D23BF1">
        <w:rPr>
          <w:rFonts w:ascii="Times" w:eastAsia="Helvetica Neue" w:hAnsi="Times" w:cs="Helvetica Neue"/>
          <w:color w:val="000000"/>
        </w:rPr>
        <w:instrText>ADDIN CSL_CITATION {"citationItems":[{"id":"ITEM-1","itemData":{"DOI":"10.1038/nrmicro3451","ISBN":"0950-5849","ISSN":"17401534","PMID":"25915636","abstract":"High-throughput DNA sequencing has proven invaluable for investigating diverse environmental and host-associated microbial communities. In this Review, we discuss emerging strategies for microbial community analysis that complement and expand traditional metagenomic profiling. These include novel DNA sequencing strategies for identifying strain-level microbial variation and community temporal dynamics; measuring multiple 'omic' data types that better capture community functional activity, such as transcriptomics, proteomics and metabolomics; and combining multiple forms of omic data in an integrated framework. We highlight studies in which the 'multi-omics' approach has led to improved mechanistic models of microbial community structure and function.","author":[{"dropping-particle":"","family":"Franzosa","given":"Eric A.","non-dropping-particle":"","parse-names":false,"suffix":""},{"dropping-particle":"","family":"Hsu","given":"Tiffany","non-dropping-particle":"","parse-names":false,"suffix":""},{"dropping-particle":"","family":"Sirota-Madi","given":"Alexandra","non-dropping-particle":"","parse-names":false,"suffix":""},{"dropping-particle":"","family":"Shafquat","given":"Afrah","non-dropping-particle":"","parse-names":false,"suffix":""},{"dropping-particle":"","family":"Abu-Ali","given":"Galeb","non-dropping-particle":"","parse-names":false,"suffix":""},{"dropping-particle":"","family":"Morgan","given":"Xochitl C.","non-dropping-particle":"","parse-names":false,"suffix":""},{"dropping-particle":"","family":"Huttenhower","given":"Curtis","non-dropping-particle":"","parse-names":false,"suffix":""}],"container-title":"Nature Reviews Microbiology","id":"ITEM-1","issue":"6","issued":{"date-parts":[["2015"]]},"page":"360-372","publisher":"Nature Publishing Group","title":"Sequencing and beyond: Integrating molecular 'omics' for microbial community profiling","type":"article-journal","volume":"13"},"uris":["http://www.mendeley.com/documents/?uuid=ed776953-f552-4b36-ab23-9259a96385ee"]}],"mendeley":{"formattedCitation":"&lt;sup&gt;28&lt;/sup&gt;","plainTextFormattedCitation":"28","previouslyFormattedCitation":"(Franzosa &lt;i&gt;et al.&lt;/i&gt; 2015)"},"properties":{"noteIndex":0},"schema":"https://github.com/citation-style-language/schema/raw/master/csl-citation.json"}</w:instrText>
      </w:r>
      <w:r w:rsidRPr="00D23BF1">
        <w:rPr>
          <w:rFonts w:ascii="Times" w:eastAsia="Helvetica Neue" w:hAnsi="Times" w:cs="Helvetica Neue"/>
          <w:color w:val="000000"/>
        </w:rPr>
        <w:fldChar w:fldCharType="separate"/>
      </w:r>
      <w:r w:rsidRPr="00D23BF1">
        <w:rPr>
          <w:rFonts w:ascii="Times" w:eastAsia="Helvetica Neue" w:hAnsi="Times" w:cs="Helvetica Neue"/>
          <w:noProof/>
          <w:color w:val="000000"/>
          <w:vertAlign w:val="superscript"/>
        </w:rPr>
        <w:t>28</w:t>
      </w:r>
      <w:r w:rsidRPr="00D23BF1">
        <w:rPr>
          <w:rFonts w:ascii="Times" w:eastAsia="Helvetica Neue" w:hAnsi="Times" w:cs="Helvetica Neue"/>
          <w:color w:val="000000"/>
        </w:rPr>
        <w:fldChar w:fldCharType="end"/>
      </w:r>
      <w:r w:rsidRPr="00D23BF1">
        <w:rPr>
          <w:rFonts w:ascii="Times" w:eastAsia="Helvetica Neue" w:hAnsi="Times" w:cs="Helvetica Neue"/>
          <w:color w:val="000000"/>
        </w:rPr>
        <w:t>. This is an important step toward a mechanistic understanding of how the microbiome may aid in an animal’s persistence in landscapes heavily impacted by humans.</w:t>
      </w:r>
      <w:r w:rsidR="00586C22">
        <w:rPr>
          <w:rFonts w:ascii="Times" w:eastAsia="Helvetica Neue" w:hAnsi="Times" w:cs="Helvetica Neue"/>
          <w:color w:val="000000"/>
        </w:rPr>
        <w:t xml:space="preserve"> </w:t>
      </w:r>
    </w:p>
    <w:p w14:paraId="548D1AFC" w14:textId="77777777" w:rsidR="00586C22" w:rsidRPr="00D23BF1" w:rsidRDefault="00586C22" w:rsidP="00F20BE1">
      <w:pPr>
        <w:rPr>
          <w:rFonts w:ascii="Times" w:eastAsia="Helvetica Neue" w:hAnsi="Times" w:cs="Helvetica Neue"/>
          <w:color w:val="000000"/>
        </w:rPr>
      </w:pPr>
    </w:p>
    <w:p w14:paraId="223546D2" w14:textId="77777777" w:rsidR="00041ADB" w:rsidRPr="00D23BF1" w:rsidRDefault="00041ADB" w:rsidP="00F20BE1">
      <w:pPr>
        <w:pStyle w:val="Heading2"/>
        <w:rPr>
          <w:rFonts w:ascii="Times" w:hAnsi="Times"/>
        </w:rPr>
      </w:pPr>
      <w:bookmarkStart w:id="134" w:name="_Toc69972893"/>
      <w:r w:rsidRPr="00D23BF1">
        <w:rPr>
          <w:rFonts w:ascii="Times" w:hAnsi="Times"/>
        </w:rPr>
        <w:t>Career trajectory</w:t>
      </w:r>
      <w:bookmarkEnd w:id="134"/>
      <w:r w:rsidRPr="00D23BF1">
        <w:rPr>
          <w:rFonts w:ascii="Times" w:hAnsi="Times"/>
        </w:rPr>
        <w:t xml:space="preserve"> </w:t>
      </w:r>
    </w:p>
    <w:p w14:paraId="70EA9FE8" w14:textId="77777777" w:rsidR="00041ADB" w:rsidRPr="00D23BF1" w:rsidRDefault="00041ADB" w:rsidP="00F20BE1">
      <w:pPr>
        <w:rPr>
          <w:rFonts w:ascii="Times" w:eastAsia="Helvetica Neue" w:hAnsi="Times" w:cs="Helvetica Neue"/>
          <w:color w:val="000000"/>
        </w:rPr>
      </w:pPr>
    </w:p>
    <w:p w14:paraId="74057B44" w14:textId="77777777" w:rsidR="00041ADB" w:rsidRPr="00D23BF1" w:rsidRDefault="00041ADB" w:rsidP="00F20BE1">
      <w:pPr>
        <w:rPr>
          <w:rFonts w:ascii="Times" w:eastAsia="Helvetica Neue" w:hAnsi="Times" w:cs="Helvetica Neue"/>
          <w:color w:val="000000"/>
        </w:rPr>
      </w:pPr>
      <w:r w:rsidRPr="00D23BF1">
        <w:rPr>
          <w:rFonts w:ascii="Times" w:eastAsia="Helvetica Neue" w:hAnsi="Times" w:cs="Helvetica Neue"/>
          <w:color w:val="000000"/>
        </w:rPr>
        <w:t xml:space="preserve">The goal of my research overall is to incorporate the gut microbiome into our understanding of how animals respond and adapt to urbanization. Over the course of my dissertation I have learned important methodological and analytical techniques that will provide a foundation for future microbiome research. The results of my dissertation have laid a foundation for future investigation into whether and how differences in </w:t>
      </w:r>
      <w:sdt>
        <w:sdtPr>
          <w:rPr>
            <w:rFonts w:ascii="Times" w:hAnsi="Times"/>
          </w:rPr>
          <w:tag w:val="goog_rdk_44"/>
          <w:id w:val="1751850634"/>
        </w:sdtPr>
        <w:sdtEndPr/>
        <w:sdtContent/>
      </w:sdt>
      <w:r w:rsidRPr="00D23BF1">
        <w:rPr>
          <w:rFonts w:ascii="Times" w:eastAsia="Helvetica Neue" w:hAnsi="Times" w:cs="Helvetica Neue"/>
          <w:color w:val="000000"/>
        </w:rPr>
        <w:t>gut microbiomes serve different roles for their hosts, and what repercussions that has for an animals’ success in urban landscapes. These questions are crucial and timely to expanding how we think about the effects of urbanization on vertebrate physiology and ecology.</w:t>
      </w:r>
    </w:p>
    <w:p w14:paraId="1156E6CD" w14:textId="77777777" w:rsidR="00041ADB" w:rsidRPr="00D23BF1" w:rsidRDefault="00041ADB" w:rsidP="00F20BE1">
      <w:pPr>
        <w:rPr>
          <w:rFonts w:ascii="Times" w:hAnsi="Times"/>
        </w:rPr>
      </w:pPr>
    </w:p>
    <w:p w14:paraId="4DE10D21" w14:textId="77777777" w:rsidR="00041ADB" w:rsidRPr="00D23BF1" w:rsidRDefault="00041ADB" w:rsidP="00F20BE1">
      <w:pPr>
        <w:rPr>
          <w:rFonts w:ascii="Times" w:hAnsi="Times"/>
        </w:rPr>
      </w:pPr>
      <w:r w:rsidRPr="00D23BF1">
        <w:rPr>
          <w:rFonts w:ascii="Times" w:hAnsi="Times"/>
        </w:rPr>
        <w:br w:type="page"/>
      </w:r>
    </w:p>
    <w:p w14:paraId="4DC18FD7" w14:textId="77777777" w:rsidR="00041ADB" w:rsidRPr="00D23BF1" w:rsidRDefault="00041ADB" w:rsidP="00F20BE1">
      <w:pPr>
        <w:rPr>
          <w:rFonts w:ascii="Times" w:hAnsi="Times"/>
        </w:rPr>
      </w:pPr>
    </w:p>
    <w:p w14:paraId="15B817AE" w14:textId="77777777" w:rsidR="00041ADB" w:rsidRPr="00D23BF1" w:rsidRDefault="00041ADB" w:rsidP="00F20BE1">
      <w:pPr>
        <w:pStyle w:val="Heading2"/>
        <w:jc w:val="center"/>
        <w:rPr>
          <w:rFonts w:ascii="Times" w:hAnsi="Times"/>
          <w:b/>
          <w:bCs/>
          <w:u w:val="none"/>
        </w:rPr>
      </w:pPr>
      <w:bookmarkStart w:id="135" w:name="_Toc69972894"/>
      <w:r w:rsidRPr="00D23BF1">
        <w:rPr>
          <w:rFonts w:ascii="Times" w:hAnsi="Times"/>
          <w:b/>
          <w:bCs/>
          <w:u w:val="none"/>
        </w:rPr>
        <w:t>References</w:t>
      </w:r>
      <w:bookmarkEnd w:id="135"/>
    </w:p>
    <w:p w14:paraId="52712941" w14:textId="77777777" w:rsidR="00041ADB" w:rsidRPr="00D23BF1" w:rsidRDefault="00041ADB" w:rsidP="00F20BE1">
      <w:pPr>
        <w:rPr>
          <w:rFonts w:ascii="Times" w:hAnsi="Times"/>
        </w:rPr>
      </w:pPr>
    </w:p>
    <w:p w14:paraId="5A48818C"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rPr>
        <w:fldChar w:fldCharType="begin" w:fldLock="1"/>
      </w:r>
      <w:r w:rsidRPr="00D23BF1">
        <w:rPr>
          <w:rFonts w:ascii="Times" w:hAnsi="Times"/>
        </w:rPr>
        <w:instrText xml:space="preserve">ADDIN Mendeley Bibliography CSL_BIBLIOGRAPHY </w:instrText>
      </w:r>
      <w:r w:rsidRPr="00D23BF1">
        <w:rPr>
          <w:rFonts w:ascii="Times" w:hAnsi="Times"/>
        </w:rPr>
        <w:fldChar w:fldCharType="separate"/>
      </w:r>
      <w:r w:rsidRPr="00D23BF1">
        <w:rPr>
          <w:rFonts w:ascii="Times" w:hAnsi="Times" w:cs="Times New Roman"/>
          <w:noProof/>
        </w:rPr>
        <w:t>1.</w:t>
      </w:r>
      <w:r w:rsidRPr="00D23BF1">
        <w:rPr>
          <w:rFonts w:ascii="Times" w:hAnsi="Times" w:cs="Times New Roman"/>
          <w:noProof/>
        </w:rPr>
        <w:tab/>
        <w:t xml:space="preserve">Berlow, M., Phillips, J. N. &amp; Derryberry, E. P. Effects of Urbanization and Landscape on Gut Microbiomes in White-Crowned Sparrows. </w:t>
      </w:r>
      <w:r w:rsidRPr="00D23BF1">
        <w:rPr>
          <w:rFonts w:ascii="Times" w:hAnsi="Times" w:cs="Times New Roman"/>
          <w:i/>
          <w:iCs/>
          <w:noProof/>
        </w:rPr>
        <w:t>Microb. Ecol.</w:t>
      </w:r>
      <w:r w:rsidRPr="00D23BF1">
        <w:rPr>
          <w:rFonts w:ascii="Times" w:hAnsi="Times" w:cs="Times New Roman"/>
          <w:noProof/>
        </w:rPr>
        <w:t xml:space="preserve"> (2020) doi:10.1007/s00248-020-01569-8.</w:t>
      </w:r>
    </w:p>
    <w:p w14:paraId="2A9EB70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w:t>
      </w:r>
      <w:r w:rsidRPr="00D23BF1">
        <w:rPr>
          <w:rFonts w:ascii="Times" w:hAnsi="Times" w:cs="Times New Roman"/>
          <w:noProof/>
        </w:rPr>
        <w:tab/>
        <w:t xml:space="preserve">Phillips, J. N., Berlow, M. &amp; Derryberry, E. P. The Effects of Landscape Urbanization on the Gut Microbiome: An Exploration Into the Gut of Urban and Rural White-Crowned Sparrows. </w:t>
      </w:r>
      <w:r w:rsidRPr="00D23BF1">
        <w:rPr>
          <w:rFonts w:ascii="Times" w:hAnsi="Times" w:cs="Times New Roman"/>
          <w:i/>
          <w:iCs/>
          <w:noProof/>
        </w:rPr>
        <w:t>Front. Ecol. Evol.</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1–10 (2018).</w:t>
      </w:r>
    </w:p>
    <w:p w14:paraId="25E0088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3.</w:t>
      </w:r>
      <w:r w:rsidRPr="00D23BF1">
        <w:rPr>
          <w:rFonts w:ascii="Times" w:hAnsi="Times" w:cs="Times New Roman"/>
          <w:noProof/>
        </w:rPr>
        <w:tab/>
        <w:t xml:space="preserve">Berlow, M., Kohl, K. D. &amp; Derryberry, E. P. Evaluation of non-lethal gut microbiome sampling methods in a passerine bird. </w:t>
      </w:r>
      <w:r w:rsidRPr="00D23BF1">
        <w:rPr>
          <w:rFonts w:ascii="Times" w:hAnsi="Times" w:cs="Times New Roman"/>
          <w:i/>
          <w:iCs/>
          <w:noProof/>
        </w:rPr>
        <w:t>Ibis (Lond. 1859).</w:t>
      </w:r>
      <w:r w:rsidRPr="00D23BF1">
        <w:rPr>
          <w:rFonts w:ascii="Times" w:hAnsi="Times" w:cs="Times New Roman"/>
          <w:noProof/>
        </w:rPr>
        <w:t xml:space="preserve"> ibi.12807 (2019) doi:10.1111/ibi.12807.</w:t>
      </w:r>
    </w:p>
    <w:p w14:paraId="1EB397A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4.</w:t>
      </w:r>
      <w:r w:rsidRPr="00D23BF1">
        <w:rPr>
          <w:rFonts w:ascii="Times" w:hAnsi="Times" w:cs="Times New Roman"/>
          <w:noProof/>
        </w:rPr>
        <w:tab/>
        <w:t xml:space="preserve">Grond, K., Sandercock, B. K., Jumpponen, A. &amp; Zeglin, L. H. The avian gut microbiota: community, physiology and function in wild birds. </w:t>
      </w:r>
      <w:r w:rsidRPr="00D23BF1">
        <w:rPr>
          <w:rFonts w:ascii="Times" w:hAnsi="Times" w:cs="Times New Roman"/>
          <w:i/>
          <w:iCs/>
          <w:noProof/>
        </w:rPr>
        <w:t>J. Avian Biol.</w:t>
      </w:r>
      <w:r w:rsidRPr="00D23BF1">
        <w:rPr>
          <w:rFonts w:ascii="Times" w:hAnsi="Times" w:cs="Times New Roman"/>
          <w:noProof/>
        </w:rPr>
        <w:t xml:space="preserve"> </w:t>
      </w:r>
      <w:r w:rsidRPr="00D23BF1">
        <w:rPr>
          <w:rFonts w:ascii="Times" w:hAnsi="Times" w:cs="Times New Roman"/>
          <w:b/>
          <w:bCs/>
          <w:noProof/>
        </w:rPr>
        <w:t>49</w:t>
      </w:r>
      <w:r w:rsidRPr="00D23BF1">
        <w:rPr>
          <w:rFonts w:ascii="Times" w:hAnsi="Times" w:cs="Times New Roman"/>
          <w:noProof/>
        </w:rPr>
        <w:t>, 1–19 (2018).</w:t>
      </w:r>
    </w:p>
    <w:p w14:paraId="6ACDCA7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5.</w:t>
      </w:r>
      <w:r w:rsidRPr="00D23BF1">
        <w:rPr>
          <w:rFonts w:ascii="Times" w:hAnsi="Times" w:cs="Times New Roman"/>
          <w:noProof/>
        </w:rPr>
        <w:tab/>
        <w:t xml:space="preserve">McKenzie, V. J. </w:t>
      </w:r>
      <w:r w:rsidRPr="00D23BF1">
        <w:rPr>
          <w:rFonts w:ascii="Times" w:hAnsi="Times" w:cs="Times New Roman"/>
          <w:i/>
          <w:iCs/>
          <w:noProof/>
        </w:rPr>
        <w:t>et al.</w:t>
      </w:r>
      <w:r w:rsidRPr="00D23BF1">
        <w:rPr>
          <w:rFonts w:ascii="Times" w:hAnsi="Times" w:cs="Times New Roman"/>
          <w:noProof/>
        </w:rPr>
        <w:t xml:space="preserve"> The effects of captivity on the mammalian gut microbiome. </w:t>
      </w:r>
      <w:r w:rsidRPr="00D23BF1">
        <w:rPr>
          <w:rFonts w:ascii="Times" w:hAnsi="Times" w:cs="Times New Roman"/>
          <w:i/>
          <w:iCs/>
          <w:noProof/>
        </w:rPr>
        <w:t>Integr. Comp. Biol.</w:t>
      </w:r>
      <w:r w:rsidRPr="00D23BF1">
        <w:rPr>
          <w:rFonts w:ascii="Times" w:hAnsi="Times" w:cs="Times New Roman"/>
          <w:noProof/>
        </w:rPr>
        <w:t xml:space="preserve"> </w:t>
      </w:r>
      <w:r w:rsidRPr="00D23BF1">
        <w:rPr>
          <w:rFonts w:ascii="Times" w:hAnsi="Times" w:cs="Times New Roman"/>
          <w:b/>
          <w:bCs/>
          <w:noProof/>
        </w:rPr>
        <w:t>57</w:t>
      </w:r>
      <w:r w:rsidRPr="00D23BF1">
        <w:rPr>
          <w:rFonts w:ascii="Times" w:hAnsi="Times" w:cs="Times New Roman"/>
          <w:noProof/>
        </w:rPr>
        <w:t>, 690–704 (2017).</w:t>
      </w:r>
    </w:p>
    <w:p w14:paraId="73DE220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6.</w:t>
      </w:r>
      <w:r w:rsidRPr="00D23BF1">
        <w:rPr>
          <w:rFonts w:ascii="Times" w:hAnsi="Times" w:cs="Times New Roman"/>
          <w:noProof/>
        </w:rPr>
        <w:tab/>
        <w:t xml:space="preserve">Teyssier, A. </w:t>
      </w:r>
      <w:r w:rsidRPr="00D23BF1">
        <w:rPr>
          <w:rFonts w:ascii="Times" w:hAnsi="Times" w:cs="Times New Roman"/>
          <w:i/>
          <w:iCs/>
          <w:noProof/>
        </w:rPr>
        <w:t>et al.</w:t>
      </w:r>
      <w:r w:rsidRPr="00D23BF1">
        <w:rPr>
          <w:rFonts w:ascii="Times" w:hAnsi="Times" w:cs="Times New Roman"/>
          <w:noProof/>
        </w:rPr>
        <w:t xml:space="preserve"> Diet contributes to urban-induced alterations in gut microbiota: experimental evidence from a wild passerine. </w:t>
      </w:r>
      <w:r w:rsidRPr="00D23BF1">
        <w:rPr>
          <w:rFonts w:ascii="Times" w:hAnsi="Times" w:cs="Times New Roman"/>
          <w:i/>
          <w:iCs/>
          <w:noProof/>
        </w:rPr>
        <w:t>Proceedings. Biol. Sci.</w:t>
      </w:r>
      <w:r w:rsidRPr="00D23BF1">
        <w:rPr>
          <w:rFonts w:ascii="Times" w:hAnsi="Times" w:cs="Times New Roman"/>
          <w:noProof/>
        </w:rPr>
        <w:t xml:space="preserve"> </w:t>
      </w:r>
      <w:r w:rsidRPr="00D23BF1">
        <w:rPr>
          <w:rFonts w:ascii="Times" w:hAnsi="Times" w:cs="Times New Roman"/>
          <w:b/>
          <w:bCs/>
          <w:noProof/>
        </w:rPr>
        <w:t>287</w:t>
      </w:r>
      <w:r w:rsidRPr="00D23BF1">
        <w:rPr>
          <w:rFonts w:ascii="Times" w:hAnsi="Times" w:cs="Times New Roman"/>
          <w:noProof/>
        </w:rPr>
        <w:t>, 20192182 (2020).</w:t>
      </w:r>
    </w:p>
    <w:p w14:paraId="2BCC7A3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7.</w:t>
      </w:r>
      <w:r w:rsidRPr="00D23BF1">
        <w:rPr>
          <w:rFonts w:ascii="Times" w:hAnsi="Times" w:cs="Times New Roman"/>
          <w:noProof/>
        </w:rPr>
        <w:tab/>
        <w:t xml:space="preserve">Hird, S. M. Evolutionary Biology Needs Wild Microbiomes. </w:t>
      </w:r>
      <w:r w:rsidRPr="00D23BF1">
        <w:rPr>
          <w:rFonts w:ascii="Times" w:hAnsi="Times" w:cs="Times New Roman"/>
          <w:i/>
          <w:iCs/>
          <w:noProof/>
        </w:rPr>
        <w:t>Front. Microbiol.</w:t>
      </w:r>
      <w:r w:rsidRPr="00D23BF1">
        <w:rPr>
          <w:rFonts w:ascii="Times" w:hAnsi="Times" w:cs="Times New Roman"/>
          <w:noProof/>
        </w:rPr>
        <w:t xml:space="preserve"> </w:t>
      </w:r>
      <w:r w:rsidRPr="00D23BF1">
        <w:rPr>
          <w:rFonts w:ascii="Times" w:hAnsi="Times" w:cs="Times New Roman"/>
          <w:b/>
          <w:bCs/>
          <w:noProof/>
        </w:rPr>
        <w:t>8</w:t>
      </w:r>
      <w:r w:rsidRPr="00D23BF1">
        <w:rPr>
          <w:rFonts w:ascii="Times" w:hAnsi="Times" w:cs="Times New Roman"/>
          <w:noProof/>
        </w:rPr>
        <w:t>, 725 (2017).</w:t>
      </w:r>
    </w:p>
    <w:p w14:paraId="5E79DD82"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8.</w:t>
      </w:r>
      <w:r w:rsidRPr="00D23BF1">
        <w:rPr>
          <w:rFonts w:ascii="Times" w:hAnsi="Times" w:cs="Times New Roman"/>
          <w:noProof/>
        </w:rPr>
        <w:tab/>
        <w:t xml:space="preserve">Moeller, A. H. </w:t>
      </w:r>
      <w:r w:rsidRPr="00D23BF1">
        <w:rPr>
          <w:rFonts w:ascii="Times" w:hAnsi="Times" w:cs="Times New Roman"/>
          <w:i/>
          <w:iCs/>
          <w:noProof/>
        </w:rPr>
        <w:t>et al.</w:t>
      </w:r>
      <w:r w:rsidRPr="00D23BF1">
        <w:rPr>
          <w:rFonts w:ascii="Times" w:hAnsi="Times" w:cs="Times New Roman"/>
          <w:noProof/>
        </w:rPr>
        <w:t xml:space="preserve"> Social behavior shapes the chimpanzee pan-microbiome. </w:t>
      </w:r>
      <w:r w:rsidRPr="00D23BF1">
        <w:rPr>
          <w:rFonts w:ascii="Times" w:hAnsi="Times" w:cs="Times New Roman"/>
          <w:i/>
          <w:iCs/>
          <w:noProof/>
        </w:rPr>
        <w:t>Sci. Adv</w:t>
      </w:r>
      <w:r w:rsidRPr="00D23BF1">
        <w:rPr>
          <w:rFonts w:ascii="Times" w:hAnsi="Times" w:cs="Times New Roman"/>
          <w:noProof/>
        </w:rPr>
        <w:t xml:space="preserve"> </w:t>
      </w:r>
      <w:r w:rsidRPr="00D23BF1">
        <w:rPr>
          <w:rFonts w:ascii="Times" w:hAnsi="Times" w:cs="Times New Roman"/>
          <w:b/>
          <w:bCs/>
          <w:noProof/>
        </w:rPr>
        <w:t>2</w:t>
      </w:r>
      <w:r w:rsidRPr="00D23BF1">
        <w:rPr>
          <w:rFonts w:ascii="Times" w:hAnsi="Times" w:cs="Times New Roman"/>
          <w:noProof/>
        </w:rPr>
        <w:t>, 1500997 (2016).</w:t>
      </w:r>
    </w:p>
    <w:p w14:paraId="0433A74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9.</w:t>
      </w:r>
      <w:r w:rsidRPr="00D23BF1">
        <w:rPr>
          <w:rFonts w:ascii="Times" w:hAnsi="Times" w:cs="Times New Roman"/>
          <w:noProof/>
        </w:rPr>
        <w:tab/>
        <w:t xml:space="preserve">Alcock, J., Maley, C. C. &amp; Aktipis, C. A. Is eating behavior manipulated by the gastrointestinal microbiota? Evolutionary pressures and potential mechanisms. </w:t>
      </w:r>
      <w:r w:rsidRPr="00D23BF1">
        <w:rPr>
          <w:rFonts w:ascii="Times" w:hAnsi="Times" w:cs="Times New Roman"/>
          <w:i/>
          <w:iCs/>
          <w:noProof/>
        </w:rPr>
        <w:t>BioEssays</w:t>
      </w:r>
      <w:r w:rsidRPr="00D23BF1">
        <w:rPr>
          <w:rFonts w:ascii="Times" w:hAnsi="Times" w:cs="Times New Roman"/>
          <w:noProof/>
        </w:rPr>
        <w:t xml:space="preserve"> </w:t>
      </w:r>
      <w:r w:rsidRPr="00D23BF1">
        <w:rPr>
          <w:rFonts w:ascii="Times" w:hAnsi="Times" w:cs="Times New Roman"/>
          <w:b/>
          <w:bCs/>
          <w:noProof/>
        </w:rPr>
        <w:t>36</w:t>
      </w:r>
      <w:r w:rsidRPr="00D23BF1">
        <w:rPr>
          <w:rFonts w:ascii="Times" w:hAnsi="Times" w:cs="Times New Roman"/>
          <w:noProof/>
        </w:rPr>
        <w:t>, 940–949 (2014).</w:t>
      </w:r>
    </w:p>
    <w:p w14:paraId="4CA553F1"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10.</w:t>
      </w:r>
      <w:r w:rsidRPr="00D23BF1">
        <w:rPr>
          <w:rFonts w:ascii="Times" w:hAnsi="Times" w:cs="Times New Roman"/>
          <w:noProof/>
        </w:rPr>
        <w:tab/>
        <w:t xml:space="preserve">Johnson, K. V &amp; Foster, K. R. Why does the microbiome affect behaviour? </w:t>
      </w:r>
      <w:r w:rsidRPr="00D23BF1">
        <w:rPr>
          <w:rFonts w:ascii="Times" w:hAnsi="Times" w:cs="Times New Roman"/>
          <w:i/>
          <w:iCs/>
          <w:noProof/>
        </w:rPr>
        <w:t>Nat. Rev. Microbiol.</w:t>
      </w:r>
      <w:r w:rsidRPr="00D23BF1">
        <w:rPr>
          <w:rFonts w:ascii="Times" w:hAnsi="Times" w:cs="Times New Roman"/>
          <w:noProof/>
        </w:rPr>
        <w:t xml:space="preserve"> 647–655 (2018) doi:10.1038/s41579-018-0014-3.</w:t>
      </w:r>
    </w:p>
    <w:p w14:paraId="7D9215C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11.</w:t>
      </w:r>
      <w:r w:rsidRPr="00D23BF1">
        <w:rPr>
          <w:rFonts w:ascii="Times" w:hAnsi="Times" w:cs="Times New Roman"/>
          <w:noProof/>
        </w:rPr>
        <w:tab/>
        <w:t xml:space="preserve">Jiménez, R. R. &amp; Sommer, S. The amphibian microbiome: natural range of variation, pathogenic dysbiosis, and role in conservation. </w:t>
      </w:r>
      <w:r w:rsidRPr="00D23BF1">
        <w:rPr>
          <w:rFonts w:ascii="Times" w:hAnsi="Times" w:cs="Times New Roman"/>
          <w:i/>
          <w:iCs/>
          <w:noProof/>
        </w:rPr>
        <w:t>Biodivers. Conserv.</w:t>
      </w:r>
      <w:r w:rsidRPr="00D23BF1">
        <w:rPr>
          <w:rFonts w:ascii="Times" w:hAnsi="Times" w:cs="Times New Roman"/>
          <w:noProof/>
        </w:rPr>
        <w:t xml:space="preserve"> </w:t>
      </w:r>
      <w:r w:rsidRPr="00D23BF1">
        <w:rPr>
          <w:rFonts w:ascii="Times" w:hAnsi="Times" w:cs="Times New Roman"/>
          <w:b/>
          <w:bCs/>
          <w:noProof/>
        </w:rPr>
        <w:t>26</w:t>
      </w:r>
      <w:r w:rsidRPr="00D23BF1">
        <w:rPr>
          <w:rFonts w:ascii="Times" w:hAnsi="Times" w:cs="Times New Roman"/>
          <w:noProof/>
        </w:rPr>
        <w:t>, 763–786 (2017).</w:t>
      </w:r>
    </w:p>
    <w:p w14:paraId="685A22DF"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12.</w:t>
      </w:r>
      <w:r w:rsidRPr="00D23BF1">
        <w:rPr>
          <w:rFonts w:ascii="Times" w:hAnsi="Times" w:cs="Times New Roman"/>
          <w:noProof/>
        </w:rPr>
        <w:tab/>
        <w:t xml:space="preserve">Ayeni, F. A. </w:t>
      </w:r>
      <w:r w:rsidRPr="00D23BF1">
        <w:rPr>
          <w:rFonts w:ascii="Times" w:hAnsi="Times" w:cs="Times New Roman"/>
          <w:i/>
          <w:iCs/>
          <w:noProof/>
        </w:rPr>
        <w:t>et al.</w:t>
      </w:r>
      <w:r w:rsidRPr="00D23BF1">
        <w:rPr>
          <w:rFonts w:ascii="Times" w:hAnsi="Times" w:cs="Times New Roman"/>
          <w:noProof/>
        </w:rPr>
        <w:t xml:space="preserve"> Infant and Adult Gut Microbiome and Metabolome in Rural Bassa and Urban Settlers from Nigeria. </w:t>
      </w:r>
      <w:r w:rsidRPr="00D23BF1">
        <w:rPr>
          <w:rFonts w:ascii="Times" w:hAnsi="Times" w:cs="Times New Roman"/>
          <w:i/>
          <w:iCs/>
          <w:noProof/>
        </w:rPr>
        <w:t>Cell Rep.</w:t>
      </w:r>
      <w:r w:rsidRPr="00D23BF1">
        <w:rPr>
          <w:rFonts w:ascii="Times" w:hAnsi="Times" w:cs="Times New Roman"/>
          <w:noProof/>
        </w:rPr>
        <w:t xml:space="preserve"> </w:t>
      </w:r>
      <w:r w:rsidRPr="00D23BF1">
        <w:rPr>
          <w:rFonts w:ascii="Times" w:hAnsi="Times" w:cs="Times New Roman"/>
          <w:b/>
          <w:bCs/>
          <w:noProof/>
        </w:rPr>
        <w:t>23</w:t>
      </w:r>
      <w:r w:rsidRPr="00D23BF1">
        <w:rPr>
          <w:rFonts w:ascii="Times" w:hAnsi="Times" w:cs="Times New Roman"/>
          <w:noProof/>
        </w:rPr>
        <w:t>, 3056–3067 (2018).</w:t>
      </w:r>
    </w:p>
    <w:p w14:paraId="64F8AC09"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13.</w:t>
      </w:r>
      <w:r w:rsidRPr="00D23BF1">
        <w:rPr>
          <w:rFonts w:ascii="Times" w:hAnsi="Times" w:cs="Times New Roman"/>
          <w:noProof/>
        </w:rPr>
        <w:tab/>
        <w:t xml:space="preserve">Das, B. </w:t>
      </w:r>
      <w:r w:rsidRPr="00D23BF1">
        <w:rPr>
          <w:rFonts w:ascii="Times" w:hAnsi="Times" w:cs="Times New Roman"/>
          <w:i/>
          <w:iCs/>
          <w:noProof/>
        </w:rPr>
        <w:t>et al.</w:t>
      </w:r>
      <w:r w:rsidRPr="00D23BF1">
        <w:rPr>
          <w:rFonts w:ascii="Times" w:hAnsi="Times" w:cs="Times New Roman"/>
          <w:noProof/>
        </w:rPr>
        <w:t xml:space="preserve"> Analysis of the Gut Microbiome of Rural and Urban Healthy Indians Living in Sea Level and High Altitude Areas. </w:t>
      </w:r>
      <w:r w:rsidRPr="00D23BF1">
        <w:rPr>
          <w:rFonts w:ascii="Times" w:hAnsi="Times" w:cs="Times New Roman"/>
          <w:i/>
          <w:iCs/>
          <w:noProof/>
        </w:rPr>
        <w:t>Sci. Rep.</w:t>
      </w:r>
      <w:r w:rsidRPr="00D23BF1">
        <w:rPr>
          <w:rFonts w:ascii="Times" w:hAnsi="Times" w:cs="Times New Roman"/>
          <w:noProof/>
        </w:rPr>
        <w:t xml:space="preserve"> </w:t>
      </w:r>
      <w:r w:rsidRPr="00D23BF1">
        <w:rPr>
          <w:rFonts w:ascii="Times" w:hAnsi="Times" w:cs="Times New Roman"/>
          <w:b/>
          <w:bCs/>
          <w:noProof/>
        </w:rPr>
        <w:t>8</w:t>
      </w:r>
      <w:r w:rsidRPr="00D23BF1">
        <w:rPr>
          <w:rFonts w:ascii="Times" w:hAnsi="Times" w:cs="Times New Roman"/>
          <w:noProof/>
        </w:rPr>
        <w:t>, 10104 (2018).</w:t>
      </w:r>
    </w:p>
    <w:p w14:paraId="32ECCC1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14.</w:t>
      </w:r>
      <w:r w:rsidRPr="00D23BF1">
        <w:rPr>
          <w:rFonts w:ascii="Times" w:hAnsi="Times" w:cs="Times New Roman"/>
          <w:noProof/>
        </w:rPr>
        <w:tab/>
        <w:t xml:space="preserve">Phillips, J. N., Berlow, M. &amp; Derryberry, E. P. The Effects of Landscape Urbanization on the Gut Microbiome: An Exploration Into the Gut of Urban and Rural White-Crowned Sparrows. </w:t>
      </w:r>
      <w:r w:rsidRPr="00D23BF1">
        <w:rPr>
          <w:rFonts w:ascii="Times" w:hAnsi="Times" w:cs="Times New Roman"/>
          <w:i/>
          <w:iCs/>
          <w:noProof/>
        </w:rPr>
        <w:t>Front. Ecol. Evol.</w:t>
      </w:r>
      <w:r w:rsidRPr="00D23BF1">
        <w:rPr>
          <w:rFonts w:ascii="Times" w:hAnsi="Times" w:cs="Times New Roman"/>
          <w:noProof/>
        </w:rPr>
        <w:t xml:space="preserve"> </w:t>
      </w:r>
      <w:r w:rsidRPr="00D23BF1">
        <w:rPr>
          <w:rFonts w:ascii="Times" w:hAnsi="Times" w:cs="Times New Roman"/>
          <w:b/>
          <w:bCs/>
          <w:noProof/>
        </w:rPr>
        <w:t>6</w:t>
      </w:r>
      <w:r w:rsidRPr="00D23BF1">
        <w:rPr>
          <w:rFonts w:ascii="Times" w:hAnsi="Times" w:cs="Times New Roman"/>
          <w:noProof/>
        </w:rPr>
        <w:t>, (2018).</w:t>
      </w:r>
    </w:p>
    <w:p w14:paraId="415F04C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15.</w:t>
      </w:r>
      <w:r w:rsidRPr="00D23BF1">
        <w:rPr>
          <w:rFonts w:ascii="Times" w:hAnsi="Times" w:cs="Times New Roman"/>
          <w:noProof/>
        </w:rPr>
        <w:tab/>
        <w:t xml:space="preserve">Teyssier, A. </w:t>
      </w:r>
      <w:r w:rsidRPr="00D23BF1">
        <w:rPr>
          <w:rFonts w:ascii="Times" w:hAnsi="Times" w:cs="Times New Roman"/>
          <w:i/>
          <w:iCs/>
          <w:noProof/>
        </w:rPr>
        <w:t>et al.</w:t>
      </w:r>
      <w:r w:rsidRPr="00D23BF1">
        <w:rPr>
          <w:rFonts w:ascii="Times" w:hAnsi="Times" w:cs="Times New Roman"/>
          <w:noProof/>
        </w:rPr>
        <w:t xml:space="preserve"> Inside the guts of the city: Urban-induced alterations of the gut microbiota in a wild passerine. </w:t>
      </w:r>
      <w:r w:rsidRPr="00D23BF1">
        <w:rPr>
          <w:rFonts w:ascii="Times" w:hAnsi="Times" w:cs="Times New Roman"/>
          <w:i/>
          <w:iCs/>
          <w:noProof/>
        </w:rPr>
        <w:t>Sci. Total Environ.</w:t>
      </w:r>
      <w:r w:rsidRPr="00D23BF1">
        <w:rPr>
          <w:rFonts w:ascii="Times" w:hAnsi="Times" w:cs="Times New Roman"/>
          <w:noProof/>
        </w:rPr>
        <w:t xml:space="preserve"> </w:t>
      </w:r>
      <w:r w:rsidRPr="00D23BF1">
        <w:rPr>
          <w:rFonts w:ascii="Times" w:hAnsi="Times" w:cs="Times New Roman"/>
          <w:b/>
          <w:bCs/>
          <w:noProof/>
        </w:rPr>
        <w:t>612</w:t>
      </w:r>
      <w:r w:rsidRPr="00D23BF1">
        <w:rPr>
          <w:rFonts w:ascii="Times" w:hAnsi="Times" w:cs="Times New Roman"/>
          <w:noProof/>
        </w:rPr>
        <w:t>, 1276–1286 (2018).</w:t>
      </w:r>
    </w:p>
    <w:p w14:paraId="7547C98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16.</w:t>
      </w:r>
      <w:r w:rsidRPr="00D23BF1">
        <w:rPr>
          <w:rFonts w:ascii="Times" w:hAnsi="Times" w:cs="Times New Roman"/>
          <w:noProof/>
        </w:rPr>
        <w:tab/>
        <w:t xml:space="preserve">Littleford-Colquhoun, B. L., Weyrich, L. S., Kent, N. &amp; Frere, C. H. City life alters the gut microbiome and stable isotope profiling of the eastern water dragon (Intellagama lesueurii). </w:t>
      </w:r>
      <w:r w:rsidRPr="00D23BF1">
        <w:rPr>
          <w:rFonts w:ascii="Times" w:hAnsi="Times" w:cs="Times New Roman"/>
          <w:i/>
          <w:iCs/>
          <w:noProof/>
        </w:rPr>
        <w:t>Mol. Ecol.</w:t>
      </w:r>
      <w:r w:rsidRPr="00D23BF1">
        <w:rPr>
          <w:rFonts w:ascii="Times" w:hAnsi="Times" w:cs="Times New Roman"/>
          <w:noProof/>
        </w:rPr>
        <w:t xml:space="preserve"> </w:t>
      </w:r>
      <w:r w:rsidRPr="00D23BF1">
        <w:rPr>
          <w:rFonts w:ascii="Times" w:hAnsi="Times" w:cs="Times New Roman"/>
          <w:b/>
          <w:bCs/>
          <w:noProof/>
        </w:rPr>
        <w:t>28</w:t>
      </w:r>
      <w:r w:rsidRPr="00D23BF1">
        <w:rPr>
          <w:rFonts w:ascii="Times" w:hAnsi="Times" w:cs="Times New Roman"/>
          <w:noProof/>
        </w:rPr>
        <w:t>, 4592–4607 (2019).</w:t>
      </w:r>
    </w:p>
    <w:p w14:paraId="5E0BC59E"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17.</w:t>
      </w:r>
      <w:r w:rsidRPr="00D23BF1">
        <w:rPr>
          <w:rFonts w:ascii="Times" w:hAnsi="Times" w:cs="Times New Roman"/>
          <w:noProof/>
        </w:rPr>
        <w:tab/>
        <w:t xml:space="preserve">Sih, A., Ferrari, M. C. O. &amp; Harris, D. J. Evolution and behavioural responses to human-induced rapid environmental change. </w:t>
      </w:r>
      <w:r w:rsidRPr="00D23BF1">
        <w:rPr>
          <w:rFonts w:ascii="Times" w:hAnsi="Times" w:cs="Times New Roman"/>
          <w:i/>
          <w:iCs/>
          <w:noProof/>
        </w:rPr>
        <w:t>Evol. Appl.</w:t>
      </w:r>
      <w:r w:rsidRPr="00D23BF1">
        <w:rPr>
          <w:rFonts w:ascii="Times" w:hAnsi="Times" w:cs="Times New Roman"/>
          <w:noProof/>
        </w:rPr>
        <w:t xml:space="preserve"> </w:t>
      </w:r>
      <w:r w:rsidRPr="00D23BF1">
        <w:rPr>
          <w:rFonts w:ascii="Times" w:hAnsi="Times" w:cs="Times New Roman"/>
          <w:b/>
          <w:bCs/>
          <w:noProof/>
        </w:rPr>
        <w:t>4</w:t>
      </w:r>
      <w:r w:rsidRPr="00D23BF1">
        <w:rPr>
          <w:rFonts w:ascii="Times" w:hAnsi="Times" w:cs="Times New Roman"/>
          <w:noProof/>
        </w:rPr>
        <w:t>, 367–387 (2011).</w:t>
      </w:r>
    </w:p>
    <w:p w14:paraId="04A91C70"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lastRenderedPageBreak/>
        <w:t>18.</w:t>
      </w:r>
      <w:r w:rsidRPr="00D23BF1">
        <w:rPr>
          <w:rFonts w:ascii="Times" w:hAnsi="Times" w:cs="Times New Roman"/>
          <w:noProof/>
        </w:rPr>
        <w:tab/>
        <w:t xml:space="preserve">French, S. S., Fokidis, H. B. &amp; Moore, M. C. Variation in stress and innate immunity in the tree lizard (Urosaurus ornatus) across an urban-rural gradient. </w:t>
      </w:r>
      <w:r w:rsidRPr="00D23BF1">
        <w:rPr>
          <w:rFonts w:ascii="Times" w:hAnsi="Times" w:cs="Times New Roman"/>
          <w:i/>
          <w:iCs/>
          <w:noProof/>
        </w:rPr>
        <w:t>J. Comp. Physiol. B Biochem. Syst. Environ. Physiol.</w:t>
      </w:r>
      <w:r w:rsidRPr="00D23BF1">
        <w:rPr>
          <w:rFonts w:ascii="Times" w:hAnsi="Times" w:cs="Times New Roman"/>
          <w:noProof/>
        </w:rPr>
        <w:t xml:space="preserve"> </w:t>
      </w:r>
      <w:r w:rsidRPr="00D23BF1">
        <w:rPr>
          <w:rFonts w:ascii="Times" w:hAnsi="Times" w:cs="Times New Roman"/>
          <w:b/>
          <w:bCs/>
          <w:noProof/>
        </w:rPr>
        <w:t>178</w:t>
      </w:r>
      <w:r w:rsidRPr="00D23BF1">
        <w:rPr>
          <w:rFonts w:ascii="Times" w:hAnsi="Times" w:cs="Times New Roman"/>
          <w:noProof/>
        </w:rPr>
        <w:t>, 997–1005 (2008).</w:t>
      </w:r>
    </w:p>
    <w:p w14:paraId="66B4A696"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19.</w:t>
      </w:r>
      <w:r w:rsidRPr="00D23BF1">
        <w:rPr>
          <w:rFonts w:ascii="Times" w:hAnsi="Times" w:cs="Times New Roman"/>
          <w:noProof/>
        </w:rPr>
        <w:tab/>
        <w:t xml:space="preserve">Fokidis, H. B. &amp; Deviche, P. Plasma corticosterone of city and desert Curve-billed Thrashers, Toxostoma curvirostre, in response to stress-related peptide administration. </w:t>
      </w:r>
      <w:r w:rsidRPr="00D23BF1">
        <w:rPr>
          <w:rFonts w:ascii="Times" w:hAnsi="Times" w:cs="Times New Roman"/>
          <w:i/>
          <w:iCs/>
          <w:noProof/>
        </w:rPr>
        <w:t>Comp. Biochem. Physiol. - A Mol. Integr. Physiol.</w:t>
      </w:r>
      <w:r w:rsidRPr="00D23BF1">
        <w:rPr>
          <w:rFonts w:ascii="Times" w:hAnsi="Times" w:cs="Times New Roman"/>
          <w:noProof/>
        </w:rPr>
        <w:t xml:space="preserve"> </w:t>
      </w:r>
      <w:r w:rsidRPr="00D23BF1">
        <w:rPr>
          <w:rFonts w:ascii="Times" w:hAnsi="Times" w:cs="Times New Roman"/>
          <w:b/>
          <w:bCs/>
          <w:noProof/>
        </w:rPr>
        <w:t>159</w:t>
      </w:r>
      <w:r w:rsidRPr="00D23BF1">
        <w:rPr>
          <w:rFonts w:ascii="Times" w:hAnsi="Times" w:cs="Times New Roman"/>
          <w:noProof/>
        </w:rPr>
        <w:t>, 32–38 (2011).</w:t>
      </w:r>
    </w:p>
    <w:p w14:paraId="3B67C7A5"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20.</w:t>
      </w:r>
      <w:r w:rsidRPr="00D23BF1">
        <w:rPr>
          <w:rFonts w:ascii="Times" w:hAnsi="Times" w:cs="Times New Roman"/>
          <w:noProof/>
        </w:rPr>
        <w:tab/>
        <w:t xml:space="preserve">Bailly, J. </w:t>
      </w:r>
      <w:r w:rsidRPr="00D23BF1">
        <w:rPr>
          <w:rFonts w:ascii="Times" w:hAnsi="Times" w:cs="Times New Roman"/>
          <w:i/>
          <w:iCs/>
          <w:noProof/>
        </w:rPr>
        <w:t>et al.</w:t>
      </w:r>
      <w:r w:rsidRPr="00D23BF1">
        <w:rPr>
          <w:rFonts w:ascii="Times" w:hAnsi="Times" w:cs="Times New Roman"/>
          <w:noProof/>
        </w:rPr>
        <w:t xml:space="preserve"> Negative impact of urban habitat on immunity in the great tit Parus major. </w:t>
      </w:r>
      <w:r w:rsidRPr="00D23BF1">
        <w:rPr>
          <w:rFonts w:ascii="Times" w:hAnsi="Times" w:cs="Times New Roman"/>
          <w:i/>
          <w:iCs/>
          <w:noProof/>
        </w:rPr>
        <w:t>Oecologia</w:t>
      </w:r>
      <w:r w:rsidRPr="00D23BF1">
        <w:rPr>
          <w:rFonts w:ascii="Times" w:hAnsi="Times" w:cs="Times New Roman"/>
          <w:noProof/>
        </w:rPr>
        <w:t xml:space="preserve"> </w:t>
      </w:r>
      <w:r w:rsidRPr="00D23BF1">
        <w:rPr>
          <w:rFonts w:ascii="Times" w:hAnsi="Times" w:cs="Times New Roman"/>
          <w:b/>
          <w:bCs/>
          <w:noProof/>
        </w:rPr>
        <w:t>182</w:t>
      </w:r>
      <w:r w:rsidRPr="00D23BF1">
        <w:rPr>
          <w:rFonts w:ascii="Times" w:hAnsi="Times" w:cs="Times New Roman"/>
          <w:noProof/>
        </w:rPr>
        <w:t>, 1053–1062 (2016).</w:t>
      </w:r>
    </w:p>
    <w:p w14:paraId="1762E826"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21.</w:t>
      </w:r>
      <w:r w:rsidRPr="00D23BF1">
        <w:rPr>
          <w:rFonts w:ascii="Times" w:hAnsi="Times" w:cs="Times New Roman"/>
          <w:noProof/>
        </w:rPr>
        <w:tab/>
        <w:t xml:space="preserve">Funkhouser, L. J. &amp; Bordenstein, S. R. Mom Knows Best: The Universality of Maternal Microbial Transmission. </w:t>
      </w:r>
      <w:r w:rsidRPr="00D23BF1">
        <w:rPr>
          <w:rFonts w:ascii="Times" w:hAnsi="Times" w:cs="Times New Roman"/>
          <w:i/>
          <w:iCs/>
          <w:noProof/>
        </w:rPr>
        <w:t>PLoS Biol.</w:t>
      </w:r>
      <w:r w:rsidRPr="00D23BF1">
        <w:rPr>
          <w:rFonts w:ascii="Times" w:hAnsi="Times" w:cs="Times New Roman"/>
          <w:noProof/>
        </w:rPr>
        <w:t xml:space="preserve"> </w:t>
      </w:r>
      <w:r w:rsidRPr="00D23BF1">
        <w:rPr>
          <w:rFonts w:ascii="Times" w:hAnsi="Times" w:cs="Times New Roman"/>
          <w:b/>
          <w:bCs/>
          <w:noProof/>
        </w:rPr>
        <w:t>11</w:t>
      </w:r>
      <w:r w:rsidRPr="00D23BF1">
        <w:rPr>
          <w:rFonts w:ascii="Times" w:hAnsi="Times" w:cs="Times New Roman"/>
          <w:noProof/>
        </w:rPr>
        <w:t>, 1–9 (2013).</w:t>
      </w:r>
    </w:p>
    <w:p w14:paraId="4870C02A"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22.</w:t>
      </w:r>
      <w:r w:rsidRPr="00D23BF1">
        <w:rPr>
          <w:rFonts w:ascii="Times" w:hAnsi="Times" w:cs="Times New Roman"/>
          <w:noProof/>
        </w:rPr>
        <w:tab/>
        <w:t xml:space="preserve">Collins, S. M., Kassam, Z. &amp; Bercik, P. The adoptive transfer of behavioral phenotype via the intestinal microbiota: Experimental evidence and clinical implications. </w:t>
      </w:r>
      <w:r w:rsidRPr="00D23BF1">
        <w:rPr>
          <w:rFonts w:ascii="Times" w:hAnsi="Times" w:cs="Times New Roman"/>
          <w:i/>
          <w:iCs/>
          <w:noProof/>
        </w:rPr>
        <w:t>Curr. Opin. Microbiol.</w:t>
      </w:r>
      <w:r w:rsidRPr="00D23BF1">
        <w:rPr>
          <w:rFonts w:ascii="Times" w:hAnsi="Times" w:cs="Times New Roman"/>
          <w:noProof/>
        </w:rPr>
        <w:t xml:space="preserve"> </w:t>
      </w:r>
      <w:r w:rsidRPr="00D23BF1">
        <w:rPr>
          <w:rFonts w:ascii="Times" w:hAnsi="Times" w:cs="Times New Roman"/>
          <w:b/>
          <w:bCs/>
          <w:noProof/>
        </w:rPr>
        <w:t>16</w:t>
      </w:r>
      <w:r w:rsidRPr="00D23BF1">
        <w:rPr>
          <w:rFonts w:ascii="Times" w:hAnsi="Times" w:cs="Times New Roman"/>
          <w:noProof/>
        </w:rPr>
        <w:t>, 240–245 (2013).</w:t>
      </w:r>
    </w:p>
    <w:p w14:paraId="2888D43D"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23.</w:t>
      </w:r>
      <w:r w:rsidRPr="00D23BF1">
        <w:rPr>
          <w:rFonts w:ascii="Times" w:hAnsi="Times" w:cs="Times New Roman"/>
          <w:noProof/>
        </w:rPr>
        <w:tab/>
        <w:t xml:space="preserve">Dinan, T. G. &amp; Cryan, J. F. Melancholic microbes: A link between gut microbiota and depression? </w:t>
      </w:r>
      <w:r w:rsidRPr="00D23BF1">
        <w:rPr>
          <w:rFonts w:ascii="Times" w:hAnsi="Times" w:cs="Times New Roman"/>
          <w:i/>
          <w:iCs/>
          <w:noProof/>
        </w:rPr>
        <w:t>Neurogastroenterol. Motil.</w:t>
      </w:r>
      <w:r w:rsidRPr="00D23BF1">
        <w:rPr>
          <w:rFonts w:ascii="Times" w:hAnsi="Times" w:cs="Times New Roman"/>
          <w:noProof/>
        </w:rPr>
        <w:t xml:space="preserve"> </w:t>
      </w:r>
      <w:r w:rsidRPr="00D23BF1">
        <w:rPr>
          <w:rFonts w:ascii="Times" w:hAnsi="Times" w:cs="Times New Roman"/>
          <w:b/>
          <w:bCs/>
          <w:noProof/>
        </w:rPr>
        <w:t>25</w:t>
      </w:r>
      <w:r w:rsidRPr="00D23BF1">
        <w:rPr>
          <w:rFonts w:ascii="Times" w:hAnsi="Times" w:cs="Times New Roman"/>
          <w:noProof/>
        </w:rPr>
        <w:t>, 713–719 (2013).</w:t>
      </w:r>
    </w:p>
    <w:p w14:paraId="2442FED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24.</w:t>
      </w:r>
      <w:r w:rsidRPr="00D23BF1">
        <w:rPr>
          <w:rFonts w:ascii="Times" w:hAnsi="Times" w:cs="Times New Roman"/>
          <w:noProof/>
        </w:rPr>
        <w:tab/>
        <w:t xml:space="preserve">Davenport, E. R. Elucidating the role of the host genome in shaping microbiome composition. </w:t>
      </w:r>
      <w:r w:rsidRPr="00D23BF1">
        <w:rPr>
          <w:rFonts w:ascii="Times" w:hAnsi="Times" w:cs="Times New Roman"/>
          <w:i/>
          <w:iCs/>
          <w:noProof/>
        </w:rPr>
        <w:t>Gut Microbes</w:t>
      </w:r>
      <w:r w:rsidRPr="00D23BF1">
        <w:rPr>
          <w:rFonts w:ascii="Times" w:hAnsi="Times" w:cs="Times New Roman"/>
          <w:noProof/>
        </w:rPr>
        <w:t xml:space="preserve"> </w:t>
      </w:r>
      <w:r w:rsidRPr="00D23BF1">
        <w:rPr>
          <w:rFonts w:ascii="Times" w:hAnsi="Times" w:cs="Times New Roman"/>
          <w:b/>
          <w:bCs/>
          <w:noProof/>
        </w:rPr>
        <w:t>7</w:t>
      </w:r>
      <w:r w:rsidRPr="00D23BF1">
        <w:rPr>
          <w:rFonts w:ascii="Times" w:hAnsi="Times" w:cs="Times New Roman"/>
          <w:noProof/>
        </w:rPr>
        <w:t>, 178–184 (2016).</w:t>
      </w:r>
    </w:p>
    <w:p w14:paraId="3937D11B"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25.</w:t>
      </w:r>
      <w:r w:rsidRPr="00D23BF1">
        <w:rPr>
          <w:rFonts w:ascii="Times" w:hAnsi="Times" w:cs="Times New Roman"/>
          <w:noProof/>
        </w:rPr>
        <w:tab/>
        <w:t xml:space="preserve">Siegerstetter, S. C. </w:t>
      </w:r>
      <w:r w:rsidRPr="00D23BF1">
        <w:rPr>
          <w:rFonts w:ascii="Times" w:hAnsi="Times" w:cs="Times New Roman"/>
          <w:i/>
          <w:iCs/>
          <w:noProof/>
        </w:rPr>
        <w:t>et al.</w:t>
      </w:r>
      <w:r w:rsidRPr="00D23BF1">
        <w:rPr>
          <w:rFonts w:ascii="Times" w:hAnsi="Times" w:cs="Times New Roman"/>
          <w:noProof/>
        </w:rPr>
        <w:t xml:space="preserve"> Fecal microbiota transplant from highly feed-efficient donors shows little effect on age-related changes in feedefficiency- associated fecal microbiota from chickens. </w:t>
      </w:r>
      <w:r w:rsidRPr="00D23BF1">
        <w:rPr>
          <w:rFonts w:ascii="Times" w:hAnsi="Times" w:cs="Times New Roman"/>
          <w:i/>
          <w:iCs/>
          <w:noProof/>
        </w:rPr>
        <w:t>Appl. Environ. Microbiol.</w:t>
      </w:r>
      <w:r w:rsidRPr="00D23BF1">
        <w:rPr>
          <w:rFonts w:ascii="Times" w:hAnsi="Times" w:cs="Times New Roman"/>
          <w:noProof/>
        </w:rPr>
        <w:t xml:space="preserve"> </w:t>
      </w:r>
      <w:r w:rsidRPr="00D23BF1">
        <w:rPr>
          <w:rFonts w:ascii="Times" w:hAnsi="Times" w:cs="Times New Roman"/>
          <w:b/>
          <w:bCs/>
          <w:noProof/>
        </w:rPr>
        <w:t>84</w:t>
      </w:r>
      <w:r w:rsidRPr="00D23BF1">
        <w:rPr>
          <w:rFonts w:ascii="Times" w:hAnsi="Times" w:cs="Times New Roman"/>
          <w:noProof/>
        </w:rPr>
        <w:t>, 1–13 (2018).</w:t>
      </w:r>
    </w:p>
    <w:p w14:paraId="2D5DBF78"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26.</w:t>
      </w:r>
      <w:r w:rsidRPr="00D23BF1">
        <w:rPr>
          <w:rFonts w:ascii="Times" w:hAnsi="Times" w:cs="Times New Roman"/>
          <w:noProof/>
        </w:rPr>
        <w:tab/>
        <w:t xml:space="preserve">van der Eijk, J. A. J. </w:t>
      </w:r>
      <w:r w:rsidRPr="00D23BF1">
        <w:rPr>
          <w:rFonts w:ascii="Times" w:hAnsi="Times" w:cs="Times New Roman"/>
          <w:i/>
          <w:iCs/>
          <w:noProof/>
        </w:rPr>
        <w:t>et al.</w:t>
      </w:r>
      <w:r w:rsidRPr="00D23BF1">
        <w:rPr>
          <w:rFonts w:ascii="Times" w:hAnsi="Times" w:cs="Times New Roman"/>
          <w:noProof/>
        </w:rPr>
        <w:t xml:space="preserve"> Early-life microbiota transplantation affects behavioural responses, serotonin and immune characteristics in chicken lines divergently selected on feather pecking. </w:t>
      </w:r>
      <w:r w:rsidRPr="00D23BF1">
        <w:rPr>
          <w:rFonts w:ascii="Times" w:hAnsi="Times" w:cs="Times New Roman"/>
          <w:i/>
          <w:iCs/>
          <w:noProof/>
        </w:rPr>
        <w:t>Sci. Rep.</w:t>
      </w:r>
      <w:r w:rsidRPr="00D23BF1">
        <w:rPr>
          <w:rFonts w:ascii="Times" w:hAnsi="Times" w:cs="Times New Roman"/>
          <w:noProof/>
        </w:rPr>
        <w:t xml:space="preserve"> </w:t>
      </w:r>
      <w:r w:rsidRPr="00D23BF1">
        <w:rPr>
          <w:rFonts w:ascii="Times" w:hAnsi="Times" w:cs="Times New Roman"/>
          <w:b/>
          <w:bCs/>
          <w:noProof/>
        </w:rPr>
        <w:t>10</w:t>
      </w:r>
      <w:r w:rsidRPr="00D23BF1">
        <w:rPr>
          <w:rFonts w:ascii="Times" w:hAnsi="Times" w:cs="Times New Roman"/>
          <w:noProof/>
        </w:rPr>
        <w:t>, 1–13 (2020).</w:t>
      </w:r>
    </w:p>
    <w:p w14:paraId="00871D17" w14:textId="77777777" w:rsidR="00041ADB" w:rsidRPr="00D23BF1" w:rsidRDefault="00041ADB" w:rsidP="00F20BE1">
      <w:pPr>
        <w:widowControl w:val="0"/>
        <w:autoSpaceDE w:val="0"/>
        <w:autoSpaceDN w:val="0"/>
        <w:adjustRightInd w:val="0"/>
        <w:ind w:left="640"/>
        <w:rPr>
          <w:rFonts w:ascii="Times" w:hAnsi="Times" w:cs="Times New Roman"/>
          <w:noProof/>
        </w:rPr>
      </w:pPr>
      <w:r w:rsidRPr="00D23BF1">
        <w:rPr>
          <w:rFonts w:ascii="Times" w:hAnsi="Times" w:cs="Times New Roman"/>
          <w:noProof/>
        </w:rPr>
        <w:t>27.</w:t>
      </w:r>
      <w:r w:rsidRPr="00D23BF1">
        <w:rPr>
          <w:rFonts w:ascii="Times" w:hAnsi="Times" w:cs="Times New Roman"/>
          <w:noProof/>
        </w:rPr>
        <w:tab/>
        <w:t xml:space="preserve">Kohl, K. D., Dearing, M. D. &amp; Bordenstein, S. R. Microbial communities exhibit host species distinguishability and phylosymbiosis along the length of the gastrointestinal tract. </w:t>
      </w:r>
      <w:r w:rsidRPr="00D23BF1">
        <w:rPr>
          <w:rFonts w:ascii="Times" w:hAnsi="Times" w:cs="Times New Roman"/>
          <w:i/>
          <w:iCs/>
          <w:noProof/>
        </w:rPr>
        <w:t>Mol. Ecol.</w:t>
      </w:r>
      <w:r w:rsidRPr="00D23BF1">
        <w:rPr>
          <w:rFonts w:ascii="Times" w:hAnsi="Times" w:cs="Times New Roman"/>
          <w:noProof/>
        </w:rPr>
        <w:t xml:space="preserve"> </w:t>
      </w:r>
      <w:r w:rsidRPr="00D23BF1">
        <w:rPr>
          <w:rFonts w:ascii="Times" w:hAnsi="Times" w:cs="Times New Roman"/>
          <w:b/>
          <w:bCs/>
          <w:noProof/>
        </w:rPr>
        <w:t>27</w:t>
      </w:r>
      <w:r w:rsidRPr="00D23BF1">
        <w:rPr>
          <w:rFonts w:ascii="Times" w:hAnsi="Times" w:cs="Times New Roman"/>
          <w:noProof/>
        </w:rPr>
        <w:t>, 1874–1883 (2018).</w:t>
      </w:r>
    </w:p>
    <w:p w14:paraId="5A739B33" w14:textId="77777777" w:rsidR="00041ADB" w:rsidRPr="00D23BF1" w:rsidRDefault="00041ADB" w:rsidP="00F20BE1">
      <w:pPr>
        <w:widowControl w:val="0"/>
        <w:autoSpaceDE w:val="0"/>
        <w:autoSpaceDN w:val="0"/>
        <w:adjustRightInd w:val="0"/>
        <w:ind w:left="640"/>
        <w:rPr>
          <w:rFonts w:ascii="Times" w:hAnsi="Times"/>
          <w:noProof/>
        </w:rPr>
      </w:pPr>
      <w:r w:rsidRPr="00D23BF1">
        <w:rPr>
          <w:rFonts w:ascii="Times" w:hAnsi="Times" w:cs="Times New Roman"/>
          <w:noProof/>
        </w:rPr>
        <w:t>28.</w:t>
      </w:r>
      <w:r w:rsidRPr="00D23BF1">
        <w:rPr>
          <w:rFonts w:ascii="Times" w:hAnsi="Times" w:cs="Times New Roman"/>
          <w:noProof/>
        </w:rPr>
        <w:tab/>
        <w:t xml:space="preserve">Franzosa, E. A. </w:t>
      </w:r>
      <w:r w:rsidRPr="00D23BF1">
        <w:rPr>
          <w:rFonts w:ascii="Times" w:hAnsi="Times" w:cs="Times New Roman"/>
          <w:i/>
          <w:iCs/>
          <w:noProof/>
        </w:rPr>
        <w:t>et al.</w:t>
      </w:r>
      <w:r w:rsidRPr="00D23BF1">
        <w:rPr>
          <w:rFonts w:ascii="Times" w:hAnsi="Times" w:cs="Times New Roman"/>
          <w:noProof/>
        </w:rPr>
        <w:t xml:space="preserve"> Sequencing and beyond: Integrating molecular ‘omics’ for microbial community profiling. </w:t>
      </w:r>
      <w:r w:rsidRPr="00D23BF1">
        <w:rPr>
          <w:rFonts w:ascii="Times" w:hAnsi="Times" w:cs="Times New Roman"/>
          <w:i/>
          <w:iCs/>
          <w:noProof/>
        </w:rPr>
        <w:t>Nat. Rev. Microbiol.</w:t>
      </w:r>
      <w:r w:rsidRPr="00D23BF1">
        <w:rPr>
          <w:rFonts w:ascii="Times" w:hAnsi="Times" w:cs="Times New Roman"/>
          <w:noProof/>
        </w:rPr>
        <w:t xml:space="preserve"> </w:t>
      </w:r>
      <w:r w:rsidRPr="00D23BF1">
        <w:rPr>
          <w:rFonts w:ascii="Times" w:hAnsi="Times" w:cs="Times New Roman"/>
          <w:b/>
          <w:bCs/>
          <w:noProof/>
        </w:rPr>
        <w:t>13</w:t>
      </w:r>
      <w:r w:rsidRPr="00D23BF1">
        <w:rPr>
          <w:rFonts w:ascii="Times" w:hAnsi="Times" w:cs="Times New Roman"/>
          <w:noProof/>
        </w:rPr>
        <w:t>, 360–372 (2015).</w:t>
      </w:r>
    </w:p>
    <w:p w14:paraId="2015D4F0" w14:textId="77777777" w:rsidR="00041ADB" w:rsidRPr="00D23BF1" w:rsidRDefault="00041ADB" w:rsidP="00F20BE1">
      <w:pPr>
        <w:rPr>
          <w:rFonts w:ascii="Times" w:hAnsi="Times"/>
        </w:rPr>
      </w:pPr>
      <w:r w:rsidRPr="00D23BF1">
        <w:rPr>
          <w:rFonts w:ascii="Times" w:hAnsi="Times"/>
        </w:rPr>
        <w:fldChar w:fldCharType="end"/>
      </w:r>
    </w:p>
    <w:p w14:paraId="0096BF3A" w14:textId="77777777" w:rsidR="00041ADB" w:rsidRPr="00D23BF1" w:rsidRDefault="00041ADB" w:rsidP="00F20BE1">
      <w:pPr>
        <w:rPr>
          <w:rFonts w:ascii="Times" w:hAnsi="Times"/>
        </w:rPr>
      </w:pPr>
    </w:p>
    <w:p w14:paraId="5FAC296D" w14:textId="30801E18" w:rsidR="00041ADB" w:rsidRPr="00D23BF1" w:rsidRDefault="00041ADB" w:rsidP="00F20BE1">
      <w:pPr>
        <w:rPr>
          <w:rFonts w:ascii="Times" w:hAnsi="Times"/>
          <w:b/>
          <w:bCs/>
        </w:rPr>
      </w:pPr>
      <w:r w:rsidRPr="00D23BF1">
        <w:rPr>
          <w:rFonts w:ascii="Times" w:hAnsi="Times"/>
          <w:b/>
          <w:bCs/>
        </w:rPr>
        <w:br w:type="page"/>
      </w:r>
    </w:p>
    <w:p w14:paraId="3E0F5AF5" w14:textId="77777777" w:rsidR="00041ADB" w:rsidRPr="00D23BF1" w:rsidRDefault="00041ADB" w:rsidP="00F20BE1">
      <w:pPr>
        <w:rPr>
          <w:rFonts w:ascii="Times" w:hAnsi="Times"/>
          <w:b/>
          <w:bCs/>
        </w:rPr>
      </w:pPr>
    </w:p>
    <w:p w14:paraId="1E27C48E" w14:textId="77777777" w:rsidR="00041ADB" w:rsidRPr="00D23BF1" w:rsidRDefault="00041ADB" w:rsidP="00F20BE1">
      <w:pPr>
        <w:rPr>
          <w:rFonts w:ascii="Times" w:hAnsi="Times"/>
          <w:b/>
          <w:bCs/>
        </w:rPr>
      </w:pPr>
    </w:p>
    <w:p w14:paraId="792C51BA" w14:textId="29AED081" w:rsidR="00041ADB" w:rsidRPr="00D23BF1" w:rsidRDefault="001D74DB" w:rsidP="00F20BE1">
      <w:pPr>
        <w:pStyle w:val="Heading1"/>
      </w:pPr>
      <w:bookmarkStart w:id="136" w:name="_Toc69972895"/>
      <w:r w:rsidRPr="00D23BF1">
        <w:t>Appendix</w:t>
      </w:r>
      <w:bookmarkEnd w:id="136"/>
    </w:p>
    <w:p w14:paraId="0ED494A2" w14:textId="77777777" w:rsidR="001D74DB" w:rsidRPr="00D23BF1" w:rsidRDefault="001D74DB" w:rsidP="00F20BE1">
      <w:pPr>
        <w:jc w:val="center"/>
        <w:rPr>
          <w:rFonts w:ascii="Times" w:hAnsi="Times"/>
          <w:b/>
          <w:bCs/>
        </w:rPr>
      </w:pPr>
    </w:p>
    <w:p w14:paraId="77A5249D" w14:textId="77777777" w:rsidR="001D74DB" w:rsidRPr="00D23BF1" w:rsidRDefault="001D74DB" w:rsidP="00F20BE1">
      <w:pPr>
        <w:jc w:val="center"/>
        <w:rPr>
          <w:rFonts w:ascii="Times" w:hAnsi="Times"/>
          <w:b/>
          <w:bCs/>
        </w:rPr>
      </w:pPr>
    </w:p>
    <w:p w14:paraId="39924140" w14:textId="0C56C3E0" w:rsidR="00556C82" w:rsidRPr="00D23BF1" w:rsidRDefault="00556C82" w:rsidP="00F20BE1">
      <w:pPr>
        <w:pStyle w:val="Heading2"/>
        <w:rPr>
          <w:rFonts w:ascii="Times" w:hAnsi="Times"/>
        </w:rPr>
      </w:pPr>
      <w:bookmarkStart w:id="137" w:name="_Toc69972896"/>
      <w:r w:rsidRPr="00D23BF1">
        <w:rPr>
          <w:rFonts w:ascii="Times" w:hAnsi="Times"/>
        </w:rPr>
        <w:t>Tables</w:t>
      </w:r>
      <w:bookmarkEnd w:id="137"/>
    </w:p>
    <w:p w14:paraId="3F9C5A01" w14:textId="77777777" w:rsidR="00556C82" w:rsidRPr="00D23BF1" w:rsidRDefault="00556C82" w:rsidP="00F20BE1">
      <w:pPr>
        <w:rPr>
          <w:rFonts w:ascii="Times" w:hAnsi="Times"/>
        </w:rPr>
      </w:pPr>
    </w:p>
    <w:p w14:paraId="553D0AFB" w14:textId="77777777" w:rsidR="00BA538C" w:rsidRPr="00D23BF1" w:rsidRDefault="00BA538C" w:rsidP="00F20BE1">
      <w:pPr>
        <w:rPr>
          <w:rFonts w:ascii="Times" w:hAnsi="Times"/>
        </w:rPr>
      </w:pPr>
      <w:r w:rsidRPr="00D23BF1">
        <w:rPr>
          <w:rFonts w:ascii="Times" w:hAnsi="Times"/>
          <w:b/>
        </w:rPr>
        <w:t>Table 1.</w:t>
      </w:r>
      <w:r w:rsidRPr="00D23BF1">
        <w:rPr>
          <w:rFonts w:ascii="Times" w:hAnsi="Times"/>
        </w:rPr>
        <w:t xml:space="preserve"> Results of </w:t>
      </w:r>
      <w:proofErr w:type="spellStart"/>
      <w:r w:rsidRPr="00D23BF1">
        <w:rPr>
          <w:rFonts w:ascii="Times" w:hAnsi="Times"/>
        </w:rPr>
        <w:t>adonis</w:t>
      </w:r>
      <w:proofErr w:type="spellEnd"/>
      <w:r w:rsidRPr="00D23BF1">
        <w:rPr>
          <w:rFonts w:ascii="Times" w:hAnsi="Times"/>
        </w:rPr>
        <w:t xml:space="preserve"> comparing non-lethal samples to lethal samples. Adonis was used to compare the diversity of two sample types.</w:t>
      </w:r>
    </w:p>
    <w:p w14:paraId="21DB15BA" w14:textId="77777777" w:rsidR="00BA538C" w:rsidRPr="00D23BF1" w:rsidRDefault="00BA538C" w:rsidP="00F20BE1">
      <w:pPr>
        <w:rPr>
          <w:rFonts w:ascii="Times" w:hAnsi="Times"/>
          <w:iCs/>
          <w:color w:val="000000" w:themeColor="text1"/>
        </w:rPr>
      </w:pPr>
    </w:p>
    <w:tbl>
      <w:tblPr>
        <w:tblW w:w="9025" w:type="dxa"/>
        <w:tblLook w:val="04A0" w:firstRow="1" w:lastRow="0" w:firstColumn="1" w:lastColumn="0" w:noHBand="0" w:noVBand="1"/>
      </w:tblPr>
      <w:tblGrid>
        <w:gridCol w:w="1834"/>
        <w:gridCol w:w="672"/>
        <w:gridCol w:w="956"/>
        <w:gridCol w:w="266"/>
        <w:gridCol w:w="672"/>
        <w:gridCol w:w="956"/>
        <w:gridCol w:w="415"/>
        <w:gridCol w:w="672"/>
        <w:gridCol w:w="834"/>
        <w:gridCol w:w="266"/>
        <w:gridCol w:w="744"/>
        <w:gridCol w:w="772"/>
      </w:tblGrid>
      <w:tr w:rsidR="00BA538C" w:rsidRPr="00D23BF1" w14:paraId="20598891" w14:textId="77777777" w:rsidTr="009A40FD">
        <w:trPr>
          <w:trHeight w:val="306"/>
        </w:trPr>
        <w:tc>
          <w:tcPr>
            <w:tcW w:w="1834" w:type="dxa"/>
            <w:tcBorders>
              <w:top w:val="nil"/>
              <w:left w:val="nil"/>
              <w:bottom w:val="nil"/>
              <w:right w:val="nil"/>
            </w:tcBorders>
            <w:shd w:val="clear" w:color="auto" w:fill="auto"/>
            <w:noWrap/>
            <w:vAlign w:val="bottom"/>
            <w:hideMark/>
          </w:tcPr>
          <w:p w14:paraId="6CDD528A" w14:textId="77777777" w:rsidR="00BA538C" w:rsidRPr="00D23BF1" w:rsidRDefault="00BA538C" w:rsidP="00F20BE1">
            <w:pPr>
              <w:rPr>
                <w:rFonts w:ascii="Times" w:eastAsia="Times New Roman" w:hAnsi="Times" w:cs="Times New Roman"/>
              </w:rPr>
            </w:pPr>
          </w:p>
        </w:tc>
        <w:tc>
          <w:tcPr>
            <w:tcW w:w="3518" w:type="dxa"/>
            <w:gridSpan w:val="5"/>
            <w:tcBorders>
              <w:top w:val="nil"/>
              <w:left w:val="nil"/>
              <w:bottom w:val="single" w:sz="4" w:space="0" w:color="000000"/>
              <w:right w:val="nil"/>
            </w:tcBorders>
            <w:shd w:val="clear" w:color="auto" w:fill="auto"/>
            <w:noWrap/>
            <w:vAlign w:val="bottom"/>
            <w:hideMark/>
          </w:tcPr>
          <w:p w14:paraId="01B46D66" w14:textId="77777777" w:rsidR="00BA538C" w:rsidRPr="00D23BF1" w:rsidRDefault="00BA538C" w:rsidP="00F20BE1">
            <w:pPr>
              <w:rPr>
                <w:rFonts w:ascii="Times" w:eastAsia="Times New Roman" w:hAnsi="Times" w:cs="Calibri"/>
              </w:rPr>
            </w:pPr>
            <w:r w:rsidRPr="00D23BF1">
              <w:rPr>
                <w:rFonts w:ascii="Times" w:eastAsia="Times New Roman" w:hAnsi="Times" w:cs="Calibri"/>
              </w:rPr>
              <w:t xml:space="preserve">Unweighted </w:t>
            </w:r>
            <w:proofErr w:type="spellStart"/>
            <w:r w:rsidRPr="00D23BF1">
              <w:rPr>
                <w:rFonts w:ascii="Times" w:eastAsia="Times New Roman" w:hAnsi="Times" w:cs="Calibri"/>
              </w:rPr>
              <w:t>UniFrac</w:t>
            </w:r>
            <w:proofErr w:type="spellEnd"/>
            <w:r w:rsidRPr="00D23BF1">
              <w:rPr>
                <w:rFonts w:ascii="Times" w:eastAsia="Times New Roman" w:hAnsi="Times" w:cs="Calibri"/>
              </w:rPr>
              <w:t xml:space="preserve"> Distances</w:t>
            </w:r>
          </w:p>
        </w:tc>
        <w:tc>
          <w:tcPr>
            <w:tcW w:w="415" w:type="dxa"/>
            <w:tcBorders>
              <w:top w:val="nil"/>
              <w:left w:val="nil"/>
              <w:bottom w:val="nil"/>
              <w:right w:val="nil"/>
            </w:tcBorders>
            <w:shd w:val="clear" w:color="auto" w:fill="auto"/>
            <w:noWrap/>
            <w:vAlign w:val="bottom"/>
            <w:hideMark/>
          </w:tcPr>
          <w:p w14:paraId="01D59FE0" w14:textId="77777777" w:rsidR="00BA538C" w:rsidRPr="00D23BF1" w:rsidRDefault="00BA538C" w:rsidP="00F20BE1">
            <w:pPr>
              <w:rPr>
                <w:rFonts w:ascii="Times" w:eastAsia="Times New Roman" w:hAnsi="Times" w:cs="Calibri"/>
              </w:rPr>
            </w:pPr>
          </w:p>
        </w:tc>
        <w:tc>
          <w:tcPr>
            <w:tcW w:w="3254" w:type="dxa"/>
            <w:gridSpan w:val="5"/>
            <w:tcBorders>
              <w:top w:val="nil"/>
              <w:left w:val="nil"/>
              <w:bottom w:val="single" w:sz="4" w:space="0" w:color="auto"/>
              <w:right w:val="nil"/>
            </w:tcBorders>
            <w:shd w:val="clear" w:color="auto" w:fill="auto"/>
            <w:noWrap/>
            <w:vAlign w:val="bottom"/>
            <w:hideMark/>
          </w:tcPr>
          <w:p w14:paraId="7B63023B" w14:textId="77777777" w:rsidR="00BA538C" w:rsidRPr="00D23BF1" w:rsidRDefault="00BA538C" w:rsidP="00F20BE1">
            <w:pPr>
              <w:rPr>
                <w:rFonts w:ascii="Times" w:eastAsia="Times New Roman" w:hAnsi="Times" w:cs="Calibri"/>
              </w:rPr>
            </w:pPr>
            <w:r w:rsidRPr="00D23BF1">
              <w:rPr>
                <w:rFonts w:ascii="Times" w:eastAsia="Times New Roman" w:hAnsi="Times" w:cs="Calibri"/>
              </w:rPr>
              <w:t xml:space="preserve">Weighted </w:t>
            </w:r>
            <w:proofErr w:type="spellStart"/>
            <w:r w:rsidRPr="00D23BF1">
              <w:rPr>
                <w:rFonts w:ascii="Times" w:eastAsia="Times New Roman" w:hAnsi="Times" w:cs="Calibri"/>
              </w:rPr>
              <w:t>UniFrac</w:t>
            </w:r>
            <w:proofErr w:type="spellEnd"/>
            <w:r w:rsidRPr="00D23BF1">
              <w:rPr>
                <w:rFonts w:ascii="Times" w:eastAsia="Times New Roman" w:hAnsi="Times" w:cs="Calibri"/>
              </w:rPr>
              <w:t xml:space="preserve"> Distances</w:t>
            </w:r>
          </w:p>
        </w:tc>
      </w:tr>
      <w:tr w:rsidR="00BA538C" w:rsidRPr="00D23BF1" w14:paraId="4BDCE635" w14:textId="77777777" w:rsidTr="009A40FD">
        <w:trPr>
          <w:trHeight w:val="306"/>
        </w:trPr>
        <w:tc>
          <w:tcPr>
            <w:tcW w:w="1834" w:type="dxa"/>
            <w:tcBorders>
              <w:top w:val="nil"/>
              <w:left w:val="nil"/>
              <w:bottom w:val="nil"/>
              <w:right w:val="nil"/>
            </w:tcBorders>
            <w:shd w:val="clear" w:color="auto" w:fill="auto"/>
            <w:noWrap/>
            <w:vAlign w:val="bottom"/>
            <w:hideMark/>
          </w:tcPr>
          <w:p w14:paraId="25D8EDAE" w14:textId="77777777" w:rsidR="00BA538C" w:rsidRPr="00D23BF1" w:rsidRDefault="00BA538C" w:rsidP="00F20BE1">
            <w:pPr>
              <w:rPr>
                <w:rFonts w:ascii="Times" w:eastAsia="Times New Roman" w:hAnsi="Times" w:cs="Calibri"/>
              </w:rPr>
            </w:pPr>
          </w:p>
        </w:tc>
        <w:tc>
          <w:tcPr>
            <w:tcW w:w="1628" w:type="dxa"/>
            <w:gridSpan w:val="2"/>
            <w:tcBorders>
              <w:top w:val="single" w:sz="4" w:space="0" w:color="auto"/>
              <w:left w:val="nil"/>
              <w:bottom w:val="single" w:sz="4" w:space="0" w:color="auto"/>
              <w:right w:val="nil"/>
            </w:tcBorders>
            <w:shd w:val="clear" w:color="auto" w:fill="auto"/>
            <w:noWrap/>
            <w:vAlign w:val="center"/>
            <w:hideMark/>
          </w:tcPr>
          <w:p w14:paraId="0E22FF3C" w14:textId="77777777" w:rsidR="00BA538C" w:rsidRPr="00D23BF1" w:rsidRDefault="00BA538C" w:rsidP="00F20BE1">
            <w:pPr>
              <w:rPr>
                <w:rFonts w:ascii="Times" w:eastAsia="Times New Roman" w:hAnsi="Times" w:cs="Calibri"/>
              </w:rPr>
            </w:pPr>
            <w:r w:rsidRPr="00D23BF1">
              <w:rPr>
                <w:rFonts w:ascii="Times" w:eastAsia="Times New Roman" w:hAnsi="Times" w:cs="Calibri"/>
              </w:rPr>
              <w:t>cloacal swab</w:t>
            </w:r>
          </w:p>
        </w:tc>
        <w:tc>
          <w:tcPr>
            <w:tcW w:w="262" w:type="dxa"/>
            <w:tcBorders>
              <w:top w:val="nil"/>
              <w:left w:val="nil"/>
              <w:bottom w:val="nil"/>
              <w:right w:val="nil"/>
            </w:tcBorders>
            <w:shd w:val="clear" w:color="auto" w:fill="auto"/>
            <w:noWrap/>
            <w:vAlign w:val="center"/>
            <w:hideMark/>
          </w:tcPr>
          <w:p w14:paraId="6FA65E29" w14:textId="77777777" w:rsidR="00BA538C" w:rsidRPr="00D23BF1" w:rsidRDefault="00BA538C" w:rsidP="00F20BE1">
            <w:pPr>
              <w:rPr>
                <w:rFonts w:ascii="Times" w:eastAsia="Times New Roman" w:hAnsi="Times" w:cs="Calibri"/>
              </w:rPr>
            </w:pPr>
          </w:p>
        </w:tc>
        <w:tc>
          <w:tcPr>
            <w:tcW w:w="1628" w:type="dxa"/>
            <w:gridSpan w:val="2"/>
            <w:tcBorders>
              <w:top w:val="nil"/>
              <w:left w:val="nil"/>
              <w:bottom w:val="single" w:sz="4" w:space="0" w:color="auto"/>
              <w:right w:val="nil"/>
            </w:tcBorders>
            <w:shd w:val="clear" w:color="auto" w:fill="auto"/>
            <w:vAlign w:val="center"/>
            <w:hideMark/>
          </w:tcPr>
          <w:p w14:paraId="5C774207" w14:textId="77777777" w:rsidR="00BA538C" w:rsidRPr="00D23BF1" w:rsidRDefault="00BA538C" w:rsidP="00F20BE1">
            <w:pPr>
              <w:rPr>
                <w:rFonts w:ascii="Times" w:eastAsia="Times New Roman" w:hAnsi="Times" w:cs="Calibri"/>
              </w:rPr>
            </w:pPr>
            <w:proofErr w:type="spellStart"/>
            <w:r w:rsidRPr="00D23BF1">
              <w:rPr>
                <w:rFonts w:ascii="Times" w:eastAsia="Times New Roman" w:hAnsi="Times" w:cs="Calibri"/>
              </w:rPr>
              <w:t>faeces</w:t>
            </w:r>
            <w:proofErr w:type="spellEnd"/>
          </w:p>
        </w:tc>
        <w:tc>
          <w:tcPr>
            <w:tcW w:w="415" w:type="dxa"/>
            <w:tcBorders>
              <w:top w:val="nil"/>
              <w:left w:val="nil"/>
              <w:bottom w:val="nil"/>
              <w:right w:val="nil"/>
            </w:tcBorders>
            <w:shd w:val="clear" w:color="auto" w:fill="auto"/>
            <w:noWrap/>
            <w:vAlign w:val="bottom"/>
            <w:hideMark/>
          </w:tcPr>
          <w:p w14:paraId="662CFF8D" w14:textId="77777777" w:rsidR="00BA538C" w:rsidRPr="00D23BF1" w:rsidRDefault="00BA538C" w:rsidP="00F20BE1">
            <w:pPr>
              <w:rPr>
                <w:rFonts w:ascii="Times" w:eastAsia="Times New Roman" w:hAnsi="Times" w:cs="Calibri"/>
              </w:rPr>
            </w:pPr>
          </w:p>
        </w:tc>
        <w:tc>
          <w:tcPr>
            <w:tcW w:w="1506" w:type="dxa"/>
            <w:gridSpan w:val="2"/>
            <w:tcBorders>
              <w:top w:val="nil"/>
              <w:left w:val="nil"/>
              <w:bottom w:val="single" w:sz="4" w:space="0" w:color="auto"/>
              <w:right w:val="nil"/>
            </w:tcBorders>
            <w:shd w:val="clear" w:color="auto" w:fill="auto"/>
            <w:vAlign w:val="center"/>
            <w:hideMark/>
          </w:tcPr>
          <w:p w14:paraId="6754AB79" w14:textId="77777777" w:rsidR="00BA538C" w:rsidRPr="00D23BF1" w:rsidRDefault="00BA538C" w:rsidP="00F20BE1">
            <w:pPr>
              <w:rPr>
                <w:rFonts w:ascii="Times" w:eastAsia="Times New Roman" w:hAnsi="Times" w:cs="Calibri"/>
              </w:rPr>
            </w:pPr>
            <w:r w:rsidRPr="00D23BF1">
              <w:rPr>
                <w:rFonts w:ascii="Times" w:eastAsia="Times New Roman" w:hAnsi="Times" w:cs="Calibri"/>
              </w:rPr>
              <w:t>cloacal swab</w:t>
            </w:r>
          </w:p>
        </w:tc>
        <w:tc>
          <w:tcPr>
            <w:tcW w:w="236" w:type="dxa"/>
            <w:tcBorders>
              <w:top w:val="nil"/>
              <w:left w:val="nil"/>
              <w:bottom w:val="nil"/>
              <w:right w:val="nil"/>
            </w:tcBorders>
            <w:shd w:val="clear" w:color="auto" w:fill="auto"/>
            <w:vAlign w:val="center"/>
            <w:hideMark/>
          </w:tcPr>
          <w:p w14:paraId="36432656" w14:textId="77777777" w:rsidR="00BA538C" w:rsidRPr="00D23BF1" w:rsidRDefault="00BA538C" w:rsidP="00F20BE1">
            <w:pPr>
              <w:rPr>
                <w:rFonts w:ascii="Times" w:eastAsia="Times New Roman" w:hAnsi="Times" w:cs="Calibri"/>
              </w:rPr>
            </w:pPr>
          </w:p>
        </w:tc>
        <w:tc>
          <w:tcPr>
            <w:tcW w:w="1516" w:type="dxa"/>
            <w:gridSpan w:val="2"/>
            <w:tcBorders>
              <w:top w:val="single" w:sz="4" w:space="0" w:color="auto"/>
              <w:left w:val="nil"/>
              <w:bottom w:val="single" w:sz="4" w:space="0" w:color="auto"/>
              <w:right w:val="nil"/>
            </w:tcBorders>
            <w:shd w:val="clear" w:color="auto" w:fill="auto"/>
            <w:vAlign w:val="center"/>
            <w:hideMark/>
          </w:tcPr>
          <w:p w14:paraId="492281DD" w14:textId="77777777" w:rsidR="00BA538C" w:rsidRPr="00D23BF1" w:rsidRDefault="00BA538C" w:rsidP="00F20BE1">
            <w:pPr>
              <w:rPr>
                <w:rFonts w:ascii="Times" w:eastAsia="Times New Roman" w:hAnsi="Times" w:cs="Calibri"/>
              </w:rPr>
            </w:pPr>
            <w:proofErr w:type="spellStart"/>
            <w:r w:rsidRPr="00D23BF1">
              <w:rPr>
                <w:rFonts w:ascii="Times" w:eastAsia="Times New Roman" w:hAnsi="Times" w:cs="Calibri"/>
              </w:rPr>
              <w:t>faeces</w:t>
            </w:r>
            <w:proofErr w:type="spellEnd"/>
          </w:p>
        </w:tc>
      </w:tr>
      <w:tr w:rsidR="00BA538C" w:rsidRPr="00D23BF1" w14:paraId="259B6598" w14:textId="77777777" w:rsidTr="009A40FD">
        <w:trPr>
          <w:trHeight w:val="306"/>
        </w:trPr>
        <w:tc>
          <w:tcPr>
            <w:tcW w:w="1834" w:type="dxa"/>
            <w:tcBorders>
              <w:top w:val="nil"/>
              <w:left w:val="nil"/>
              <w:bottom w:val="single" w:sz="4" w:space="0" w:color="auto"/>
              <w:right w:val="single" w:sz="4" w:space="0" w:color="auto"/>
            </w:tcBorders>
            <w:shd w:val="clear" w:color="auto" w:fill="auto"/>
            <w:noWrap/>
            <w:vAlign w:val="center"/>
            <w:hideMark/>
          </w:tcPr>
          <w:p w14:paraId="747860CF" w14:textId="77777777" w:rsidR="00BA538C" w:rsidRPr="00D23BF1" w:rsidRDefault="00BA538C" w:rsidP="00F20BE1">
            <w:pPr>
              <w:rPr>
                <w:rFonts w:ascii="Times" w:eastAsia="Times New Roman" w:hAnsi="Times" w:cs="Calibri"/>
              </w:rPr>
            </w:pPr>
            <w:r w:rsidRPr="00D23BF1">
              <w:rPr>
                <w:rFonts w:ascii="Times" w:eastAsia="Times New Roman" w:hAnsi="Times" w:cs="Calibri"/>
              </w:rPr>
              <w:t> </w:t>
            </w:r>
          </w:p>
        </w:tc>
        <w:tc>
          <w:tcPr>
            <w:tcW w:w="672" w:type="dxa"/>
            <w:tcBorders>
              <w:top w:val="nil"/>
              <w:left w:val="single" w:sz="4" w:space="0" w:color="auto"/>
              <w:bottom w:val="single" w:sz="4" w:space="0" w:color="auto"/>
              <w:right w:val="nil"/>
            </w:tcBorders>
            <w:shd w:val="clear" w:color="auto" w:fill="auto"/>
            <w:noWrap/>
            <w:vAlign w:val="center"/>
            <w:hideMark/>
          </w:tcPr>
          <w:p w14:paraId="4926D212" w14:textId="77777777" w:rsidR="00BA538C" w:rsidRPr="00D23BF1" w:rsidRDefault="00BA538C" w:rsidP="00F20BE1">
            <w:pPr>
              <w:rPr>
                <w:rFonts w:ascii="Times" w:eastAsia="Times New Roman" w:hAnsi="Times" w:cs="Calibri"/>
                <w:sz w:val="20"/>
                <w:szCs w:val="20"/>
                <w:vertAlign w:val="superscript"/>
              </w:rPr>
            </w:pPr>
            <w:r w:rsidRPr="00D23BF1">
              <w:rPr>
                <w:rFonts w:ascii="Times" w:eastAsia="Times New Roman" w:hAnsi="Times" w:cs="Calibri"/>
                <w:sz w:val="20"/>
                <w:szCs w:val="20"/>
              </w:rPr>
              <w:t>R</w:t>
            </w:r>
            <w:r w:rsidRPr="00D23BF1">
              <w:rPr>
                <w:rFonts w:ascii="Times" w:eastAsia="Times New Roman" w:hAnsi="Times" w:cs="Calibri"/>
                <w:sz w:val="20"/>
                <w:szCs w:val="20"/>
                <w:vertAlign w:val="superscript"/>
              </w:rPr>
              <w:t>2</w:t>
            </w:r>
          </w:p>
        </w:tc>
        <w:tc>
          <w:tcPr>
            <w:tcW w:w="956" w:type="dxa"/>
            <w:tcBorders>
              <w:top w:val="nil"/>
              <w:left w:val="nil"/>
              <w:bottom w:val="single" w:sz="4" w:space="0" w:color="auto"/>
              <w:right w:val="nil"/>
            </w:tcBorders>
            <w:shd w:val="clear" w:color="auto" w:fill="auto"/>
            <w:noWrap/>
            <w:vAlign w:val="center"/>
            <w:hideMark/>
          </w:tcPr>
          <w:p w14:paraId="7155D387"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i/>
                <w:sz w:val="20"/>
                <w:szCs w:val="20"/>
              </w:rPr>
              <w:t>P</w:t>
            </w:r>
            <w:r w:rsidRPr="00D23BF1">
              <w:rPr>
                <w:rFonts w:ascii="Times" w:eastAsia="Times New Roman" w:hAnsi="Times" w:cs="Calibri"/>
                <w:sz w:val="20"/>
                <w:szCs w:val="20"/>
              </w:rPr>
              <w:t>-value</w:t>
            </w:r>
          </w:p>
        </w:tc>
        <w:tc>
          <w:tcPr>
            <w:tcW w:w="262" w:type="dxa"/>
            <w:tcBorders>
              <w:top w:val="nil"/>
              <w:left w:val="nil"/>
              <w:bottom w:val="single" w:sz="4" w:space="0" w:color="auto"/>
              <w:right w:val="nil"/>
            </w:tcBorders>
            <w:shd w:val="clear" w:color="auto" w:fill="auto"/>
            <w:noWrap/>
            <w:vAlign w:val="center"/>
            <w:hideMark/>
          </w:tcPr>
          <w:p w14:paraId="04A0DDD4"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 </w:t>
            </w:r>
          </w:p>
        </w:tc>
        <w:tc>
          <w:tcPr>
            <w:tcW w:w="672" w:type="dxa"/>
            <w:tcBorders>
              <w:top w:val="nil"/>
              <w:left w:val="nil"/>
              <w:bottom w:val="single" w:sz="4" w:space="0" w:color="auto"/>
              <w:right w:val="nil"/>
            </w:tcBorders>
            <w:shd w:val="clear" w:color="auto" w:fill="auto"/>
            <w:noWrap/>
            <w:vAlign w:val="center"/>
            <w:hideMark/>
          </w:tcPr>
          <w:p w14:paraId="2A6AC431"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R</w:t>
            </w:r>
            <w:r w:rsidRPr="00D23BF1">
              <w:rPr>
                <w:rFonts w:ascii="Times" w:eastAsia="Times New Roman" w:hAnsi="Times" w:cs="Calibri"/>
                <w:sz w:val="20"/>
                <w:szCs w:val="20"/>
                <w:vertAlign w:val="superscript"/>
              </w:rPr>
              <w:t>2</w:t>
            </w:r>
          </w:p>
        </w:tc>
        <w:tc>
          <w:tcPr>
            <w:tcW w:w="956" w:type="dxa"/>
            <w:tcBorders>
              <w:top w:val="nil"/>
              <w:left w:val="nil"/>
              <w:bottom w:val="single" w:sz="4" w:space="0" w:color="auto"/>
              <w:right w:val="nil"/>
            </w:tcBorders>
            <w:shd w:val="clear" w:color="auto" w:fill="auto"/>
            <w:noWrap/>
            <w:vAlign w:val="center"/>
            <w:hideMark/>
          </w:tcPr>
          <w:p w14:paraId="5CF54BCA"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i/>
                <w:sz w:val="20"/>
                <w:szCs w:val="20"/>
              </w:rPr>
              <w:t>P</w:t>
            </w:r>
            <w:r w:rsidRPr="00D23BF1">
              <w:rPr>
                <w:rFonts w:ascii="Times" w:eastAsia="Times New Roman" w:hAnsi="Times" w:cs="Calibri"/>
                <w:sz w:val="20"/>
                <w:szCs w:val="20"/>
              </w:rPr>
              <w:t>-value</w:t>
            </w:r>
          </w:p>
        </w:tc>
        <w:tc>
          <w:tcPr>
            <w:tcW w:w="415" w:type="dxa"/>
            <w:tcBorders>
              <w:top w:val="nil"/>
              <w:left w:val="nil"/>
              <w:bottom w:val="single" w:sz="4" w:space="0" w:color="auto"/>
              <w:right w:val="nil"/>
            </w:tcBorders>
            <w:shd w:val="clear" w:color="auto" w:fill="auto"/>
            <w:noWrap/>
            <w:vAlign w:val="center"/>
            <w:hideMark/>
          </w:tcPr>
          <w:p w14:paraId="496962DE"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 </w:t>
            </w:r>
          </w:p>
        </w:tc>
        <w:tc>
          <w:tcPr>
            <w:tcW w:w="672" w:type="dxa"/>
            <w:tcBorders>
              <w:top w:val="nil"/>
              <w:left w:val="nil"/>
              <w:bottom w:val="single" w:sz="4" w:space="0" w:color="auto"/>
              <w:right w:val="nil"/>
            </w:tcBorders>
            <w:shd w:val="clear" w:color="auto" w:fill="auto"/>
            <w:noWrap/>
            <w:vAlign w:val="center"/>
            <w:hideMark/>
          </w:tcPr>
          <w:p w14:paraId="6B02BA5C"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R</w:t>
            </w:r>
            <w:r w:rsidRPr="00D23BF1">
              <w:rPr>
                <w:rFonts w:ascii="Times" w:eastAsia="Times New Roman" w:hAnsi="Times" w:cs="Calibri"/>
                <w:sz w:val="20"/>
                <w:szCs w:val="20"/>
                <w:vertAlign w:val="superscript"/>
              </w:rPr>
              <w:t>2</w:t>
            </w:r>
          </w:p>
        </w:tc>
        <w:tc>
          <w:tcPr>
            <w:tcW w:w="834" w:type="dxa"/>
            <w:tcBorders>
              <w:top w:val="nil"/>
              <w:left w:val="nil"/>
              <w:bottom w:val="single" w:sz="4" w:space="0" w:color="auto"/>
              <w:right w:val="nil"/>
            </w:tcBorders>
            <w:shd w:val="clear" w:color="auto" w:fill="auto"/>
            <w:noWrap/>
            <w:vAlign w:val="center"/>
            <w:hideMark/>
          </w:tcPr>
          <w:p w14:paraId="62B441D9"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i/>
                <w:sz w:val="20"/>
                <w:szCs w:val="20"/>
              </w:rPr>
              <w:t>P</w:t>
            </w:r>
            <w:r w:rsidRPr="00D23BF1">
              <w:rPr>
                <w:rFonts w:ascii="Times" w:eastAsia="Times New Roman" w:hAnsi="Times" w:cs="Calibri"/>
                <w:sz w:val="20"/>
                <w:szCs w:val="20"/>
              </w:rPr>
              <w:t>-value</w:t>
            </w:r>
          </w:p>
        </w:tc>
        <w:tc>
          <w:tcPr>
            <w:tcW w:w="236" w:type="dxa"/>
            <w:tcBorders>
              <w:top w:val="nil"/>
              <w:left w:val="nil"/>
              <w:bottom w:val="single" w:sz="4" w:space="0" w:color="auto"/>
              <w:right w:val="nil"/>
            </w:tcBorders>
            <w:shd w:val="clear" w:color="auto" w:fill="auto"/>
            <w:noWrap/>
            <w:vAlign w:val="center"/>
            <w:hideMark/>
          </w:tcPr>
          <w:p w14:paraId="384F075C"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 </w:t>
            </w:r>
          </w:p>
        </w:tc>
        <w:tc>
          <w:tcPr>
            <w:tcW w:w="744" w:type="dxa"/>
            <w:tcBorders>
              <w:top w:val="nil"/>
              <w:left w:val="nil"/>
              <w:bottom w:val="single" w:sz="4" w:space="0" w:color="auto"/>
              <w:right w:val="nil"/>
            </w:tcBorders>
            <w:shd w:val="clear" w:color="auto" w:fill="auto"/>
            <w:noWrap/>
            <w:vAlign w:val="center"/>
            <w:hideMark/>
          </w:tcPr>
          <w:p w14:paraId="4ADA32FB"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R</w:t>
            </w:r>
            <w:r w:rsidRPr="00D23BF1">
              <w:rPr>
                <w:rFonts w:ascii="Times" w:eastAsia="Times New Roman" w:hAnsi="Times" w:cs="Calibri"/>
                <w:sz w:val="20"/>
                <w:szCs w:val="20"/>
                <w:vertAlign w:val="superscript"/>
              </w:rPr>
              <w:t>2</w:t>
            </w:r>
          </w:p>
        </w:tc>
        <w:tc>
          <w:tcPr>
            <w:tcW w:w="772" w:type="dxa"/>
            <w:tcBorders>
              <w:top w:val="nil"/>
              <w:left w:val="nil"/>
              <w:bottom w:val="single" w:sz="4" w:space="0" w:color="auto"/>
              <w:right w:val="single" w:sz="4" w:space="0" w:color="auto"/>
            </w:tcBorders>
            <w:shd w:val="clear" w:color="auto" w:fill="auto"/>
            <w:noWrap/>
            <w:vAlign w:val="center"/>
            <w:hideMark/>
          </w:tcPr>
          <w:p w14:paraId="2FE2A9DE"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i/>
                <w:sz w:val="20"/>
                <w:szCs w:val="20"/>
              </w:rPr>
              <w:t>P</w:t>
            </w:r>
            <w:r w:rsidRPr="00D23BF1">
              <w:rPr>
                <w:rFonts w:ascii="Times" w:eastAsia="Times New Roman" w:hAnsi="Times" w:cs="Calibri"/>
                <w:sz w:val="20"/>
                <w:szCs w:val="20"/>
              </w:rPr>
              <w:t>-value</w:t>
            </w:r>
          </w:p>
        </w:tc>
      </w:tr>
      <w:tr w:rsidR="00BA538C" w:rsidRPr="00D23BF1" w14:paraId="7B251E29" w14:textId="77777777" w:rsidTr="009A40FD">
        <w:trPr>
          <w:trHeight w:val="326"/>
        </w:trPr>
        <w:tc>
          <w:tcPr>
            <w:tcW w:w="1834" w:type="dxa"/>
            <w:tcBorders>
              <w:top w:val="nil"/>
              <w:left w:val="single" w:sz="4" w:space="0" w:color="auto"/>
              <w:bottom w:val="nil"/>
              <w:right w:val="single" w:sz="4" w:space="0" w:color="auto"/>
            </w:tcBorders>
            <w:shd w:val="clear" w:color="000000" w:fill="F2F2F2"/>
            <w:vAlign w:val="bottom"/>
            <w:hideMark/>
          </w:tcPr>
          <w:p w14:paraId="559537AF" w14:textId="77777777" w:rsidR="00BA538C" w:rsidRPr="00D23BF1" w:rsidRDefault="00BA538C" w:rsidP="00F20BE1">
            <w:pPr>
              <w:rPr>
                <w:rFonts w:ascii="Times" w:eastAsia="Times New Roman" w:hAnsi="Times" w:cs="Calibri"/>
              </w:rPr>
            </w:pPr>
            <w:r w:rsidRPr="00D23BF1">
              <w:rPr>
                <w:rFonts w:ascii="Times" w:eastAsia="Times New Roman" w:hAnsi="Times" w:cs="Calibri"/>
              </w:rPr>
              <w:t>Large intestines</w:t>
            </w:r>
          </w:p>
        </w:tc>
        <w:tc>
          <w:tcPr>
            <w:tcW w:w="672" w:type="dxa"/>
            <w:tcBorders>
              <w:top w:val="single" w:sz="4" w:space="0" w:color="auto"/>
              <w:left w:val="nil"/>
              <w:bottom w:val="nil"/>
              <w:right w:val="nil"/>
            </w:tcBorders>
            <w:shd w:val="clear" w:color="000000" w:fill="F2F2F2"/>
            <w:noWrap/>
            <w:vAlign w:val="bottom"/>
            <w:hideMark/>
          </w:tcPr>
          <w:p w14:paraId="588608A5"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0.09</w:t>
            </w:r>
          </w:p>
        </w:tc>
        <w:tc>
          <w:tcPr>
            <w:tcW w:w="956" w:type="dxa"/>
            <w:tcBorders>
              <w:top w:val="nil"/>
              <w:left w:val="nil"/>
              <w:bottom w:val="nil"/>
              <w:right w:val="nil"/>
            </w:tcBorders>
            <w:shd w:val="clear" w:color="000000" w:fill="F2F2F2"/>
            <w:noWrap/>
            <w:vAlign w:val="bottom"/>
            <w:hideMark/>
          </w:tcPr>
          <w:p w14:paraId="29067424"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0.253</w:t>
            </w:r>
          </w:p>
        </w:tc>
        <w:tc>
          <w:tcPr>
            <w:tcW w:w="262" w:type="dxa"/>
            <w:tcBorders>
              <w:top w:val="nil"/>
              <w:left w:val="nil"/>
              <w:bottom w:val="nil"/>
              <w:right w:val="nil"/>
            </w:tcBorders>
            <w:shd w:val="clear" w:color="000000" w:fill="F2F2F2"/>
            <w:noWrap/>
            <w:vAlign w:val="bottom"/>
            <w:hideMark/>
          </w:tcPr>
          <w:p w14:paraId="77A24684"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 </w:t>
            </w:r>
          </w:p>
        </w:tc>
        <w:tc>
          <w:tcPr>
            <w:tcW w:w="672" w:type="dxa"/>
            <w:tcBorders>
              <w:top w:val="nil"/>
              <w:left w:val="nil"/>
              <w:bottom w:val="nil"/>
              <w:right w:val="nil"/>
            </w:tcBorders>
            <w:shd w:val="clear" w:color="000000" w:fill="F2F2F2"/>
            <w:noWrap/>
            <w:vAlign w:val="bottom"/>
            <w:hideMark/>
          </w:tcPr>
          <w:p w14:paraId="2778340F"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0.07</w:t>
            </w:r>
          </w:p>
        </w:tc>
        <w:tc>
          <w:tcPr>
            <w:tcW w:w="956" w:type="dxa"/>
            <w:tcBorders>
              <w:top w:val="nil"/>
              <w:left w:val="nil"/>
              <w:bottom w:val="nil"/>
              <w:right w:val="nil"/>
            </w:tcBorders>
            <w:shd w:val="clear" w:color="000000" w:fill="F2F2F2"/>
            <w:noWrap/>
            <w:vAlign w:val="bottom"/>
            <w:hideMark/>
          </w:tcPr>
          <w:p w14:paraId="4971F1E6"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0.913</w:t>
            </w:r>
          </w:p>
        </w:tc>
        <w:tc>
          <w:tcPr>
            <w:tcW w:w="415" w:type="dxa"/>
            <w:tcBorders>
              <w:top w:val="nil"/>
              <w:left w:val="nil"/>
              <w:bottom w:val="nil"/>
              <w:right w:val="nil"/>
            </w:tcBorders>
            <w:shd w:val="clear" w:color="000000" w:fill="F2F2F2"/>
            <w:noWrap/>
            <w:vAlign w:val="bottom"/>
            <w:hideMark/>
          </w:tcPr>
          <w:p w14:paraId="3359E537"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 </w:t>
            </w:r>
          </w:p>
        </w:tc>
        <w:tc>
          <w:tcPr>
            <w:tcW w:w="672" w:type="dxa"/>
            <w:tcBorders>
              <w:top w:val="nil"/>
              <w:left w:val="nil"/>
              <w:bottom w:val="nil"/>
              <w:right w:val="nil"/>
            </w:tcBorders>
            <w:shd w:val="clear" w:color="000000" w:fill="F2F2F2"/>
            <w:vAlign w:val="center"/>
            <w:hideMark/>
          </w:tcPr>
          <w:p w14:paraId="1ABB2E99"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0.21</w:t>
            </w:r>
          </w:p>
        </w:tc>
        <w:tc>
          <w:tcPr>
            <w:tcW w:w="834" w:type="dxa"/>
            <w:tcBorders>
              <w:top w:val="nil"/>
              <w:left w:val="nil"/>
              <w:bottom w:val="nil"/>
              <w:right w:val="nil"/>
            </w:tcBorders>
            <w:shd w:val="clear" w:color="000000" w:fill="F2F2F2"/>
            <w:vAlign w:val="center"/>
            <w:hideMark/>
          </w:tcPr>
          <w:p w14:paraId="19F75F3A"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0.01*</w:t>
            </w:r>
          </w:p>
        </w:tc>
        <w:tc>
          <w:tcPr>
            <w:tcW w:w="236" w:type="dxa"/>
            <w:tcBorders>
              <w:top w:val="nil"/>
              <w:left w:val="nil"/>
              <w:bottom w:val="nil"/>
              <w:right w:val="nil"/>
            </w:tcBorders>
            <w:shd w:val="clear" w:color="000000" w:fill="F2F2F2"/>
            <w:vAlign w:val="center"/>
            <w:hideMark/>
          </w:tcPr>
          <w:p w14:paraId="420CFE06"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 </w:t>
            </w:r>
          </w:p>
        </w:tc>
        <w:tc>
          <w:tcPr>
            <w:tcW w:w="744" w:type="dxa"/>
            <w:tcBorders>
              <w:top w:val="nil"/>
              <w:left w:val="nil"/>
              <w:bottom w:val="nil"/>
              <w:right w:val="nil"/>
            </w:tcBorders>
            <w:shd w:val="clear" w:color="000000" w:fill="F2F2F2"/>
            <w:vAlign w:val="center"/>
            <w:hideMark/>
          </w:tcPr>
          <w:p w14:paraId="077A10BD"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0.05</w:t>
            </w:r>
          </w:p>
        </w:tc>
        <w:tc>
          <w:tcPr>
            <w:tcW w:w="772" w:type="dxa"/>
            <w:tcBorders>
              <w:top w:val="nil"/>
              <w:left w:val="nil"/>
              <w:bottom w:val="nil"/>
              <w:right w:val="single" w:sz="4" w:space="0" w:color="auto"/>
            </w:tcBorders>
            <w:shd w:val="clear" w:color="000000" w:fill="F2F2F2"/>
            <w:vAlign w:val="center"/>
            <w:hideMark/>
          </w:tcPr>
          <w:p w14:paraId="70E0CCFE"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0.4</w:t>
            </w:r>
          </w:p>
        </w:tc>
      </w:tr>
      <w:tr w:rsidR="00BA538C" w:rsidRPr="00D23BF1" w14:paraId="0201261A" w14:textId="77777777" w:rsidTr="009A40FD">
        <w:trPr>
          <w:trHeight w:val="326"/>
        </w:trPr>
        <w:tc>
          <w:tcPr>
            <w:tcW w:w="1834" w:type="dxa"/>
            <w:tcBorders>
              <w:top w:val="nil"/>
              <w:left w:val="single" w:sz="4" w:space="0" w:color="auto"/>
              <w:bottom w:val="nil"/>
              <w:right w:val="single" w:sz="4" w:space="0" w:color="auto"/>
            </w:tcBorders>
            <w:shd w:val="clear" w:color="auto" w:fill="auto"/>
            <w:vAlign w:val="bottom"/>
            <w:hideMark/>
          </w:tcPr>
          <w:p w14:paraId="5A030EB1" w14:textId="77777777" w:rsidR="00BA538C" w:rsidRPr="00D23BF1" w:rsidRDefault="00BA538C" w:rsidP="00F20BE1">
            <w:pPr>
              <w:rPr>
                <w:rFonts w:ascii="Times" w:eastAsia="Times New Roman" w:hAnsi="Times" w:cs="Calibri"/>
              </w:rPr>
            </w:pPr>
            <w:r w:rsidRPr="00D23BF1">
              <w:rPr>
                <w:rFonts w:ascii="Times" w:eastAsia="Times New Roman" w:hAnsi="Times" w:cs="Calibri"/>
              </w:rPr>
              <w:t>Small intestines</w:t>
            </w:r>
          </w:p>
        </w:tc>
        <w:tc>
          <w:tcPr>
            <w:tcW w:w="672" w:type="dxa"/>
            <w:tcBorders>
              <w:top w:val="nil"/>
              <w:left w:val="nil"/>
              <w:bottom w:val="nil"/>
              <w:right w:val="nil"/>
            </w:tcBorders>
            <w:shd w:val="clear" w:color="auto" w:fill="auto"/>
            <w:noWrap/>
            <w:vAlign w:val="bottom"/>
            <w:hideMark/>
          </w:tcPr>
          <w:p w14:paraId="4257899F"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0.6</w:t>
            </w:r>
          </w:p>
        </w:tc>
        <w:tc>
          <w:tcPr>
            <w:tcW w:w="956" w:type="dxa"/>
            <w:tcBorders>
              <w:top w:val="nil"/>
              <w:left w:val="nil"/>
              <w:bottom w:val="nil"/>
              <w:right w:val="nil"/>
            </w:tcBorders>
            <w:shd w:val="clear" w:color="auto" w:fill="auto"/>
            <w:noWrap/>
            <w:vAlign w:val="bottom"/>
            <w:hideMark/>
          </w:tcPr>
          <w:p w14:paraId="33477320"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0.004*</w:t>
            </w:r>
          </w:p>
        </w:tc>
        <w:tc>
          <w:tcPr>
            <w:tcW w:w="262" w:type="dxa"/>
            <w:tcBorders>
              <w:top w:val="nil"/>
              <w:left w:val="nil"/>
              <w:bottom w:val="nil"/>
              <w:right w:val="nil"/>
            </w:tcBorders>
            <w:shd w:val="clear" w:color="auto" w:fill="auto"/>
            <w:noWrap/>
            <w:vAlign w:val="bottom"/>
            <w:hideMark/>
          </w:tcPr>
          <w:p w14:paraId="57186EB6"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 </w:t>
            </w:r>
          </w:p>
        </w:tc>
        <w:tc>
          <w:tcPr>
            <w:tcW w:w="672" w:type="dxa"/>
            <w:tcBorders>
              <w:top w:val="nil"/>
              <w:left w:val="nil"/>
              <w:bottom w:val="nil"/>
              <w:right w:val="nil"/>
            </w:tcBorders>
            <w:shd w:val="clear" w:color="auto" w:fill="auto"/>
            <w:noWrap/>
            <w:vAlign w:val="bottom"/>
            <w:hideMark/>
          </w:tcPr>
          <w:p w14:paraId="5F5C1F05"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0.43</w:t>
            </w:r>
          </w:p>
        </w:tc>
        <w:tc>
          <w:tcPr>
            <w:tcW w:w="956" w:type="dxa"/>
            <w:tcBorders>
              <w:top w:val="nil"/>
              <w:left w:val="nil"/>
              <w:bottom w:val="nil"/>
              <w:right w:val="nil"/>
            </w:tcBorders>
            <w:shd w:val="clear" w:color="auto" w:fill="auto"/>
            <w:noWrap/>
            <w:vAlign w:val="bottom"/>
            <w:hideMark/>
          </w:tcPr>
          <w:p w14:paraId="6C1EFA06"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0.003*</w:t>
            </w:r>
          </w:p>
        </w:tc>
        <w:tc>
          <w:tcPr>
            <w:tcW w:w="415" w:type="dxa"/>
            <w:tcBorders>
              <w:top w:val="nil"/>
              <w:left w:val="nil"/>
              <w:bottom w:val="nil"/>
              <w:right w:val="nil"/>
            </w:tcBorders>
            <w:shd w:val="clear" w:color="auto" w:fill="auto"/>
            <w:noWrap/>
            <w:vAlign w:val="bottom"/>
            <w:hideMark/>
          </w:tcPr>
          <w:p w14:paraId="7B6AB801"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 </w:t>
            </w:r>
          </w:p>
        </w:tc>
        <w:tc>
          <w:tcPr>
            <w:tcW w:w="672" w:type="dxa"/>
            <w:tcBorders>
              <w:top w:val="nil"/>
              <w:left w:val="nil"/>
              <w:bottom w:val="nil"/>
              <w:right w:val="nil"/>
            </w:tcBorders>
            <w:shd w:val="clear" w:color="auto" w:fill="auto"/>
            <w:vAlign w:val="center"/>
            <w:hideMark/>
          </w:tcPr>
          <w:p w14:paraId="4821FA12"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0.21</w:t>
            </w:r>
          </w:p>
        </w:tc>
        <w:tc>
          <w:tcPr>
            <w:tcW w:w="834" w:type="dxa"/>
            <w:tcBorders>
              <w:top w:val="nil"/>
              <w:left w:val="nil"/>
              <w:bottom w:val="nil"/>
              <w:right w:val="nil"/>
            </w:tcBorders>
            <w:shd w:val="clear" w:color="auto" w:fill="auto"/>
            <w:vAlign w:val="center"/>
            <w:hideMark/>
          </w:tcPr>
          <w:p w14:paraId="5A835A2E"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0.004*</w:t>
            </w:r>
          </w:p>
        </w:tc>
        <w:tc>
          <w:tcPr>
            <w:tcW w:w="236" w:type="dxa"/>
            <w:tcBorders>
              <w:top w:val="nil"/>
              <w:left w:val="nil"/>
              <w:bottom w:val="nil"/>
              <w:right w:val="nil"/>
            </w:tcBorders>
            <w:shd w:val="clear" w:color="auto" w:fill="auto"/>
            <w:vAlign w:val="center"/>
            <w:hideMark/>
          </w:tcPr>
          <w:p w14:paraId="7C278826"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 </w:t>
            </w:r>
          </w:p>
        </w:tc>
        <w:tc>
          <w:tcPr>
            <w:tcW w:w="744" w:type="dxa"/>
            <w:tcBorders>
              <w:top w:val="nil"/>
              <w:left w:val="nil"/>
              <w:bottom w:val="nil"/>
              <w:right w:val="nil"/>
            </w:tcBorders>
            <w:shd w:val="clear" w:color="auto" w:fill="auto"/>
            <w:vAlign w:val="center"/>
            <w:hideMark/>
          </w:tcPr>
          <w:p w14:paraId="139F1A29"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0.14</w:t>
            </w:r>
          </w:p>
        </w:tc>
        <w:tc>
          <w:tcPr>
            <w:tcW w:w="772" w:type="dxa"/>
            <w:tcBorders>
              <w:top w:val="nil"/>
              <w:left w:val="nil"/>
              <w:bottom w:val="nil"/>
              <w:right w:val="single" w:sz="4" w:space="0" w:color="auto"/>
            </w:tcBorders>
            <w:shd w:val="clear" w:color="auto" w:fill="auto"/>
            <w:vAlign w:val="center"/>
            <w:hideMark/>
          </w:tcPr>
          <w:p w14:paraId="59BB5037"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0.031*</w:t>
            </w:r>
          </w:p>
        </w:tc>
      </w:tr>
      <w:tr w:rsidR="00BA538C" w:rsidRPr="00D23BF1" w14:paraId="2DA354F3" w14:textId="77777777" w:rsidTr="009A40FD">
        <w:trPr>
          <w:trHeight w:val="326"/>
        </w:trPr>
        <w:tc>
          <w:tcPr>
            <w:tcW w:w="1834" w:type="dxa"/>
            <w:tcBorders>
              <w:top w:val="nil"/>
              <w:left w:val="single" w:sz="4" w:space="0" w:color="auto"/>
              <w:bottom w:val="single" w:sz="4" w:space="0" w:color="auto"/>
              <w:right w:val="single" w:sz="4" w:space="0" w:color="auto"/>
            </w:tcBorders>
            <w:shd w:val="clear" w:color="auto" w:fill="F2F2F2" w:themeFill="background1" w:themeFillShade="F2"/>
            <w:vAlign w:val="bottom"/>
          </w:tcPr>
          <w:p w14:paraId="011F57F1" w14:textId="77777777" w:rsidR="00BA538C" w:rsidRPr="00D23BF1" w:rsidRDefault="00BA538C" w:rsidP="00F20BE1">
            <w:pPr>
              <w:rPr>
                <w:rFonts w:ascii="Times" w:eastAsia="Times New Roman" w:hAnsi="Times" w:cs="Calibri"/>
              </w:rPr>
            </w:pPr>
            <w:r w:rsidRPr="00D23BF1">
              <w:rPr>
                <w:rFonts w:ascii="Times" w:eastAsia="Times New Roman" w:hAnsi="Times" w:cs="Calibri"/>
              </w:rPr>
              <w:t>proventriculus</w:t>
            </w:r>
          </w:p>
        </w:tc>
        <w:tc>
          <w:tcPr>
            <w:tcW w:w="672" w:type="dxa"/>
            <w:tcBorders>
              <w:top w:val="nil"/>
              <w:left w:val="nil"/>
              <w:bottom w:val="single" w:sz="4" w:space="0" w:color="auto"/>
              <w:right w:val="nil"/>
            </w:tcBorders>
            <w:shd w:val="clear" w:color="auto" w:fill="F2F2F2" w:themeFill="background1" w:themeFillShade="F2"/>
            <w:noWrap/>
            <w:vAlign w:val="bottom"/>
          </w:tcPr>
          <w:p w14:paraId="2A7D5746"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0.47</w:t>
            </w:r>
          </w:p>
        </w:tc>
        <w:tc>
          <w:tcPr>
            <w:tcW w:w="956" w:type="dxa"/>
            <w:tcBorders>
              <w:top w:val="nil"/>
              <w:left w:val="nil"/>
              <w:bottom w:val="single" w:sz="4" w:space="0" w:color="auto"/>
              <w:right w:val="nil"/>
            </w:tcBorders>
            <w:shd w:val="clear" w:color="auto" w:fill="F2F2F2" w:themeFill="background1" w:themeFillShade="F2"/>
            <w:noWrap/>
            <w:vAlign w:val="bottom"/>
          </w:tcPr>
          <w:p w14:paraId="2589F50A"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0.002*</w:t>
            </w:r>
          </w:p>
        </w:tc>
        <w:tc>
          <w:tcPr>
            <w:tcW w:w="262" w:type="dxa"/>
            <w:tcBorders>
              <w:top w:val="nil"/>
              <w:left w:val="nil"/>
              <w:bottom w:val="single" w:sz="4" w:space="0" w:color="auto"/>
              <w:right w:val="nil"/>
            </w:tcBorders>
            <w:shd w:val="clear" w:color="auto" w:fill="F2F2F2" w:themeFill="background1" w:themeFillShade="F2"/>
            <w:noWrap/>
            <w:vAlign w:val="bottom"/>
          </w:tcPr>
          <w:p w14:paraId="388A3472" w14:textId="77777777" w:rsidR="00BA538C" w:rsidRPr="00D23BF1" w:rsidRDefault="00BA538C" w:rsidP="00F20BE1">
            <w:pPr>
              <w:rPr>
                <w:rFonts w:ascii="Times" w:eastAsia="Times New Roman" w:hAnsi="Times" w:cs="Calibri"/>
                <w:sz w:val="20"/>
                <w:szCs w:val="20"/>
              </w:rPr>
            </w:pPr>
          </w:p>
        </w:tc>
        <w:tc>
          <w:tcPr>
            <w:tcW w:w="672" w:type="dxa"/>
            <w:tcBorders>
              <w:top w:val="nil"/>
              <w:left w:val="nil"/>
              <w:bottom w:val="single" w:sz="4" w:space="0" w:color="auto"/>
              <w:right w:val="nil"/>
            </w:tcBorders>
            <w:shd w:val="clear" w:color="auto" w:fill="F2F2F2" w:themeFill="background1" w:themeFillShade="F2"/>
            <w:noWrap/>
            <w:vAlign w:val="bottom"/>
          </w:tcPr>
          <w:p w14:paraId="290AD743"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0.41</w:t>
            </w:r>
          </w:p>
        </w:tc>
        <w:tc>
          <w:tcPr>
            <w:tcW w:w="956" w:type="dxa"/>
            <w:tcBorders>
              <w:top w:val="nil"/>
              <w:left w:val="nil"/>
              <w:bottom w:val="single" w:sz="4" w:space="0" w:color="auto"/>
              <w:right w:val="nil"/>
            </w:tcBorders>
            <w:shd w:val="clear" w:color="auto" w:fill="F2F2F2" w:themeFill="background1" w:themeFillShade="F2"/>
            <w:noWrap/>
            <w:vAlign w:val="bottom"/>
          </w:tcPr>
          <w:p w14:paraId="1FF0FF68"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0.001*</w:t>
            </w:r>
          </w:p>
        </w:tc>
        <w:tc>
          <w:tcPr>
            <w:tcW w:w="415" w:type="dxa"/>
            <w:tcBorders>
              <w:top w:val="nil"/>
              <w:left w:val="nil"/>
              <w:bottom w:val="single" w:sz="4" w:space="0" w:color="auto"/>
              <w:right w:val="nil"/>
            </w:tcBorders>
            <w:shd w:val="clear" w:color="auto" w:fill="F2F2F2" w:themeFill="background1" w:themeFillShade="F2"/>
            <w:noWrap/>
            <w:vAlign w:val="bottom"/>
          </w:tcPr>
          <w:p w14:paraId="7B82F8FE" w14:textId="77777777" w:rsidR="00BA538C" w:rsidRPr="00D23BF1" w:rsidRDefault="00BA538C" w:rsidP="00F20BE1">
            <w:pPr>
              <w:rPr>
                <w:rFonts w:ascii="Times" w:eastAsia="Times New Roman" w:hAnsi="Times" w:cs="Calibri"/>
                <w:sz w:val="20"/>
                <w:szCs w:val="20"/>
              </w:rPr>
            </w:pPr>
          </w:p>
        </w:tc>
        <w:tc>
          <w:tcPr>
            <w:tcW w:w="672" w:type="dxa"/>
            <w:tcBorders>
              <w:top w:val="nil"/>
              <w:left w:val="nil"/>
              <w:bottom w:val="single" w:sz="4" w:space="0" w:color="auto"/>
              <w:right w:val="nil"/>
            </w:tcBorders>
            <w:shd w:val="clear" w:color="auto" w:fill="F2F2F2" w:themeFill="background1" w:themeFillShade="F2"/>
            <w:vAlign w:val="center"/>
          </w:tcPr>
          <w:p w14:paraId="6A971BA9"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0.28</w:t>
            </w:r>
          </w:p>
        </w:tc>
        <w:tc>
          <w:tcPr>
            <w:tcW w:w="834" w:type="dxa"/>
            <w:tcBorders>
              <w:top w:val="nil"/>
              <w:left w:val="nil"/>
              <w:bottom w:val="single" w:sz="4" w:space="0" w:color="auto"/>
              <w:right w:val="nil"/>
            </w:tcBorders>
            <w:shd w:val="clear" w:color="auto" w:fill="F2F2F2" w:themeFill="background1" w:themeFillShade="F2"/>
            <w:vAlign w:val="center"/>
          </w:tcPr>
          <w:p w14:paraId="420D181B"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0.002*</w:t>
            </w:r>
          </w:p>
        </w:tc>
        <w:tc>
          <w:tcPr>
            <w:tcW w:w="236" w:type="dxa"/>
            <w:tcBorders>
              <w:top w:val="nil"/>
              <w:left w:val="nil"/>
              <w:bottom w:val="single" w:sz="4" w:space="0" w:color="auto"/>
              <w:right w:val="nil"/>
            </w:tcBorders>
            <w:shd w:val="clear" w:color="auto" w:fill="F2F2F2" w:themeFill="background1" w:themeFillShade="F2"/>
            <w:vAlign w:val="center"/>
          </w:tcPr>
          <w:p w14:paraId="0B62AB5D" w14:textId="77777777" w:rsidR="00BA538C" w:rsidRPr="00D23BF1" w:rsidRDefault="00BA538C" w:rsidP="00F20BE1">
            <w:pPr>
              <w:rPr>
                <w:rFonts w:ascii="Times" w:eastAsia="Times New Roman" w:hAnsi="Times" w:cs="Calibri"/>
                <w:sz w:val="20"/>
                <w:szCs w:val="20"/>
              </w:rPr>
            </w:pPr>
          </w:p>
        </w:tc>
        <w:tc>
          <w:tcPr>
            <w:tcW w:w="744" w:type="dxa"/>
            <w:tcBorders>
              <w:top w:val="nil"/>
              <w:left w:val="nil"/>
              <w:bottom w:val="single" w:sz="4" w:space="0" w:color="auto"/>
              <w:right w:val="nil"/>
            </w:tcBorders>
            <w:shd w:val="clear" w:color="auto" w:fill="F2F2F2" w:themeFill="background1" w:themeFillShade="F2"/>
            <w:vAlign w:val="center"/>
          </w:tcPr>
          <w:p w14:paraId="6354C34F"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0.23</w:t>
            </w:r>
          </w:p>
        </w:tc>
        <w:tc>
          <w:tcPr>
            <w:tcW w:w="772" w:type="dxa"/>
            <w:tcBorders>
              <w:top w:val="nil"/>
              <w:left w:val="nil"/>
              <w:bottom w:val="single" w:sz="4" w:space="0" w:color="auto"/>
              <w:right w:val="single" w:sz="4" w:space="0" w:color="auto"/>
            </w:tcBorders>
            <w:shd w:val="clear" w:color="auto" w:fill="F2F2F2" w:themeFill="background1" w:themeFillShade="F2"/>
            <w:vAlign w:val="center"/>
          </w:tcPr>
          <w:p w14:paraId="45D59433" w14:textId="77777777" w:rsidR="00BA538C" w:rsidRPr="00D23BF1" w:rsidRDefault="00BA538C" w:rsidP="00F20BE1">
            <w:pPr>
              <w:rPr>
                <w:rFonts w:ascii="Times" w:eastAsia="Times New Roman" w:hAnsi="Times" w:cs="Calibri"/>
                <w:sz w:val="20"/>
                <w:szCs w:val="20"/>
              </w:rPr>
            </w:pPr>
            <w:r w:rsidRPr="00D23BF1">
              <w:rPr>
                <w:rFonts w:ascii="Times" w:eastAsia="Times New Roman" w:hAnsi="Times" w:cs="Calibri"/>
                <w:sz w:val="20"/>
                <w:szCs w:val="20"/>
              </w:rPr>
              <w:t>0.001*</w:t>
            </w:r>
          </w:p>
        </w:tc>
      </w:tr>
    </w:tbl>
    <w:p w14:paraId="6DFEC1BF" w14:textId="77777777" w:rsidR="00BA538C" w:rsidRPr="00D23BF1" w:rsidRDefault="00BA538C" w:rsidP="00F20BE1">
      <w:pPr>
        <w:rPr>
          <w:rFonts w:ascii="Times" w:hAnsi="Times" w:cs="Times New Roman"/>
          <w:i/>
          <w:color w:val="000000" w:themeColor="text1"/>
        </w:rPr>
      </w:pPr>
    </w:p>
    <w:p w14:paraId="615BA390" w14:textId="77777777" w:rsidR="00BA538C" w:rsidRPr="00D23BF1" w:rsidRDefault="00BA538C" w:rsidP="00F20BE1">
      <w:pPr>
        <w:rPr>
          <w:rFonts w:ascii="Times" w:hAnsi="Times"/>
        </w:rPr>
      </w:pPr>
      <w:r w:rsidRPr="00D23BF1">
        <w:rPr>
          <w:rFonts w:ascii="Times" w:hAnsi="Times" w:cs="Times New Roman"/>
          <w:i/>
          <w:color w:val="000000" w:themeColor="text1"/>
        </w:rPr>
        <w:br w:type="page"/>
      </w:r>
      <w:r w:rsidRPr="00D23BF1">
        <w:rPr>
          <w:rFonts w:ascii="Times" w:hAnsi="Times"/>
          <w:b/>
        </w:rPr>
        <w:lastRenderedPageBreak/>
        <w:t>Table 2.</w:t>
      </w:r>
      <w:r w:rsidRPr="00D23BF1">
        <w:rPr>
          <w:rFonts w:ascii="Times" w:hAnsi="Times"/>
        </w:rPr>
        <w:t xml:space="preserve"> Results of paired t-tests comparing relative distances from non-lethal samples to lethal samples.</w:t>
      </w:r>
    </w:p>
    <w:p w14:paraId="55B5BA68" w14:textId="04823E96" w:rsidR="00BA538C" w:rsidRPr="00D23BF1" w:rsidRDefault="00F20BE1" w:rsidP="00F20BE1">
      <w:pPr>
        <w:jc w:val="center"/>
        <w:rPr>
          <w:rFonts w:ascii="Times" w:hAnsi="Times"/>
        </w:rPr>
      </w:pPr>
      <w:r w:rsidRPr="00D23BF1">
        <w:rPr>
          <w:rFonts w:ascii="Times" w:hAnsi="Times"/>
          <w:noProof/>
        </w:rPr>
        <w:drawing>
          <wp:inline distT="0" distB="0" distL="0" distR="0" wp14:anchorId="7AABAF50" wp14:editId="2B4DEE7A">
            <wp:extent cx="5647765" cy="2452192"/>
            <wp:effectExtent l="0" t="0" r="3810" b="0"/>
            <wp:docPr id="21" name="Picture 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695048" cy="2472722"/>
                    </a:xfrm>
                    <a:prstGeom prst="rect">
                      <a:avLst/>
                    </a:prstGeom>
                  </pic:spPr>
                </pic:pic>
              </a:graphicData>
            </a:graphic>
          </wp:inline>
        </w:drawing>
      </w:r>
    </w:p>
    <w:p w14:paraId="13A7B04D" w14:textId="77777777" w:rsidR="00F20BE1" w:rsidRPr="00D23BF1" w:rsidRDefault="00F20BE1" w:rsidP="00F20BE1">
      <w:pPr>
        <w:rPr>
          <w:rFonts w:ascii="Times" w:hAnsi="Times"/>
        </w:rPr>
      </w:pPr>
    </w:p>
    <w:p w14:paraId="37BD1A92" w14:textId="77777777" w:rsidR="00BA538C" w:rsidRPr="00D23BF1" w:rsidRDefault="00BA538C" w:rsidP="00F20BE1">
      <w:pPr>
        <w:rPr>
          <w:rFonts w:ascii="Times" w:hAnsi="Times"/>
        </w:rPr>
      </w:pPr>
      <w:r w:rsidRPr="00D23BF1">
        <w:rPr>
          <w:rFonts w:ascii="Times" w:hAnsi="Times"/>
        </w:rPr>
        <w:t>Abbreviations: small (sm.), large (lg.), intestine (int.), proventriculus (prov.)</w:t>
      </w:r>
    </w:p>
    <w:p w14:paraId="6CB1375E" w14:textId="77777777" w:rsidR="00BA538C" w:rsidRPr="00D23BF1" w:rsidRDefault="00BA538C" w:rsidP="00F20BE1">
      <w:pPr>
        <w:rPr>
          <w:rFonts w:ascii="Times" w:hAnsi="Times"/>
          <w:b/>
        </w:rPr>
        <w:sectPr w:rsidR="00BA538C" w:rsidRPr="00D23BF1" w:rsidSect="002D0663">
          <w:headerReference w:type="even" r:id="rId14"/>
          <w:headerReference w:type="default" r:id="rId15"/>
          <w:type w:val="continuous"/>
          <w:pgSz w:w="12240" w:h="15840"/>
          <w:pgMar w:top="1440" w:right="1440" w:bottom="1440" w:left="1440" w:header="720" w:footer="720" w:gutter="0"/>
          <w:cols w:space="720"/>
          <w:docGrid w:linePitch="326"/>
        </w:sectPr>
      </w:pPr>
      <w:r w:rsidRPr="00D23BF1">
        <w:rPr>
          <w:rFonts w:ascii="Times" w:hAnsi="Times"/>
        </w:rPr>
        <w:br w:type="page"/>
      </w:r>
    </w:p>
    <w:p w14:paraId="768DC99B" w14:textId="77777777" w:rsidR="00BA538C" w:rsidRPr="00D23BF1" w:rsidRDefault="00BA538C" w:rsidP="00F20BE1">
      <w:pPr>
        <w:rPr>
          <w:rFonts w:ascii="Times" w:hAnsi="Times"/>
        </w:rPr>
      </w:pPr>
    </w:p>
    <w:p w14:paraId="387C474E" w14:textId="33F2043D" w:rsidR="00BA538C" w:rsidRPr="00D23BF1" w:rsidRDefault="00BA538C" w:rsidP="00F20BE1">
      <w:pPr>
        <w:rPr>
          <w:rFonts w:ascii="Times" w:hAnsi="Times"/>
          <w:color w:val="000000"/>
        </w:rPr>
      </w:pPr>
      <w:r w:rsidRPr="00D23BF1">
        <w:rPr>
          <w:rFonts w:ascii="Times" w:hAnsi="Times"/>
          <w:b/>
          <w:color w:val="000000"/>
        </w:rPr>
        <w:t>Table 3</w:t>
      </w:r>
      <w:r w:rsidRPr="00D23BF1">
        <w:rPr>
          <w:rFonts w:ascii="Times" w:hAnsi="Times"/>
          <w:color w:val="000000"/>
        </w:rPr>
        <w:t>. All morphological and environmental variables included in analyses. Variables were compared between urban and rural sites using Welch’s two-sample t-test for means. Variables with an asterisk are ones that are significantly different between urban and rural sites (Bonferroni adjusted alpha (0.003).</w:t>
      </w:r>
    </w:p>
    <w:tbl>
      <w:tblPr>
        <w:tblW w:w="8730" w:type="dxa"/>
        <w:tblInd w:w="108" w:type="dxa"/>
        <w:tblLook w:val="04A0" w:firstRow="1" w:lastRow="0" w:firstColumn="1" w:lastColumn="0" w:noHBand="0" w:noVBand="1"/>
      </w:tblPr>
      <w:tblGrid>
        <w:gridCol w:w="523"/>
        <w:gridCol w:w="2220"/>
        <w:gridCol w:w="1300"/>
        <w:gridCol w:w="1300"/>
        <w:gridCol w:w="892"/>
        <w:gridCol w:w="336"/>
        <w:gridCol w:w="1088"/>
        <w:gridCol w:w="1080"/>
      </w:tblGrid>
      <w:tr w:rsidR="00BA538C" w:rsidRPr="00D23BF1" w14:paraId="3A0816E2" w14:textId="77777777" w:rsidTr="009A40FD">
        <w:trPr>
          <w:trHeight w:val="1106"/>
        </w:trPr>
        <w:tc>
          <w:tcPr>
            <w:tcW w:w="523" w:type="dxa"/>
            <w:tcBorders>
              <w:top w:val="nil"/>
              <w:left w:val="nil"/>
              <w:bottom w:val="single" w:sz="4" w:space="0" w:color="auto"/>
              <w:right w:val="single" w:sz="4" w:space="0" w:color="auto"/>
            </w:tcBorders>
            <w:shd w:val="clear" w:color="auto" w:fill="auto"/>
            <w:vAlign w:val="bottom"/>
            <w:hideMark/>
          </w:tcPr>
          <w:p w14:paraId="12C848E4" w14:textId="77777777" w:rsidR="00BA538C" w:rsidRPr="00D23BF1" w:rsidRDefault="00BA538C" w:rsidP="00F20BE1">
            <w:pPr>
              <w:rPr>
                <w:rFonts w:ascii="Times" w:hAnsi="Times" w:cs="Calibri"/>
                <w:color w:val="000000"/>
              </w:rPr>
            </w:pPr>
            <w:r w:rsidRPr="00D23BF1">
              <w:rPr>
                <w:rFonts w:ascii="Times" w:hAnsi="Times" w:cs="Calibri"/>
                <w:color w:val="000000"/>
              </w:rPr>
              <w:t> </w:t>
            </w:r>
          </w:p>
        </w:tc>
        <w:tc>
          <w:tcPr>
            <w:tcW w:w="2220" w:type="dxa"/>
            <w:tcBorders>
              <w:top w:val="single" w:sz="4" w:space="0" w:color="auto"/>
              <w:left w:val="nil"/>
              <w:bottom w:val="single" w:sz="8" w:space="0" w:color="auto"/>
              <w:right w:val="nil"/>
            </w:tcBorders>
            <w:shd w:val="clear" w:color="auto" w:fill="auto"/>
            <w:vAlign w:val="bottom"/>
            <w:hideMark/>
          </w:tcPr>
          <w:p w14:paraId="28A1063B" w14:textId="77777777" w:rsidR="00BA538C" w:rsidRPr="00D23BF1" w:rsidRDefault="00BA538C" w:rsidP="00F20BE1">
            <w:pPr>
              <w:rPr>
                <w:rFonts w:ascii="Times" w:hAnsi="Times" w:cs="Calibri"/>
                <w:color w:val="000000"/>
              </w:rPr>
            </w:pPr>
            <w:r w:rsidRPr="00D23BF1">
              <w:rPr>
                <w:rFonts w:ascii="Times" w:hAnsi="Times" w:cs="Calibri"/>
                <w:color w:val="000000"/>
              </w:rPr>
              <w:t>variable</w:t>
            </w:r>
          </w:p>
        </w:tc>
        <w:tc>
          <w:tcPr>
            <w:tcW w:w="1300" w:type="dxa"/>
            <w:tcBorders>
              <w:top w:val="single" w:sz="4" w:space="0" w:color="auto"/>
              <w:left w:val="nil"/>
              <w:bottom w:val="single" w:sz="8" w:space="0" w:color="auto"/>
              <w:right w:val="nil"/>
            </w:tcBorders>
            <w:shd w:val="clear" w:color="auto" w:fill="auto"/>
            <w:vAlign w:val="bottom"/>
            <w:hideMark/>
          </w:tcPr>
          <w:p w14:paraId="4478D023" w14:textId="77777777" w:rsidR="00BA538C" w:rsidRPr="00D23BF1" w:rsidRDefault="00BA538C" w:rsidP="00F20BE1">
            <w:pPr>
              <w:rPr>
                <w:rFonts w:ascii="Times" w:hAnsi="Times" w:cs="Calibri"/>
                <w:color w:val="000000"/>
              </w:rPr>
            </w:pPr>
            <w:r w:rsidRPr="00D23BF1">
              <w:rPr>
                <w:rFonts w:ascii="Times" w:hAnsi="Times" w:cs="Calibri"/>
                <w:color w:val="000000"/>
              </w:rPr>
              <w:t>t-stat</w:t>
            </w:r>
          </w:p>
        </w:tc>
        <w:tc>
          <w:tcPr>
            <w:tcW w:w="1300" w:type="dxa"/>
            <w:tcBorders>
              <w:top w:val="single" w:sz="4" w:space="0" w:color="auto"/>
              <w:left w:val="nil"/>
              <w:bottom w:val="single" w:sz="8" w:space="0" w:color="auto"/>
              <w:right w:val="nil"/>
            </w:tcBorders>
            <w:shd w:val="clear" w:color="auto" w:fill="auto"/>
            <w:vAlign w:val="bottom"/>
            <w:hideMark/>
          </w:tcPr>
          <w:p w14:paraId="69D5AC39" w14:textId="77777777" w:rsidR="00BA538C" w:rsidRPr="00D23BF1" w:rsidRDefault="00BA538C" w:rsidP="00F20BE1">
            <w:pPr>
              <w:rPr>
                <w:rFonts w:ascii="Times" w:hAnsi="Times" w:cs="Calibri"/>
                <w:color w:val="000000"/>
              </w:rPr>
            </w:pPr>
            <w:r w:rsidRPr="00D23BF1">
              <w:rPr>
                <w:rFonts w:ascii="Times" w:hAnsi="Times" w:cs="Calibri"/>
                <w:color w:val="000000"/>
              </w:rPr>
              <w:t>df</w:t>
            </w:r>
          </w:p>
        </w:tc>
        <w:tc>
          <w:tcPr>
            <w:tcW w:w="883" w:type="dxa"/>
            <w:tcBorders>
              <w:top w:val="single" w:sz="4" w:space="0" w:color="auto"/>
              <w:left w:val="nil"/>
              <w:bottom w:val="single" w:sz="8" w:space="0" w:color="auto"/>
              <w:right w:val="nil"/>
            </w:tcBorders>
            <w:shd w:val="clear" w:color="auto" w:fill="auto"/>
            <w:vAlign w:val="bottom"/>
            <w:hideMark/>
          </w:tcPr>
          <w:p w14:paraId="453CFAEC" w14:textId="77777777" w:rsidR="00BA538C" w:rsidRPr="00D23BF1" w:rsidRDefault="00BA538C" w:rsidP="00F20BE1">
            <w:pPr>
              <w:rPr>
                <w:rFonts w:ascii="Times" w:hAnsi="Times" w:cs="Calibri"/>
                <w:color w:val="000000"/>
              </w:rPr>
            </w:pPr>
            <w:r w:rsidRPr="00D23BF1">
              <w:rPr>
                <w:rFonts w:ascii="Times" w:hAnsi="Times" w:cs="Calibri"/>
                <w:color w:val="000000"/>
              </w:rPr>
              <w:t>p</w:t>
            </w:r>
          </w:p>
        </w:tc>
        <w:tc>
          <w:tcPr>
            <w:tcW w:w="336" w:type="dxa"/>
            <w:tcBorders>
              <w:top w:val="single" w:sz="4" w:space="0" w:color="auto"/>
              <w:left w:val="nil"/>
              <w:bottom w:val="single" w:sz="8" w:space="0" w:color="auto"/>
              <w:right w:val="nil"/>
            </w:tcBorders>
            <w:shd w:val="clear" w:color="auto" w:fill="auto"/>
            <w:vAlign w:val="bottom"/>
            <w:hideMark/>
          </w:tcPr>
          <w:p w14:paraId="4F72FF02" w14:textId="77777777" w:rsidR="00BA538C" w:rsidRPr="00D23BF1" w:rsidRDefault="00BA538C" w:rsidP="00F20BE1">
            <w:pPr>
              <w:rPr>
                <w:rFonts w:ascii="Times" w:hAnsi="Times" w:cs="Calibri"/>
                <w:color w:val="000000"/>
              </w:rPr>
            </w:pPr>
          </w:p>
        </w:tc>
        <w:tc>
          <w:tcPr>
            <w:tcW w:w="1088" w:type="dxa"/>
            <w:tcBorders>
              <w:top w:val="single" w:sz="4" w:space="0" w:color="auto"/>
              <w:left w:val="nil"/>
              <w:bottom w:val="single" w:sz="8" w:space="0" w:color="auto"/>
              <w:right w:val="nil"/>
            </w:tcBorders>
            <w:shd w:val="clear" w:color="auto" w:fill="auto"/>
            <w:vAlign w:val="bottom"/>
            <w:hideMark/>
          </w:tcPr>
          <w:p w14:paraId="09ADD050" w14:textId="77777777" w:rsidR="00BA538C" w:rsidRPr="00D23BF1" w:rsidRDefault="00BA538C" w:rsidP="00F20BE1">
            <w:pPr>
              <w:rPr>
                <w:rFonts w:ascii="Times" w:hAnsi="Times" w:cs="Calibri"/>
                <w:color w:val="000000"/>
              </w:rPr>
            </w:pPr>
            <w:r w:rsidRPr="00D23BF1">
              <w:rPr>
                <w:rFonts w:ascii="Times" w:hAnsi="Times" w:cs="Calibri"/>
                <w:color w:val="000000"/>
              </w:rPr>
              <w:t>Urban mean</w:t>
            </w:r>
          </w:p>
        </w:tc>
        <w:tc>
          <w:tcPr>
            <w:tcW w:w="1080" w:type="dxa"/>
            <w:tcBorders>
              <w:top w:val="single" w:sz="4" w:space="0" w:color="auto"/>
              <w:left w:val="nil"/>
              <w:bottom w:val="single" w:sz="8" w:space="0" w:color="auto"/>
              <w:right w:val="single" w:sz="4" w:space="0" w:color="auto"/>
            </w:tcBorders>
            <w:shd w:val="clear" w:color="auto" w:fill="auto"/>
            <w:vAlign w:val="bottom"/>
            <w:hideMark/>
          </w:tcPr>
          <w:p w14:paraId="6C1D45B5" w14:textId="77777777" w:rsidR="00BA538C" w:rsidRPr="00D23BF1" w:rsidRDefault="00BA538C" w:rsidP="00F20BE1">
            <w:pPr>
              <w:rPr>
                <w:rFonts w:ascii="Times" w:hAnsi="Times" w:cs="Calibri"/>
                <w:color w:val="000000"/>
              </w:rPr>
            </w:pPr>
            <w:r w:rsidRPr="00D23BF1">
              <w:rPr>
                <w:rFonts w:ascii="Times" w:hAnsi="Times" w:cs="Calibri"/>
                <w:color w:val="000000"/>
              </w:rPr>
              <w:t>Rural mean</w:t>
            </w:r>
          </w:p>
        </w:tc>
      </w:tr>
      <w:tr w:rsidR="00BA538C" w:rsidRPr="00D23BF1" w14:paraId="1A09A4AA" w14:textId="77777777" w:rsidTr="009A40FD">
        <w:trPr>
          <w:trHeight w:val="320"/>
        </w:trPr>
        <w:tc>
          <w:tcPr>
            <w:tcW w:w="523"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6362A5C1" w14:textId="77777777" w:rsidR="00BA538C" w:rsidRPr="00D23BF1" w:rsidRDefault="00BA538C" w:rsidP="00F20BE1">
            <w:pPr>
              <w:rPr>
                <w:rFonts w:ascii="Times" w:hAnsi="Times" w:cs="Calibri"/>
                <w:color w:val="000000"/>
              </w:rPr>
            </w:pPr>
            <w:r w:rsidRPr="00D23BF1">
              <w:rPr>
                <w:rFonts w:ascii="Times" w:hAnsi="Times" w:cs="Calibri"/>
                <w:color w:val="000000"/>
              </w:rPr>
              <w:t>morphological</w:t>
            </w:r>
          </w:p>
        </w:tc>
        <w:tc>
          <w:tcPr>
            <w:tcW w:w="2220" w:type="dxa"/>
            <w:tcBorders>
              <w:top w:val="nil"/>
              <w:left w:val="nil"/>
              <w:bottom w:val="nil"/>
              <w:right w:val="nil"/>
            </w:tcBorders>
            <w:shd w:val="clear" w:color="auto" w:fill="auto"/>
            <w:noWrap/>
            <w:vAlign w:val="bottom"/>
            <w:hideMark/>
          </w:tcPr>
          <w:p w14:paraId="5A7DCC28" w14:textId="77777777" w:rsidR="00BA538C" w:rsidRPr="00D23BF1" w:rsidRDefault="00BA538C" w:rsidP="00F20BE1">
            <w:pPr>
              <w:rPr>
                <w:rFonts w:ascii="Times" w:hAnsi="Times" w:cs="Calibri"/>
                <w:color w:val="000000"/>
              </w:rPr>
            </w:pPr>
            <w:r w:rsidRPr="00D23BF1">
              <w:rPr>
                <w:rFonts w:ascii="Times" w:hAnsi="Times" w:cs="Calibri"/>
                <w:color w:val="000000"/>
              </w:rPr>
              <w:t>Bill length (mm)</w:t>
            </w:r>
          </w:p>
        </w:tc>
        <w:tc>
          <w:tcPr>
            <w:tcW w:w="1300" w:type="dxa"/>
            <w:tcBorders>
              <w:top w:val="nil"/>
              <w:left w:val="nil"/>
              <w:bottom w:val="nil"/>
              <w:right w:val="nil"/>
            </w:tcBorders>
            <w:shd w:val="clear" w:color="auto" w:fill="auto"/>
            <w:noWrap/>
            <w:vAlign w:val="bottom"/>
            <w:hideMark/>
          </w:tcPr>
          <w:p w14:paraId="270DFBB7" w14:textId="77777777" w:rsidR="00BA538C" w:rsidRPr="00D23BF1" w:rsidRDefault="00BA538C" w:rsidP="00F20BE1">
            <w:pPr>
              <w:rPr>
                <w:rFonts w:ascii="Times" w:hAnsi="Times" w:cs="Calibri"/>
                <w:color w:val="000000"/>
              </w:rPr>
            </w:pPr>
            <w:r w:rsidRPr="00D23BF1">
              <w:rPr>
                <w:rFonts w:ascii="Times" w:hAnsi="Times" w:cs="Calibri"/>
                <w:color w:val="000000"/>
              </w:rPr>
              <w:t>-2.52</w:t>
            </w:r>
          </w:p>
        </w:tc>
        <w:tc>
          <w:tcPr>
            <w:tcW w:w="1300" w:type="dxa"/>
            <w:tcBorders>
              <w:top w:val="nil"/>
              <w:left w:val="nil"/>
              <w:bottom w:val="nil"/>
              <w:right w:val="nil"/>
            </w:tcBorders>
            <w:shd w:val="clear" w:color="auto" w:fill="auto"/>
            <w:noWrap/>
            <w:vAlign w:val="bottom"/>
            <w:hideMark/>
          </w:tcPr>
          <w:p w14:paraId="5E7E6582" w14:textId="77777777" w:rsidR="00BA538C" w:rsidRPr="00D23BF1" w:rsidRDefault="00BA538C" w:rsidP="00F20BE1">
            <w:pPr>
              <w:rPr>
                <w:rFonts w:ascii="Times" w:hAnsi="Times" w:cs="Calibri"/>
                <w:color w:val="000000"/>
              </w:rPr>
            </w:pPr>
            <w:r w:rsidRPr="00D23BF1">
              <w:rPr>
                <w:rFonts w:ascii="Times" w:hAnsi="Times" w:cs="Calibri"/>
                <w:color w:val="000000"/>
              </w:rPr>
              <w:t>65</w:t>
            </w:r>
          </w:p>
        </w:tc>
        <w:tc>
          <w:tcPr>
            <w:tcW w:w="883" w:type="dxa"/>
            <w:tcBorders>
              <w:top w:val="nil"/>
              <w:left w:val="nil"/>
              <w:bottom w:val="nil"/>
              <w:right w:val="nil"/>
            </w:tcBorders>
            <w:shd w:val="clear" w:color="auto" w:fill="auto"/>
            <w:noWrap/>
            <w:vAlign w:val="bottom"/>
            <w:hideMark/>
          </w:tcPr>
          <w:p w14:paraId="320917C0" w14:textId="77777777" w:rsidR="00BA538C" w:rsidRPr="00D23BF1" w:rsidRDefault="00BA538C" w:rsidP="00F20BE1">
            <w:pPr>
              <w:rPr>
                <w:rFonts w:ascii="Times" w:hAnsi="Times" w:cs="Calibri"/>
                <w:color w:val="000000"/>
              </w:rPr>
            </w:pPr>
            <w:r w:rsidRPr="00D23BF1">
              <w:rPr>
                <w:rFonts w:ascii="Times" w:hAnsi="Times" w:cs="Calibri"/>
                <w:color w:val="000000"/>
              </w:rPr>
              <w:t>0.014</w:t>
            </w:r>
          </w:p>
        </w:tc>
        <w:tc>
          <w:tcPr>
            <w:tcW w:w="336" w:type="dxa"/>
            <w:tcBorders>
              <w:top w:val="nil"/>
              <w:left w:val="nil"/>
              <w:bottom w:val="nil"/>
              <w:right w:val="nil"/>
            </w:tcBorders>
            <w:shd w:val="clear" w:color="auto" w:fill="auto"/>
            <w:noWrap/>
            <w:vAlign w:val="bottom"/>
            <w:hideMark/>
          </w:tcPr>
          <w:p w14:paraId="21E0ED54" w14:textId="77777777" w:rsidR="00BA538C" w:rsidRPr="00D23BF1" w:rsidRDefault="00BA538C" w:rsidP="00F20BE1">
            <w:pPr>
              <w:rPr>
                <w:rFonts w:ascii="Times" w:hAnsi="Times" w:cs="Calibri"/>
                <w:color w:val="000000"/>
              </w:rPr>
            </w:pPr>
          </w:p>
        </w:tc>
        <w:tc>
          <w:tcPr>
            <w:tcW w:w="1088" w:type="dxa"/>
            <w:tcBorders>
              <w:top w:val="nil"/>
              <w:left w:val="nil"/>
              <w:bottom w:val="nil"/>
              <w:right w:val="nil"/>
            </w:tcBorders>
            <w:shd w:val="clear" w:color="auto" w:fill="auto"/>
            <w:noWrap/>
            <w:vAlign w:val="bottom"/>
            <w:hideMark/>
          </w:tcPr>
          <w:p w14:paraId="4CFD7B6B" w14:textId="77777777" w:rsidR="00BA538C" w:rsidRPr="00D23BF1" w:rsidRDefault="00BA538C" w:rsidP="00F20BE1">
            <w:pPr>
              <w:rPr>
                <w:rFonts w:ascii="Times" w:hAnsi="Times" w:cs="Calibri"/>
                <w:color w:val="000000"/>
              </w:rPr>
            </w:pPr>
            <w:r w:rsidRPr="00D23BF1">
              <w:rPr>
                <w:rFonts w:ascii="Times" w:hAnsi="Times" w:cs="Calibri"/>
                <w:color w:val="000000"/>
              </w:rPr>
              <w:t>12.37</w:t>
            </w:r>
          </w:p>
        </w:tc>
        <w:tc>
          <w:tcPr>
            <w:tcW w:w="1080" w:type="dxa"/>
            <w:tcBorders>
              <w:top w:val="nil"/>
              <w:left w:val="nil"/>
              <w:bottom w:val="nil"/>
              <w:right w:val="single" w:sz="4" w:space="0" w:color="auto"/>
            </w:tcBorders>
            <w:shd w:val="clear" w:color="auto" w:fill="auto"/>
            <w:noWrap/>
            <w:vAlign w:val="bottom"/>
            <w:hideMark/>
          </w:tcPr>
          <w:p w14:paraId="337491C9" w14:textId="77777777" w:rsidR="00BA538C" w:rsidRPr="00D23BF1" w:rsidRDefault="00BA538C" w:rsidP="00F20BE1">
            <w:pPr>
              <w:rPr>
                <w:rFonts w:ascii="Times" w:hAnsi="Times" w:cs="Calibri"/>
                <w:color w:val="000000"/>
              </w:rPr>
            </w:pPr>
            <w:r w:rsidRPr="00D23BF1">
              <w:rPr>
                <w:rFonts w:ascii="Times" w:hAnsi="Times" w:cs="Calibri"/>
                <w:color w:val="000000"/>
              </w:rPr>
              <w:t>12.64</w:t>
            </w:r>
          </w:p>
        </w:tc>
      </w:tr>
      <w:tr w:rsidR="00BA538C" w:rsidRPr="00D23BF1" w14:paraId="5E1AE9A5" w14:textId="77777777" w:rsidTr="009A40FD">
        <w:trPr>
          <w:trHeight w:val="320"/>
        </w:trPr>
        <w:tc>
          <w:tcPr>
            <w:tcW w:w="523" w:type="dxa"/>
            <w:vMerge/>
            <w:tcBorders>
              <w:top w:val="nil"/>
              <w:left w:val="single" w:sz="4" w:space="0" w:color="auto"/>
              <w:bottom w:val="single" w:sz="4" w:space="0" w:color="000000"/>
              <w:right w:val="single" w:sz="4" w:space="0" w:color="auto"/>
            </w:tcBorders>
            <w:vAlign w:val="center"/>
            <w:hideMark/>
          </w:tcPr>
          <w:p w14:paraId="7EFEBCA9" w14:textId="77777777" w:rsidR="00BA538C" w:rsidRPr="00D23BF1" w:rsidRDefault="00BA538C" w:rsidP="00F20BE1">
            <w:pPr>
              <w:rPr>
                <w:rFonts w:ascii="Times" w:hAnsi="Times" w:cs="Calibri"/>
                <w:color w:val="000000"/>
              </w:rPr>
            </w:pPr>
          </w:p>
        </w:tc>
        <w:tc>
          <w:tcPr>
            <w:tcW w:w="2220" w:type="dxa"/>
            <w:tcBorders>
              <w:top w:val="nil"/>
              <w:left w:val="nil"/>
              <w:bottom w:val="nil"/>
              <w:right w:val="nil"/>
            </w:tcBorders>
            <w:shd w:val="clear" w:color="auto" w:fill="auto"/>
            <w:noWrap/>
            <w:vAlign w:val="bottom"/>
            <w:hideMark/>
          </w:tcPr>
          <w:p w14:paraId="0D98945C" w14:textId="77777777" w:rsidR="00BA538C" w:rsidRPr="00D23BF1" w:rsidRDefault="00BA538C" w:rsidP="00F20BE1">
            <w:pPr>
              <w:rPr>
                <w:rFonts w:ascii="Times" w:hAnsi="Times" w:cs="Calibri"/>
                <w:color w:val="000000"/>
              </w:rPr>
            </w:pPr>
            <w:r w:rsidRPr="00D23BF1">
              <w:rPr>
                <w:rFonts w:ascii="Times" w:hAnsi="Times" w:cs="Calibri"/>
                <w:color w:val="000000"/>
              </w:rPr>
              <w:t>Bill width (mm)</w:t>
            </w:r>
          </w:p>
        </w:tc>
        <w:tc>
          <w:tcPr>
            <w:tcW w:w="1300" w:type="dxa"/>
            <w:tcBorders>
              <w:top w:val="nil"/>
              <w:left w:val="nil"/>
              <w:bottom w:val="nil"/>
              <w:right w:val="nil"/>
            </w:tcBorders>
            <w:shd w:val="clear" w:color="auto" w:fill="auto"/>
            <w:noWrap/>
            <w:vAlign w:val="bottom"/>
            <w:hideMark/>
          </w:tcPr>
          <w:p w14:paraId="318055BB" w14:textId="77777777" w:rsidR="00BA538C" w:rsidRPr="00D23BF1" w:rsidRDefault="00BA538C" w:rsidP="00F20BE1">
            <w:pPr>
              <w:rPr>
                <w:rFonts w:ascii="Times" w:hAnsi="Times" w:cs="Calibri"/>
                <w:color w:val="000000"/>
              </w:rPr>
            </w:pPr>
            <w:r w:rsidRPr="00D23BF1">
              <w:rPr>
                <w:rFonts w:ascii="Times" w:hAnsi="Times" w:cs="Calibri"/>
                <w:color w:val="000000"/>
              </w:rPr>
              <w:t>1.7</w:t>
            </w:r>
          </w:p>
        </w:tc>
        <w:tc>
          <w:tcPr>
            <w:tcW w:w="1300" w:type="dxa"/>
            <w:tcBorders>
              <w:top w:val="nil"/>
              <w:left w:val="nil"/>
              <w:bottom w:val="nil"/>
              <w:right w:val="nil"/>
            </w:tcBorders>
            <w:shd w:val="clear" w:color="auto" w:fill="auto"/>
            <w:noWrap/>
            <w:vAlign w:val="bottom"/>
            <w:hideMark/>
          </w:tcPr>
          <w:p w14:paraId="2365A547" w14:textId="77777777" w:rsidR="00BA538C" w:rsidRPr="00D23BF1" w:rsidRDefault="00BA538C" w:rsidP="00F20BE1">
            <w:pPr>
              <w:rPr>
                <w:rFonts w:ascii="Times" w:hAnsi="Times" w:cs="Calibri"/>
                <w:color w:val="000000"/>
              </w:rPr>
            </w:pPr>
            <w:r w:rsidRPr="00D23BF1">
              <w:rPr>
                <w:rFonts w:ascii="Times" w:hAnsi="Times" w:cs="Calibri"/>
                <w:color w:val="000000"/>
              </w:rPr>
              <w:t>74</w:t>
            </w:r>
          </w:p>
        </w:tc>
        <w:tc>
          <w:tcPr>
            <w:tcW w:w="883" w:type="dxa"/>
            <w:tcBorders>
              <w:top w:val="nil"/>
              <w:left w:val="nil"/>
              <w:bottom w:val="nil"/>
              <w:right w:val="nil"/>
            </w:tcBorders>
            <w:shd w:val="clear" w:color="auto" w:fill="auto"/>
            <w:noWrap/>
            <w:vAlign w:val="bottom"/>
            <w:hideMark/>
          </w:tcPr>
          <w:p w14:paraId="0D824D11" w14:textId="77777777" w:rsidR="00BA538C" w:rsidRPr="00D23BF1" w:rsidRDefault="00BA538C" w:rsidP="00F20BE1">
            <w:pPr>
              <w:rPr>
                <w:rFonts w:ascii="Times" w:hAnsi="Times" w:cs="Calibri"/>
                <w:color w:val="000000"/>
              </w:rPr>
            </w:pPr>
            <w:r w:rsidRPr="00D23BF1">
              <w:rPr>
                <w:rFonts w:ascii="Times" w:hAnsi="Times" w:cs="Calibri"/>
                <w:color w:val="000000"/>
              </w:rPr>
              <w:t>0.094</w:t>
            </w:r>
          </w:p>
        </w:tc>
        <w:tc>
          <w:tcPr>
            <w:tcW w:w="336" w:type="dxa"/>
            <w:tcBorders>
              <w:top w:val="nil"/>
              <w:left w:val="nil"/>
              <w:bottom w:val="nil"/>
              <w:right w:val="nil"/>
            </w:tcBorders>
            <w:shd w:val="clear" w:color="auto" w:fill="auto"/>
            <w:noWrap/>
            <w:vAlign w:val="bottom"/>
            <w:hideMark/>
          </w:tcPr>
          <w:p w14:paraId="5AD34876" w14:textId="77777777" w:rsidR="00BA538C" w:rsidRPr="00D23BF1" w:rsidRDefault="00BA538C" w:rsidP="00F20BE1">
            <w:pPr>
              <w:rPr>
                <w:rFonts w:ascii="Times" w:hAnsi="Times" w:cs="Calibri"/>
                <w:color w:val="000000"/>
              </w:rPr>
            </w:pPr>
          </w:p>
        </w:tc>
        <w:tc>
          <w:tcPr>
            <w:tcW w:w="1088" w:type="dxa"/>
            <w:tcBorders>
              <w:top w:val="nil"/>
              <w:left w:val="nil"/>
              <w:bottom w:val="nil"/>
              <w:right w:val="nil"/>
            </w:tcBorders>
            <w:shd w:val="clear" w:color="auto" w:fill="auto"/>
            <w:noWrap/>
            <w:vAlign w:val="bottom"/>
            <w:hideMark/>
          </w:tcPr>
          <w:p w14:paraId="768FB50D" w14:textId="77777777" w:rsidR="00BA538C" w:rsidRPr="00D23BF1" w:rsidRDefault="00BA538C" w:rsidP="00F20BE1">
            <w:pPr>
              <w:rPr>
                <w:rFonts w:ascii="Times" w:hAnsi="Times" w:cs="Calibri"/>
                <w:color w:val="000000"/>
              </w:rPr>
            </w:pPr>
            <w:r w:rsidRPr="00D23BF1">
              <w:rPr>
                <w:rFonts w:ascii="Times" w:hAnsi="Times" w:cs="Calibri"/>
                <w:color w:val="000000"/>
              </w:rPr>
              <w:t>6.23</w:t>
            </w:r>
          </w:p>
        </w:tc>
        <w:tc>
          <w:tcPr>
            <w:tcW w:w="1080" w:type="dxa"/>
            <w:tcBorders>
              <w:top w:val="nil"/>
              <w:left w:val="nil"/>
              <w:bottom w:val="nil"/>
              <w:right w:val="single" w:sz="4" w:space="0" w:color="auto"/>
            </w:tcBorders>
            <w:shd w:val="clear" w:color="auto" w:fill="auto"/>
            <w:noWrap/>
            <w:vAlign w:val="bottom"/>
            <w:hideMark/>
          </w:tcPr>
          <w:p w14:paraId="022199EE" w14:textId="77777777" w:rsidR="00BA538C" w:rsidRPr="00D23BF1" w:rsidRDefault="00BA538C" w:rsidP="00F20BE1">
            <w:pPr>
              <w:rPr>
                <w:rFonts w:ascii="Times" w:hAnsi="Times" w:cs="Calibri"/>
                <w:color w:val="000000"/>
              </w:rPr>
            </w:pPr>
            <w:r w:rsidRPr="00D23BF1">
              <w:rPr>
                <w:rFonts w:ascii="Times" w:hAnsi="Times" w:cs="Calibri"/>
                <w:color w:val="000000"/>
              </w:rPr>
              <w:t>6.13</w:t>
            </w:r>
          </w:p>
        </w:tc>
      </w:tr>
      <w:tr w:rsidR="00BA538C" w:rsidRPr="00D23BF1" w14:paraId="5B2AC84E" w14:textId="77777777" w:rsidTr="009A40FD">
        <w:trPr>
          <w:trHeight w:val="320"/>
        </w:trPr>
        <w:tc>
          <w:tcPr>
            <w:tcW w:w="523" w:type="dxa"/>
            <w:vMerge/>
            <w:tcBorders>
              <w:top w:val="nil"/>
              <w:left w:val="single" w:sz="4" w:space="0" w:color="auto"/>
              <w:bottom w:val="single" w:sz="4" w:space="0" w:color="000000"/>
              <w:right w:val="single" w:sz="4" w:space="0" w:color="auto"/>
            </w:tcBorders>
            <w:vAlign w:val="center"/>
            <w:hideMark/>
          </w:tcPr>
          <w:p w14:paraId="498242E6" w14:textId="77777777" w:rsidR="00BA538C" w:rsidRPr="00D23BF1" w:rsidRDefault="00BA538C" w:rsidP="00F20BE1">
            <w:pPr>
              <w:rPr>
                <w:rFonts w:ascii="Times" w:hAnsi="Times" w:cs="Calibri"/>
                <w:color w:val="000000"/>
              </w:rPr>
            </w:pPr>
          </w:p>
        </w:tc>
        <w:tc>
          <w:tcPr>
            <w:tcW w:w="2220" w:type="dxa"/>
            <w:tcBorders>
              <w:top w:val="nil"/>
              <w:left w:val="nil"/>
              <w:bottom w:val="nil"/>
              <w:right w:val="nil"/>
            </w:tcBorders>
            <w:shd w:val="clear" w:color="auto" w:fill="auto"/>
            <w:noWrap/>
            <w:vAlign w:val="bottom"/>
            <w:hideMark/>
          </w:tcPr>
          <w:p w14:paraId="254D47E0" w14:textId="77777777" w:rsidR="00BA538C" w:rsidRPr="00D23BF1" w:rsidRDefault="00BA538C" w:rsidP="00F20BE1">
            <w:pPr>
              <w:rPr>
                <w:rFonts w:ascii="Times" w:hAnsi="Times" w:cs="Calibri"/>
                <w:color w:val="000000"/>
              </w:rPr>
            </w:pPr>
            <w:r w:rsidRPr="00D23BF1">
              <w:rPr>
                <w:rFonts w:ascii="Times" w:hAnsi="Times" w:cs="Calibri"/>
                <w:color w:val="000000"/>
              </w:rPr>
              <w:t>Bill depth (mm)</w:t>
            </w:r>
          </w:p>
        </w:tc>
        <w:tc>
          <w:tcPr>
            <w:tcW w:w="1300" w:type="dxa"/>
            <w:tcBorders>
              <w:top w:val="nil"/>
              <w:left w:val="nil"/>
              <w:bottom w:val="nil"/>
              <w:right w:val="nil"/>
            </w:tcBorders>
            <w:shd w:val="clear" w:color="auto" w:fill="auto"/>
            <w:noWrap/>
            <w:vAlign w:val="bottom"/>
            <w:hideMark/>
          </w:tcPr>
          <w:p w14:paraId="20CB1972" w14:textId="77777777" w:rsidR="00BA538C" w:rsidRPr="00D23BF1" w:rsidRDefault="00BA538C" w:rsidP="00F20BE1">
            <w:pPr>
              <w:rPr>
                <w:rFonts w:ascii="Times" w:hAnsi="Times" w:cs="Calibri"/>
                <w:color w:val="000000"/>
              </w:rPr>
            </w:pPr>
            <w:r w:rsidRPr="00D23BF1">
              <w:rPr>
                <w:rFonts w:ascii="Times" w:hAnsi="Times" w:cs="Calibri"/>
                <w:color w:val="000000"/>
              </w:rPr>
              <w:t>1.17</w:t>
            </w:r>
          </w:p>
        </w:tc>
        <w:tc>
          <w:tcPr>
            <w:tcW w:w="1300" w:type="dxa"/>
            <w:tcBorders>
              <w:top w:val="nil"/>
              <w:left w:val="nil"/>
              <w:bottom w:val="nil"/>
              <w:right w:val="nil"/>
            </w:tcBorders>
            <w:shd w:val="clear" w:color="auto" w:fill="auto"/>
            <w:noWrap/>
            <w:vAlign w:val="bottom"/>
            <w:hideMark/>
          </w:tcPr>
          <w:p w14:paraId="2A9BDF51" w14:textId="77777777" w:rsidR="00BA538C" w:rsidRPr="00D23BF1" w:rsidRDefault="00BA538C" w:rsidP="00F20BE1">
            <w:pPr>
              <w:rPr>
                <w:rFonts w:ascii="Times" w:hAnsi="Times" w:cs="Calibri"/>
                <w:color w:val="000000"/>
              </w:rPr>
            </w:pPr>
            <w:r w:rsidRPr="00D23BF1">
              <w:rPr>
                <w:rFonts w:ascii="Times" w:hAnsi="Times" w:cs="Calibri"/>
                <w:color w:val="000000"/>
              </w:rPr>
              <w:t>56</w:t>
            </w:r>
          </w:p>
        </w:tc>
        <w:tc>
          <w:tcPr>
            <w:tcW w:w="883" w:type="dxa"/>
            <w:tcBorders>
              <w:top w:val="nil"/>
              <w:left w:val="nil"/>
              <w:bottom w:val="nil"/>
              <w:right w:val="nil"/>
            </w:tcBorders>
            <w:shd w:val="clear" w:color="auto" w:fill="auto"/>
            <w:noWrap/>
            <w:vAlign w:val="bottom"/>
            <w:hideMark/>
          </w:tcPr>
          <w:p w14:paraId="38D2E30B" w14:textId="77777777" w:rsidR="00BA538C" w:rsidRPr="00D23BF1" w:rsidRDefault="00BA538C" w:rsidP="00F20BE1">
            <w:pPr>
              <w:rPr>
                <w:rFonts w:ascii="Times" w:hAnsi="Times" w:cs="Calibri"/>
                <w:color w:val="000000"/>
              </w:rPr>
            </w:pPr>
            <w:r w:rsidRPr="00D23BF1">
              <w:rPr>
                <w:rFonts w:ascii="Times" w:hAnsi="Times" w:cs="Calibri"/>
                <w:color w:val="000000"/>
              </w:rPr>
              <w:t>0.247</w:t>
            </w:r>
          </w:p>
        </w:tc>
        <w:tc>
          <w:tcPr>
            <w:tcW w:w="336" w:type="dxa"/>
            <w:tcBorders>
              <w:top w:val="nil"/>
              <w:left w:val="nil"/>
              <w:bottom w:val="nil"/>
              <w:right w:val="nil"/>
            </w:tcBorders>
            <w:shd w:val="clear" w:color="auto" w:fill="auto"/>
            <w:noWrap/>
            <w:vAlign w:val="bottom"/>
            <w:hideMark/>
          </w:tcPr>
          <w:p w14:paraId="0D5CF4D1" w14:textId="77777777" w:rsidR="00BA538C" w:rsidRPr="00D23BF1" w:rsidRDefault="00BA538C" w:rsidP="00F20BE1">
            <w:pPr>
              <w:rPr>
                <w:rFonts w:ascii="Times" w:hAnsi="Times" w:cs="Calibri"/>
                <w:color w:val="000000"/>
              </w:rPr>
            </w:pPr>
          </w:p>
        </w:tc>
        <w:tc>
          <w:tcPr>
            <w:tcW w:w="1088" w:type="dxa"/>
            <w:tcBorders>
              <w:top w:val="nil"/>
              <w:left w:val="nil"/>
              <w:bottom w:val="nil"/>
              <w:right w:val="nil"/>
            </w:tcBorders>
            <w:shd w:val="clear" w:color="auto" w:fill="auto"/>
            <w:noWrap/>
            <w:vAlign w:val="bottom"/>
            <w:hideMark/>
          </w:tcPr>
          <w:p w14:paraId="4228A4E8" w14:textId="77777777" w:rsidR="00BA538C" w:rsidRPr="00D23BF1" w:rsidRDefault="00BA538C" w:rsidP="00F20BE1">
            <w:pPr>
              <w:rPr>
                <w:rFonts w:ascii="Times" w:hAnsi="Times" w:cs="Calibri"/>
                <w:color w:val="000000"/>
              </w:rPr>
            </w:pPr>
            <w:r w:rsidRPr="00D23BF1">
              <w:rPr>
                <w:rFonts w:ascii="Times" w:hAnsi="Times" w:cs="Calibri"/>
                <w:color w:val="000000"/>
              </w:rPr>
              <w:t>6.88</w:t>
            </w:r>
          </w:p>
        </w:tc>
        <w:tc>
          <w:tcPr>
            <w:tcW w:w="1080" w:type="dxa"/>
            <w:tcBorders>
              <w:top w:val="nil"/>
              <w:left w:val="nil"/>
              <w:bottom w:val="nil"/>
              <w:right w:val="single" w:sz="4" w:space="0" w:color="auto"/>
            </w:tcBorders>
            <w:shd w:val="clear" w:color="auto" w:fill="auto"/>
            <w:noWrap/>
            <w:vAlign w:val="bottom"/>
            <w:hideMark/>
          </w:tcPr>
          <w:p w14:paraId="2C4B2DDA" w14:textId="77777777" w:rsidR="00BA538C" w:rsidRPr="00D23BF1" w:rsidRDefault="00BA538C" w:rsidP="00F20BE1">
            <w:pPr>
              <w:rPr>
                <w:rFonts w:ascii="Times" w:hAnsi="Times" w:cs="Calibri"/>
                <w:color w:val="000000"/>
              </w:rPr>
            </w:pPr>
            <w:r w:rsidRPr="00D23BF1">
              <w:rPr>
                <w:rFonts w:ascii="Times" w:hAnsi="Times" w:cs="Calibri"/>
                <w:color w:val="000000"/>
              </w:rPr>
              <w:t>6.81</w:t>
            </w:r>
          </w:p>
        </w:tc>
      </w:tr>
      <w:tr w:rsidR="00BA538C" w:rsidRPr="00D23BF1" w14:paraId="181A64E9" w14:textId="77777777" w:rsidTr="009A40FD">
        <w:trPr>
          <w:trHeight w:val="320"/>
        </w:trPr>
        <w:tc>
          <w:tcPr>
            <w:tcW w:w="523" w:type="dxa"/>
            <w:vMerge/>
            <w:tcBorders>
              <w:top w:val="nil"/>
              <w:left w:val="single" w:sz="4" w:space="0" w:color="auto"/>
              <w:bottom w:val="single" w:sz="4" w:space="0" w:color="000000"/>
              <w:right w:val="single" w:sz="4" w:space="0" w:color="auto"/>
            </w:tcBorders>
            <w:vAlign w:val="center"/>
            <w:hideMark/>
          </w:tcPr>
          <w:p w14:paraId="13533673" w14:textId="77777777" w:rsidR="00BA538C" w:rsidRPr="00D23BF1" w:rsidRDefault="00BA538C" w:rsidP="00F20BE1">
            <w:pPr>
              <w:rPr>
                <w:rFonts w:ascii="Times" w:hAnsi="Times" w:cs="Calibri"/>
                <w:color w:val="000000"/>
              </w:rPr>
            </w:pPr>
          </w:p>
        </w:tc>
        <w:tc>
          <w:tcPr>
            <w:tcW w:w="2220" w:type="dxa"/>
            <w:tcBorders>
              <w:top w:val="nil"/>
              <w:left w:val="nil"/>
              <w:bottom w:val="nil"/>
              <w:right w:val="nil"/>
            </w:tcBorders>
            <w:shd w:val="clear" w:color="auto" w:fill="auto"/>
            <w:noWrap/>
            <w:vAlign w:val="bottom"/>
            <w:hideMark/>
          </w:tcPr>
          <w:p w14:paraId="7A5C92A5" w14:textId="77777777" w:rsidR="00BA538C" w:rsidRPr="00D23BF1" w:rsidRDefault="00BA538C" w:rsidP="00F20BE1">
            <w:pPr>
              <w:rPr>
                <w:rFonts w:ascii="Times" w:hAnsi="Times" w:cs="Calibri"/>
                <w:color w:val="000000"/>
              </w:rPr>
            </w:pPr>
            <w:r w:rsidRPr="00D23BF1">
              <w:rPr>
                <w:rFonts w:ascii="Times" w:hAnsi="Times" w:cs="Calibri"/>
                <w:color w:val="000000"/>
              </w:rPr>
              <w:t>Wing chord (mm)</w:t>
            </w:r>
          </w:p>
        </w:tc>
        <w:tc>
          <w:tcPr>
            <w:tcW w:w="1300" w:type="dxa"/>
            <w:tcBorders>
              <w:top w:val="nil"/>
              <w:left w:val="nil"/>
              <w:bottom w:val="nil"/>
              <w:right w:val="nil"/>
            </w:tcBorders>
            <w:shd w:val="clear" w:color="auto" w:fill="auto"/>
            <w:noWrap/>
            <w:vAlign w:val="bottom"/>
            <w:hideMark/>
          </w:tcPr>
          <w:p w14:paraId="4C72BEF9" w14:textId="77777777" w:rsidR="00BA538C" w:rsidRPr="00D23BF1" w:rsidRDefault="00BA538C" w:rsidP="00F20BE1">
            <w:pPr>
              <w:rPr>
                <w:rFonts w:ascii="Times" w:hAnsi="Times" w:cs="Calibri"/>
                <w:color w:val="000000"/>
              </w:rPr>
            </w:pPr>
            <w:r w:rsidRPr="00D23BF1">
              <w:rPr>
                <w:rFonts w:ascii="Times" w:hAnsi="Times" w:cs="Calibri"/>
                <w:color w:val="000000"/>
              </w:rPr>
              <w:t>-0.18</w:t>
            </w:r>
          </w:p>
        </w:tc>
        <w:tc>
          <w:tcPr>
            <w:tcW w:w="1300" w:type="dxa"/>
            <w:tcBorders>
              <w:top w:val="nil"/>
              <w:left w:val="nil"/>
              <w:bottom w:val="nil"/>
              <w:right w:val="nil"/>
            </w:tcBorders>
            <w:shd w:val="clear" w:color="auto" w:fill="auto"/>
            <w:noWrap/>
            <w:vAlign w:val="bottom"/>
            <w:hideMark/>
          </w:tcPr>
          <w:p w14:paraId="69153A2F" w14:textId="77777777" w:rsidR="00BA538C" w:rsidRPr="00D23BF1" w:rsidRDefault="00BA538C" w:rsidP="00F20BE1">
            <w:pPr>
              <w:rPr>
                <w:rFonts w:ascii="Times" w:hAnsi="Times" w:cs="Calibri"/>
                <w:color w:val="000000"/>
              </w:rPr>
            </w:pPr>
            <w:r w:rsidRPr="00D23BF1">
              <w:rPr>
                <w:rFonts w:ascii="Times" w:hAnsi="Times" w:cs="Calibri"/>
                <w:color w:val="000000"/>
              </w:rPr>
              <w:t>72</w:t>
            </w:r>
          </w:p>
        </w:tc>
        <w:tc>
          <w:tcPr>
            <w:tcW w:w="883" w:type="dxa"/>
            <w:tcBorders>
              <w:top w:val="nil"/>
              <w:left w:val="nil"/>
              <w:bottom w:val="nil"/>
              <w:right w:val="nil"/>
            </w:tcBorders>
            <w:shd w:val="clear" w:color="auto" w:fill="auto"/>
            <w:noWrap/>
            <w:vAlign w:val="bottom"/>
            <w:hideMark/>
          </w:tcPr>
          <w:p w14:paraId="6E661435" w14:textId="77777777" w:rsidR="00BA538C" w:rsidRPr="00D23BF1" w:rsidRDefault="00BA538C" w:rsidP="00F20BE1">
            <w:pPr>
              <w:rPr>
                <w:rFonts w:ascii="Times" w:hAnsi="Times" w:cs="Calibri"/>
                <w:color w:val="000000"/>
              </w:rPr>
            </w:pPr>
            <w:r w:rsidRPr="00D23BF1">
              <w:rPr>
                <w:rFonts w:ascii="Times" w:hAnsi="Times" w:cs="Calibri"/>
                <w:color w:val="000000"/>
              </w:rPr>
              <w:t>0.861</w:t>
            </w:r>
          </w:p>
        </w:tc>
        <w:tc>
          <w:tcPr>
            <w:tcW w:w="336" w:type="dxa"/>
            <w:tcBorders>
              <w:top w:val="nil"/>
              <w:left w:val="nil"/>
              <w:bottom w:val="nil"/>
              <w:right w:val="nil"/>
            </w:tcBorders>
            <w:shd w:val="clear" w:color="auto" w:fill="auto"/>
            <w:noWrap/>
            <w:vAlign w:val="bottom"/>
            <w:hideMark/>
          </w:tcPr>
          <w:p w14:paraId="5D222E1D" w14:textId="77777777" w:rsidR="00BA538C" w:rsidRPr="00D23BF1" w:rsidRDefault="00BA538C" w:rsidP="00F20BE1">
            <w:pPr>
              <w:rPr>
                <w:rFonts w:ascii="Times" w:hAnsi="Times" w:cs="Calibri"/>
                <w:color w:val="000000"/>
              </w:rPr>
            </w:pPr>
          </w:p>
        </w:tc>
        <w:tc>
          <w:tcPr>
            <w:tcW w:w="1088" w:type="dxa"/>
            <w:tcBorders>
              <w:top w:val="nil"/>
              <w:left w:val="nil"/>
              <w:bottom w:val="nil"/>
              <w:right w:val="nil"/>
            </w:tcBorders>
            <w:shd w:val="clear" w:color="auto" w:fill="auto"/>
            <w:noWrap/>
            <w:vAlign w:val="bottom"/>
            <w:hideMark/>
          </w:tcPr>
          <w:p w14:paraId="034FE7EE" w14:textId="77777777" w:rsidR="00BA538C" w:rsidRPr="00D23BF1" w:rsidRDefault="00BA538C" w:rsidP="00F20BE1">
            <w:pPr>
              <w:rPr>
                <w:rFonts w:ascii="Times" w:hAnsi="Times" w:cs="Calibri"/>
                <w:color w:val="000000"/>
              </w:rPr>
            </w:pPr>
            <w:r w:rsidRPr="00D23BF1">
              <w:rPr>
                <w:rFonts w:ascii="Times" w:hAnsi="Times" w:cs="Calibri"/>
                <w:color w:val="000000"/>
              </w:rPr>
              <w:t>71.15</w:t>
            </w:r>
          </w:p>
        </w:tc>
        <w:tc>
          <w:tcPr>
            <w:tcW w:w="1080" w:type="dxa"/>
            <w:tcBorders>
              <w:top w:val="nil"/>
              <w:left w:val="nil"/>
              <w:bottom w:val="nil"/>
              <w:right w:val="single" w:sz="4" w:space="0" w:color="auto"/>
            </w:tcBorders>
            <w:shd w:val="clear" w:color="auto" w:fill="auto"/>
            <w:noWrap/>
            <w:vAlign w:val="bottom"/>
            <w:hideMark/>
          </w:tcPr>
          <w:p w14:paraId="2B813D53" w14:textId="77777777" w:rsidR="00BA538C" w:rsidRPr="00D23BF1" w:rsidRDefault="00BA538C" w:rsidP="00F20BE1">
            <w:pPr>
              <w:rPr>
                <w:rFonts w:ascii="Times" w:hAnsi="Times" w:cs="Calibri"/>
                <w:color w:val="000000"/>
              </w:rPr>
            </w:pPr>
            <w:r w:rsidRPr="00D23BF1">
              <w:rPr>
                <w:rFonts w:ascii="Times" w:hAnsi="Times" w:cs="Calibri"/>
                <w:color w:val="000000"/>
              </w:rPr>
              <w:t>71.23</w:t>
            </w:r>
          </w:p>
        </w:tc>
      </w:tr>
      <w:tr w:rsidR="00BA538C" w:rsidRPr="00D23BF1" w14:paraId="53F863FE" w14:textId="77777777" w:rsidTr="009A40FD">
        <w:trPr>
          <w:trHeight w:val="320"/>
        </w:trPr>
        <w:tc>
          <w:tcPr>
            <w:tcW w:w="523" w:type="dxa"/>
            <w:vMerge/>
            <w:tcBorders>
              <w:top w:val="nil"/>
              <w:left w:val="single" w:sz="4" w:space="0" w:color="auto"/>
              <w:bottom w:val="single" w:sz="4" w:space="0" w:color="000000"/>
              <w:right w:val="single" w:sz="4" w:space="0" w:color="auto"/>
            </w:tcBorders>
            <w:vAlign w:val="center"/>
            <w:hideMark/>
          </w:tcPr>
          <w:p w14:paraId="479DFB43" w14:textId="77777777" w:rsidR="00BA538C" w:rsidRPr="00D23BF1" w:rsidRDefault="00BA538C" w:rsidP="00F20BE1">
            <w:pPr>
              <w:rPr>
                <w:rFonts w:ascii="Times" w:hAnsi="Times" w:cs="Calibri"/>
                <w:color w:val="000000"/>
              </w:rPr>
            </w:pPr>
          </w:p>
        </w:tc>
        <w:tc>
          <w:tcPr>
            <w:tcW w:w="2220" w:type="dxa"/>
            <w:tcBorders>
              <w:top w:val="nil"/>
              <w:left w:val="nil"/>
              <w:bottom w:val="nil"/>
              <w:right w:val="nil"/>
            </w:tcBorders>
            <w:shd w:val="clear" w:color="auto" w:fill="auto"/>
            <w:noWrap/>
            <w:vAlign w:val="bottom"/>
            <w:hideMark/>
          </w:tcPr>
          <w:p w14:paraId="12BD1129" w14:textId="77777777" w:rsidR="00BA538C" w:rsidRPr="00D23BF1" w:rsidRDefault="00BA538C" w:rsidP="00F20BE1">
            <w:pPr>
              <w:rPr>
                <w:rFonts w:ascii="Times" w:hAnsi="Times" w:cs="Calibri"/>
                <w:color w:val="000000"/>
              </w:rPr>
            </w:pPr>
            <w:r w:rsidRPr="00D23BF1">
              <w:rPr>
                <w:rFonts w:ascii="Times" w:hAnsi="Times" w:cs="Calibri"/>
                <w:color w:val="000000"/>
              </w:rPr>
              <w:t>Plumage wear</w:t>
            </w:r>
          </w:p>
        </w:tc>
        <w:tc>
          <w:tcPr>
            <w:tcW w:w="1300" w:type="dxa"/>
            <w:tcBorders>
              <w:top w:val="nil"/>
              <w:left w:val="nil"/>
              <w:bottom w:val="nil"/>
              <w:right w:val="nil"/>
            </w:tcBorders>
            <w:shd w:val="clear" w:color="auto" w:fill="auto"/>
            <w:noWrap/>
            <w:vAlign w:val="bottom"/>
            <w:hideMark/>
          </w:tcPr>
          <w:p w14:paraId="7A4800DF" w14:textId="77777777" w:rsidR="00BA538C" w:rsidRPr="00D23BF1" w:rsidRDefault="00BA538C" w:rsidP="00F20BE1">
            <w:pPr>
              <w:rPr>
                <w:rFonts w:ascii="Times" w:hAnsi="Times" w:cs="Calibri"/>
                <w:color w:val="000000"/>
              </w:rPr>
            </w:pPr>
            <w:r w:rsidRPr="00D23BF1">
              <w:rPr>
                <w:rFonts w:ascii="Times" w:hAnsi="Times" w:cs="Calibri"/>
                <w:color w:val="000000"/>
              </w:rPr>
              <w:t>-4.85</w:t>
            </w:r>
          </w:p>
        </w:tc>
        <w:tc>
          <w:tcPr>
            <w:tcW w:w="1300" w:type="dxa"/>
            <w:tcBorders>
              <w:top w:val="nil"/>
              <w:left w:val="nil"/>
              <w:bottom w:val="nil"/>
              <w:right w:val="nil"/>
            </w:tcBorders>
            <w:shd w:val="clear" w:color="auto" w:fill="auto"/>
            <w:noWrap/>
            <w:vAlign w:val="bottom"/>
            <w:hideMark/>
          </w:tcPr>
          <w:p w14:paraId="375666F2" w14:textId="77777777" w:rsidR="00BA538C" w:rsidRPr="00D23BF1" w:rsidRDefault="00BA538C" w:rsidP="00F20BE1">
            <w:pPr>
              <w:rPr>
                <w:rFonts w:ascii="Times" w:hAnsi="Times" w:cs="Calibri"/>
                <w:color w:val="000000"/>
              </w:rPr>
            </w:pPr>
            <w:r w:rsidRPr="00D23BF1">
              <w:rPr>
                <w:rFonts w:ascii="Times" w:hAnsi="Times" w:cs="Calibri"/>
                <w:color w:val="000000"/>
              </w:rPr>
              <w:t>46</w:t>
            </w:r>
          </w:p>
        </w:tc>
        <w:tc>
          <w:tcPr>
            <w:tcW w:w="883" w:type="dxa"/>
            <w:tcBorders>
              <w:top w:val="nil"/>
              <w:left w:val="nil"/>
              <w:bottom w:val="nil"/>
              <w:right w:val="nil"/>
            </w:tcBorders>
            <w:shd w:val="clear" w:color="auto" w:fill="auto"/>
            <w:noWrap/>
            <w:vAlign w:val="bottom"/>
            <w:hideMark/>
          </w:tcPr>
          <w:p w14:paraId="08B8162D" w14:textId="77777777" w:rsidR="00BA538C" w:rsidRPr="00D23BF1" w:rsidRDefault="00BA538C" w:rsidP="00F20BE1">
            <w:pPr>
              <w:rPr>
                <w:rFonts w:ascii="Times" w:hAnsi="Times" w:cs="Calibri"/>
                <w:color w:val="000000"/>
              </w:rPr>
            </w:pPr>
            <w:r w:rsidRPr="00D23BF1">
              <w:rPr>
                <w:rFonts w:ascii="Times" w:hAnsi="Times" w:cs="Calibri"/>
                <w:color w:val="000000"/>
              </w:rPr>
              <w:t>&lt;0.001</w:t>
            </w:r>
          </w:p>
        </w:tc>
        <w:tc>
          <w:tcPr>
            <w:tcW w:w="336" w:type="dxa"/>
            <w:tcBorders>
              <w:top w:val="nil"/>
              <w:left w:val="nil"/>
              <w:bottom w:val="nil"/>
              <w:right w:val="nil"/>
            </w:tcBorders>
            <w:shd w:val="clear" w:color="auto" w:fill="auto"/>
            <w:noWrap/>
            <w:vAlign w:val="bottom"/>
            <w:hideMark/>
          </w:tcPr>
          <w:p w14:paraId="19378209" w14:textId="77777777" w:rsidR="00BA538C" w:rsidRPr="00D23BF1" w:rsidRDefault="00BA538C" w:rsidP="00F20BE1">
            <w:pPr>
              <w:rPr>
                <w:rFonts w:ascii="Times" w:hAnsi="Times" w:cs="Calibri"/>
                <w:color w:val="000000"/>
              </w:rPr>
            </w:pPr>
            <w:r w:rsidRPr="00D23BF1">
              <w:rPr>
                <w:rFonts w:ascii="Times" w:hAnsi="Times" w:cs="Calibri"/>
                <w:color w:val="000000"/>
              </w:rPr>
              <w:t>*</w:t>
            </w:r>
          </w:p>
        </w:tc>
        <w:tc>
          <w:tcPr>
            <w:tcW w:w="1088" w:type="dxa"/>
            <w:tcBorders>
              <w:top w:val="nil"/>
              <w:left w:val="nil"/>
              <w:bottom w:val="nil"/>
              <w:right w:val="nil"/>
            </w:tcBorders>
            <w:shd w:val="clear" w:color="auto" w:fill="auto"/>
            <w:noWrap/>
            <w:vAlign w:val="bottom"/>
            <w:hideMark/>
          </w:tcPr>
          <w:p w14:paraId="018443E7" w14:textId="77777777" w:rsidR="00BA538C" w:rsidRPr="00D23BF1" w:rsidRDefault="00BA538C" w:rsidP="00F20BE1">
            <w:pPr>
              <w:rPr>
                <w:rFonts w:ascii="Times" w:hAnsi="Times" w:cs="Calibri"/>
                <w:color w:val="000000"/>
              </w:rPr>
            </w:pPr>
            <w:r w:rsidRPr="00D23BF1">
              <w:rPr>
                <w:rFonts w:ascii="Times" w:hAnsi="Times" w:cs="Calibri"/>
                <w:color w:val="000000"/>
              </w:rPr>
              <w:t>1.34</w:t>
            </w:r>
          </w:p>
        </w:tc>
        <w:tc>
          <w:tcPr>
            <w:tcW w:w="1080" w:type="dxa"/>
            <w:tcBorders>
              <w:top w:val="nil"/>
              <w:left w:val="nil"/>
              <w:bottom w:val="nil"/>
              <w:right w:val="single" w:sz="4" w:space="0" w:color="auto"/>
            </w:tcBorders>
            <w:shd w:val="clear" w:color="auto" w:fill="auto"/>
            <w:noWrap/>
            <w:vAlign w:val="bottom"/>
            <w:hideMark/>
          </w:tcPr>
          <w:p w14:paraId="4A2DA3F9" w14:textId="77777777" w:rsidR="00BA538C" w:rsidRPr="00D23BF1" w:rsidRDefault="00BA538C" w:rsidP="00F20BE1">
            <w:pPr>
              <w:rPr>
                <w:rFonts w:ascii="Times" w:hAnsi="Times" w:cs="Calibri"/>
                <w:color w:val="000000"/>
              </w:rPr>
            </w:pPr>
            <w:r w:rsidRPr="00D23BF1">
              <w:rPr>
                <w:rFonts w:ascii="Times" w:hAnsi="Times" w:cs="Calibri"/>
                <w:color w:val="000000"/>
              </w:rPr>
              <w:t>2.19</w:t>
            </w:r>
          </w:p>
        </w:tc>
      </w:tr>
      <w:tr w:rsidR="00BA538C" w:rsidRPr="00D23BF1" w14:paraId="3D99495F" w14:textId="77777777" w:rsidTr="009A40FD">
        <w:trPr>
          <w:trHeight w:val="320"/>
        </w:trPr>
        <w:tc>
          <w:tcPr>
            <w:tcW w:w="523" w:type="dxa"/>
            <w:vMerge/>
            <w:tcBorders>
              <w:top w:val="nil"/>
              <w:left w:val="single" w:sz="4" w:space="0" w:color="auto"/>
              <w:bottom w:val="single" w:sz="4" w:space="0" w:color="000000"/>
              <w:right w:val="single" w:sz="4" w:space="0" w:color="auto"/>
            </w:tcBorders>
            <w:vAlign w:val="center"/>
            <w:hideMark/>
          </w:tcPr>
          <w:p w14:paraId="7B20F916" w14:textId="77777777" w:rsidR="00BA538C" w:rsidRPr="00D23BF1" w:rsidRDefault="00BA538C" w:rsidP="00F20BE1">
            <w:pPr>
              <w:rPr>
                <w:rFonts w:ascii="Times" w:hAnsi="Times" w:cs="Calibri"/>
                <w:color w:val="000000"/>
              </w:rPr>
            </w:pPr>
          </w:p>
        </w:tc>
        <w:tc>
          <w:tcPr>
            <w:tcW w:w="2220" w:type="dxa"/>
            <w:tcBorders>
              <w:top w:val="nil"/>
              <w:left w:val="nil"/>
              <w:bottom w:val="nil"/>
              <w:right w:val="nil"/>
            </w:tcBorders>
            <w:shd w:val="clear" w:color="auto" w:fill="auto"/>
            <w:noWrap/>
            <w:vAlign w:val="bottom"/>
            <w:hideMark/>
          </w:tcPr>
          <w:p w14:paraId="3B00BDD3" w14:textId="77777777" w:rsidR="00BA538C" w:rsidRPr="00D23BF1" w:rsidRDefault="00BA538C" w:rsidP="00F20BE1">
            <w:pPr>
              <w:rPr>
                <w:rFonts w:ascii="Times" w:hAnsi="Times" w:cs="Calibri"/>
                <w:color w:val="000000"/>
              </w:rPr>
            </w:pPr>
            <w:r w:rsidRPr="00D23BF1">
              <w:rPr>
                <w:rFonts w:ascii="Times" w:hAnsi="Times" w:cs="Calibri"/>
                <w:color w:val="000000"/>
              </w:rPr>
              <w:t>Fat</w:t>
            </w:r>
          </w:p>
        </w:tc>
        <w:tc>
          <w:tcPr>
            <w:tcW w:w="1300" w:type="dxa"/>
            <w:tcBorders>
              <w:top w:val="nil"/>
              <w:left w:val="nil"/>
              <w:bottom w:val="nil"/>
              <w:right w:val="nil"/>
            </w:tcBorders>
            <w:shd w:val="clear" w:color="auto" w:fill="auto"/>
            <w:noWrap/>
            <w:vAlign w:val="bottom"/>
            <w:hideMark/>
          </w:tcPr>
          <w:p w14:paraId="267F12CF" w14:textId="77777777" w:rsidR="00BA538C" w:rsidRPr="00D23BF1" w:rsidRDefault="00BA538C" w:rsidP="00F20BE1">
            <w:pPr>
              <w:rPr>
                <w:rFonts w:ascii="Times" w:hAnsi="Times" w:cs="Calibri"/>
                <w:color w:val="000000"/>
              </w:rPr>
            </w:pPr>
            <w:r w:rsidRPr="00D23BF1">
              <w:rPr>
                <w:rFonts w:ascii="Times" w:hAnsi="Times" w:cs="Calibri"/>
                <w:color w:val="000000"/>
              </w:rPr>
              <w:t>-0.94</w:t>
            </w:r>
          </w:p>
        </w:tc>
        <w:tc>
          <w:tcPr>
            <w:tcW w:w="1300" w:type="dxa"/>
            <w:tcBorders>
              <w:top w:val="nil"/>
              <w:left w:val="nil"/>
              <w:bottom w:val="nil"/>
              <w:right w:val="nil"/>
            </w:tcBorders>
            <w:shd w:val="clear" w:color="auto" w:fill="auto"/>
            <w:noWrap/>
            <w:vAlign w:val="bottom"/>
            <w:hideMark/>
          </w:tcPr>
          <w:p w14:paraId="740149CA" w14:textId="77777777" w:rsidR="00BA538C" w:rsidRPr="00D23BF1" w:rsidRDefault="00BA538C" w:rsidP="00F20BE1">
            <w:pPr>
              <w:rPr>
                <w:rFonts w:ascii="Times" w:hAnsi="Times" w:cs="Calibri"/>
                <w:color w:val="000000"/>
              </w:rPr>
            </w:pPr>
            <w:r w:rsidRPr="00D23BF1">
              <w:rPr>
                <w:rFonts w:ascii="Times" w:hAnsi="Times" w:cs="Calibri"/>
                <w:color w:val="000000"/>
              </w:rPr>
              <w:t>63</w:t>
            </w:r>
          </w:p>
        </w:tc>
        <w:tc>
          <w:tcPr>
            <w:tcW w:w="883" w:type="dxa"/>
            <w:tcBorders>
              <w:top w:val="nil"/>
              <w:left w:val="nil"/>
              <w:bottom w:val="nil"/>
              <w:right w:val="nil"/>
            </w:tcBorders>
            <w:shd w:val="clear" w:color="auto" w:fill="auto"/>
            <w:noWrap/>
            <w:vAlign w:val="bottom"/>
            <w:hideMark/>
          </w:tcPr>
          <w:p w14:paraId="7078CC3B" w14:textId="77777777" w:rsidR="00BA538C" w:rsidRPr="00D23BF1" w:rsidRDefault="00BA538C" w:rsidP="00F20BE1">
            <w:pPr>
              <w:rPr>
                <w:rFonts w:ascii="Times" w:hAnsi="Times" w:cs="Calibri"/>
                <w:color w:val="000000"/>
              </w:rPr>
            </w:pPr>
            <w:r w:rsidRPr="00D23BF1">
              <w:rPr>
                <w:rFonts w:ascii="Times" w:hAnsi="Times" w:cs="Calibri"/>
                <w:color w:val="000000"/>
              </w:rPr>
              <w:t>0.353</w:t>
            </w:r>
          </w:p>
        </w:tc>
        <w:tc>
          <w:tcPr>
            <w:tcW w:w="336" w:type="dxa"/>
            <w:tcBorders>
              <w:top w:val="nil"/>
              <w:left w:val="nil"/>
              <w:bottom w:val="nil"/>
              <w:right w:val="nil"/>
            </w:tcBorders>
            <w:shd w:val="clear" w:color="auto" w:fill="auto"/>
            <w:noWrap/>
            <w:vAlign w:val="bottom"/>
            <w:hideMark/>
          </w:tcPr>
          <w:p w14:paraId="653FEB64" w14:textId="77777777" w:rsidR="00BA538C" w:rsidRPr="00D23BF1" w:rsidRDefault="00BA538C" w:rsidP="00F20BE1">
            <w:pPr>
              <w:rPr>
                <w:rFonts w:ascii="Times" w:hAnsi="Times" w:cs="Calibri"/>
                <w:color w:val="000000"/>
              </w:rPr>
            </w:pPr>
          </w:p>
        </w:tc>
        <w:tc>
          <w:tcPr>
            <w:tcW w:w="1088" w:type="dxa"/>
            <w:tcBorders>
              <w:top w:val="nil"/>
              <w:left w:val="nil"/>
              <w:bottom w:val="nil"/>
              <w:right w:val="nil"/>
            </w:tcBorders>
            <w:shd w:val="clear" w:color="auto" w:fill="auto"/>
            <w:noWrap/>
            <w:vAlign w:val="bottom"/>
            <w:hideMark/>
          </w:tcPr>
          <w:p w14:paraId="60365430" w14:textId="77777777" w:rsidR="00BA538C" w:rsidRPr="00D23BF1" w:rsidRDefault="00BA538C" w:rsidP="00F20BE1">
            <w:pPr>
              <w:rPr>
                <w:rFonts w:ascii="Times" w:hAnsi="Times" w:cs="Calibri"/>
                <w:color w:val="000000"/>
              </w:rPr>
            </w:pPr>
            <w:r w:rsidRPr="00D23BF1">
              <w:rPr>
                <w:rFonts w:ascii="Times" w:hAnsi="Times" w:cs="Calibri"/>
                <w:color w:val="000000"/>
              </w:rPr>
              <w:t>1.17</w:t>
            </w:r>
          </w:p>
        </w:tc>
        <w:tc>
          <w:tcPr>
            <w:tcW w:w="1080" w:type="dxa"/>
            <w:tcBorders>
              <w:top w:val="nil"/>
              <w:left w:val="nil"/>
              <w:bottom w:val="nil"/>
              <w:right w:val="single" w:sz="4" w:space="0" w:color="auto"/>
            </w:tcBorders>
            <w:shd w:val="clear" w:color="auto" w:fill="auto"/>
            <w:noWrap/>
            <w:vAlign w:val="bottom"/>
            <w:hideMark/>
          </w:tcPr>
          <w:p w14:paraId="1F488EC1" w14:textId="77777777" w:rsidR="00BA538C" w:rsidRPr="00D23BF1" w:rsidRDefault="00BA538C" w:rsidP="00F20BE1">
            <w:pPr>
              <w:rPr>
                <w:rFonts w:ascii="Times" w:hAnsi="Times" w:cs="Calibri"/>
                <w:color w:val="000000"/>
              </w:rPr>
            </w:pPr>
            <w:r w:rsidRPr="00D23BF1">
              <w:rPr>
                <w:rFonts w:ascii="Times" w:hAnsi="Times" w:cs="Calibri"/>
                <w:color w:val="000000"/>
              </w:rPr>
              <w:t>1.35</w:t>
            </w:r>
          </w:p>
        </w:tc>
      </w:tr>
      <w:tr w:rsidR="00BA538C" w:rsidRPr="00D23BF1" w14:paraId="522704EA" w14:textId="77777777" w:rsidTr="009A40FD">
        <w:trPr>
          <w:trHeight w:val="320"/>
        </w:trPr>
        <w:tc>
          <w:tcPr>
            <w:tcW w:w="523" w:type="dxa"/>
            <w:vMerge/>
            <w:tcBorders>
              <w:top w:val="nil"/>
              <w:left w:val="single" w:sz="4" w:space="0" w:color="auto"/>
              <w:bottom w:val="single" w:sz="4" w:space="0" w:color="000000"/>
              <w:right w:val="single" w:sz="4" w:space="0" w:color="auto"/>
            </w:tcBorders>
            <w:vAlign w:val="center"/>
            <w:hideMark/>
          </w:tcPr>
          <w:p w14:paraId="3CA09163" w14:textId="77777777" w:rsidR="00BA538C" w:rsidRPr="00D23BF1" w:rsidRDefault="00BA538C" w:rsidP="00F20BE1">
            <w:pPr>
              <w:rPr>
                <w:rFonts w:ascii="Times" w:hAnsi="Times" w:cs="Calibri"/>
                <w:color w:val="000000"/>
              </w:rPr>
            </w:pPr>
          </w:p>
        </w:tc>
        <w:tc>
          <w:tcPr>
            <w:tcW w:w="2220" w:type="dxa"/>
            <w:tcBorders>
              <w:top w:val="nil"/>
              <w:left w:val="nil"/>
              <w:bottom w:val="nil"/>
              <w:right w:val="nil"/>
            </w:tcBorders>
            <w:shd w:val="clear" w:color="auto" w:fill="auto"/>
            <w:noWrap/>
            <w:vAlign w:val="bottom"/>
            <w:hideMark/>
          </w:tcPr>
          <w:p w14:paraId="76F64E91" w14:textId="77777777" w:rsidR="00BA538C" w:rsidRPr="00D23BF1" w:rsidRDefault="00BA538C" w:rsidP="00F20BE1">
            <w:pPr>
              <w:rPr>
                <w:rFonts w:ascii="Times" w:hAnsi="Times" w:cs="Calibri"/>
                <w:color w:val="000000"/>
              </w:rPr>
            </w:pPr>
            <w:r w:rsidRPr="00D23BF1">
              <w:rPr>
                <w:rFonts w:ascii="Times" w:hAnsi="Times" w:cs="Calibri"/>
                <w:color w:val="000000"/>
              </w:rPr>
              <w:t>Plumage fade</w:t>
            </w:r>
          </w:p>
        </w:tc>
        <w:tc>
          <w:tcPr>
            <w:tcW w:w="1300" w:type="dxa"/>
            <w:tcBorders>
              <w:top w:val="nil"/>
              <w:left w:val="nil"/>
              <w:bottom w:val="nil"/>
              <w:right w:val="nil"/>
            </w:tcBorders>
            <w:shd w:val="clear" w:color="auto" w:fill="auto"/>
            <w:noWrap/>
            <w:vAlign w:val="bottom"/>
            <w:hideMark/>
          </w:tcPr>
          <w:p w14:paraId="6230F514" w14:textId="77777777" w:rsidR="00BA538C" w:rsidRPr="00D23BF1" w:rsidRDefault="00BA538C" w:rsidP="00F20BE1">
            <w:pPr>
              <w:rPr>
                <w:rFonts w:ascii="Times" w:hAnsi="Times" w:cs="Calibri"/>
                <w:color w:val="000000"/>
              </w:rPr>
            </w:pPr>
            <w:r w:rsidRPr="00D23BF1">
              <w:rPr>
                <w:rFonts w:ascii="Times" w:hAnsi="Times" w:cs="Calibri"/>
                <w:color w:val="000000"/>
              </w:rPr>
              <w:t>-1.63</w:t>
            </w:r>
          </w:p>
        </w:tc>
        <w:tc>
          <w:tcPr>
            <w:tcW w:w="1300" w:type="dxa"/>
            <w:tcBorders>
              <w:top w:val="nil"/>
              <w:left w:val="nil"/>
              <w:bottom w:val="nil"/>
              <w:right w:val="nil"/>
            </w:tcBorders>
            <w:shd w:val="clear" w:color="auto" w:fill="auto"/>
            <w:noWrap/>
            <w:vAlign w:val="bottom"/>
            <w:hideMark/>
          </w:tcPr>
          <w:p w14:paraId="0B36E965" w14:textId="77777777" w:rsidR="00BA538C" w:rsidRPr="00D23BF1" w:rsidRDefault="00BA538C" w:rsidP="00F20BE1">
            <w:pPr>
              <w:rPr>
                <w:rFonts w:ascii="Times" w:hAnsi="Times" w:cs="Calibri"/>
                <w:color w:val="000000"/>
              </w:rPr>
            </w:pPr>
            <w:r w:rsidRPr="00D23BF1">
              <w:rPr>
                <w:rFonts w:ascii="Times" w:hAnsi="Times" w:cs="Calibri"/>
                <w:color w:val="000000"/>
              </w:rPr>
              <w:t>76</w:t>
            </w:r>
          </w:p>
        </w:tc>
        <w:tc>
          <w:tcPr>
            <w:tcW w:w="883" w:type="dxa"/>
            <w:tcBorders>
              <w:top w:val="nil"/>
              <w:left w:val="nil"/>
              <w:bottom w:val="nil"/>
              <w:right w:val="nil"/>
            </w:tcBorders>
            <w:shd w:val="clear" w:color="auto" w:fill="auto"/>
            <w:noWrap/>
            <w:vAlign w:val="bottom"/>
            <w:hideMark/>
          </w:tcPr>
          <w:p w14:paraId="54A47519" w14:textId="77777777" w:rsidR="00BA538C" w:rsidRPr="00D23BF1" w:rsidRDefault="00BA538C" w:rsidP="00F20BE1">
            <w:pPr>
              <w:rPr>
                <w:rFonts w:ascii="Times" w:hAnsi="Times" w:cs="Calibri"/>
                <w:color w:val="000000"/>
              </w:rPr>
            </w:pPr>
            <w:r w:rsidRPr="00D23BF1">
              <w:rPr>
                <w:rFonts w:ascii="Times" w:hAnsi="Times" w:cs="Calibri"/>
                <w:color w:val="000000"/>
              </w:rPr>
              <w:t>0.108</w:t>
            </w:r>
          </w:p>
        </w:tc>
        <w:tc>
          <w:tcPr>
            <w:tcW w:w="336" w:type="dxa"/>
            <w:tcBorders>
              <w:top w:val="nil"/>
              <w:left w:val="nil"/>
              <w:bottom w:val="nil"/>
              <w:right w:val="nil"/>
            </w:tcBorders>
            <w:shd w:val="clear" w:color="auto" w:fill="auto"/>
            <w:noWrap/>
            <w:vAlign w:val="bottom"/>
            <w:hideMark/>
          </w:tcPr>
          <w:p w14:paraId="442D1CC5" w14:textId="77777777" w:rsidR="00BA538C" w:rsidRPr="00D23BF1" w:rsidRDefault="00BA538C" w:rsidP="00F20BE1">
            <w:pPr>
              <w:rPr>
                <w:rFonts w:ascii="Times" w:hAnsi="Times" w:cs="Calibri"/>
                <w:color w:val="000000"/>
              </w:rPr>
            </w:pPr>
          </w:p>
        </w:tc>
        <w:tc>
          <w:tcPr>
            <w:tcW w:w="1088" w:type="dxa"/>
            <w:tcBorders>
              <w:top w:val="nil"/>
              <w:left w:val="nil"/>
              <w:bottom w:val="nil"/>
              <w:right w:val="nil"/>
            </w:tcBorders>
            <w:shd w:val="clear" w:color="auto" w:fill="auto"/>
            <w:noWrap/>
            <w:vAlign w:val="bottom"/>
            <w:hideMark/>
          </w:tcPr>
          <w:p w14:paraId="11B57F7F" w14:textId="77777777" w:rsidR="00BA538C" w:rsidRPr="00D23BF1" w:rsidRDefault="00BA538C" w:rsidP="00F20BE1">
            <w:pPr>
              <w:rPr>
                <w:rFonts w:ascii="Times" w:hAnsi="Times" w:cs="Calibri"/>
                <w:color w:val="000000"/>
              </w:rPr>
            </w:pPr>
            <w:r w:rsidRPr="00D23BF1">
              <w:rPr>
                <w:rFonts w:ascii="Times" w:hAnsi="Times" w:cs="Calibri"/>
                <w:color w:val="000000"/>
              </w:rPr>
              <w:t>0.49</w:t>
            </w:r>
          </w:p>
        </w:tc>
        <w:tc>
          <w:tcPr>
            <w:tcW w:w="1080" w:type="dxa"/>
            <w:tcBorders>
              <w:top w:val="nil"/>
              <w:left w:val="nil"/>
              <w:bottom w:val="nil"/>
              <w:right w:val="single" w:sz="4" w:space="0" w:color="auto"/>
            </w:tcBorders>
            <w:shd w:val="clear" w:color="auto" w:fill="auto"/>
            <w:noWrap/>
            <w:vAlign w:val="bottom"/>
            <w:hideMark/>
          </w:tcPr>
          <w:p w14:paraId="7AE8DB03" w14:textId="77777777" w:rsidR="00BA538C" w:rsidRPr="00D23BF1" w:rsidRDefault="00BA538C" w:rsidP="00F20BE1">
            <w:pPr>
              <w:rPr>
                <w:rFonts w:ascii="Times" w:hAnsi="Times" w:cs="Calibri"/>
                <w:color w:val="000000"/>
              </w:rPr>
            </w:pPr>
            <w:r w:rsidRPr="00D23BF1">
              <w:rPr>
                <w:rFonts w:ascii="Times" w:hAnsi="Times" w:cs="Calibri"/>
                <w:color w:val="000000"/>
              </w:rPr>
              <w:t>0.71</w:t>
            </w:r>
          </w:p>
        </w:tc>
      </w:tr>
      <w:tr w:rsidR="00BA538C" w:rsidRPr="00D23BF1" w14:paraId="10C6BB8A" w14:textId="77777777" w:rsidTr="009A40FD">
        <w:trPr>
          <w:trHeight w:val="320"/>
        </w:trPr>
        <w:tc>
          <w:tcPr>
            <w:tcW w:w="523" w:type="dxa"/>
            <w:vMerge/>
            <w:tcBorders>
              <w:top w:val="nil"/>
              <w:left w:val="single" w:sz="4" w:space="0" w:color="auto"/>
              <w:bottom w:val="single" w:sz="4" w:space="0" w:color="000000"/>
              <w:right w:val="single" w:sz="4" w:space="0" w:color="auto"/>
            </w:tcBorders>
            <w:vAlign w:val="center"/>
            <w:hideMark/>
          </w:tcPr>
          <w:p w14:paraId="3DF4648B" w14:textId="77777777" w:rsidR="00BA538C" w:rsidRPr="00D23BF1" w:rsidRDefault="00BA538C" w:rsidP="00F20BE1">
            <w:pPr>
              <w:rPr>
                <w:rFonts w:ascii="Times" w:hAnsi="Times" w:cs="Calibri"/>
                <w:color w:val="000000"/>
              </w:rPr>
            </w:pPr>
          </w:p>
        </w:tc>
        <w:tc>
          <w:tcPr>
            <w:tcW w:w="2220" w:type="dxa"/>
            <w:tcBorders>
              <w:top w:val="nil"/>
              <w:left w:val="nil"/>
              <w:bottom w:val="single" w:sz="4" w:space="0" w:color="auto"/>
              <w:right w:val="nil"/>
            </w:tcBorders>
            <w:shd w:val="clear" w:color="auto" w:fill="auto"/>
            <w:noWrap/>
            <w:vAlign w:val="bottom"/>
            <w:hideMark/>
          </w:tcPr>
          <w:p w14:paraId="63C1F2AC" w14:textId="77777777" w:rsidR="00BA538C" w:rsidRPr="00D23BF1" w:rsidRDefault="00BA538C" w:rsidP="00F20BE1">
            <w:pPr>
              <w:rPr>
                <w:rFonts w:ascii="Times" w:hAnsi="Times" w:cs="Calibri"/>
                <w:color w:val="000000"/>
              </w:rPr>
            </w:pPr>
            <w:r w:rsidRPr="00D23BF1">
              <w:rPr>
                <w:rFonts w:ascii="Times" w:hAnsi="Times" w:cs="Calibri"/>
                <w:color w:val="000000"/>
              </w:rPr>
              <w:t>Body condition</w:t>
            </w:r>
          </w:p>
        </w:tc>
        <w:tc>
          <w:tcPr>
            <w:tcW w:w="1300" w:type="dxa"/>
            <w:tcBorders>
              <w:top w:val="nil"/>
              <w:left w:val="nil"/>
              <w:bottom w:val="single" w:sz="4" w:space="0" w:color="auto"/>
              <w:right w:val="nil"/>
            </w:tcBorders>
            <w:shd w:val="clear" w:color="auto" w:fill="auto"/>
            <w:noWrap/>
            <w:vAlign w:val="bottom"/>
            <w:hideMark/>
          </w:tcPr>
          <w:p w14:paraId="2287A9F2" w14:textId="77777777" w:rsidR="00BA538C" w:rsidRPr="00D23BF1" w:rsidRDefault="00BA538C" w:rsidP="00F20BE1">
            <w:pPr>
              <w:rPr>
                <w:rFonts w:ascii="Times" w:hAnsi="Times" w:cs="Calibri"/>
                <w:color w:val="000000"/>
              </w:rPr>
            </w:pPr>
            <w:r w:rsidRPr="00D23BF1">
              <w:rPr>
                <w:rFonts w:ascii="Times" w:hAnsi="Times" w:cs="Calibri"/>
                <w:color w:val="000000"/>
              </w:rPr>
              <w:t>-1.02</w:t>
            </w:r>
          </w:p>
        </w:tc>
        <w:tc>
          <w:tcPr>
            <w:tcW w:w="1300" w:type="dxa"/>
            <w:tcBorders>
              <w:top w:val="nil"/>
              <w:left w:val="nil"/>
              <w:bottom w:val="single" w:sz="4" w:space="0" w:color="auto"/>
              <w:right w:val="nil"/>
            </w:tcBorders>
            <w:shd w:val="clear" w:color="auto" w:fill="auto"/>
            <w:noWrap/>
            <w:vAlign w:val="bottom"/>
            <w:hideMark/>
          </w:tcPr>
          <w:p w14:paraId="498F6D40" w14:textId="77777777" w:rsidR="00BA538C" w:rsidRPr="00D23BF1" w:rsidRDefault="00BA538C" w:rsidP="00F20BE1">
            <w:pPr>
              <w:rPr>
                <w:rFonts w:ascii="Times" w:hAnsi="Times" w:cs="Calibri"/>
                <w:color w:val="000000"/>
              </w:rPr>
            </w:pPr>
            <w:r w:rsidRPr="00D23BF1">
              <w:rPr>
                <w:rFonts w:ascii="Times" w:hAnsi="Times" w:cs="Calibri"/>
                <w:color w:val="000000"/>
              </w:rPr>
              <w:t>57</w:t>
            </w:r>
          </w:p>
        </w:tc>
        <w:tc>
          <w:tcPr>
            <w:tcW w:w="883" w:type="dxa"/>
            <w:tcBorders>
              <w:top w:val="nil"/>
              <w:left w:val="nil"/>
              <w:bottom w:val="single" w:sz="4" w:space="0" w:color="auto"/>
              <w:right w:val="nil"/>
            </w:tcBorders>
            <w:shd w:val="clear" w:color="auto" w:fill="auto"/>
            <w:noWrap/>
            <w:vAlign w:val="bottom"/>
            <w:hideMark/>
          </w:tcPr>
          <w:p w14:paraId="1E5EFCE7" w14:textId="77777777" w:rsidR="00BA538C" w:rsidRPr="00D23BF1" w:rsidRDefault="00BA538C" w:rsidP="00F20BE1">
            <w:pPr>
              <w:rPr>
                <w:rFonts w:ascii="Times" w:hAnsi="Times" w:cs="Calibri"/>
                <w:color w:val="000000"/>
              </w:rPr>
            </w:pPr>
            <w:r w:rsidRPr="00D23BF1">
              <w:rPr>
                <w:rFonts w:ascii="Times" w:hAnsi="Times" w:cs="Calibri"/>
                <w:color w:val="000000"/>
              </w:rPr>
              <w:t>0.312</w:t>
            </w:r>
          </w:p>
        </w:tc>
        <w:tc>
          <w:tcPr>
            <w:tcW w:w="336" w:type="dxa"/>
            <w:tcBorders>
              <w:top w:val="nil"/>
              <w:left w:val="nil"/>
              <w:bottom w:val="single" w:sz="4" w:space="0" w:color="auto"/>
              <w:right w:val="nil"/>
            </w:tcBorders>
            <w:shd w:val="clear" w:color="auto" w:fill="auto"/>
            <w:noWrap/>
            <w:vAlign w:val="bottom"/>
            <w:hideMark/>
          </w:tcPr>
          <w:p w14:paraId="3D18FCCA" w14:textId="77777777" w:rsidR="00BA538C" w:rsidRPr="00D23BF1" w:rsidRDefault="00BA538C" w:rsidP="00F20BE1">
            <w:pPr>
              <w:rPr>
                <w:rFonts w:ascii="Times" w:hAnsi="Times" w:cs="Calibri"/>
                <w:color w:val="000000"/>
              </w:rPr>
            </w:pPr>
          </w:p>
        </w:tc>
        <w:tc>
          <w:tcPr>
            <w:tcW w:w="1088" w:type="dxa"/>
            <w:tcBorders>
              <w:top w:val="nil"/>
              <w:left w:val="nil"/>
              <w:bottom w:val="single" w:sz="4" w:space="0" w:color="auto"/>
              <w:right w:val="nil"/>
            </w:tcBorders>
            <w:shd w:val="clear" w:color="auto" w:fill="auto"/>
            <w:noWrap/>
            <w:vAlign w:val="bottom"/>
            <w:hideMark/>
          </w:tcPr>
          <w:p w14:paraId="02A6A72E" w14:textId="77777777" w:rsidR="00BA538C" w:rsidRPr="00D23BF1" w:rsidRDefault="00BA538C" w:rsidP="00F20BE1">
            <w:pPr>
              <w:rPr>
                <w:rFonts w:ascii="Times" w:hAnsi="Times" w:cs="Calibri"/>
                <w:color w:val="000000"/>
              </w:rPr>
            </w:pPr>
            <w:r w:rsidRPr="00D23BF1">
              <w:rPr>
                <w:rFonts w:ascii="Times" w:hAnsi="Times" w:cs="Calibri"/>
                <w:color w:val="000000"/>
              </w:rPr>
              <w:t>31.16</w:t>
            </w:r>
          </w:p>
        </w:tc>
        <w:tc>
          <w:tcPr>
            <w:tcW w:w="1080" w:type="dxa"/>
            <w:tcBorders>
              <w:top w:val="nil"/>
              <w:left w:val="nil"/>
              <w:bottom w:val="single" w:sz="4" w:space="0" w:color="auto"/>
              <w:right w:val="single" w:sz="4" w:space="0" w:color="auto"/>
            </w:tcBorders>
            <w:shd w:val="clear" w:color="auto" w:fill="auto"/>
            <w:noWrap/>
            <w:vAlign w:val="bottom"/>
            <w:hideMark/>
          </w:tcPr>
          <w:p w14:paraId="4E68425D" w14:textId="77777777" w:rsidR="00BA538C" w:rsidRPr="00D23BF1" w:rsidRDefault="00BA538C" w:rsidP="00F20BE1">
            <w:pPr>
              <w:rPr>
                <w:rFonts w:ascii="Times" w:hAnsi="Times" w:cs="Calibri"/>
                <w:color w:val="000000"/>
              </w:rPr>
            </w:pPr>
            <w:r w:rsidRPr="00D23BF1">
              <w:rPr>
                <w:rFonts w:ascii="Times" w:hAnsi="Times" w:cs="Calibri"/>
                <w:color w:val="000000"/>
              </w:rPr>
              <w:t>31.54</w:t>
            </w:r>
          </w:p>
        </w:tc>
      </w:tr>
      <w:tr w:rsidR="00BA538C" w:rsidRPr="00D23BF1" w14:paraId="39E02A8A" w14:textId="77777777" w:rsidTr="009A40FD">
        <w:trPr>
          <w:trHeight w:val="320"/>
        </w:trPr>
        <w:tc>
          <w:tcPr>
            <w:tcW w:w="523"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331547C5" w14:textId="77777777" w:rsidR="00BA538C" w:rsidRPr="00D23BF1" w:rsidRDefault="00BA538C" w:rsidP="00F20BE1">
            <w:pPr>
              <w:rPr>
                <w:rFonts w:ascii="Times" w:hAnsi="Times" w:cs="Calibri"/>
                <w:color w:val="000000"/>
              </w:rPr>
            </w:pPr>
            <w:r w:rsidRPr="00D23BF1">
              <w:rPr>
                <w:rFonts w:ascii="Times" w:hAnsi="Times" w:cs="Calibri"/>
                <w:color w:val="000000"/>
              </w:rPr>
              <w:t>environmental</w:t>
            </w:r>
          </w:p>
        </w:tc>
        <w:tc>
          <w:tcPr>
            <w:tcW w:w="2220" w:type="dxa"/>
            <w:tcBorders>
              <w:top w:val="nil"/>
              <w:left w:val="nil"/>
              <w:bottom w:val="nil"/>
              <w:right w:val="nil"/>
            </w:tcBorders>
            <w:shd w:val="clear" w:color="auto" w:fill="auto"/>
            <w:noWrap/>
            <w:vAlign w:val="bottom"/>
            <w:hideMark/>
          </w:tcPr>
          <w:p w14:paraId="526F119A" w14:textId="77777777" w:rsidR="00BA538C" w:rsidRPr="00D23BF1" w:rsidRDefault="00BA538C" w:rsidP="00F20BE1">
            <w:pPr>
              <w:rPr>
                <w:rFonts w:ascii="Times" w:hAnsi="Times" w:cs="Calibri"/>
                <w:color w:val="000000"/>
              </w:rPr>
            </w:pPr>
            <w:r w:rsidRPr="00D23BF1">
              <w:rPr>
                <w:rFonts w:ascii="Times" w:hAnsi="Times" w:cs="Calibri"/>
                <w:color w:val="000000"/>
              </w:rPr>
              <w:t>Noise (dB)</w:t>
            </w:r>
          </w:p>
        </w:tc>
        <w:tc>
          <w:tcPr>
            <w:tcW w:w="1300" w:type="dxa"/>
            <w:tcBorders>
              <w:top w:val="nil"/>
              <w:left w:val="nil"/>
              <w:bottom w:val="nil"/>
              <w:right w:val="nil"/>
            </w:tcBorders>
            <w:shd w:val="clear" w:color="auto" w:fill="auto"/>
            <w:noWrap/>
            <w:vAlign w:val="bottom"/>
            <w:hideMark/>
          </w:tcPr>
          <w:p w14:paraId="0A033443" w14:textId="77777777" w:rsidR="00BA538C" w:rsidRPr="00D23BF1" w:rsidRDefault="00BA538C" w:rsidP="00F20BE1">
            <w:pPr>
              <w:rPr>
                <w:rFonts w:ascii="Times" w:hAnsi="Times" w:cs="Calibri"/>
                <w:color w:val="000000"/>
              </w:rPr>
            </w:pPr>
            <w:r w:rsidRPr="00D23BF1">
              <w:rPr>
                <w:rFonts w:ascii="Times" w:hAnsi="Times" w:cs="Calibri"/>
                <w:color w:val="000000"/>
              </w:rPr>
              <w:t>7.33</w:t>
            </w:r>
          </w:p>
        </w:tc>
        <w:tc>
          <w:tcPr>
            <w:tcW w:w="1300" w:type="dxa"/>
            <w:tcBorders>
              <w:top w:val="nil"/>
              <w:left w:val="nil"/>
              <w:bottom w:val="nil"/>
              <w:right w:val="nil"/>
            </w:tcBorders>
            <w:shd w:val="clear" w:color="auto" w:fill="auto"/>
            <w:noWrap/>
            <w:vAlign w:val="bottom"/>
            <w:hideMark/>
          </w:tcPr>
          <w:p w14:paraId="37F8B6B9" w14:textId="77777777" w:rsidR="00BA538C" w:rsidRPr="00D23BF1" w:rsidRDefault="00BA538C" w:rsidP="00F20BE1">
            <w:pPr>
              <w:rPr>
                <w:rFonts w:ascii="Times" w:hAnsi="Times" w:cs="Calibri"/>
                <w:color w:val="000000"/>
              </w:rPr>
            </w:pPr>
            <w:r w:rsidRPr="00D23BF1">
              <w:rPr>
                <w:rFonts w:ascii="Times" w:hAnsi="Times" w:cs="Calibri"/>
                <w:color w:val="000000"/>
              </w:rPr>
              <w:t>80</w:t>
            </w:r>
          </w:p>
        </w:tc>
        <w:tc>
          <w:tcPr>
            <w:tcW w:w="883" w:type="dxa"/>
            <w:tcBorders>
              <w:top w:val="nil"/>
              <w:left w:val="nil"/>
              <w:bottom w:val="nil"/>
              <w:right w:val="nil"/>
            </w:tcBorders>
            <w:shd w:val="clear" w:color="auto" w:fill="auto"/>
            <w:noWrap/>
            <w:vAlign w:val="bottom"/>
            <w:hideMark/>
          </w:tcPr>
          <w:p w14:paraId="5B869C84" w14:textId="77777777" w:rsidR="00BA538C" w:rsidRPr="00D23BF1" w:rsidRDefault="00BA538C" w:rsidP="00F20BE1">
            <w:pPr>
              <w:rPr>
                <w:rFonts w:ascii="Times" w:hAnsi="Times" w:cs="Calibri"/>
                <w:color w:val="000000"/>
              </w:rPr>
            </w:pPr>
            <w:r w:rsidRPr="00D23BF1">
              <w:rPr>
                <w:rFonts w:ascii="Times" w:hAnsi="Times" w:cs="Calibri"/>
                <w:color w:val="000000"/>
              </w:rPr>
              <w:t>&lt;0.001</w:t>
            </w:r>
          </w:p>
        </w:tc>
        <w:tc>
          <w:tcPr>
            <w:tcW w:w="336" w:type="dxa"/>
            <w:tcBorders>
              <w:top w:val="nil"/>
              <w:left w:val="nil"/>
              <w:bottom w:val="nil"/>
              <w:right w:val="nil"/>
            </w:tcBorders>
            <w:shd w:val="clear" w:color="auto" w:fill="auto"/>
            <w:noWrap/>
            <w:vAlign w:val="bottom"/>
            <w:hideMark/>
          </w:tcPr>
          <w:p w14:paraId="562F4E77" w14:textId="77777777" w:rsidR="00BA538C" w:rsidRPr="00D23BF1" w:rsidRDefault="00BA538C" w:rsidP="00F20BE1">
            <w:pPr>
              <w:rPr>
                <w:rFonts w:ascii="Times" w:hAnsi="Times" w:cs="Calibri"/>
                <w:color w:val="000000"/>
              </w:rPr>
            </w:pPr>
            <w:r w:rsidRPr="00D23BF1">
              <w:rPr>
                <w:rFonts w:ascii="Times" w:hAnsi="Times" w:cs="Calibri"/>
                <w:color w:val="000000"/>
              </w:rPr>
              <w:t>*</w:t>
            </w:r>
          </w:p>
        </w:tc>
        <w:tc>
          <w:tcPr>
            <w:tcW w:w="1088" w:type="dxa"/>
            <w:tcBorders>
              <w:top w:val="nil"/>
              <w:left w:val="nil"/>
              <w:bottom w:val="nil"/>
              <w:right w:val="nil"/>
            </w:tcBorders>
            <w:shd w:val="clear" w:color="auto" w:fill="auto"/>
            <w:noWrap/>
            <w:vAlign w:val="bottom"/>
            <w:hideMark/>
          </w:tcPr>
          <w:p w14:paraId="6FE21540" w14:textId="77777777" w:rsidR="00BA538C" w:rsidRPr="00D23BF1" w:rsidRDefault="00BA538C" w:rsidP="00F20BE1">
            <w:pPr>
              <w:rPr>
                <w:rFonts w:ascii="Times" w:hAnsi="Times" w:cs="Calibri"/>
                <w:color w:val="000000"/>
              </w:rPr>
            </w:pPr>
            <w:r w:rsidRPr="00D23BF1">
              <w:rPr>
                <w:rFonts w:ascii="Times" w:hAnsi="Times" w:cs="Calibri"/>
                <w:color w:val="000000"/>
              </w:rPr>
              <w:t>55.45</w:t>
            </w:r>
          </w:p>
        </w:tc>
        <w:tc>
          <w:tcPr>
            <w:tcW w:w="1080" w:type="dxa"/>
            <w:tcBorders>
              <w:top w:val="nil"/>
              <w:left w:val="nil"/>
              <w:bottom w:val="nil"/>
              <w:right w:val="single" w:sz="4" w:space="0" w:color="auto"/>
            </w:tcBorders>
            <w:shd w:val="clear" w:color="auto" w:fill="auto"/>
            <w:noWrap/>
            <w:vAlign w:val="bottom"/>
            <w:hideMark/>
          </w:tcPr>
          <w:p w14:paraId="4F563947" w14:textId="77777777" w:rsidR="00BA538C" w:rsidRPr="00D23BF1" w:rsidRDefault="00BA538C" w:rsidP="00F20BE1">
            <w:pPr>
              <w:rPr>
                <w:rFonts w:ascii="Times" w:hAnsi="Times" w:cs="Calibri"/>
                <w:color w:val="000000"/>
              </w:rPr>
            </w:pPr>
            <w:r w:rsidRPr="00D23BF1">
              <w:rPr>
                <w:rFonts w:ascii="Times" w:hAnsi="Times" w:cs="Calibri"/>
                <w:color w:val="000000"/>
              </w:rPr>
              <w:t>46.4</w:t>
            </w:r>
          </w:p>
        </w:tc>
      </w:tr>
      <w:tr w:rsidR="00BA538C" w:rsidRPr="00D23BF1" w14:paraId="2662FA6F" w14:textId="77777777" w:rsidTr="009A40FD">
        <w:trPr>
          <w:trHeight w:val="320"/>
        </w:trPr>
        <w:tc>
          <w:tcPr>
            <w:tcW w:w="523" w:type="dxa"/>
            <w:vMerge/>
            <w:tcBorders>
              <w:top w:val="nil"/>
              <w:left w:val="single" w:sz="4" w:space="0" w:color="auto"/>
              <w:bottom w:val="single" w:sz="4" w:space="0" w:color="000000"/>
              <w:right w:val="single" w:sz="4" w:space="0" w:color="auto"/>
            </w:tcBorders>
            <w:vAlign w:val="center"/>
            <w:hideMark/>
          </w:tcPr>
          <w:p w14:paraId="67CCD07D" w14:textId="77777777" w:rsidR="00BA538C" w:rsidRPr="00D23BF1" w:rsidRDefault="00BA538C" w:rsidP="00F20BE1">
            <w:pPr>
              <w:rPr>
                <w:rFonts w:ascii="Times" w:hAnsi="Times" w:cs="Calibri"/>
                <w:color w:val="000000"/>
              </w:rPr>
            </w:pPr>
          </w:p>
        </w:tc>
        <w:tc>
          <w:tcPr>
            <w:tcW w:w="2220" w:type="dxa"/>
            <w:tcBorders>
              <w:top w:val="nil"/>
              <w:left w:val="nil"/>
              <w:bottom w:val="nil"/>
              <w:right w:val="nil"/>
            </w:tcBorders>
            <w:shd w:val="clear" w:color="auto" w:fill="auto"/>
            <w:noWrap/>
            <w:vAlign w:val="bottom"/>
            <w:hideMark/>
          </w:tcPr>
          <w:p w14:paraId="37673BE1" w14:textId="77777777" w:rsidR="00BA538C" w:rsidRPr="00D23BF1" w:rsidRDefault="00BA538C" w:rsidP="00F20BE1">
            <w:pPr>
              <w:rPr>
                <w:rFonts w:ascii="Times" w:hAnsi="Times" w:cs="Calibri"/>
                <w:color w:val="000000"/>
              </w:rPr>
            </w:pPr>
            <w:r w:rsidRPr="00D23BF1">
              <w:rPr>
                <w:rFonts w:ascii="Times" w:hAnsi="Times" w:cs="Calibri"/>
                <w:color w:val="000000"/>
              </w:rPr>
              <w:t>North coordinate</w:t>
            </w:r>
          </w:p>
        </w:tc>
        <w:tc>
          <w:tcPr>
            <w:tcW w:w="1300" w:type="dxa"/>
            <w:tcBorders>
              <w:top w:val="nil"/>
              <w:left w:val="nil"/>
              <w:bottom w:val="nil"/>
              <w:right w:val="nil"/>
            </w:tcBorders>
            <w:shd w:val="clear" w:color="auto" w:fill="auto"/>
            <w:noWrap/>
            <w:vAlign w:val="bottom"/>
            <w:hideMark/>
          </w:tcPr>
          <w:p w14:paraId="0E70F2DE" w14:textId="77777777" w:rsidR="00BA538C" w:rsidRPr="00D23BF1" w:rsidRDefault="00BA538C" w:rsidP="00F20BE1">
            <w:pPr>
              <w:rPr>
                <w:rFonts w:ascii="Times" w:hAnsi="Times" w:cs="Calibri"/>
                <w:color w:val="000000"/>
              </w:rPr>
            </w:pPr>
            <w:r w:rsidRPr="00D23BF1">
              <w:rPr>
                <w:rFonts w:ascii="Times" w:hAnsi="Times" w:cs="Calibri"/>
                <w:color w:val="000000"/>
              </w:rPr>
              <w:t>-12.27</w:t>
            </w:r>
          </w:p>
        </w:tc>
        <w:tc>
          <w:tcPr>
            <w:tcW w:w="1300" w:type="dxa"/>
            <w:tcBorders>
              <w:top w:val="nil"/>
              <w:left w:val="nil"/>
              <w:bottom w:val="nil"/>
              <w:right w:val="nil"/>
            </w:tcBorders>
            <w:shd w:val="clear" w:color="auto" w:fill="auto"/>
            <w:noWrap/>
            <w:vAlign w:val="bottom"/>
            <w:hideMark/>
          </w:tcPr>
          <w:p w14:paraId="1E21F71B" w14:textId="77777777" w:rsidR="00BA538C" w:rsidRPr="00D23BF1" w:rsidRDefault="00BA538C" w:rsidP="00F20BE1">
            <w:pPr>
              <w:rPr>
                <w:rFonts w:ascii="Times" w:hAnsi="Times" w:cs="Calibri"/>
                <w:color w:val="000000"/>
              </w:rPr>
            </w:pPr>
            <w:r w:rsidRPr="00D23BF1">
              <w:rPr>
                <w:rFonts w:ascii="Times" w:hAnsi="Times" w:cs="Calibri"/>
                <w:color w:val="000000"/>
              </w:rPr>
              <w:t>48</w:t>
            </w:r>
          </w:p>
        </w:tc>
        <w:tc>
          <w:tcPr>
            <w:tcW w:w="883" w:type="dxa"/>
            <w:tcBorders>
              <w:top w:val="nil"/>
              <w:left w:val="nil"/>
              <w:bottom w:val="nil"/>
              <w:right w:val="nil"/>
            </w:tcBorders>
            <w:shd w:val="clear" w:color="auto" w:fill="auto"/>
            <w:noWrap/>
            <w:vAlign w:val="bottom"/>
            <w:hideMark/>
          </w:tcPr>
          <w:p w14:paraId="18119317" w14:textId="77777777" w:rsidR="00BA538C" w:rsidRPr="00D23BF1" w:rsidRDefault="00BA538C" w:rsidP="00F20BE1">
            <w:pPr>
              <w:rPr>
                <w:rFonts w:ascii="Times" w:hAnsi="Times" w:cs="Calibri"/>
                <w:color w:val="000000"/>
              </w:rPr>
            </w:pPr>
            <w:r w:rsidRPr="00D23BF1">
              <w:rPr>
                <w:rFonts w:ascii="Times" w:hAnsi="Times" w:cs="Calibri"/>
                <w:color w:val="000000"/>
              </w:rPr>
              <w:t>&lt;0.001</w:t>
            </w:r>
          </w:p>
        </w:tc>
        <w:tc>
          <w:tcPr>
            <w:tcW w:w="336" w:type="dxa"/>
            <w:tcBorders>
              <w:top w:val="nil"/>
              <w:left w:val="nil"/>
              <w:bottom w:val="nil"/>
              <w:right w:val="nil"/>
            </w:tcBorders>
            <w:shd w:val="clear" w:color="auto" w:fill="auto"/>
            <w:noWrap/>
            <w:vAlign w:val="bottom"/>
            <w:hideMark/>
          </w:tcPr>
          <w:p w14:paraId="75448962" w14:textId="77777777" w:rsidR="00BA538C" w:rsidRPr="00D23BF1" w:rsidRDefault="00BA538C" w:rsidP="00F20BE1">
            <w:pPr>
              <w:rPr>
                <w:rFonts w:ascii="Times" w:hAnsi="Times" w:cs="Calibri"/>
                <w:color w:val="000000"/>
              </w:rPr>
            </w:pPr>
            <w:r w:rsidRPr="00D23BF1">
              <w:rPr>
                <w:rFonts w:ascii="Times" w:hAnsi="Times" w:cs="Calibri"/>
                <w:color w:val="000000"/>
              </w:rPr>
              <w:t>*</w:t>
            </w:r>
          </w:p>
        </w:tc>
        <w:tc>
          <w:tcPr>
            <w:tcW w:w="1088" w:type="dxa"/>
            <w:tcBorders>
              <w:top w:val="nil"/>
              <w:left w:val="nil"/>
              <w:bottom w:val="nil"/>
              <w:right w:val="nil"/>
            </w:tcBorders>
            <w:shd w:val="clear" w:color="auto" w:fill="auto"/>
            <w:noWrap/>
            <w:vAlign w:val="bottom"/>
            <w:hideMark/>
          </w:tcPr>
          <w:p w14:paraId="61575EFF" w14:textId="77777777" w:rsidR="00BA538C" w:rsidRPr="00D23BF1" w:rsidRDefault="00BA538C" w:rsidP="00F20BE1">
            <w:pPr>
              <w:rPr>
                <w:rFonts w:ascii="Times" w:hAnsi="Times" w:cs="Calibri"/>
                <w:color w:val="000000"/>
              </w:rPr>
            </w:pPr>
            <w:r w:rsidRPr="00D23BF1">
              <w:rPr>
                <w:rFonts w:ascii="Times" w:hAnsi="Times" w:cs="Calibri"/>
                <w:color w:val="000000"/>
              </w:rPr>
              <w:t>37.8</w:t>
            </w:r>
          </w:p>
        </w:tc>
        <w:tc>
          <w:tcPr>
            <w:tcW w:w="1080" w:type="dxa"/>
            <w:tcBorders>
              <w:top w:val="nil"/>
              <w:left w:val="nil"/>
              <w:bottom w:val="nil"/>
              <w:right w:val="single" w:sz="4" w:space="0" w:color="auto"/>
            </w:tcBorders>
            <w:shd w:val="clear" w:color="auto" w:fill="auto"/>
            <w:noWrap/>
            <w:vAlign w:val="bottom"/>
            <w:hideMark/>
          </w:tcPr>
          <w:p w14:paraId="6FE45A24" w14:textId="77777777" w:rsidR="00BA538C" w:rsidRPr="00D23BF1" w:rsidRDefault="00BA538C" w:rsidP="00F20BE1">
            <w:pPr>
              <w:rPr>
                <w:rFonts w:ascii="Times" w:hAnsi="Times" w:cs="Calibri"/>
                <w:color w:val="000000"/>
              </w:rPr>
            </w:pPr>
            <w:r w:rsidRPr="00D23BF1">
              <w:rPr>
                <w:rFonts w:ascii="Times" w:hAnsi="Times" w:cs="Calibri"/>
                <w:color w:val="000000"/>
              </w:rPr>
              <w:t>38.03</w:t>
            </w:r>
          </w:p>
        </w:tc>
      </w:tr>
      <w:tr w:rsidR="00BA538C" w:rsidRPr="00D23BF1" w14:paraId="60238F2D" w14:textId="77777777" w:rsidTr="009A40FD">
        <w:trPr>
          <w:trHeight w:val="320"/>
        </w:trPr>
        <w:tc>
          <w:tcPr>
            <w:tcW w:w="523" w:type="dxa"/>
            <w:vMerge/>
            <w:tcBorders>
              <w:top w:val="nil"/>
              <w:left w:val="single" w:sz="4" w:space="0" w:color="auto"/>
              <w:bottom w:val="single" w:sz="4" w:space="0" w:color="000000"/>
              <w:right w:val="single" w:sz="4" w:space="0" w:color="auto"/>
            </w:tcBorders>
            <w:vAlign w:val="center"/>
            <w:hideMark/>
          </w:tcPr>
          <w:p w14:paraId="3E2E48C5" w14:textId="77777777" w:rsidR="00BA538C" w:rsidRPr="00D23BF1" w:rsidRDefault="00BA538C" w:rsidP="00F20BE1">
            <w:pPr>
              <w:rPr>
                <w:rFonts w:ascii="Times" w:hAnsi="Times" w:cs="Calibri"/>
                <w:color w:val="000000"/>
              </w:rPr>
            </w:pPr>
          </w:p>
        </w:tc>
        <w:tc>
          <w:tcPr>
            <w:tcW w:w="2220" w:type="dxa"/>
            <w:tcBorders>
              <w:top w:val="nil"/>
              <w:left w:val="nil"/>
              <w:bottom w:val="nil"/>
              <w:right w:val="nil"/>
            </w:tcBorders>
            <w:shd w:val="clear" w:color="auto" w:fill="auto"/>
            <w:noWrap/>
            <w:vAlign w:val="bottom"/>
            <w:hideMark/>
          </w:tcPr>
          <w:p w14:paraId="10AA7C3F" w14:textId="77777777" w:rsidR="00BA538C" w:rsidRPr="00D23BF1" w:rsidRDefault="00BA538C" w:rsidP="00F20BE1">
            <w:pPr>
              <w:rPr>
                <w:rFonts w:ascii="Times" w:hAnsi="Times" w:cs="Calibri"/>
                <w:color w:val="000000"/>
              </w:rPr>
            </w:pPr>
            <w:r w:rsidRPr="00D23BF1">
              <w:rPr>
                <w:rFonts w:ascii="Times" w:hAnsi="Times" w:cs="Calibri"/>
                <w:color w:val="000000"/>
              </w:rPr>
              <w:t>West coordinate</w:t>
            </w:r>
          </w:p>
        </w:tc>
        <w:tc>
          <w:tcPr>
            <w:tcW w:w="1300" w:type="dxa"/>
            <w:tcBorders>
              <w:top w:val="nil"/>
              <w:left w:val="nil"/>
              <w:bottom w:val="nil"/>
              <w:right w:val="nil"/>
            </w:tcBorders>
            <w:shd w:val="clear" w:color="auto" w:fill="auto"/>
            <w:noWrap/>
            <w:vAlign w:val="bottom"/>
            <w:hideMark/>
          </w:tcPr>
          <w:p w14:paraId="776D25B8" w14:textId="77777777" w:rsidR="00BA538C" w:rsidRPr="00D23BF1" w:rsidRDefault="00BA538C" w:rsidP="00F20BE1">
            <w:pPr>
              <w:rPr>
                <w:rFonts w:ascii="Times" w:hAnsi="Times" w:cs="Calibri"/>
                <w:color w:val="000000"/>
              </w:rPr>
            </w:pPr>
            <w:r w:rsidRPr="00D23BF1">
              <w:rPr>
                <w:rFonts w:ascii="Times" w:hAnsi="Times" w:cs="Calibri"/>
                <w:color w:val="000000"/>
              </w:rPr>
              <w:t>21.04</w:t>
            </w:r>
          </w:p>
        </w:tc>
        <w:tc>
          <w:tcPr>
            <w:tcW w:w="1300" w:type="dxa"/>
            <w:tcBorders>
              <w:top w:val="nil"/>
              <w:left w:val="nil"/>
              <w:bottom w:val="nil"/>
              <w:right w:val="nil"/>
            </w:tcBorders>
            <w:shd w:val="clear" w:color="auto" w:fill="auto"/>
            <w:noWrap/>
            <w:vAlign w:val="bottom"/>
            <w:hideMark/>
          </w:tcPr>
          <w:p w14:paraId="314D03D3" w14:textId="77777777" w:rsidR="00BA538C" w:rsidRPr="00D23BF1" w:rsidRDefault="00BA538C" w:rsidP="00F20BE1">
            <w:pPr>
              <w:rPr>
                <w:rFonts w:ascii="Times" w:hAnsi="Times" w:cs="Calibri"/>
                <w:color w:val="000000"/>
              </w:rPr>
            </w:pPr>
            <w:r w:rsidRPr="00D23BF1">
              <w:rPr>
                <w:rFonts w:ascii="Times" w:hAnsi="Times" w:cs="Calibri"/>
                <w:color w:val="000000"/>
              </w:rPr>
              <w:t>43</w:t>
            </w:r>
          </w:p>
        </w:tc>
        <w:tc>
          <w:tcPr>
            <w:tcW w:w="883" w:type="dxa"/>
            <w:tcBorders>
              <w:top w:val="nil"/>
              <w:left w:val="nil"/>
              <w:bottom w:val="nil"/>
              <w:right w:val="nil"/>
            </w:tcBorders>
            <w:shd w:val="clear" w:color="auto" w:fill="auto"/>
            <w:noWrap/>
            <w:vAlign w:val="bottom"/>
            <w:hideMark/>
          </w:tcPr>
          <w:p w14:paraId="7298726B" w14:textId="77777777" w:rsidR="00BA538C" w:rsidRPr="00D23BF1" w:rsidRDefault="00BA538C" w:rsidP="00F20BE1">
            <w:pPr>
              <w:rPr>
                <w:rFonts w:ascii="Times" w:hAnsi="Times" w:cs="Calibri"/>
                <w:color w:val="000000"/>
              </w:rPr>
            </w:pPr>
            <w:r w:rsidRPr="00D23BF1">
              <w:rPr>
                <w:rFonts w:ascii="Times" w:hAnsi="Times" w:cs="Calibri"/>
                <w:color w:val="000000"/>
              </w:rPr>
              <w:t>&lt;0.001</w:t>
            </w:r>
          </w:p>
        </w:tc>
        <w:tc>
          <w:tcPr>
            <w:tcW w:w="336" w:type="dxa"/>
            <w:tcBorders>
              <w:top w:val="nil"/>
              <w:left w:val="nil"/>
              <w:bottom w:val="nil"/>
              <w:right w:val="nil"/>
            </w:tcBorders>
            <w:shd w:val="clear" w:color="auto" w:fill="auto"/>
            <w:noWrap/>
            <w:vAlign w:val="bottom"/>
            <w:hideMark/>
          </w:tcPr>
          <w:p w14:paraId="5D6A589F" w14:textId="77777777" w:rsidR="00BA538C" w:rsidRPr="00D23BF1" w:rsidRDefault="00BA538C" w:rsidP="00F20BE1">
            <w:pPr>
              <w:rPr>
                <w:rFonts w:ascii="Times" w:hAnsi="Times" w:cs="Calibri"/>
                <w:color w:val="000000"/>
              </w:rPr>
            </w:pPr>
            <w:r w:rsidRPr="00D23BF1">
              <w:rPr>
                <w:rFonts w:ascii="Times" w:hAnsi="Times" w:cs="Calibri"/>
                <w:color w:val="000000"/>
              </w:rPr>
              <w:t>*</w:t>
            </w:r>
          </w:p>
        </w:tc>
        <w:tc>
          <w:tcPr>
            <w:tcW w:w="1088" w:type="dxa"/>
            <w:tcBorders>
              <w:top w:val="nil"/>
              <w:left w:val="nil"/>
              <w:bottom w:val="nil"/>
              <w:right w:val="nil"/>
            </w:tcBorders>
            <w:shd w:val="clear" w:color="auto" w:fill="auto"/>
            <w:noWrap/>
            <w:vAlign w:val="bottom"/>
            <w:hideMark/>
          </w:tcPr>
          <w:p w14:paraId="53D6BF60" w14:textId="77777777" w:rsidR="00BA538C" w:rsidRPr="00D23BF1" w:rsidRDefault="00BA538C" w:rsidP="00F20BE1">
            <w:pPr>
              <w:rPr>
                <w:rFonts w:ascii="Times" w:hAnsi="Times" w:cs="Calibri"/>
                <w:color w:val="000000"/>
              </w:rPr>
            </w:pPr>
            <w:r w:rsidRPr="00D23BF1">
              <w:rPr>
                <w:rFonts w:ascii="Times" w:hAnsi="Times" w:cs="Calibri"/>
                <w:color w:val="000000"/>
              </w:rPr>
              <w:t>-122.46</w:t>
            </w:r>
          </w:p>
        </w:tc>
        <w:tc>
          <w:tcPr>
            <w:tcW w:w="1080" w:type="dxa"/>
            <w:tcBorders>
              <w:top w:val="nil"/>
              <w:left w:val="nil"/>
              <w:bottom w:val="nil"/>
              <w:right w:val="single" w:sz="4" w:space="0" w:color="auto"/>
            </w:tcBorders>
            <w:shd w:val="clear" w:color="auto" w:fill="auto"/>
            <w:noWrap/>
            <w:vAlign w:val="bottom"/>
            <w:hideMark/>
          </w:tcPr>
          <w:p w14:paraId="7078AA20" w14:textId="77777777" w:rsidR="00BA538C" w:rsidRPr="00D23BF1" w:rsidRDefault="00BA538C" w:rsidP="00F20BE1">
            <w:pPr>
              <w:rPr>
                <w:rFonts w:ascii="Times" w:hAnsi="Times" w:cs="Calibri"/>
                <w:color w:val="000000"/>
              </w:rPr>
            </w:pPr>
            <w:r w:rsidRPr="00D23BF1">
              <w:rPr>
                <w:rFonts w:ascii="Times" w:hAnsi="Times" w:cs="Calibri"/>
                <w:color w:val="000000"/>
              </w:rPr>
              <w:t>-122.86</w:t>
            </w:r>
          </w:p>
        </w:tc>
      </w:tr>
      <w:tr w:rsidR="00BA538C" w:rsidRPr="00D23BF1" w14:paraId="11DF75CA" w14:textId="77777777" w:rsidTr="009A40FD">
        <w:trPr>
          <w:trHeight w:val="320"/>
        </w:trPr>
        <w:tc>
          <w:tcPr>
            <w:tcW w:w="523" w:type="dxa"/>
            <w:vMerge/>
            <w:tcBorders>
              <w:top w:val="nil"/>
              <w:left w:val="single" w:sz="4" w:space="0" w:color="auto"/>
              <w:bottom w:val="single" w:sz="4" w:space="0" w:color="000000"/>
              <w:right w:val="single" w:sz="4" w:space="0" w:color="auto"/>
            </w:tcBorders>
            <w:vAlign w:val="center"/>
            <w:hideMark/>
          </w:tcPr>
          <w:p w14:paraId="4F388D6F" w14:textId="77777777" w:rsidR="00BA538C" w:rsidRPr="00D23BF1" w:rsidRDefault="00BA538C" w:rsidP="00F20BE1">
            <w:pPr>
              <w:rPr>
                <w:rFonts w:ascii="Times" w:hAnsi="Times" w:cs="Calibri"/>
                <w:color w:val="000000"/>
              </w:rPr>
            </w:pPr>
          </w:p>
        </w:tc>
        <w:tc>
          <w:tcPr>
            <w:tcW w:w="2220" w:type="dxa"/>
            <w:tcBorders>
              <w:top w:val="nil"/>
              <w:left w:val="nil"/>
              <w:bottom w:val="nil"/>
              <w:right w:val="nil"/>
            </w:tcBorders>
            <w:shd w:val="clear" w:color="auto" w:fill="auto"/>
            <w:noWrap/>
            <w:vAlign w:val="bottom"/>
            <w:hideMark/>
          </w:tcPr>
          <w:p w14:paraId="4796BE3B" w14:textId="77777777" w:rsidR="00BA538C" w:rsidRPr="00D23BF1" w:rsidRDefault="00BA538C" w:rsidP="00F20BE1">
            <w:pPr>
              <w:rPr>
                <w:rFonts w:ascii="Times" w:hAnsi="Times" w:cs="Calibri"/>
                <w:color w:val="000000"/>
              </w:rPr>
            </w:pPr>
            <w:r w:rsidRPr="00D23BF1">
              <w:rPr>
                <w:rFonts w:ascii="Times" w:hAnsi="Times" w:cs="Calibri"/>
                <w:color w:val="000000"/>
              </w:rPr>
              <w:t>% trees</w:t>
            </w:r>
          </w:p>
        </w:tc>
        <w:tc>
          <w:tcPr>
            <w:tcW w:w="1300" w:type="dxa"/>
            <w:tcBorders>
              <w:top w:val="nil"/>
              <w:left w:val="nil"/>
              <w:bottom w:val="nil"/>
              <w:right w:val="nil"/>
            </w:tcBorders>
            <w:shd w:val="clear" w:color="auto" w:fill="auto"/>
            <w:noWrap/>
            <w:vAlign w:val="bottom"/>
            <w:hideMark/>
          </w:tcPr>
          <w:p w14:paraId="7D0CAE47" w14:textId="77777777" w:rsidR="00BA538C" w:rsidRPr="00D23BF1" w:rsidRDefault="00BA538C" w:rsidP="00F20BE1">
            <w:pPr>
              <w:rPr>
                <w:rFonts w:ascii="Times" w:hAnsi="Times" w:cs="Calibri"/>
                <w:color w:val="000000"/>
              </w:rPr>
            </w:pPr>
            <w:r w:rsidRPr="00D23BF1">
              <w:rPr>
                <w:rFonts w:ascii="Times" w:hAnsi="Times" w:cs="Calibri"/>
                <w:color w:val="000000"/>
              </w:rPr>
              <w:t>6.14</w:t>
            </w:r>
          </w:p>
        </w:tc>
        <w:tc>
          <w:tcPr>
            <w:tcW w:w="1300" w:type="dxa"/>
            <w:tcBorders>
              <w:top w:val="nil"/>
              <w:left w:val="nil"/>
              <w:bottom w:val="nil"/>
              <w:right w:val="nil"/>
            </w:tcBorders>
            <w:shd w:val="clear" w:color="auto" w:fill="auto"/>
            <w:noWrap/>
            <w:vAlign w:val="bottom"/>
            <w:hideMark/>
          </w:tcPr>
          <w:p w14:paraId="6A86D99E" w14:textId="77777777" w:rsidR="00BA538C" w:rsidRPr="00D23BF1" w:rsidRDefault="00BA538C" w:rsidP="00F20BE1">
            <w:pPr>
              <w:rPr>
                <w:rFonts w:ascii="Times" w:hAnsi="Times" w:cs="Calibri"/>
                <w:color w:val="000000"/>
              </w:rPr>
            </w:pPr>
            <w:r w:rsidRPr="00D23BF1">
              <w:rPr>
                <w:rFonts w:ascii="Times" w:hAnsi="Times" w:cs="Calibri"/>
                <w:color w:val="000000"/>
              </w:rPr>
              <w:t>59</w:t>
            </w:r>
          </w:p>
        </w:tc>
        <w:tc>
          <w:tcPr>
            <w:tcW w:w="883" w:type="dxa"/>
            <w:tcBorders>
              <w:top w:val="nil"/>
              <w:left w:val="nil"/>
              <w:bottom w:val="nil"/>
              <w:right w:val="nil"/>
            </w:tcBorders>
            <w:shd w:val="clear" w:color="auto" w:fill="auto"/>
            <w:noWrap/>
            <w:vAlign w:val="bottom"/>
            <w:hideMark/>
          </w:tcPr>
          <w:p w14:paraId="52577E1B" w14:textId="77777777" w:rsidR="00BA538C" w:rsidRPr="00D23BF1" w:rsidRDefault="00BA538C" w:rsidP="00F20BE1">
            <w:pPr>
              <w:rPr>
                <w:rFonts w:ascii="Times" w:hAnsi="Times" w:cs="Calibri"/>
                <w:color w:val="000000"/>
              </w:rPr>
            </w:pPr>
            <w:r w:rsidRPr="00D23BF1">
              <w:rPr>
                <w:rFonts w:ascii="Times" w:hAnsi="Times" w:cs="Calibri"/>
                <w:color w:val="000000"/>
              </w:rPr>
              <w:t>&lt;0.001</w:t>
            </w:r>
          </w:p>
        </w:tc>
        <w:tc>
          <w:tcPr>
            <w:tcW w:w="336" w:type="dxa"/>
            <w:tcBorders>
              <w:top w:val="nil"/>
              <w:left w:val="nil"/>
              <w:bottom w:val="nil"/>
              <w:right w:val="nil"/>
            </w:tcBorders>
            <w:shd w:val="clear" w:color="auto" w:fill="auto"/>
            <w:noWrap/>
            <w:vAlign w:val="bottom"/>
            <w:hideMark/>
          </w:tcPr>
          <w:p w14:paraId="018DA761" w14:textId="77777777" w:rsidR="00BA538C" w:rsidRPr="00D23BF1" w:rsidRDefault="00BA538C" w:rsidP="00F20BE1">
            <w:pPr>
              <w:rPr>
                <w:rFonts w:ascii="Times" w:hAnsi="Times" w:cs="Calibri"/>
                <w:color w:val="000000"/>
              </w:rPr>
            </w:pPr>
            <w:r w:rsidRPr="00D23BF1">
              <w:rPr>
                <w:rFonts w:ascii="Times" w:hAnsi="Times" w:cs="Calibri"/>
                <w:color w:val="000000"/>
              </w:rPr>
              <w:t>*</w:t>
            </w:r>
          </w:p>
        </w:tc>
        <w:tc>
          <w:tcPr>
            <w:tcW w:w="1088" w:type="dxa"/>
            <w:tcBorders>
              <w:top w:val="nil"/>
              <w:left w:val="nil"/>
              <w:bottom w:val="nil"/>
              <w:right w:val="nil"/>
            </w:tcBorders>
            <w:shd w:val="clear" w:color="auto" w:fill="auto"/>
            <w:noWrap/>
            <w:vAlign w:val="bottom"/>
            <w:hideMark/>
          </w:tcPr>
          <w:p w14:paraId="325AF859" w14:textId="77777777" w:rsidR="00BA538C" w:rsidRPr="00D23BF1" w:rsidRDefault="00BA538C" w:rsidP="00F20BE1">
            <w:pPr>
              <w:rPr>
                <w:rFonts w:ascii="Times" w:hAnsi="Times" w:cs="Calibri"/>
                <w:color w:val="000000"/>
              </w:rPr>
            </w:pPr>
            <w:r w:rsidRPr="00D23BF1">
              <w:rPr>
                <w:rFonts w:ascii="Times" w:hAnsi="Times" w:cs="Calibri"/>
                <w:color w:val="000000"/>
              </w:rPr>
              <w:t>0.21</w:t>
            </w:r>
          </w:p>
        </w:tc>
        <w:tc>
          <w:tcPr>
            <w:tcW w:w="1080" w:type="dxa"/>
            <w:tcBorders>
              <w:top w:val="nil"/>
              <w:left w:val="nil"/>
              <w:bottom w:val="nil"/>
              <w:right w:val="single" w:sz="4" w:space="0" w:color="auto"/>
            </w:tcBorders>
            <w:shd w:val="clear" w:color="auto" w:fill="auto"/>
            <w:noWrap/>
            <w:vAlign w:val="bottom"/>
            <w:hideMark/>
          </w:tcPr>
          <w:p w14:paraId="66F64C71" w14:textId="77777777" w:rsidR="00BA538C" w:rsidRPr="00D23BF1" w:rsidRDefault="00BA538C" w:rsidP="00F20BE1">
            <w:pPr>
              <w:rPr>
                <w:rFonts w:ascii="Times" w:hAnsi="Times" w:cs="Calibri"/>
                <w:color w:val="000000"/>
              </w:rPr>
            </w:pPr>
            <w:r w:rsidRPr="00D23BF1">
              <w:rPr>
                <w:rFonts w:ascii="Times" w:hAnsi="Times" w:cs="Calibri"/>
                <w:color w:val="000000"/>
              </w:rPr>
              <w:t>0.02</w:t>
            </w:r>
          </w:p>
        </w:tc>
      </w:tr>
      <w:tr w:rsidR="00BA538C" w:rsidRPr="00D23BF1" w14:paraId="39D1DF7A" w14:textId="77777777" w:rsidTr="009A40FD">
        <w:trPr>
          <w:trHeight w:val="320"/>
        </w:trPr>
        <w:tc>
          <w:tcPr>
            <w:tcW w:w="523" w:type="dxa"/>
            <w:vMerge/>
            <w:tcBorders>
              <w:top w:val="nil"/>
              <w:left w:val="single" w:sz="4" w:space="0" w:color="auto"/>
              <w:bottom w:val="single" w:sz="4" w:space="0" w:color="000000"/>
              <w:right w:val="single" w:sz="4" w:space="0" w:color="auto"/>
            </w:tcBorders>
            <w:vAlign w:val="center"/>
            <w:hideMark/>
          </w:tcPr>
          <w:p w14:paraId="44B68360" w14:textId="77777777" w:rsidR="00BA538C" w:rsidRPr="00D23BF1" w:rsidRDefault="00BA538C" w:rsidP="00F20BE1">
            <w:pPr>
              <w:rPr>
                <w:rFonts w:ascii="Times" w:hAnsi="Times" w:cs="Calibri"/>
                <w:color w:val="000000"/>
              </w:rPr>
            </w:pPr>
          </w:p>
        </w:tc>
        <w:tc>
          <w:tcPr>
            <w:tcW w:w="2220" w:type="dxa"/>
            <w:tcBorders>
              <w:top w:val="nil"/>
              <w:left w:val="nil"/>
              <w:bottom w:val="nil"/>
              <w:right w:val="nil"/>
            </w:tcBorders>
            <w:shd w:val="clear" w:color="auto" w:fill="auto"/>
            <w:noWrap/>
            <w:vAlign w:val="bottom"/>
            <w:hideMark/>
          </w:tcPr>
          <w:p w14:paraId="28DACE2C" w14:textId="77777777" w:rsidR="00BA538C" w:rsidRPr="00D23BF1" w:rsidRDefault="00BA538C" w:rsidP="00F20BE1">
            <w:pPr>
              <w:rPr>
                <w:rFonts w:ascii="Times" w:hAnsi="Times" w:cs="Calibri"/>
                <w:color w:val="000000"/>
              </w:rPr>
            </w:pPr>
            <w:r w:rsidRPr="00D23BF1">
              <w:rPr>
                <w:rFonts w:ascii="Times" w:hAnsi="Times" w:cs="Calibri"/>
                <w:color w:val="000000"/>
              </w:rPr>
              <w:t>% scrub</w:t>
            </w:r>
          </w:p>
        </w:tc>
        <w:tc>
          <w:tcPr>
            <w:tcW w:w="1300" w:type="dxa"/>
            <w:tcBorders>
              <w:top w:val="nil"/>
              <w:left w:val="nil"/>
              <w:bottom w:val="nil"/>
              <w:right w:val="nil"/>
            </w:tcBorders>
            <w:shd w:val="clear" w:color="auto" w:fill="auto"/>
            <w:noWrap/>
            <w:vAlign w:val="bottom"/>
            <w:hideMark/>
          </w:tcPr>
          <w:p w14:paraId="6D242EB8" w14:textId="77777777" w:rsidR="00BA538C" w:rsidRPr="00D23BF1" w:rsidRDefault="00BA538C" w:rsidP="00F20BE1">
            <w:pPr>
              <w:rPr>
                <w:rFonts w:ascii="Times" w:hAnsi="Times" w:cs="Calibri"/>
                <w:color w:val="000000"/>
              </w:rPr>
            </w:pPr>
            <w:r w:rsidRPr="00D23BF1">
              <w:rPr>
                <w:rFonts w:ascii="Times" w:hAnsi="Times" w:cs="Calibri"/>
                <w:color w:val="000000"/>
              </w:rPr>
              <w:t>-4.46</w:t>
            </w:r>
          </w:p>
        </w:tc>
        <w:tc>
          <w:tcPr>
            <w:tcW w:w="1300" w:type="dxa"/>
            <w:tcBorders>
              <w:top w:val="nil"/>
              <w:left w:val="nil"/>
              <w:bottom w:val="nil"/>
              <w:right w:val="nil"/>
            </w:tcBorders>
            <w:shd w:val="clear" w:color="auto" w:fill="auto"/>
            <w:noWrap/>
            <w:vAlign w:val="bottom"/>
            <w:hideMark/>
          </w:tcPr>
          <w:p w14:paraId="202146A7" w14:textId="77777777" w:rsidR="00BA538C" w:rsidRPr="00D23BF1" w:rsidRDefault="00BA538C" w:rsidP="00F20BE1">
            <w:pPr>
              <w:rPr>
                <w:rFonts w:ascii="Times" w:hAnsi="Times" w:cs="Calibri"/>
                <w:color w:val="000000"/>
              </w:rPr>
            </w:pPr>
            <w:r w:rsidRPr="00D23BF1">
              <w:rPr>
                <w:rFonts w:ascii="Times" w:hAnsi="Times" w:cs="Calibri"/>
                <w:color w:val="000000"/>
              </w:rPr>
              <w:t>67</w:t>
            </w:r>
          </w:p>
        </w:tc>
        <w:tc>
          <w:tcPr>
            <w:tcW w:w="883" w:type="dxa"/>
            <w:tcBorders>
              <w:top w:val="nil"/>
              <w:left w:val="nil"/>
              <w:bottom w:val="nil"/>
              <w:right w:val="nil"/>
            </w:tcBorders>
            <w:shd w:val="clear" w:color="auto" w:fill="auto"/>
            <w:noWrap/>
            <w:vAlign w:val="bottom"/>
            <w:hideMark/>
          </w:tcPr>
          <w:p w14:paraId="37A0273F" w14:textId="77777777" w:rsidR="00BA538C" w:rsidRPr="00D23BF1" w:rsidRDefault="00BA538C" w:rsidP="00F20BE1">
            <w:pPr>
              <w:rPr>
                <w:rFonts w:ascii="Times" w:hAnsi="Times" w:cs="Calibri"/>
                <w:color w:val="000000"/>
              </w:rPr>
            </w:pPr>
            <w:r w:rsidRPr="00D23BF1">
              <w:rPr>
                <w:rFonts w:ascii="Times" w:hAnsi="Times" w:cs="Calibri"/>
                <w:color w:val="000000"/>
              </w:rPr>
              <w:t>&lt;0.001</w:t>
            </w:r>
          </w:p>
        </w:tc>
        <w:tc>
          <w:tcPr>
            <w:tcW w:w="336" w:type="dxa"/>
            <w:tcBorders>
              <w:top w:val="nil"/>
              <w:left w:val="nil"/>
              <w:bottom w:val="nil"/>
              <w:right w:val="nil"/>
            </w:tcBorders>
            <w:shd w:val="clear" w:color="auto" w:fill="auto"/>
            <w:noWrap/>
            <w:vAlign w:val="bottom"/>
            <w:hideMark/>
          </w:tcPr>
          <w:p w14:paraId="160E66AB" w14:textId="77777777" w:rsidR="00BA538C" w:rsidRPr="00D23BF1" w:rsidRDefault="00BA538C" w:rsidP="00F20BE1">
            <w:pPr>
              <w:rPr>
                <w:rFonts w:ascii="Times" w:hAnsi="Times" w:cs="Calibri"/>
                <w:color w:val="000000"/>
              </w:rPr>
            </w:pPr>
            <w:r w:rsidRPr="00D23BF1">
              <w:rPr>
                <w:rFonts w:ascii="Times" w:hAnsi="Times" w:cs="Calibri"/>
                <w:color w:val="000000"/>
              </w:rPr>
              <w:t>*</w:t>
            </w:r>
          </w:p>
        </w:tc>
        <w:tc>
          <w:tcPr>
            <w:tcW w:w="1088" w:type="dxa"/>
            <w:tcBorders>
              <w:top w:val="nil"/>
              <w:left w:val="nil"/>
              <w:bottom w:val="nil"/>
              <w:right w:val="nil"/>
            </w:tcBorders>
            <w:shd w:val="clear" w:color="auto" w:fill="auto"/>
            <w:noWrap/>
            <w:vAlign w:val="bottom"/>
            <w:hideMark/>
          </w:tcPr>
          <w:p w14:paraId="41856C3D" w14:textId="77777777" w:rsidR="00BA538C" w:rsidRPr="00D23BF1" w:rsidRDefault="00BA538C" w:rsidP="00F20BE1">
            <w:pPr>
              <w:rPr>
                <w:rFonts w:ascii="Times" w:hAnsi="Times" w:cs="Calibri"/>
                <w:color w:val="000000"/>
              </w:rPr>
            </w:pPr>
            <w:r w:rsidRPr="00D23BF1">
              <w:rPr>
                <w:rFonts w:ascii="Times" w:hAnsi="Times" w:cs="Calibri"/>
                <w:color w:val="000000"/>
              </w:rPr>
              <w:t>0.43</w:t>
            </w:r>
          </w:p>
        </w:tc>
        <w:tc>
          <w:tcPr>
            <w:tcW w:w="1080" w:type="dxa"/>
            <w:tcBorders>
              <w:top w:val="nil"/>
              <w:left w:val="nil"/>
              <w:bottom w:val="nil"/>
              <w:right w:val="single" w:sz="4" w:space="0" w:color="auto"/>
            </w:tcBorders>
            <w:shd w:val="clear" w:color="auto" w:fill="auto"/>
            <w:noWrap/>
            <w:vAlign w:val="bottom"/>
            <w:hideMark/>
          </w:tcPr>
          <w:p w14:paraId="369629E4" w14:textId="77777777" w:rsidR="00BA538C" w:rsidRPr="00D23BF1" w:rsidRDefault="00BA538C" w:rsidP="00F20BE1">
            <w:pPr>
              <w:rPr>
                <w:rFonts w:ascii="Times" w:hAnsi="Times" w:cs="Calibri"/>
                <w:color w:val="000000"/>
              </w:rPr>
            </w:pPr>
            <w:r w:rsidRPr="00D23BF1">
              <w:rPr>
                <w:rFonts w:ascii="Times" w:hAnsi="Times" w:cs="Calibri"/>
                <w:color w:val="000000"/>
              </w:rPr>
              <w:t>0.73</w:t>
            </w:r>
          </w:p>
        </w:tc>
      </w:tr>
      <w:tr w:rsidR="00BA538C" w:rsidRPr="00D23BF1" w14:paraId="5D2F5484" w14:textId="77777777" w:rsidTr="009A40FD">
        <w:trPr>
          <w:trHeight w:val="320"/>
        </w:trPr>
        <w:tc>
          <w:tcPr>
            <w:tcW w:w="523" w:type="dxa"/>
            <w:vMerge/>
            <w:tcBorders>
              <w:top w:val="nil"/>
              <w:left w:val="single" w:sz="4" w:space="0" w:color="auto"/>
              <w:bottom w:val="single" w:sz="4" w:space="0" w:color="000000"/>
              <w:right w:val="single" w:sz="4" w:space="0" w:color="auto"/>
            </w:tcBorders>
            <w:vAlign w:val="center"/>
            <w:hideMark/>
          </w:tcPr>
          <w:p w14:paraId="43772862" w14:textId="77777777" w:rsidR="00BA538C" w:rsidRPr="00D23BF1" w:rsidRDefault="00BA538C" w:rsidP="00F20BE1">
            <w:pPr>
              <w:rPr>
                <w:rFonts w:ascii="Times" w:hAnsi="Times" w:cs="Calibri"/>
                <w:color w:val="000000"/>
              </w:rPr>
            </w:pPr>
          </w:p>
        </w:tc>
        <w:tc>
          <w:tcPr>
            <w:tcW w:w="2220" w:type="dxa"/>
            <w:tcBorders>
              <w:top w:val="nil"/>
              <w:left w:val="nil"/>
              <w:bottom w:val="nil"/>
              <w:right w:val="nil"/>
            </w:tcBorders>
            <w:shd w:val="clear" w:color="auto" w:fill="auto"/>
            <w:noWrap/>
            <w:vAlign w:val="bottom"/>
            <w:hideMark/>
          </w:tcPr>
          <w:p w14:paraId="4D550201" w14:textId="77777777" w:rsidR="00BA538C" w:rsidRPr="00D23BF1" w:rsidRDefault="00BA538C" w:rsidP="00F20BE1">
            <w:pPr>
              <w:rPr>
                <w:rFonts w:ascii="Times" w:hAnsi="Times" w:cs="Calibri"/>
                <w:color w:val="000000"/>
              </w:rPr>
            </w:pPr>
            <w:r w:rsidRPr="00D23BF1">
              <w:rPr>
                <w:rFonts w:ascii="Times" w:hAnsi="Times" w:cs="Calibri"/>
                <w:color w:val="000000"/>
              </w:rPr>
              <w:t>% impervious</w:t>
            </w:r>
          </w:p>
        </w:tc>
        <w:tc>
          <w:tcPr>
            <w:tcW w:w="1300" w:type="dxa"/>
            <w:tcBorders>
              <w:top w:val="nil"/>
              <w:left w:val="nil"/>
              <w:bottom w:val="nil"/>
              <w:right w:val="nil"/>
            </w:tcBorders>
            <w:shd w:val="clear" w:color="auto" w:fill="auto"/>
            <w:noWrap/>
            <w:vAlign w:val="bottom"/>
            <w:hideMark/>
          </w:tcPr>
          <w:p w14:paraId="513AC85D" w14:textId="77777777" w:rsidR="00BA538C" w:rsidRPr="00D23BF1" w:rsidRDefault="00BA538C" w:rsidP="00F20BE1">
            <w:pPr>
              <w:rPr>
                <w:rFonts w:ascii="Times" w:hAnsi="Times" w:cs="Calibri"/>
                <w:color w:val="000000"/>
              </w:rPr>
            </w:pPr>
            <w:r w:rsidRPr="00D23BF1">
              <w:rPr>
                <w:rFonts w:ascii="Times" w:hAnsi="Times" w:cs="Calibri"/>
                <w:color w:val="000000"/>
              </w:rPr>
              <w:t>4.83</w:t>
            </w:r>
          </w:p>
        </w:tc>
        <w:tc>
          <w:tcPr>
            <w:tcW w:w="1300" w:type="dxa"/>
            <w:tcBorders>
              <w:top w:val="nil"/>
              <w:left w:val="nil"/>
              <w:bottom w:val="nil"/>
              <w:right w:val="nil"/>
            </w:tcBorders>
            <w:shd w:val="clear" w:color="auto" w:fill="auto"/>
            <w:noWrap/>
            <w:vAlign w:val="bottom"/>
            <w:hideMark/>
          </w:tcPr>
          <w:p w14:paraId="5725761E" w14:textId="77777777" w:rsidR="00BA538C" w:rsidRPr="00D23BF1" w:rsidRDefault="00BA538C" w:rsidP="00F20BE1">
            <w:pPr>
              <w:rPr>
                <w:rFonts w:ascii="Times" w:hAnsi="Times" w:cs="Calibri"/>
                <w:color w:val="000000"/>
              </w:rPr>
            </w:pPr>
            <w:r w:rsidRPr="00D23BF1">
              <w:rPr>
                <w:rFonts w:ascii="Times" w:hAnsi="Times" w:cs="Calibri"/>
                <w:color w:val="000000"/>
              </w:rPr>
              <w:t>80</w:t>
            </w:r>
          </w:p>
        </w:tc>
        <w:tc>
          <w:tcPr>
            <w:tcW w:w="883" w:type="dxa"/>
            <w:tcBorders>
              <w:top w:val="nil"/>
              <w:left w:val="nil"/>
              <w:bottom w:val="nil"/>
              <w:right w:val="nil"/>
            </w:tcBorders>
            <w:shd w:val="clear" w:color="auto" w:fill="auto"/>
            <w:noWrap/>
            <w:vAlign w:val="bottom"/>
            <w:hideMark/>
          </w:tcPr>
          <w:p w14:paraId="53315109" w14:textId="77777777" w:rsidR="00BA538C" w:rsidRPr="00D23BF1" w:rsidRDefault="00BA538C" w:rsidP="00F20BE1">
            <w:pPr>
              <w:rPr>
                <w:rFonts w:ascii="Times" w:hAnsi="Times" w:cs="Calibri"/>
                <w:color w:val="000000"/>
              </w:rPr>
            </w:pPr>
            <w:r w:rsidRPr="00D23BF1">
              <w:rPr>
                <w:rFonts w:ascii="Times" w:hAnsi="Times" w:cs="Calibri"/>
                <w:color w:val="000000"/>
              </w:rPr>
              <w:t>&lt;0.001</w:t>
            </w:r>
          </w:p>
        </w:tc>
        <w:tc>
          <w:tcPr>
            <w:tcW w:w="336" w:type="dxa"/>
            <w:tcBorders>
              <w:top w:val="nil"/>
              <w:left w:val="nil"/>
              <w:bottom w:val="nil"/>
              <w:right w:val="nil"/>
            </w:tcBorders>
            <w:shd w:val="clear" w:color="auto" w:fill="auto"/>
            <w:noWrap/>
            <w:vAlign w:val="bottom"/>
            <w:hideMark/>
          </w:tcPr>
          <w:p w14:paraId="25FEB4F1" w14:textId="77777777" w:rsidR="00BA538C" w:rsidRPr="00D23BF1" w:rsidRDefault="00BA538C" w:rsidP="00F20BE1">
            <w:pPr>
              <w:rPr>
                <w:rFonts w:ascii="Times" w:hAnsi="Times" w:cs="Calibri"/>
                <w:color w:val="000000"/>
              </w:rPr>
            </w:pPr>
            <w:r w:rsidRPr="00D23BF1">
              <w:rPr>
                <w:rFonts w:ascii="Times" w:hAnsi="Times" w:cs="Calibri"/>
                <w:color w:val="000000"/>
              </w:rPr>
              <w:t>*</w:t>
            </w:r>
          </w:p>
        </w:tc>
        <w:tc>
          <w:tcPr>
            <w:tcW w:w="1088" w:type="dxa"/>
            <w:tcBorders>
              <w:top w:val="nil"/>
              <w:left w:val="nil"/>
              <w:bottom w:val="nil"/>
              <w:right w:val="nil"/>
            </w:tcBorders>
            <w:shd w:val="clear" w:color="auto" w:fill="auto"/>
            <w:noWrap/>
            <w:vAlign w:val="bottom"/>
            <w:hideMark/>
          </w:tcPr>
          <w:p w14:paraId="37703FE4" w14:textId="77777777" w:rsidR="00BA538C" w:rsidRPr="00D23BF1" w:rsidRDefault="00BA538C" w:rsidP="00F20BE1">
            <w:pPr>
              <w:rPr>
                <w:rFonts w:ascii="Times" w:hAnsi="Times" w:cs="Calibri"/>
                <w:color w:val="000000"/>
              </w:rPr>
            </w:pPr>
            <w:r w:rsidRPr="00D23BF1">
              <w:rPr>
                <w:rFonts w:ascii="Times" w:hAnsi="Times" w:cs="Calibri"/>
                <w:color w:val="000000"/>
              </w:rPr>
              <w:t>0.31</w:t>
            </w:r>
          </w:p>
        </w:tc>
        <w:tc>
          <w:tcPr>
            <w:tcW w:w="1080" w:type="dxa"/>
            <w:tcBorders>
              <w:top w:val="nil"/>
              <w:left w:val="nil"/>
              <w:bottom w:val="nil"/>
              <w:right w:val="single" w:sz="4" w:space="0" w:color="auto"/>
            </w:tcBorders>
            <w:shd w:val="clear" w:color="auto" w:fill="auto"/>
            <w:noWrap/>
            <w:vAlign w:val="bottom"/>
            <w:hideMark/>
          </w:tcPr>
          <w:p w14:paraId="684FEC76" w14:textId="77777777" w:rsidR="00BA538C" w:rsidRPr="00D23BF1" w:rsidRDefault="00BA538C" w:rsidP="00F20BE1">
            <w:pPr>
              <w:rPr>
                <w:rFonts w:ascii="Times" w:hAnsi="Times" w:cs="Calibri"/>
                <w:color w:val="000000"/>
              </w:rPr>
            </w:pPr>
            <w:r w:rsidRPr="00D23BF1">
              <w:rPr>
                <w:rFonts w:ascii="Times" w:hAnsi="Times" w:cs="Calibri"/>
                <w:color w:val="000000"/>
              </w:rPr>
              <w:t>0.12</w:t>
            </w:r>
          </w:p>
        </w:tc>
      </w:tr>
      <w:tr w:rsidR="00BA538C" w:rsidRPr="00D23BF1" w14:paraId="22F0901B" w14:textId="77777777" w:rsidTr="009A40FD">
        <w:trPr>
          <w:trHeight w:val="320"/>
        </w:trPr>
        <w:tc>
          <w:tcPr>
            <w:tcW w:w="523" w:type="dxa"/>
            <w:vMerge/>
            <w:tcBorders>
              <w:top w:val="nil"/>
              <w:left w:val="single" w:sz="4" w:space="0" w:color="auto"/>
              <w:bottom w:val="single" w:sz="4" w:space="0" w:color="000000"/>
              <w:right w:val="single" w:sz="4" w:space="0" w:color="auto"/>
            </w:tcBorders>
            <w:vAlign w:val="center"/>
            <w:hideMark/>
          </w:tcPr>
          <w:p w14:paraId="7BCA2A22" w14:textId="77777777" w:rsidR="00BA538C" w:rsidRPr="00D23BF1" w:rsidRDefault="00BA538C" w:rsidP="00F20BE1">
            <w:pPr>
              <w:rPr>
                <w:rFonts w:ascii="Times" w:hAnsi="Times" w:cs="Calibri"/>
                <w:color w:val="000000"/>
              </w:rPr>
            </w:pPr>
          </w:p>
        </w:tc>
        <w:tc>
          <w:tcPr>
            <w:tcW w:w="2220" w:type="dxa"/>
            <w:tcBorders>
              <w:top w:val="nil"/>
              <w:left w:val="nil"/>
              <w:bottom w:val="single" w:sz="4" w:space="0" w:color="auto"/>
              <w:right w:val="nil"/>
            </w:tcBorders>
            <w:shd w:val="clear" w:color="auto" w:fill="auto"/>
            <w:noWrap/>
            <w:vAlign w:val="bottom"/>
            <w:hideMark/>
          </w:tcPr>
          <w:p w14:paraId="15BF66EC" w14:textId="77777777" w:rsidR="00BA538C" w:rsidRPr="00D23BF1" w:rsidRDefault="00BA538C" w:rsidP="00F20BE1">
            <w:pPr>
              <w:rPr>
                <w:rFonts w:ascii="Times" w:hAnsi="Times" w:cs="Calibri"/>
                <w:color w:val="000000"/>
              </w:rPr>
            </w:pPr>
            <w:r w:rsidRPr="00D23BF1">
              <w:rPr>
                <w:rFonts w:ascii="Times" w:hAnsi="Times" w:cs="Calibri"/>
                <w:color w:val="000000"/>
              </w:rPr>
              <w:t>% grass</w:t>
            </w:r>
          </w:p>
        </w:tc>
        <w:tc>
          <w:tcPr>
            <w:tcW w:w="1300" w:type="dxa"/>
            <w:tcBorders>
              <w:top w:val="nil"/>
              <w:left w:val="nil"/>
              <w:bottom w:val="single" w:sz="4" w:space="0" w:color="auto"/>
              <w:right w:val="nil"/>
            </w:tcBorders>
            <w:shd w:val="clear" w:color="auto" w:fill="auto"/>
            <w:noWrap/>
            <w:vAlign w:val="bottom"/>
            <w:hideMark/>
          </w:tcPr>
          <w:p w14:paraId="6ADC15EB" w14:textId="77777777" w:rsidR="00BA538C" w:rsidRPr="00D23BF1" w:rsidRDefault="00BA538C" w:rsidP="00F20BE1">
            <w:pPr>
              <w:rPr>
                <w:rFonts w:ascii="Times" w:hAnsi="Times" w:cs="Calibri"/>
                <w:color w:val="000000"/>
              </w:rPr>
            </w:pPr>
            <w:r w:rsidRPr="00D23BF1">
              <w:rPr>
                <w:rFonts w:ascii="Times" w:hAnsi="Times" w:cs="Calibri"/>
                <w:color w:val="000000"/>
              </w:rPr>
              <w:t>-1.53</w:t>
            </w:r>
          </w:p>
        </w:tc>
        <w:tc>
          <w:tcPr>
            <w:tcW w:w="1300" w:type="dxa"/>
            <w:tcBorders>
              <w:top w:val="nil"/>
              <w:left w:val="nil"/>
              <w:bottom w:val="single" w:sz="4" w:space="0" w:color="auto"/>
              <w:right w:val="nil"/>
            </w:tcBorders>
            <w:shd w:val="clear" w:color="auto" w:fill="auto"/>
            <w:noWrap/>
            <w:vAlign w:val="bottom"/>
            <w:hideMark/>
          </w:tcPr>
          <w:p w14:paraId="1841BC54" w14:textId="77777777" w:rsidR="00BA538C" w:rsidRPr="00D23BF1" w:rsidRDefault="00BA538C" w:rsidP="00F20BE1">
            <w:pPr>
              <w:rPr>
                <w:rFonts w:ascii="Times" w:hAnsi="Times" w:cs="Calibri"/>
                <w:color w:val="000000"/>
              </w:rPr>
            </w:pPr>
            <w:r w:rsidRPr="00D23BF1">
              <w:rPr>
                <w:rFonts w:ascii="Times" w:hAnsi="Times" w:cs="Calibri"/>
                <w:color w:val="000000"/>
              </w:rPr>
              <w:t>42</w:t>
            </w:r>
          </w:p>
        </w:tc>
        <w:tc>
          <w:tcPr>
            <w:tcW w:w="883" w:type="dxa"/>
            <w:tcBorders>
              <w:top w:val="nil"/>
              <w:left w:val="nil"/>
              <w:bottom w:val="single" w:sz="4" w:space="0" w:color="auto"/>
              <w:right w:val="nil"/>
            </w:tcBorders>
            <w:shd w:val="clear" w:color="auto" w:fill="auto"/>
            <w:noWrap/>
            <w:vAlign w:val="bottom"/>
            <w:hideMark/>
          </w:tcPr>
          <w:p w14:paraId="2CE2A1FB" w14:textId="77777777" w:rsidR="00BA538C" w:rsidRPr="00D23BF1" w:rsidRDefault="00BA538C" w:rsidP="00F20BE1">
            <w:pPr>
              <w:rPr>
                <w:rFonts w:ascii="Times" w:hAnsi="Times" w:cs="Calibri"/>
                <w:color w:val="000000"/>
              </w:rPr>
            </w:pPr>
            <w:r w:rsidRPr="00D23BF1">
              <w:rPr>
                <w:rFonts w:ascii="Times" w:hAnsi="Times" w:cs="Calibri"/>
                <w:color w:val="000000"/>
              </w:rPr>
              <w:t>0.134</w:t>
            </w:r>
          </w:p>
        </w:tc>
        <w:tc>
          <w:tcPr>
            <w:tcW w:w="336" w:type="dxa"/>
            <w:tcBorders>
              <w:top w:val="nil"/>
              <w:left w:val="nil"/>
              <w:bottom w:val="single" w:sz="4" w:space="0" w:color="auto"/>
              <w:right w:val="nil"/>
            </w:tcBorders>
            <w:shd w:val="clear" w:color="auto" w:fill="auto"/>
            <w:noWrap/>
            <w:vAlign w:val="bottom"/>
            <w:hideMark/>
          </w:tcPr>
          <w:p w14:paraId="0D6CEE42" w14:textId="77777777" w:rsidR="00BA538C" w:rsidRPr="00D23BF1" w:rsidRDefault="00BA538C" w:rsidP="00F20BE1">
            <w:pPr>
              <w:rPr>
                <w:rFonts w:ascii="Times" w:hAnsi="Times" w:cs="Calibri"/>
                <w:color w:val="000000"/>
              </w:rPr>
            </w:pPr>
          </w:p>
        </w:tc>
        <w:tc>
          <w:tcPr>
            <w:tcW w:w="1088" w:type="dxa"/>
            <w:tcBorders>
              <w:top w:val="nil"/>
              <w:left w:val="nil"/>
              <w:bottom w:val="single" w:sz="4" w:space="0" w:color="auto"/>
              <w:right w:val="nil"/>
            </w:tcBorders>
            <w:shd w:val="clear" w:color="auto" w:fill="auto"/>
            <w:noWrap/>
            <w:vAlign w:val="bottom"/>
            <w:hideMark/>
          </w:tcPr>
          <w:p w14:paraId="26FD05D0" w14:textId="77777777" w:rsidR="00BA538C" w:rsidRPr="00D23BF1" w:rsidRDefault="00BA538C" w:rsidP="00F20BE1">
            <w:pPr>
              <w:rPr>
                <w:rFonts w:ascii="Times" w:hAnsi="Times" w:cs="Calibri"/>
                <w:color w:val="000000"/>
              </w:rPr>
            </w:pPr>
            <w:r w:rsidRPr="00D23BF1">
              <w:rPr>
                <w:rFonts w:ascii="Times" w:hAnsi="Times" w:cs="Calibri"/>
                <w:color w:val="000000"/>
              </w:rPr>
              <w:t>0.07</w:t>
            </w:r>
          </w:p>
        </w:tc>
        <w:tc>
          <w:tcPr>
            <w:tcW w:w="1080" w:type="dxa"/>
            <w:tcBorders>
              <w:top w:val="nil"/>
              <w:left w:val="nil"/>
              <w:bottom w:val="single" w:sz="4" w:space="0" w:color="auto"/>
              <w:right w:val="single" w:sz="4" w:space="0" w:color="auto"/>
            </w:tcBorders>
            <w:shd w:val="clear" w:color="auto" w:fill="auto"/>
            <w:noWrap/>
            <w:vAlign w:val="bottom"/>
            <w:hideMark/>
          </w:tcPr>
          <w:p w14:paraId="53D4BA01" w14:textId="77777777" w:rsidR="00BA538C" w:rsidRPr="00D23BF1" w:rsidRDefault="00BA538C" w:rsidP="00F20BE1">
            <w:pPr>
              <w:rPr>
                <w:rFonts w:ascii="Times" w:hAnsi="Times" w:cs="Calibri"/>
                <w:color w:val="000000"/>
              </w:rPr>
            </w:pPr>
            <w:r w:rsidRPr="00D23BF1">
              <w:rPr>
                <w:rFonts w:ascii="Times" w:hAnsi="Times" w:cs="Calibri"/>
                <w:color w:val="000000"/>
              </w:rPr>
              <w:t>0.14</w:t>
            </w:r>
          </w:p>
        </w:tc>
      </w:tr>
    </w:tbl>
    <w:p w14:paraId="01D52A30" w14:textId="77777777" w:rsidR="00BA538C" w:rsidRPr="00D23BF1" w:rsidRDefault="00BA538C" w:rsidP="00F20BE1">
      <w:pPr>
        <w:rPr>
          <w:rFonts w:ascii="Times" w:hAnsi="Times"/>
          <w:color w:val="000000"/>
        </w:rPr>
      </w:pPr>
    </w:p>
    <w:p w14:paraId="69C026C3" w14:textId="27553303" w:rsidR="00BA538C" w:rsidRPr="00D23BF1" w:rsidRDefault="00BA538C" w:rsidP="00F20BE1">
      <w:pPr>
        <w:rPr>
          <w:rFonts w:ascii="Times" w:hAnsi="Times"/>
          <w:color w:val="000000"/>
        </w:rPr>
      </w:pPr>
    </w:p>
    <w:p w14:paraId="0A92B822" w14:textId="39AEB31D" w:rsidR="00556C82" w:rsidRPr="00D23BF1" w:rsidRDefault="00556C82" w:rsidP="00F20BE1">
      <w:pPr>
        <w:rPr>
          <w:rFonts w:ascii="Times" w:hAnsi="Times"/>
          <w:color w:val="000000"/>
        </w:rPr>
      </w:pPr>
    </w:p>
    <w:p w14:paraId="7E1A334D" w14:textId="4E2F1406" w:rsidR="00556C82" w:rsidRPr="00D23BF1" w:rsidRDefault="00556C82" w:rsidP="00F20BE1">
      <w:pPr>
        <w:rPr>
          <w:rFonts w:ascii="Times" w:hAnsi="Times"/>
          <w:color w:val="000000"/>
        </w:rPr>
      </w:pPr>
    </w:p>
    <w:p w14:paraId="7F1FF82D" w14:textId="0880D9ED" w:rsidR="00556C82" w:rsidRPr="00D23BF1" w:rsidRDefault="00556C82" w:rsidP="00F20BE1">
      <w:pPr>
        <w:rPr>
          <w:rFonts w:ascii="Times" w:hAnsi="Times"/>
          <w:color w:val="000000"/>
        </w:rPr>
      </w:pPr>
    </w:p>
    <w:p w14:paraId="52350B13" w14:textId="57F6B7A9" w:rsidR="00556C82" w:rsidRPr="00D23BF1" w:rsidRDefault="00556C82" w:rsidP="00F20BE1">
      <w:pPr>
        <w:rPr>
          <w:rFonts w:ascii="Times" w:hAnsi="Times"/>
          <w:color w:val="000000"/>
        </w:rPr>
      </w:pPr>
    </w:p>
    <w:p w14:paraId="2EF0AD7B" w14:textId="623C0E6A" w:rsidR="00556C82" w:rsidRPr="00D23BF1" w:rsidRDefault="00556C82" w:rsidP="00F20BE1">
      <w:pPr>
        <w:rPr>
          <w:rFonts w:ascii="Times" w:hAnsi="Times"/>
          <w:color w:val="000000"/>
        </w:rPr>
      </w:pPr>
    </w:p>
    <w:p w14:paraId="3501E455" w14:textId="24A152F8" w:rsidR="00556C82" w:rsidRPr="00D23BF1" w:rsidRDefault="00556C82" w:rsidP="00F20BE1">
      <w:pPr>
        <w:rPr>
          <w:rFonts w:ascii="Times" w:hAnsi="Times"/>
          <w:color w:val="000000"/>
        </w:rPr>
      </w:pPr>
    </w:p>
    <w:p w14:paraId="5BF8AF83" w14:textId="6E721000" w:rsidR="00556C82" w:rsidRPr="00D23BF1" w:rsidRDefault="00556C82" w:rsidP="00F20BE1">
      <w:pPr>
        <w:rPr>
          <w:rFonts w:ascii="Times" w:hAnsi="Times"/>
          <w:color w:val="000000"/>
        </w:rPr>
      </w:pPr>
    </w:p>
    <w:p w14:paraId="28DCC0EB" w14:textId="37E1C705" w:rsidR="00556C82" w:rsidRPr="00D23BF1" w:rsidRDefault="00556C82" w:rsidP="00F20BE1">
      <w:pPr>
        <w:rPr>
          <w:rFonts w:ascii="Times" w:hAnsi="Times"/>
          <w:color w:val="000000"/>
        </w:rPr>
      </w:pPr>
    </w:p>
    <w:p w14:paraId="6B9CE7E0" w14:textId="7D786D23" w:rsidR="00556C82" w:rsidRPr="00D23BF1" w:rsidRDefault="00556C82" w:rsidP="00F20BE1">
      <w:pPr>
        <w:rPr>
          <w:rFonts w:ascii="Times" w:hAnsi="Times"/>
          <w:color w:val="000000"/>
        </w:rPr>
      </w:pPr>
    </w:p>
    <w:p w14:paraId="0FFFE628" w14:textId="672D4B8B" w:rsidR="00556C82" w:rsidRPr="00D23BF1" w:rsidRDefault="00556C82" w:rsidP="00F20BE1">
      <w:pPr>
        <w:rPr>
          <w:rFonts w:ascii="Times" w:hAnsi="Times"/>
          <w:color w:val="000000"/>
        </w:rPr>
      </w:pPr>
    </w:p>
    <w:p w14:paraId="4FB80A7B" w14:textId="6276FB9B" w:rsidR="00556C82" w:rsidRPr="00D23BF1" w:rsidRDefault="00556C82" w:rsidP="00F20BE1">
      <w:pPr>
        <w:rPr>
          <w:rFonts w:ascii="Times" w:hAnsi="Times"/>
          <w:color w:val="000000"/>
        </w:rPr>
      </w:pPr>
    </w:p>
    <w:p w14:paraId="099F4ADE" w14:textId="3F07ED28" w:rsidR="00556C82" w:rsidRPr="00D23BF1" w:rsidRDefault="00556C82" w:rsidP="00F20BE1">
      <w:pPr>
        <w:rPr>
          <w:rFonts w:ascii="Times" w:hAnsi="Times"/>
          <w:color w:val="000000"/>
        </w:rPr>
      </w:pPr>
    </w:p>
    <w:p w14:paraId="2E21EE73" w14:textId="66C5803A" w:rsidR="00556C82" w:rsidRPr="00D23BF1" w:rsidRDefault="00556C82" w:rsidP="00F20BE1">
      <w:pPr>
        <w:rPr>
          <w:rFonts w:ascii="Times" w:hAnsi="Times"/>
          <w:color w:val="000000"/>
        </w:rPr>
      </w:pPr>
    </w:p>
    <w:p w14:paraId="41D511BA" w14:textId="2615F28D" w:rsidR="00556C82" w:rsidRPr="00D23BF1" w:rsidRDefault="00556C82" w:rsidP="00F20BE1">
      <w:pPr>
        <w:rPr>
          <w:rFonts w:ascii="Times" w:hAnsi="Times"/>
          <w:color w:val="000000"/>
        </w:rPr>
      </w:pPr>
    </w:p>
    <w:p w14:paraId="3306C6DE" w14:textId="2607FC9B" w:rsidR="00556C82" w:rsidRPr="00D23BF1" w:rsidRDefault="00556C82" w:rsidP="00F20BE1">
      <w:pPr>
        <w:rPr>
          <w:rFonts w:ascii="Times" w:hAnsi="Times"/>
          <w:color w:val="000000"/>
        </w:rPr>
      </w:pPr>
    </w:p>
    <w:p w14:paraId="1B728480" w14:textId="77777777" w:rsidR="00556C82" w:rsidRPr="00D23BF1" w:rsidRDefault="00556C82" w:rsidP="00F20BE1">
      <w:pPr>
        <w:rPr>
          <w:rFonts w:ascii="Times" w:hAnsi="Times"/>
          <w:color w:val="000000"/>
        </w:rPr>
      </w:pPr>
    </w:p>
    <w:p w14:paraId="0B9BF0F2" w14:textId="77777777" w:rsidR="00BA538C" w:rsidRPr="00D23BF1" w:rsidRDefault="00BA538C" w:rsidP="00F20BE1">
      <w:pPr>
        <w:rPr>
          <w:rFonts w:ascii="Times" w:hAnsi="Times"/>
        </w:rPr>
      </w:pPr>
    </w:p>
    <w:p w14:paraId="78771FD2" w14:textId="282FF63E" w:rsidR="00BA538C" w:rsidRPr="00D23BF1" w:rsidRDefault="00BA538C" w:rsidP="00F20BE1">
      <w:pPr>
        <w:rPr>
          <w:rFonts w:ascii="Times" w:hAnsi="Times"/>
        </w:rPr>
      </w:pPr>
      <w:r w:rsidRPr="00D23BF1">
        <w:rPr>
          <w:rFonts w:ascii="Times" w:hAnsi="Times"/>
          <w:b/>
        </w:rPr>
        <w:lastRenderedPageBreak/>
        <w:t>Table 4.</w:t>
      </w:r>
      <w:r w:rsidRPr="00D23BF1">
        <w:rPr>
          <w:rFonts w:ascii="Times" w:hAnsi="Times"/>
        </w:rPr>
        <w:t xml:space="preserve"> PERMANOVA results on beta diversity distances between communities in urban and rural habitats. </w:t>
      </w:r>
    </w:p>
    <w:tbl>
      <w:tblPr>
        <w:tblW w:w="7525" w:type="dxa"/>
        <w:tblInd w:w="108" w:type="dxa"/>
        <w:tblLook w:val="04A0" w:firstRow="1" w:lastRow="0" w:firstColumn="1" w:lastColumn="0" w:noHBand="0" w:noVBand="1"/>
      </w:tblPr>
      <w:tblGrid>
        <w:gridCol w:w="3749"/>
        <w:gridCol w:w="728"/>
        <w:gridCol w:w="1366"/>
        <w:gridCol w:w="1682"/>
      </w:tblGrid>
      <w:tr w:rsidR="00BA538C" w:rsidRPr="00D23BF1" w14:paraId="0184C73D" w14:textId="77777777" w:rsidTr="009A40FD">
        <w:trPr>
          <w:trHeight w:val="524"/>
        </w:trPr>
        <w:tc>
          <w:tcPr>
            <w:tcW w:w="3749" w:type="dxa"/>
            <w:tcBorders>
              <w:top w:val="single" w:sz="4" w:space="0" w:color="auto"/>
              <w:left w:val="nil"/>
              <w:bottom w:val="single" w:sz="4" w:space="0" w:color="auto"/>
              <w:right w:val="nil"/>
            </w:tcBorders>
            <w:shd w:val="clear" w:color="auto" w:fill="auto"/>
            <w:noWrap/>
            <w:vAlign w:val="bottom"/>
            <w:hideMark/>
          </w:tcPr>
          <w:p w14:paraId="0D0CA611" w14:textId="77777777" w:rsidR="00BA538C" w:rsidRPr="00D23BF1" w:rsidRDefault="00BA538C" w:rsidP="00F20BE1">
            <w:pPr>
              <w:rPr>
                <w:rFonts w:ascii="Times" w:hAnsi="Times" w:cs="Calibri"/>
                <w:color w:val="000000"/>
              </w:rPr>
            </w:pPr>
            <w:r w:rsidRPr="00D23BF1">
              <w:rPr>
                <w:rFonts w:ascii="Times" w:hAnsi="Times" w:cs="Calibri"/>
                <w:color w:val="000000"/>
              </w:rPr>
              <w:t>distance measure</w:t>
            </w:r>
          </w:p>
        </w:tc>
        <w:tc>
          <w:tcPr>
            <w:tcW w:w="728" w:type="dxa"/>
            <w:tcBorders>
              <w:top w:val="single" w:sz="4" w:space="0" w:color="auto"/>
              <w:left w:val="nil"/>
              <w:bottom w:val="single" w:sz="4" w:space="0" w:color="auto"/>
              <w:right w:val="nil"/>
            </w:tcBorders>
            <w:shd w:val="clear" w:color="auto" w:fill="auto"/>
            <w:noWrap/>
            <w:vAlign w:val="bottom"/>
            <w:hideMark/>
          </w:tcPr>
          <w:p w14:paraId="394B8782" w14:textId="77777777" w:rsidR="00BA538C" w:rsidRPr="00D23BF1" w:rsidRDefault="00BA538C" w:rsidP="00F20BE1">
            <w:pPr>
              <w:rPr>
                <w:rFonts w:ascii="Times" w:hAnsi="Times" w:cs="Calibri"/>
                <w:color w:val="000000"/>
              </w:rPr>
            </w:pPr>
            <w:r w:rsidRPr="00D23BF1">
              <w:rPr>
                <w:rFonts w:ascii="Times" w:hAnsi="Times" w:cs="Calibri"/>
                <w:color w:val="000000"/>
              </w:rPr>
              <w:t>df</w:t>
            </w:r>
          </w:p>
        </w:tc>
        <w:tc>
          <w:tcPr>
            <w:tcW w:w="1366" w:type="dxa"/>
            <w:tcBorders>
              <w:top w:val="single" w:sz="4" w:space="0" w:color="auto"/>
              <w:left w:val="nil"/>
              <w:bottom w:val="single" w:sz="4" w:space="0" w:color="auto"/>
              <w:right w:val="nil"/>
            </w:tcBorders>
            <w:shd w:val="clear" w:color="auto" w:fill="auto"/>
            <w:noWrap/>
            <w:vAlign w:val="bottom"/>
            <w:hideMark/>
          </w:tcPr>
          <w:p w14:paraId="219A5BF2" w14:textId="77777777" w:rsidR="00BA538C" w:rsidRPr="00D23BF1" w:rsidRDefault="00BA538C" w:rsidP="00F20BE1">
            <w:pPr>
              <w:rPr>
                <w:rFonts w:ascii="Times" w:hAnsi="Times" w:cs="Calibri"/>
                <w:color w:val="000000"/>
              </w:rPr>
            </w:pPr>
            <w:r w:rsidRPr="00D23BF1">
              <w:rPr>
                <w:rFonts w:ascii="Times" w:hAnsi="Times" w:cs="Calibri"/>
                <w:color w:val="000000"/>
              </w:rPr>
              <w:t>Pseudo-F</w:t>
            </w:r>
          </w:p>
        </w:tc>
        <w:tc>
          <w:tcPr>
            <w:tcW w:w="1682" w:type="dxa"/>
            <w:tcBorders>
              <w:top w:val="single" w:sz="4" w:space="0" w:color="auto"/>
              <w:left w:val="nil"/>
              <w:bottom w:val="single" w:sz="4" w:space="0" w:color="auto"/>
              <w:right w:val="nil"/>
            </w:tcBorders>
            <w:shd w:val="clear" w:color="auto" w:fill="auto"/>
            <w:noWrap/>
            <w:vAlign w:val="bottom"/>
            <w:hideMark/>
          </w:tcPr>
          <w:p w14:paraId="39C624F6" w14:textId="77777777" w:rsidR="00BA538C" w:rsidRPr="00D23BF1" w:rsidRDefault="00BA538C" w:rsidP="00F20BE1">
            <w:pPr>
              <w:rPr>
                <w:rFonts w:ascii="Times" w:hAnsi="Times" w:cs="Calibri"/>
                <w:i/>
                <w:iCs/>
                <w:color w:val="000000"/>
              </w:rPr>
            </w:pPr>
            <w:r w:rsidRPr="00D23BF1">
              <w:rPr>
                <w:rFonts w:ascii="Times" w:hAnsi="Times" w:cs="Calibri"/>
                <w:i/>
                <w:iCs/>
                <w:color w:val="000000"/>
              </w:rPr>
              <w:t>P</w:t>
            </w:r>
          </w:p>
        </w:tc>
      </w:tr>
      <w:tr w:rsidR="00BA538C" w:rsidRPr="00D23BF1" w14:paraId="4876704D" w14:textId="77777777" w:rsidTr="009A40FD">
        <w:trPr>
          <w:trHeight w:val="524"/>
        </w:trPr>
        <w:tc>
          <w:tcPr>
            <w:tcW w:w="3749" w:type="dxa"/>
            <w:tcBorders>
              <w:top w:val="nil"/>
              <w:left w:val="nil"/>
              <w:bottom w:val="nil"/>
              <w:right w:val="nil"/>
            </w:tcBorders>
            <w:shd w:val="clear" w:color="auto" w:fill="auto"/>
            <w:noWrap/>
            <w:vAlign w:val="bottom"/>
            <w:hideMark/>
          </w:tcPr>
          <w:p w14:paraId="5DDC28C7" w14:textId="77777777" w:rsidR="00BA538C" w:rsidRPr="00D23BF1" w:rsidRDefault="00BA538C" w:rsidP="00F20BE1">
            <w:pPr>
              <w:rPr>
                <w:rFonts w:ascii="Times" w:hAnsi="Times" w:cs="Calibri"/>
                <w:color w:val="000000"/>
              </w:rPr>
            </w:pPr>
            <w:r w:rsidRPr="00D23BF1">
              <w:rPr>
                <w:rFonts w:ascii="Times" w:hAnsi="Times" w:cs="Calibri"/>
                <w:color w:val="000000"/>
              </w:rPr>
              <w:t>Jaccard</w:t>
            </w:r>
          </w:p>
        </w:tc>
        <w:tc>
          <w:tcPr>
            <w:tcW w:w="728" w:type="dxa"/>
            <w:tcBorders>
              <w:top w:val="nil"/>
              <w:left w:val="nil"/>
              <w:bottom w:val="nil"/>
              <w:right w:val="nil"/>
            </w:tcBorders>
            <w:shd w:val="clear" w:color="auto" w:fill="auto"/>
            <w:noWrap/>
            <w:vAlign w:val="bottom"/>
            <w:hideMark/>
          </w:tcPr>
          <w:p w14:paraId="62154E48" w14:textId="77777777" w:rsidR="00BA538C" w:rsidRPr="00D23BF1" w:rsidRDefault="00BA538C" w:rsidP="00F20BE1">
            <w:pPr>
              <w:rPr>
                <w:rFonts w:ascii="Times" w:hAnsi="Times" w:cs="Calibri"/>
                <w:color w:val="000000"/>
              </w:rPr>
            </w:pPr>
            <w:r w:rsidRPr="00D23BF1">
              <w:rPr>
                <w:rFonts w:ascii="Times" w:hAnsi="Times" w:cs="Calibri"/>
                <w:color w:val="000000"/>
              </w:rPr>
              <w:t>1</w:t>
            </w:r>
          </w:p>
        </w:tc>
        <w:tc>
          <w:tcPr>
            <w:tcW w:w="1366" w:type="dxa"/>
            <w:tcBorders>
              <w:top w:val="nil"/>
              <w:left w:val="nil"/>
              <w:bottom w:val="nil"/>
              <w:right w:val="nil"/>
            </w:tcBorders>
            <w:shd w:val="clear" w:color="auto" w:fill="auto"/>
            <w:noWrap/>
            <w:vAlign w:val="bottom"/>
            <w:hideMark/>
          </w:tcPr>
          <w:p w14:paraId="66690C5A" w14:textId="77777777" w:rsidR="00BA538C" w:rsidRPr="00D23BF1" w:rsidRDefault="00BA538C" w:rsidP="00F20BE1">
            <w:pPr>
              <w:rPr>
                <w:rFonts w:ascii="Times" w:hAnsi="Times" w:cs="Calibri"/>
                <w:color w:val="000000"/>
              </w:rPr>
            </w:pPr>
            <w:r w:rsidRPr="00D23BF1">
              <w:rPr>
                <w:rFonts w:ascii="Times" w:hAnsi="Times" w:cs="Calibri"/>
                <w:color w:val="000000"/>
              </w:rPr>
              <w:t>1.408</w:t>
            </w:r>
          </w:p>
        </w:tc>
        <w:tc>
          <w:tcPr>
            <w:tcW w:w="1682" w:type="dxa"/>
            <w:tcBorders>
              <w:top w:val="nil"/>
              <w:left w:val="nil"/>
              <w:bottom w:val="nil"/>
              <w:right w:val="nil"/>
            </w:tcBorders>
            <w:shd w:val="clear" w:color="auto" w:fill="auto"/>
            <w:noWrap/>
            <w:vAlign w:val="bottom"/>
            <w:hideMark/>
          </w:tcPr>
          <w:p w14:paraId="670BBD9F" w14:textId="77777777" w:rsidR="00BA538C" w:rsidRPr="00D23BF1" w:rsidRDefault="00BA538C" w:rsidP="00F20BE1">
            <w:pPr>
              <w:rPr>
                <w:rFonts w:ascii="Times" w:hAnsi="Times" w:cs="Calibri"/>
                <w:color w:val="000000"/>
              </w:rPr>
            </w:pPr>
            <w:r w:rsidRPr="00D23BF1">
              <w:rPr>
                <w:rFonts w:ascii="Times" w:hAnsi="Times" w:cs="Calibri"/>
                <w:color w:val="000000"/>
              </w:rPr>
              <w:t>0.001</w:t>
            </w:r>
          </w:p>
        </w:tc>
      </w:tr>
      <w:tr w:rsidR="00BA538C" w:rsidRPr="00D23BF1" w14:paraId="55A556C8" w14:textId="77777777" w:rsidTr="009A40FD">
        <w:trPr>
          <w:trHeight w:val="524"/>
        </w:trPr>
        <w:tc>
          <w:tcPr>
            <w:tcW w:w="3749" w:type="dxa"/>
            <w:tcBorders>
              <w:top w:val="nil"/>
              <w:left w:val="nil"/>
              <w:bottom w:val="nil"/>
              <w:right w:val="nil"/>
            </w:tcBorders>
            <w:shd w:val="clear" w:color="auto" w:fill="auto"/>
            <w:noWrap/>
            <w:vAlign w:val="bottom"/>
            <w:hideMark/>
          </w:tcPr>
          <w:p w14:paraId="02BF1743" w14:textId="77777777" w:rsidR="00BA538C" w:rsidRPr="00D23BF1" w:rsidRDefault="00BA538C" w:rsidP="00F20BE1">
            <w:pPr>
              <w:rPr>
                <w:rFonts w:ascii="Times" w:hAnsi="Times" w:cs="Calibri"/>
                <w:color w:val="000000"/>
              </w:rPr>
            </w:pPr>
            <w:r w:rsidRPr="00D23BF1">
              <w:rPr>
                <w:rFonts w:ascii="Times" w:hAnsi="Times" w:cs="Calibri"/>
                <w:color w:val="000000"/>
              </w:rPr>
              <w:t xml:space="preserve">unweighted </w:t>
            </w:r>
            <w:proofErr w:type="spellStart"/>
            <w:r w:rsidRPr="00D23BF1">
              <w:rPr>
                <w:rFonts w:ascii="Times" w:hAnsi="Times" w:cs="Calibri"/>
                <w:color w:val="000000"/>
              </w:rPr>
              <w:t>UniFrac</w:t>
            </w:r>
            <w:proofErr w:type="spellEnd"/>
          </w:p>
        </w:tc>
        <w:tc>
          <w:tcPr>
            <w:tcW w:w="728" w:type="dxa"/>
            <w:tcBorders>
              <w:top w:val="nil"/>
              <w:left w:val="nil"/>
              <w:bottom w:val="nil"/>
              <w:right w:val="nil"/>
            </w:tcBorders>
            <w:shd w:val="clear" w:color="auto" w:fill="auto"/>
            <w:noWrap/>
            <w:vAlign w:val="bottom"/>
            <w:hideMark/>
          </w:tcPr>
          <w:p w14:paraId="77EC1E48" w14:textId="77777777" w:rsidR="00BA538C" w:rsidRPr="00D23BF1" w:rsidRDefault="00BA538C" w:rsidP="00F20BE1">
            <w:pPr>
              <w:rPr>
                <w:rFonts w:ascii="Times" w:hAnsi="Times" w:cs="Calibri"/>
                <w:color w:val="000000"/>
              </w:rPr>
            </w:pPr>
            <w:r w:rsidRPr="00D23BF1">
              <w:rPr>
                <w:rFonts w:ascii="Times" w:hAnsi="Times" w:cs="Calibri"/>
                <w:color w:val="000000"/>
              </w:rPr>
              <w:t>1</w:t>
            </w:r>
          </w:p>
        </w:tc>
        <w:tc>
          <w:tcPr>
            <w:tcW w:w="1366" w:type="dxa"/>
            <w:tcBorders>
              <w:top w:val="nil"/>
              <w:left w:val="nil"/>
              <w:bottom w:val="nil"/>
              <w:right w:val="nil"/>
            </w:tcBorders>
            <w:shd w:val="clear" w:color="auto" w:fill="auto"/>
            <w:noWrap/>
            <w:vAlign w:val="bottom"/>
            <w:hideMark/>
          </w:tcPr>
          <w:p w14:paraId="3852B229" w14:textId="77777777" w:rsidR="00BA538C" w:rsidRPr="00D23BF1" w:rsidRDefault="00BA538C" w:rsidP="00F20BE1">
            <w:pPr>
              <w:rPr>
                <w:rFonts w:ascii="Times" w:hAnsi="Times" w:cs="Calibri"/>
                <w:color w:val="000000"/>
              </w:rPr>
            </w:pPr>
            <w:r w:rsidRPr="00D23BF1">
              <w:rPr>
                <w:rFonts w:ascii="Times" w:hAnsi="Times" w:cs="Calibri"/>
                <w:color w:val="000000"/>
              </w:rPr>
              <w:t>1.978</w:t>
            </w:r>
          </w:p>
        </w:tc>
        <w:tc>
          <w:tcPr>
            <w:tcW w:w="1682" w:type="dxa"/>
            <w:tcBorders>
              <w:top w:val="nil"/>
              <w:left w:val="nil"/>
              <w:bottom w:val="nil"/>
              <w:right w:val="nil"/>
            </w:tcBorders>
            <w:shd w:val="clear" w:color="auto" w:fill="auto"/>
            <w:noWrap/>
            <w:vAlign w:val="bottom"/>
            <w:hideMark/>
          </w:tcPr>
          <w:p w14:paraId="57899EFE" w14:textId="77777777" w:rsidR="00BA538C" w:rsidRPr="00D23BF1" w:rsidRDefault="00BA538C" w:rsidP="00F20BE1">
            <w:pPr>
              <w:rPr>
                <w:rFonts w:ascii="Times" w:hAnsi="Times" w:cs="Calibri"/>
                <w:color w:val="000000"/>
              </w:rPr>
            </w:pPr>
            <w:r w:rsidRPr="00D23BF1">
              <w:rPr>
                <w:rFonts w:ascii="Times" w:hAnsi="Times" w:cs="Calibri"/>
                <w:color w:val="000000"/>
              </w:rPr>
              <w:t>&lt;0.001</w:t>
            </w:r>
          </w:p>
        </w:tc>
      </w:tr>
      <w:tr w:rsidR="00BA538C" w:rsidRPr="00D23BF1" w14:paraId="0A7FAE87" w14:textId="77777777" w:rsidTr="009A40FD">
        <w:trPr>
          <w:trHeight w:val="524"/>
        </w:trPr>
        <w:tc>
          <w:tcPr>
            <w:tcW w:w="3749" w:type="dxa"/>
            <w:tcBorders>
              <w:top w:val="nil"/>
              <w:left w:val="nil"/>
              <w:bottom w:val="nil"/>
              <w:right w:val="nil"/>
            </w:tcBorders>
            <w:shd w:val="clear" w:color="auto" w:fill="auto"/>
            <w:noWrap/>
            <w:vAlign w:val="bottom"/>
            <w:hideMark/>
          </w:tcPr>
          <w:p w14:paraId="42FF0EB2" w14:textId="77777777" w:rsidR="00BA538C" w:rsidRPr="00D23BF1" w:rsidRDefault="00BA538C" w:rsidP="00F20BE1">
            <w:pPr>
              <w:rPr>
                <w:rFonts w:ascii="Times" w:hAnsi="Times" w:cs="Calibri"/>
                <w:color w:val="000000"/>
              </w:rPr>
            </w:pPr>
            <w:r w:rsidRPr="00D23BF1">
              <w:rPr>
                <w:rFonts w:ascii="Times" w:hAnsi="Times" w:cs="Calibri"/>
                <w:color w:val="000000"/>
              </w:rPr>
              <w:t>Bray-Curtis</w:t>
            </w:r>
          </w:p>
        </w:tc>
        <w:tc>
          <w:tcPr>
            <w:tcW w:w="728" w:type="dxa"/>
            <w:tcBorders>
              <w:top w:val="nil"/>
              <w:left w:val="nil"/>
              <w:bottom w:val="nil"/>
              <w:right w:val="nil"/>
            </w:tcBorders>
            <w:shd w:val="clear" w:color="auto" w:fill="auto"/>
            <w:noWrap/>
            <w:vAlign w:val="bottom"/>
            <w:hideMark/>
          </w:tcPr>
          <w:p w14:paraId="4DE3ACE9" w14:textId="77777777" w:rsidR="00BA538C" w:rsidRPr="00D23BF1" w:rsidRDefault="00BA538C" w:rsidP="00F20BE1">
            <w:pPr>
              <w:rPr>
                <w:rFonts w:ascii="Times" w:hAnsi="Times" w:cs="Calibri"/>
                <w:color w:val="000000"/>
              </w:rPr>
            </w:pPr>
            <w:r w:rsidRPr="00D23BF1">
              <w:rPr>
                <w:rFonts w:ascii="Times" w:hAnsi="Times" w:cs="Calibri"/>
                <w:color w:val="000000"/>
              </w:rPr>
              <w:t>1</w:t>
            </w:r>
          </w:p>
        </w:tc>
        <w:tc>
          <w:tcPr>
            <w:tcW w:w="1366" w:type="dxa"/>
            <w:tcBorders>
              <w:top w:val="nil"/>
              <w:left w:val="nil"/>
              <w:bottom w:val="nil"/>
              <w:right w:val="nil"/>
            </w:tcBorders>
            <w:shd w:val="clear" w:color="auto" w:fill="auto"/>
            <w:noWrap/>
            <w:vAlign w:val="bottom"/>
            <w:hideMark/>
          </w:tcPr>
          <w:p w14:paraId="326D5637" w14:textId="77777777" w:rsidR="00BA538C" w:rsidRPr="00D23BF1" w:rsidRDefault="00BA538C" w:rsidP="00F20BE1">
            <w:pPr>
              <w:rPr>
                <w:rFonts w:ascii="Times" w:hAnsi="Times" w:cs="Calibri"/>
                <w:color w:val="000000"/>
              </w:rPr>
            </w:pPr>
            <w:r w:rsidRPr="00D23BF1">
              <w:rPr>
                <w:rFonts w:ascii="Times" w:hAnsi="Times" w:cs="Calibri"/>
                <w:color w:val="000000"/>
              </w:rPr>
              <w:t>0.914</w:t>
            </w:r>
          </w:p>
        </w:tc>
        <w:tc>
          <w:tcPr>
            <w:tcW w:w="1682" w:type="dxa"/>
            <w:tcBorders>
              <w:top w:val="nil"/>
              <w:left w:val="nil"/>
              <w:bottom w:val="nil"/>
              <w:right w:val="nil"/>
            </w:tcBorders>
            <w:shd w:val="clear" w:color="auto" w:fill="auto"/>
            <w:noWrap/>
            <w:vAlign w:val="bottom"/>
            <w:hideMark/>
          </w:tcPr>
          <w:p w14:paraId="27914137" w14:textId="77777777" w:rsidR="00BA538C" w:rsidRPr="00D23BF1" w:rsidRDefault="00BA538C" w:rsidP="00F20BE1">
            <w:pPr>
              <w:rPr>
                <w:rFonts w:ascii="Times" w:hAnsi="Times" w:cs="Calibri"/>
                <w:color w:val="000000"/>
              </w:rPr>
            </w:pPr>
            <w:r w:rsidRPr="00D23BF1">
              <w:rPr>
                <w:rFonts w:ascii="Times" w:hAnsi="Times" w:cs="Calibri"/>
                <w:color w:val="000000"/>
              </w:rPr>
              <w:t>0.5044</w:t>
            </w:r>
          </w:p>
        </w:tc>
      </w:tr>
      <w:tr w:rsidR="00BA538C" w:rsidRPr="00D23BF1" w14:paraId="558E9F47" w14:textId="77777777" w:rsidTr="009A40FD">
        <w:trPr>
          <w:trHeight w:val="524"/>
        </w:trPr>
        <w:tc>
          <w:tcPr>
            <w:tcW w:w="3749" w:type="dxa"/>
            <w:tcBorders>
              <w:top w:val="nil"/>
              <w:left w:val="nil"/>
              <w:bottom w:val="single" w:sz="4" w:space="0" w:color="auto"/>
              <w:right w:val="nil"/>
            </w:tcBorders>
            <w:shd w:val="clear" w:color="auto" w:fill="auto"/>
            <w:noWrap/>
            <w:vAlign w:val="bottom"/>
            <w:hideMark/>
          </w:tcPr>
          <w:p w14:paraId="5F5738D3" w14:textId="77777777" w:rsidR="00BA538C" w:rsidRPr="00D23BF1" w:rsidRDefault="00BA538C" w:rsidP="00F20BE1">
            <w:pPr>
              <w:rPr>
                <w:rFonts w:ascii="Times" w:hAnsi="Times" w:cs="Calibri"/>
                <w:color w:val="000000"/>
              </w:rPr>
            </w:pPr>
            <w:r w:rsidRPr="00D23BF1">
              <w:rPr>
                <w:rFonts w:ascii="Times" w:hAnsi="Times" w:cs="Calibri"/>
                <w:color w:val="000000"/>
              </w:rPr>
              <w:t xml:space="preserve">weighted </w:t>
            </w:r>
            <w:proofErr w:type="spellStart"/>
            <w:r w:rsidRPr="00D23BF1">
              <w:rPr>
                <w:rFonts w:ascii="Times" w:hAnsi="Times" w:cs="Calibri"/>
                <w:color w:val="000000"/>
              </w:rPr>
              <w:t>UniFrac</w:t>
            </w:r>
            <w:proofErr w:type="spellEnd"/>
          </w:p>
        </w:tc>
        <w:tc>
          <w:tcPr>
            <w:tcW w:w="728" w:type="dxa"/>
            <w:tcBorders>
              <w:top w:val="nil"/>
              <w:left w:val="nil"/>
              <w:bottom w:val="single" w:sz="4" w:space="0" w:color="auto"/>
              <w:right w:val="nil"/>
            </w:tcBorders>
            <w:shd w:val="clear" w:color="auto" w:fill="auto"/>
            <w:noWrap/>
            <w:vAlign w:val="bottom"/>
            <w:hideMark/>
          </w:tcPr>
          <w:p w14:paraId="302BD0F1" w14:textId="77777777" w:rsidR="00BA538C" w:rsidRPr="00D23BF1" w:rsidRDefault="00BA538C" w:rsidP="00F20BE1">
            <w:pPr>
              <w:rPr>
                <w:rFonts w:ascii="Times" w:hAnsi="Times" w:cs="Calibri"/>
                <w:color w:val="000000"/>
              </w:rPr>
            </w:pPr>
            <w:r w:rsidRPr="00D23BF1">
              <w:rPr>
                <w:rFonts w:ascii="Times" w:hAnsi="Times" w:cs="Calibri"/>
                <w:color w:val="000000"/>
              </w:rPr>
              <w:t>1</w:t>
            </w:r>
          </w:p>
        </w:tc>
        <w:tc>
          <w:tcPr>
            <w:tcW w:w="1366" w:type="dxa"/>
            <w:tcBorders>
              <w:top w:val="nil"/>
              <w:left w:val="nil"/>
              <w:bottom w:val="single" w:sz="4" w:space="0" w:color="auto"/>
              <w:right w:val="nil"/>
            </w:tcBorders>
            <w:shd w:val="clear" w:color="auto" w:fill="auto"/>
            <w:noWrap/>
            <w:vAlign w:val="bottom"/>
            <w:hideMark/>
          </w:tcPr>
          <w:p w14:paraId="1BFB82AC" w14:textId="77777777" w:rsidR="00BA538C" w:rsidRPr="00D23BF1" w:rsidRDefault="00BA538C" w:rsidP="00F20BE1">
            <w:pPr>
              <w:rPr>
                <w:rFonts w:ascii="Times" w:hAnsi="Times" w:cs="Calibri"/>
                <w:color w:val="000000"/>
              </w:rPr>
            </w:pPr>
            <w:r w:rsidRPr="00D23BF1">
              <w:rPr>
                <w:rFonts w:ascii="Times" w:hAnsi="Times" w:cs="Calibri"/>
                <w:color w:val="000000"/>
              </w:rPr>
              <w:t>1.018</w:t>
            </w:r>
          </w:p>
        </w:tc>
        <w:tc>
          <w:tcPr>
            <w:tcW w:w="1682" w:type="dxa"/>
            <w:tcBorders>
              <w:top w:val="nil"/>
              <w:left w:val="nil"/>
              <w:bottom w:val="single" w:sz="4" w:space="0" w:color="auto"/>
              <w:right w:val="nil"/>
            </w:tcBorders>
            <w:shd w:val="clear" w:color="auto" w:fill="auto"/>
            <w:noWrap/>
            <w:vAlign w:val="bottom"/>
            <w:hideMark/>
          </w:tcPr>
          <w:p w14:paraId="1AD0C126" w14:textId="77777777" w:rsidR="00BA538C" w:rsidRPr="00D23BF1" w:rsidRDefault="00BA538C" w:rsidP="00F20BE1">
            <w:pPr>
              <w:rPr>
                <w:rFonts w:ascii="Times" w:hAnsi="Times" w:cs="Calibri"/>
                <w:color w:val="000000"/>
              </w:rPr>
            </w:pPr>
            <w:r w:rsidRPr="00D23BF1">
              <w:rPr>
                <w:rFonts w:ascii="Times" w:hAnsi="Times" w:cs="Calibri"/>
                <w:color w:val="000000"/>
              </w:rPr>
              <w:t>0.3296</w:t>
            </w:r>
          </w:p>
        </w:tc>
      </w:tr>
    </w:tbl>
    <w:p w14:paraId="5B8143C7" w14:textId="77777777" w:rsidR="00BA538C" w:rsidRPr="00D23BF1" w:rsidRDefault="00BA538C" w:rsidP="00F20BE1">
      <w:pPr>
        <w:rPr>
          <w:rFonts w:ascii="Times" w:hAnsi="Times"/>
        </w:rPr>
      </w:pPr>
    </w:p>
    <w:p w14:paraId="09121318" w14:textId="77777777" w:rsidR="00BA538C" w:rsidRPr="00D23BF1" w:rsidRDefault="00BA538C" w:rsidP="00F20BE1">
      <w:pPr>
        <w:rPr>
          <w:rFonts w:ascii="Times" w:hAnsi="Times"/>
        </w:rPr>
      </w:pPr>
    </w:p>
    <w:p w14:paraId="57A7447A" w14:textId="77777777" w:rsidR="00BA538C" w:rsidRPr="00D23BF1" w:rsidRDefault="00BA538C" w:rsidP="00F20BE1">
      <w:pPr>
        <w:rPr>
          <w:rFonts w:ascii="Times" w:hAnsi="Times"/>
          <w:b/>
        </w:rPr>
      </w:pPr>
    </w:p>
    <w:p w14:paraId="6C669067" w14:textId="77777777" w:rsidR="00F20BE1" w:rsidRPr="00D23BF1" w:rsidRDefault="00F20BE1" w:rsidP="00F20BE1">
      <w:pPr>
        <w:rPr>
          <w:rFonts w:ascii="Times" w:hAnsi="Times"/>
          <w:b/>
        </w:rPr>
      </w:pPr>
    </w:p>
    <w:p w14:paraId="5CF7BE87" w14:textId="77777777" w:rsidR="00556C82" w:rsidRPr="00D23BF1" w:rsidRDefault="00556C82" w:rsidP="00F20BE1">
      <w:pPr>
        <w:rPr>
          <w:rFonts w:ascii="Times" w:hAnsi="Times"/>
          <w:b/>
        </w:rPr>
      </w:pPr>
    </w:p>
    <w:p w14:paraId="1573457B" w14:textId="1F856EC8" w:rsidR="00556C82" w:rsidRPr="00D23BF1" w:rsidRDefault="00556C82" w:rsidP="00F20BE1">
      <w:pPr>
        <w:rPr>
          <w:rFonts w:ascii="Times" w:hAnsi="Times"/>
          <w:b/>
        </w:rPr>
        <w:sectPr w:rsidR="00556C82" w:rsidRPr="00D23BF1" w:rsidSect="00845600">
          <w:type w:val="continuous"/>
          <w:pgSz w:w="12240" w:h="15840"/>
          <w:pgMar w:top="1440" w:right="1440" w:bottom="1440" w:left="1440" w:header="720" w:footer="720" w:gutter="0"/>
          <w:cols w:space="720"/>
          <w:docGrid w:linePitch="326"/>
        </w:sectPr>
      </w:pPr>
    </w:p>
    <w:p w14:paraId="023D3749" w14:textId="77777777" w:rsidR="00BA538C" w:rsidRPr="00D23BF1" w:rsidRDefault="00BA538C" w:rsidP="00F20BE1">
      <w:pPr>
        <w:rPr>
          <w:rFonts w:ascii="Times" w:hAnsi="Times"/>
          <w:b/>
        </w:rPr>
        <w:sectPr w:rsidR="00BA538C" w:rsidRPr="00D23BF1" w:rsidSect="00BA538C">
          <w:type w:val="continuous"/>
          <w:pgSz w:w="12240" w:h="15840"/>
          <w:pgMar w:top="1440" w:right="1440" w:bottom="1440" w:left="1440" w:header="720" w:footer="720" w:gutter="0"/>
          <w:pgNumType w:start="1"/>
          <w:cols w:space="720"/>
          <w:docGrid w:linePitch="326"/>
        </w:sectPr>
      </w:pPr>
    </w:p>
    <w:p w14:paraId="017E9675" w14:textId="241C2AF8" w:rsidR="00BA538C" w:rsidRPr="00D23BF1" w:rsidRDefault="00BA538C" w:rsidP="00F20BE1">
      <w:pPr>
        <w:rPr>
          <w:rFonts w:ascii="Times" w:hAnsi="Times"/>
        </w:rPr>
      </w:pPr>
      <w:r w:rsidRPr="00D23BF1">
        <w:rPr>
          <w:rFonts w:ascii="Times" w:hAnsi="Times"/>
          <w:b/>
        </w:rPr>
        <w:t>Table 5.</w:t>
      </w:r>
      <w:r w:rsidRPr="00D23BF1">
        <w:rPr>
          <w:rFonts w:ascii="Times" w:hAnsi="Times"/>
        </w:rPr>
        <w:t xml:space="preserve"> </w:t>
      </w:r>
      <w:proofErr w:type="spellStart"/>
      <w:r w:rsidRPr="00D23BF1">
        <w:rPr>
          <w:rFonts w:ascii="Times" w:hAnsi="Times"/>
        </w:rPr>
        <w:t>dbRDA</w:t>
      </w:r>
      <w:proofErr w:type="spellEnd"/>
      <w:r w:rsidRPr="00D23BF1">
        <w:rPr>
          <w:rFonts w:ascii="Times" w:hAnsi="Times"/>
        </w:rPr>
        <w:t xml:space="preserve"> both combined and separately on rural and urban birds. Results showing percent explained for each distance measure, and significant variables if any. Jaccard and unweighted </w:t>
      </w:r>
      <w:proofErr w:type="spellStart"/>
      <w:r w:rsidRPr="00D23BF1">
        <w:rPr>
          <w:rFonts w:ascii="Times" w:hAnsi="Times"/>
        </w:rPr>
        <w:t>UniFrac</w:t>
      </w:r>
      <w:proofErr w:type="spellEnd"/>
      <w:r w:rsidRPr="00D23BF1">
        <w:rPr>
          <w:rFonts w:ascii="Times" w:hAnsi="Times"/>
        </w:rPr>
        <w:t xml:space="preserve"> distances represent community membership, Bray-Curtis and weighted </w:t>
      </w:r>
      <w:proofErr w:type="spellStart"/>
      <w:r w:rsidRPr="00D23BF1">
        <w:rPr>
          <w:rFonts w:ascii="Times" w:hAnsi="Times"/>
        </w:rPr>
        <w:t>UniFrac</w:t>
      </w:r>
      <w:proofErr w:type="spellEnd"/>
      <w:r w:rsidRPr="00D23BF1">
        <w:rPr>
          <w:rFonts w:ascii="Times" w:hAnsi="Times"/>
        </w:rPr>
        <w:t xml:space="preserve"> distances represent community structure, </w:t>
      </w:r>
      <w:proofErr w:type="spellStart"/>
      <w:r w:rsidRPr="00D23BF1">
        <w:rPr>
          <w:rFonts w:ascii="Times" w:hAnsi="Times"/>
        </w:rPr>
        <w:t>UniFrac</w:t>
      </w:r>
      <w:proofErr w:type="spellEnd"/>
      <w:r w:rsidRPr="00D23BF1">
        <w:rPr>
          <w:rFonts w:ascii="Times" w:hAnsi="Times"/>
        </w:rPr>
        <w:t xml:space="preserve"> distances are corrected for phylogenetic relatedness. Full model used in each case: distance measure </w:t>
      </w:r>
      <w:proofErr w:type="gramStart"/>
      <w:r w:rsidRPr="00D23BF1">
        <w:rPr>
          <w:rFonts w:ascii="Times" w:hAnsi="Times"/>
        </w:rPr>
        <w:t>~  fat</w:t>
      </w:r>
      <w:proofErr w:type="gramEnd"/>
      <w:r w:rsidRPr="00D23BF1">
        <w:rPr>
          <w:rFonts w:ascii="Times" w:hAnsi="Times"/>
        </w:rPr>
        <w:t xml:space="preserve"> + wear + fade +  wing chord + noise + bill length + bill width + bill depth + body condition + % trees + % grass + % impervious + % scrub.</w:t>
      </w:r>
    </w:p>
    <w:p w14:paraId="67A93F1D" w14:textId="77777777" w:rsidR="00556C82" w:rsidRPr="00D23BF1" w:rsidRDefault="00556C82" w:rsidP="00F20BE1">
      <w:pPr>
        <w:rPr>
          <w:rFonts w:ascii="Times" w:hAnsi="Times"/>
        </w:rPr>
      </w:pPr>
    </w:p>
    <w:tbl>
      <w:tblPr>
        <w:tblStyle w:val="LightShading"/>
        <w:tblW w:w="0" w:type="auto"/>
        <w:tblLook w:val="04A0" w:firstRow="1" w:lastRow="0" w:firstColumn="1" w:lastColumn="0" w:noHBand="0" w:noVBand="1"/>
      </w:tblPr>
      <w:tblGrid>
        <w:gridCol w:w="992"/>
        <w:gridCol w:w="926"/>
        <w:gridCol w:w="927"/>
        <w:gridCol w:w="934"/>
        <w:gridCol w:w="927"/>
        <w:gridCol w:w="927"/>
        <w:gridCol w:w="934"/>
        <w:gridCol w:w="927"/>
        <w:gridCol w:w="927"/>
        <w:gridCol w:w="934"/>
      </w:tblGrid>
      <w:tr w:rsidR="00BA538C" w:rsidRPr="00D23BF1" w14:paraId="533CD434" w14:textId="77777777" w:rsidTr="009A40FD">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right w:val="single" w:sz="4" w:space="0" w:color="auto"/>
            </w:tcBorders>
            <w:shd w:val="clear" w:color="auto" w:fill="auto"/>
            <w:noWrap/>
            <w:hideMark/>
          </w:tcPr>
          <w:p w14:paraId="705EBD0D" w14:textId="77777777" w:rsidR="00BA538C" w:rsidRPr="00D23BF1" w:rsidRDefault="00BA538C" w:rsidP="00F20BE1">
            <w:pPr>
              <w:rPr>
                <w:rFonts w:ascii="Times" w:hAnsi="Times" w:cs="Calibri"/>
                <w:color w:val="000000"/>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hideMark/>
          </w:tcPr>
          <w:p w14:paraId="7D87958C" w14:textId="77777777" w:rsidR="00BA538C" w:rsidRPr="00D23BF1" w:rsidRDefault="00BA538C" w:rsidP="00F20BE1">
            <w:pPr>
              <w:cnfStyle w:val="100000000000" w:firstRow="1" w:lastRow="0" w:firstColumn="0" w:lastColumn="0" w:oddVBand="0" w:evenVBand="0" w:oddHBand="0" w:evenHBand="0" w:firstRowFirstColumn="0" w:firstRowLastColumn="0" w:lastRowFirstColumn="0" w:lastRowLastColumn="0"/>
              <w:rPr>
                <w:rFonts w:ascii="Times" w:hAnsi="Times" w:cs="Calibri"/>
                <w:color w:val="000000"/>
              </w:rPr>
            </w:pPr>
          </w:p>
          <w:p w14:paraId="5581165E" w14:textId="77777777" w:rsidR="00BA538C" w:rsidRPr="00D23BF1" w:rsidRDefault="00BA538C" w:rsidP="00F20BE1">
            <w:pPr>
              <w:cnfStyle w:val="100000000000" w:firstRow="1"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URBAN</w:t>
            </w:r>
          </w:p>
          <w:p w14:paraId="5443ED63" w14:textId="77777777" w:rsidR="00BA538C" w:rsidRPr="00D23BF1" w:rsidRDefault="00BA538C" w:rsidP="00F20BE1">
            <w:pPr>
              <w:cnfStyle w:val="100000000000" w:firstRow="1"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ab/>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hideMark/>
          </w:tcPr>
          <w:p w14:paraId="4CF6D59E" w14:textId="77777777" w:rsidR="00BA538C" w:rsidRPr="00D23BF1" w:rsidRDefault="00BA538C" w:rsidP="00F20BE1">
            <w:pPr>
              <w:cnfStyle w:val="100000000000" w:firstRow="1" w:lastRow="0" w:firstColumn="0" w:lastColumn="0" w:oddVBand="0" w:evenVBand="0" w:oddHBand="0" w:evenHBand="0" w:firstRowFirstColumn="0" w:firstRowLastColumn="0" w:lastRowFirstColumn="0" w:lastRowLastColumn="0"/>
              <w:rPr>
                <w:rFonts w:ascii="Times" w:hAnsi="Times" w:cs="Calibri"/>
                <w:color w:val="000000"/>
              </w:rPr>
            </w:pPr>
          </w:p>
          <w:p w14:paraId="346DE265" w14:textId="77777777" w:rsidR="00BA538C" w:rsidRPr="00D23BF1" w:rsidRDefault="00BA538C" w:rsidP="00F20BE1">
            <w:pPr>
              <w:cnfStyle w:val="100000000000" w:firstRow="1"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RURAL</w:t>
            </w:r>
          </w:p>
          <w:p w14:paraId="769307EB" w14:textId="77777777" w:rsidR="00BA538C" w:rsidRPr="00D23BF1" w:rsidRDefault="00BA538C" w:rsidP="00F20BE1">
            <w:pPr>
              <w:cnfStyle w:val="100000000000" w:firstRow="1" w:lastRow="0" w:firstColumn="0" w:lastColumn="0" w:oddVBand="0" w:evenVBand="0" w:oddHBand="0" w:evenHBand="0" w:firstRowFirstColumn="0" w:firstRowLastColumn="0" w:lastRowFirstColumn="0" w:lastRowLastColumn="0"/>
              <w:rPr>
                <w:rFonts w:ascii="Times" w:hAnsi="Times" w:cs="Calibri"/>
                <w:color w:val="000000"/>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hideMark/>
          </w:tcPr>
          <w:p w14:paraId="01A3AA4D" w14:textId="77777777" w:rsidR="00BA538C" w:rsidRPr="00D23BF1" w:rsidRDefault="00BA538C" w:rsidP="00F20BE1">
            <w:pPr>
              <w:cnfStyle w:val="100000000000" w:firstRow="1" w:lastRow="0" w:firstColumn="0" w:lastColumn="0" w:oddVBand="0" w:evenVBand="0" w:oddHBand="0" w:evenHBand="0" w:firstRowFirstColumn="0" w:firstRowLastColumn="0" w:lastRowFirstColumn="0" w:lastRowLastColumn="0"/>
              <w:rPr>
                <w:rFonts w:ascii="Times" w:hAnsi="Times" w:cs="Calibri"/>
                <w:color w:val="000000"/>
              </w:rPr>
            </w:pPr>
          </w:p>
          <w:p w14:paraId="7EC8FD0C" w14:textId="77777777" w:rsidR="00BA538C" w:rsidRPr="00D23BF1" w:rsidRDefault="00BA538C" w:rsidP="00F20BE1">
            <w:pPr>
              <w:cnfStyle w:val="100000000000" w:firstRow="1"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COMBINED</w:t>
            </w:r>
          </w:p>
          <w:p w14:paraId="7FA0B496" w14:textId="77777777" w:rsidR="00BA538C" w:rsidRPr="00D23BF1" w:rsidRDefault="00BA538C" w:rsidP="00F20BE1">
            <w:pPr>
              <w:cnfStyle w:val="100000000000" w:firstRow="1" w:lastRow="0" w:firstColumn="0" w:lastColumn="0" w:oddVBand="0" w:evenVBand="0" w:oddHBand="0" w:evenHBand="0" w:firstRowFirstColumn="0" w:firstRowLastColumn="0" w:lastRowFirstColumn="0" w:lastRowLastColumn="0"/>
              <w:rPr>
                <w:rFonts w:ascii="Times" w:hAnsi="Times" w:cs="Calibri"/>
                <w:color w:val="000000"/>
              </w:rPr>
            </w:pPr>
          </w:p>
        </w:tc>
      </w:tr>
      <w:tr w:rsidR="00BA538C" w:rsidRPr="00D23BF1" w14:paraId="2ABEA6AA" w14:textId="77777777" w:rsidTr="009A40F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noWrap/>
            <w:hideMark/>
          </w:tcPr>
          <w:p w14:paraId="5FA5B684" w14:textId="77777777" w:rsidR="00BA538C" w:rsidRPr="00D23BF1" w:rsidRDefault="00BA538C" w:rsidP="00F20BE1">
            <w:pPr>
              <w:rPr>
                <w:rFonts w:ascii="Times" w:hAnsi="Times" w:cs="Calibri"/>
                <w:color w:val="000000"/>
              </w:rPr>
            </w:pPr>
            <w:r w:rsidRPr="00D23BF1">
              <w:rPr>
                <w:rFonts w:ascii="Times" w:hAnsi="Times" w:cs="Calibri"/>
                <w:color w:val="000000"/>
              </w:rPr>
              <w:t>diversity measure</w:t>
            </w:r>
          </w:p>
        </w:tc>
        <w:tc>
          <w:tcPr>
            <w:tcW w:w="0" w:type="auto"/>
            <w:tcBorders>
              <w:top w:val="single" w:sz="4" w:space="0" w:color="auto"/>
              <w:bottom w:val="single" w:sz="4" w:space="0" w:color="auto"/>
            </w:tcBorders>
            <w:shd w:val="clear" w:color="auto" w:fill="auto"/>
            <w:noWrap/>
            <w:hideMark/>
          </w:tcPr>
          <w:p w14:paraId="7357C7CF"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dbrda1 % explained</w:t>
            </w:r>
          </w:p>
        </w:tc>
        <w:tc>
          <w:tcPr>
            <w:tcW w:w="0" w:type="auto"/>
            <w:tcBorders>
              <w:top w:val="single" w:sz="4" w:space="0" w:color="auto"/>
              <w:bottom w:val="single" w:sz="4" w:space="0" w:color="auto"/>
            </w:tcBorders>
            <w:shd w:val="clear" w:color="auto" w:fill="auto"/>
            <w:noWrap/>
            <w:hideMark/>
          </w:tcPr>
          <w:p w14:paraId="09993295"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dbrda2 % explained</w:t>
            </w:r>
          </w:p>
        </w:tc>
        <w:tc>
          <w:tcPr>
            <w:tcW w:w="0" w:type="auto"/>
            <w:tcBorders>
              <w:top w:val="single" w:sz="4" w:space="0" w:color="auto"/>
              <w:bottom w:val="single" w:sz="4" w:space="0" w:color="auto"/>
            </w:tcBorders>
            <w:shd w:val="clear" w:color="auto" w:fill="auto"/>
            <w:noWrap/>
            <w:hideMark/>
          </w:tcPr>
          <w:p w14:paraId="553644A3"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significant variables</w:t>
            </w:r>
          </w:p>
        </w:tc>
        <w:tc>
          <w:tcPr>
            <w:tcW w:w="0" w:type="auto"/>
            <w:tcBorders>
              <w:top w:val="single" w:sz="4" w:space="0" w:color="auto"/>
              <w:bottom w:val="single" w:sz="4" w:space="0" w:color="auto"/>
            </w:tcBorders>
            <w:shd w:val="clear" w:color="auto" w:fill="auto"/>
            <w:noWrap/>
            <w:hideMark/>
          </w:tcPr>
          <w:p w14:paraId="1DF3F822"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dbrda1 % explained</w:t>
            </w:r>
          </w:p>
        </w:tc>
        <w:tc>
          <w:tcPr>
            <w:tcW w:w="0" w:type="auto"/>
            <w:tcBorders>
              <w:top w:val="single" w:sz="4" w:space="0" w:color="auto"/>
              <w:bottom w:val="single" w:sz="4" w:space="0" w:color="auto"/>
            </w:tcBorders>
            <w:shd w:val="clear" w:color="auto" w:fill="auto"/>
            <w:noWrap/>
            <w:hideMark/>
          </w:tcPr>
          <w:p w14:paraId="3382FECD"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dbrda2 % explained</w:t>
            </w:r>
          </w:p>
        </w:tc>
        <w:tc>
          <w:tcPr>
            <w:tcW w:w="0" w:type="auto"/>
            <w:tcBorders>
              <w:top w:val="single" w:sz="4" w:space="0" w:color="auto"/>
              <w:bottom w:val="single" w:sz="4" w:space="0" w:color="auto"/>
            </w:tcBorders>
            <w:shd w:val="clear" w:color="auto" w:fill="auto"/>
            <w:noWrap/>
            <w:hideMark/>
          </w:tcPr>
          <w:p w14:paraId="4375DF21"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significant variables</w:t>
            </w:r>
          </w:p>
        </w:tc>
        <w:tc>
          <w:tcPr>
            <w:tcW w:w="0" w:type="auto"/>
            <w:tcBorders>
              <w:top w:val="single" w:sz="4" w:space="0" w:color="auto"/>
              <w:bottom w:val="single" w:sz="4" w:space="0" w:color="auto"/>
            </w:tcBorders>
            <w:shd w:val="clear" w:color="auto" w:fill="auto"/>
            <w:noWrap/>
            <w:hideMark/>
          </w:tcPr>
          <w:p w14:paraId="1BFDDAF8"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dbrda1 % explained</w:t>
            </w:r>
          </w:p>
        </w:tc>
        <w:tc>
          <w:tcPr>
            <w:tcW w:w="0" w:type="auto"/>
            <w:tcBorders>
              <w:top w:val="single" w:sz="4" w:space="0" w:color="auto"/>
              <w:bottom w:val="single" w:sz="4" w:space="0" w:color="auto"/>
            </w:tcBorders>
            <w:shd w:val="clear" w:color="auto" w:fill="auto"/>
            <w:noWrap/>
            <w:hideMark/>
          </w:tcPr>
          <w:p w14:paraId="74C617BC"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dbrda2 % explained</w:t>
            </w:r>
          </w:p>
        </w:tc>
        <w:tc>
          <w:tcPr>
            <w:tcW w:w="0" w:type="auto"/>
            <w:tcBorders>
              <w:top w:val="single" w:sz="4" w:space="0" w:color="auto"/>
              <w:bottom w:val="single" w:sz="4" w:space="0" w:color="auto"/>
            </w:tcBorders>
            <w:shd w:val="clear" w:color="auto" w:fill="auto"/>
            <w:noWrap/>
            <w:hideMark/>
          </w:tcPr>
          <w:p w14:paraId="6E89779D"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significant variables</w:t>
            </w:r>
          </w:p>
        </w:tc>
      </w:tr>
      <w:tr w:rsidR="00BA538C" w:rsidRPr="00D23BF1" w14:paraId="1F29DD04" w14:textId="77777777" w:rsidTr="009A40FD">
        <w:trPr>
          <w:trHeight w:val="503"/>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noWrap/>
            <w:hideMark/>
          </w:tcPr>
          <w:p w14:paraId="6F0C9F7F" w14:textId="77777777" w:rsidR="00BA538C" w:rsidRPr="00D23BF1" w:rsidRDefault="00BA538C" w:rsidP="00F20BE1">
            <w:pPr>
              <w:rPr>
                <w:rFonts w:ascii="Times" w:hAnsi="Times" w:cs="Calibri"/>
                <w:color w:val="000000"/>
              </w:rPr>
            </w:pPr>
            <w:r w:rsidRPr="00D23BF1">
              <w:rPr>
                <w:rFonts w:ascii="Times" w:hAnsi="Times" w:cs="Calibri"/>
                <w:color w:val="000000"/>
              </w:rPr>
              <w:t>Jaccard</w:t>
            </w:r>
          </w:p>
        </w:tc>
        <w:tc>
          <w:tcPr>
            <w:tcW w:w="0" w:type="auto"/>
            <w:tcBorders>
              <w:top w:val="single" w:sz="4" w:space="0" w:color="auto"/>
            </w:tcBorders>
            <w:shd w:val="clear" w:color="auto" w:fill="auto"/>
            <w:noWrap/>
            <w:hideMark/>
          </w:tcPr>
          <w:p w14:paraId="524FBFE0"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4%</w:t>
            </w:r>
          </w:p>
        </w:tc>
        <w:tc>
          <w:tcPr>
            <w:tcW w:w="0" w:type="auto"/>
            <w:tcBorders>
              <w:top w:val="single" w:sz="4" w:space="0" w:color="auto"/>
            </w:tcBorders>
            <w:shd w:val="clear" w:color="auto" w:fill="auto"/>
            <w:noWrap/>
            <w:hideMark/>
          </w:tcPr>
          <w:p w14:paraId="5880CE36"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3%</w:t>
            </w:r>
          </w:p>
        </w:tc>
        <w:tc>
          <w:tcPr>
            <w:tcW w:w="0" w:type="auto"/>
            <w:tcBorders>
              <w:top w:val="single" w:sz="4" w:space="0" w:color="auto"/>
            </w:tcBorders>
            <w:shd w:val="clear" w:color="auto" w:fill="auto"/>
            <w:noWrap/>
            <w:hideMark/>
          </w:tcPr>
          <w:p w14:paraId="6073E5A7"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condition</w:t>
            </w:r>
          </w:p>
        </w:tc>
        <w:tc>
          <w:tcPr>
            <w:tcW w:w="0" w:type="auto"/>
            <w:tcBorders>
              <w:top w:val="single" w:sz="4" w:space="0" w:color="auto"/>
            </w:tcBorders>
            <w:shd w:val="clear" w:color="auto" w:fill="auto"/>
            <w:noWrap/>
            <w:hideMark/>
          </w:tcPr>
          <w:p w14:paraId="593E110E"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8%</w:t>
            </w:r>
          </w:p>
        </w:tc>
        <w:tc>
          <w:tcPr>
            <w:tcW w:w="0" w:type="auto"/>
            <w:tcBorders>
              <w:top w:val="single" w:sz="4" w:space="0" w:color="auto"/>
            </w:tcBorders>
            <w:shd w:val="clear" w:color="auto" w:fill="auto"/>
            <w:noWrap/>
            <w:hideMark/>
          </w:tcPr>
          <w:p w14:paraId="3D213AAD"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5%</w:t>
            </w:r>
          </w:p>
        </w:tc>
        <w:tc>
          <w:tcPr>
            <w:tcW w:w="0" w:type="auto"/>
            <w:tcBorders>
              <w:top w:val="single" w:sz="4" w:space="0" w:color="auto"/>
            </w:tcBorders>
            <w:shd w:val="clear" w:color="auto" w:fill="auto"/>
            <w:noWrap/>
            <w:hideMark/>
          </w:tcPr>
          <w:p w14:paraId="3ED4CA9A"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none</w:t>
            </w:r>
          </w:p>
        </w:tc>
        <w:tc>
          <w:tcPr>
            <w:tcW w:w="0" w:type="auto"/>
            <w:tcBorders>
              <w:top w:val="single" w:sz="4" w:space="0" w:color="auto"/>
            </w:tcBorders>
            <w:shd w:val="clear" w:color="auto" w:fill="auto"/>
            <w:noWrap/>
            <w:hideMark/>
          </w:tcPr>
          <w:p w14:paraId="046D41ED"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2%</w:t>
            </w:r>
          </w:p>
        </w:tc>
        <w:tc>
          <w:tcPr>
            <w:tcW w:w="0" w:type="auto"/>
            <w:tcBorders>
              <w:top w:val="single" w:sz="4" w:space="0" w:color="auto"/>
            </w:tcBorders>
            <w:shd w:val="clear" w:color="auto" w:fill="auto"/>
            <w:noWrap/>
            <w:hideMark/>
          </w:tcPr>
          <w:p w14:paraId="6E86DB9D"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2%</w:t>
            </w:r>
          </w:p>
        </w:tc>
        <w:tc>
          <w:tcPr>
            <w:tcW w:w="0" w:type="auto"/>
            <w:tcBorders>
              <w:top w:val="single" w:sz="4" w:space="0" w:color="auto"/>
            </w:tcBorders>
            <w:shd w:val="clear" w:color="auto" w:fill="auto"/>
            <w:noWrap/>
            <w:hideMark/>
          </w:tcPr>
          <w:p w14:paraId="46A410EB"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none</w:t>
            </w:r>
          </w:p>
        </w:tc>
      </w:tr>
      <w:tr w:rsidR="00BA538C" w:rsidRPr="00D23BF1" w14:paraId="4FE10FE8" w14:textId="77777777" w:rsidTr="009A40FD">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2410AD89" w14:textId="77777777" w:rsidR="00BA538C" w:rsidRPr="00D23BF1" w:rsidRDefault="00BA538C" w:rsidP="00F20BE1">
            <w:pPr>
              <w:rPr>
                <w:rFonts w:ascii="Times" w:hAnsi="Times" w:cs="Calibri"/>
                <w:color w:val="000000"/>
              </w:rPr>
            </w:pPr>
            <w:r w:rsidRPr="00D23BF1">
              <w:rPr>
                <w:rFonts w:ascii="Times" w:hAnsi="Times" w:cs="Calibri"/>
                <w:color w:val="000000"/>
              </w:rPr>
              <w:t xml:space="preserve">unweighted </w:t>
            </w:r>
            <w:proofErr w:type="spellStart"/>
            <w:r w:rsidRPr="00D23BF1">
              <w:rPr>
                <w:rFonts w:ascii="Times" w:hAnsi="Times" w:cs="Calibri"/>
                <w:color w:val="000000"/>
              </w:rPr>
              <w:t>UniFrac</w:t>
            </w:r>
            <w:proofErr w:type="spellEnd"/>
          </w:p>
        </w:tc>
        <w:tc>
          <w:tcPr>
            <w:tcW w:w="0" w:type="auto"/>
            <w:shd w:val="clear" w:color="auto" w:fill="auto"/>
            <w:noWrap/>
            <w:hideMark/>
          </w:tcPr>
          <w:p w14:paraId="2EDE1466"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4%</w:t>
            </w:r>
          </w:p>
        </w:tc>
        <w:tc>
          <w:tcPr>
            <w:tcW w:w="0" w:type="auto"/>
            <w:shd w:val="clear" w:color="auto" w:fill="auto"/>
            <w:noWrap/>
            <w:hideMark/>
          </w:tcPr>
          <w:p w14:paraId="18C1464D"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4%</w:t>
            </w:r>
          </w:p>
        </w:tc>
        <w:tc>
          <w:tcPr>
            <w:tcW w:w="0" w:type="auto"/>
            <w:shd w:val="clear" w:color="auto" w:fill="auto"/>
            <w:noWrap/>
            <w:hideMark/>
          </w:tcPr>
          <w:p w14:paraId="49B2C91F"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none</w:t>
            </w:r>
          </w:p>
        </w:tc>
        <w:tc>
          <w:tcPr>
            <w:tcW w:w="0" w:type="auto"/>
            <w:shd w:val="clear" w:color="auto" w:fill="auto"/>
            <w:noWrap/>
            <w:hideMark/>
          </w:tcPr>
          <w:p w14:paraId="6ADA793C"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9%</w:t>
            </w:r>
          </w:p>
        </w:tc>
        <w:tc>
          <w:tcPr>
            <w:tcW w:w="0" w:type="auto"/>
            <w:shd w:val="clear" w:color="auto" w:fill="auto"/>
            <w:noWrap/>
            <w:hideMark/>
          </w:tcPr>
          <w:p w14:paraId="5A69DDDE"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86%</w:t>
            </w:r>
          </w:p>
        </w:tc>
        <w:tc>
          <w:tcPr>
            <w:tcW w:w="0" w:type="auto"/>
            <w:shd w:val="clear" w:color="auto" w:fill="auto"/>
            <w:noWrap/>
            <w:hideMark/>
          </w:tcPr>
          <w:p w14:paraId="2A717D38"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none</w:t>
            </w:r>
          </w:p>
        </w:tc>
        <w:tc>
          <w:tcPr>
            <w:tcW w:w="0" w:type="auto"/>
            <w:shd w:val="clear" w:color="auto" w:fill="auto"/>
            <w:noWrap/>
            <w:hideMark/>
          </w:tcPr>
          <w:p w14:paraId="5EDD9293"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3%</w:t>
            </w:r>
          </w:p>
        </w:tc>
        <w:tc>
          <w:tcPr>
            <w:tcW w:w="0" w:type="auto"/>
            <w:shd w:val="clear" w:color="auto" w:fill="auto"/>
            <w:noWrap/>
            <w:hideMark/>
          </w:tcPr>
          <w:p w14:paraId="754D0B4F"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2%</w:t>
            </w:r>
          </w:p>
        </w:tc>
        <w:tc>
          <w:tcPr>
            <w:tcW w:w="0" w:type="auto"/>
            <w:shd w:val="clear" w:color="auto" w:fill="auto"/>
            <w:noWrap/>
            <w:hideMark/>
          </w:tcPr>
          <w:p w14:paraId="27B7C3D8"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 trees</w:t>
            </w:r>
          </w:p>
        </w:tc>
      </w:tr>
      <w:tr w:rsidR="00BA538C" w:rsidRPr="00D23BF1" w14:paraId="377CF99B" w14:textId="77777777" w:rsidTr="009A40FD">
        <w:trPr>
          <w:trHeight w:val="7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082C1A57" w14:textId="77777777" w:rsidR="00BA538C" w:rsidRPr="00D23BF1" w:rsidRDefault="00BA538C" w:rsidP="00F20BE1">
            <w:pPr>
              <w:rPr>
                <w:rFonts w:ascii="Times" w:hAnsi="Times" w:cs="Calibri"/>
                <w:color w:val="000000"/>
              </w:rPr>
            </w:pPr>
            <w:r w:rsidRPr="00D23BF1">
              <w:rPr>
                <w:rFonts w:ascii="Times" w:hAnsi="Times" w:cs="Calibri"/>
                <w:color w:val="000000"/>
              </w:rPr>
              <w:t>Bray -Curtis</w:t>
            </w:r>
          </w:p>
        </w:tc>
        <w:tc>
          <w:tcPr>
            <w:tcW w:w="0" w:type="auto"/>
            <w:shd w:val="clear" w:color="auto" w:fill="auto"/>
            <w:noWrap/>
            <w:hideMark/>
          </w:tcPr>
          <w:p w14:paraId="1EFB3407"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9%</w:t>
            </w:r>
          </w:p>
        </w:tc>
        <w:tc>
          <w:tcPr>
            <w:tcW w:w="0" w:type="auto"/>
            <w:shd w:val="clear" w:color="auto" w:fill="auto"/>
            <w:noWrap/>
            <w:hideMark/>
          </w:tcPr>
          <w:p w14:paraId="2607C1C4"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3%</w:t>
            </w:r>
          </w:p>
        </w:tc>
        <w:tc>
          <w:tcPr>
            <w:tcW w:w="0" w:type="auto"/>
            <w:shd w:val="clear" w:color="auto" w:fill="auto"/>
            <w:noWrap/>
            <w:hideMark/>
          </w:tcPr>
          <w:p w14:paraId="12A15226"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none</w:t>
            </w:r>
          </w:p>
        </w:tc>
        <w:tc>
          <w:tcPr>
            <w:tcW w:w="0" w:type="auto"/>
            <w:shd w:val="clear" w:color="auto" w:fill="auto"/>
            <w:noWrap/>
            <w:hideMark/>
          </w:tcPr>
          <w:p w14:paraId="51D93C64"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10%</w:t>
            </w:r>
          </w:p>
        </w:tc>
        <w:tc>
          <w:tcPr>
            <w:tcW w:w="0" w:type="auto"/>
            <w:shd w:val="clear" w:color="auto" w:fill="auto"/>
            <w:noWrap/>
            <w:hideMark/>
          </w:tcPr>
          <w:p w14:paraId="15EEB833"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7%</w:t>
            </w:r>
          </w:p>
        </w:tc>
        <w:tc>
          <w:tcPr>
            <w:tcW w:w="0" w:type="auto"/>
            <w:shd w:val="clear" w:color="auto" w:fill="auto"/>
            <w:noWrap/>
            <w:hideMark/>
          </w:tcPr>
          <w:p w14:paraId="021D3746"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none</w:t>
            </w:r>
          </w:p>
        </w:tc>
        <w:tc>
          <w:tcPr>
            <w:tcW w:w="0" w:type="auto"/>
            <w:shd w:val="clear" w:color="auto" w:fill="auto"/>
            <w:noWrap/>
            <w:hideMark/>
          </w:tcPr>
          <w:p w14:paraId="35DE3B7E"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4%</w:t>
            </w:r>
          </w:p>
        </w:tc>
        <w:tc>
          <w:tcPr>
            <w:tcW w:w="0" w:type="auto"/>
            <w:shd w:val="clear" w:color="auto" w:fill="auto"/>
            <w:noWrap/>
            <w:hideMark/>
          </w:tcPr>
          <w:p w14:paraId="299D1A0F"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2%</w:t>
            </w:r>
          </w:p>
        </w:tc>
        <w:tc>
          <w:tcPr>
            <w:tcW w:w="0" w:type="auto"/>
            <w:shd w:val="clear" w:color="auto" w:fill="auto"/>
            <w:noWrap/>
            <w:hideMark/>
          </w:tcPr>
          <w:p w14:paraId="0AFD6E4B" w14:textId="77777777" w:rsidR="00BA538C" w:rsidRPr="00D23BF1" w:rsidRDefault="00BA538C" w:rsidP="00F20BE1">
            <w:pP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D23BF1">
              <w:rPr>
                <w:rFonts w:ascii="Times" w:hAnsi="Times" w:cs="Calibri"/>
                <w:color w:val="000000"/>
              </w:rPr>
              <w:t>none</w:t>
            </w:r>
          </w:p>
        </w:tc>
      </w:tr>
      <w:tr w:rsidR="00BA538C" w:rsidRPr="00D23BF1" w14:paraId="07F9630B" w14:textId="77777777" w:rsidTr="009A40F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5080784A" w14:textId="77777777" w:rsidR="00BA538C" w:rsidRPr="00D23BF1" w:rsidRDefault="00BA538C" w:rsidP="00F20BE1">
            <w:pPr>
              <w:rPr>
                <w:rFonts w:ascii="Times" w:hAnsi="Times" w:cs="Calibri"/>
                <w:color w:val="000000"/>
              </w:rPr>
            </w:pPr>
            <w:r w:rsidRPr="00D23BF1">
              <w:rPr>
                <w:rFonts w:ascii="Times" w:hAnsi="Times" w:cs="Calibri"/>
                <w:color w:val="000000"/>
              </w:rPr>
              <w:t xml:space="preserve">weighted </w:t>
            </w:r>
            <w:proofErr w:type="spellStart"/>
            <w:r w:rsidRPr="00D23BF1">
              <w:rPr>
                <w:rFonts w:ascii="Times" w:hAnsi="Times" w:cs="Calibri"/>
                <w:color w:val="000000"/>
              </w:rPr>
              <w:t>UniFrac</w:t>
            </w:r>
            <w:proofErr w:type="spellEnd"/>
          </w:p>
        </w:tc>
        <w:tc>
          <w:tcPr>
            <w:tcW w:w="0" w:type="auto"/>
            <w:shd w:val="clear" w:color="auto" w:fill="auto"/>
            <w:noWrap/>
            <w:hideMark/>
          </w:tcPr>
          <w:p w14:paraId="6B938593"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20%</w:t>
            </w:r>
          </w:p>
        </w:tc>
        <w:tc>
          <w:tcPr>
            <w:tcW w:w="0" w:type="auto"/>
            <w:shd w:val="clear" w:color="auto" w:fill="auto"/>
            <w:noWrap/>
            <w:hideMark/>
          </w:tcPr>
          <w:p w14:paraId="15783850"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2%</w:t>
            </w:r>
          </w:p>
        </w:tc>
        <w:tc>
          <w:tcPr>
            <w:tcW w:w="0" w:type="auto"/>
            <w:shd w:val="clear" w:color="auto" w:fill="auto"/>
            <w:noWrap/>
            <w:hideMark/>
          </w:tcPr>
          <w:p w14:paraId="40151BB8"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Bill width</w:t>
            </w:r>
          </w:p>
        </w:tc>
        <w:tc>
          <w:tcPr>
            <w:tcW w:w="0" w:type="auto"/>
            <w:shd w:val="clear" w:color="auto" w:fill="auto"/>
            <w:noWrap/>
            <w:hideMark/>
          </w:tcPr>
          <w:p w14:paraId="04D546B3"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49%</w:t>
            </w:r>
          </w:p>
        </w:tc>
        <w:tc>
          <w:tcPr>
            <w:tcW w:w="0" w:type="auto"/>
            <w:shd w:val="clear" w:color="auto" w:fill="auto"/>
            <w:noWrap/>
            <w:hideMark/>
          </w:tcPr>
          <w:p w14:paraId="0506073D"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4%</w:t>
            </w:r>
          </w:p>
        </w:tc>
        <w:tc>
          <w:tcPr>
            <w:tcW w:w="0" w:type="auto"/>
            <w:shd w:val="clear" w:color="auto" w:fill="auto"/>
            <w:noWrap/>
            <w:hideMark/>
          </w:tcPr>
          <w:p w14:paraId="53506A34"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none</w:t>
            </w:r>
          </w:p>
        </w:tc>
        <w:tc>
          <w:tcPr>
            <w:tcW w:w="0" w:type="auto"/>
            <w:shd w:val="clear" w:color="auto" w:fill="auto"/>
            <w:noWrap/>
            <w:hideMark/>
          </w:tcPr>
          <w:p w14:paraId="4F072BD3"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80%</w:t>
            </w:r>
          </w:p>
        </w:tc>
        <w:tc>
          <w:tcPr>
            <w:tcW w:w="0" w:type="auto"/>
            <w:shd w:val="clear" w:color="auto" w:fill="auto"/>
            <w:noWrap/>
            <w:hideMark/>
          </w:tcPr>
          <w:p w14:paraId="61291CCF"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6%</w:t>
            </w:r>
          </w:p>
        </w:tc>
        <w:tc>
          <w:tcPr>
            <w:tcW w:w="0" w:type="auto"/>
            <w:shd w:val="clear" w:color="auto" w:fill="auto"/>
            <w:noWrap/>
            <w:hideMark/>
          </w:tcPr>
          <w:p w14:paraId="01432544" w14:textId="77777777" w:rsidR="00BA538C" w:rsidRPr="00D23BF1" w:rsidRDefault="00BA538C" w:rsidP="00F20BE1">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D23BF1">
              <w:rPr>
                <w:rFonts w:ascii="Times" w:hAnsi="Times" w:cs="Calibri"/>
                <w:color w:val="000000"/>
              </w:rPr>
              <w:t>none</w:t>
            </w:r>
          </w:p>
        </w:tc>
      </w:tr>
    </w:tbl>
    <w:p w14:paraId="6D84E93F" w14:textId="77777777" w:rsidR="00F20BE1" w:rsidRPr="00D23BF1" w:rsidRDefault="00F20BE1" w:rsidP="00F20BE1">
      <w:pPr>
        <w:rPr>
          <w:rFonts w:ascii="Times" w:hAnsi="Times"/>
        </w:rPr>
      </w:pPr>
    </w:p>
    <w:p w14:paraId="399FB613" w14:textId="77777777" w:rsidR="00F20BE1" w:rsidRPr="00D23BF1" w:rsidRDefault="00F20BE1" w:rsidP="00F20BE1">
      <w:pPr>
        <w:rPr>
          <w:rFonts w:ascii="Times" w:hAnsi="Times"/>
          <w:b/>
          <w:bCs/>
        </w:rPr>
      </w:pPr>
    </w:p>
    <w:p w14:paraId="54F4866D" w14:textId="1EF50A7A" w:rsidR="00556C82" w:rsidRPr="00D23BF1" w:rsidRDefault="00556C82" w:rsidP="00F20BE1">
      <w:pPr>
        <w:rPr>
          <w:rFonts w:ascii="Times" w:hAnsi="Times"/>
          <w:color w:val="FF0000"/>
        </w:rPr>
      </w:pPr>
      <w:r w:rsidRPr="00D23BF1">
        <w:rPr>
          <w:rFonts w:ascii="Times" w:hAnsi="Times"/>
          <w:b/>
          <w:bCs/>
        </w:rPr>
        <w:t>Table 6.</w:t>
      </w:r>
      <w:r w:rsidRPr="00D23BF1">
        <w:rPr>
          <w:rFonts w:ascii="Times" w:hAnsi="Times"/>
        </w:rPr>
        <w:t xml:space="preserve"> Prevalence and average abundance of common phyla.</w:t>
      </w:r>
    </w:p>
    <w:tbl>
      <w:tblPr>
        <w:tblW w:w="7346" w:type="dxa"/>
        <w:jc w:val="center"/>
        <w:tblLook w:val="04A0" w:firstRow="1" w:lastRow="0" w:firstColumn="1" w:lastColumn="0" w:noHBand="0" w:noVBand="1"/>
      </w:tblPr>
      <w:tblGrid>
        <w:gridCol w:w="3203"/>
        <w:gridCol w:w="2233"/>
        <w:gridCol w:w="1910"/>
      </w:tblGrid>
      <w:tr w:rsidR="00556C82" w:rsidRPr="00D23BF1" w14:paraId="3C677A88" w14:textId="77777777" w:rsidTr="009A40FD">
        <w:trPr>
          <w:trHeight w:val="602"/>
          <w:jc w:val="center"/>
        </w:trPr>
        <w:tc>
          <w:tcPr>
            <w:tcW w:w="3203" w:type="dxa"/>
            <w:tcBorders>
              <w:top w:val="single" w:sz="4" w:space="0" w:color="auto"/>
              <w:left w:val="nil"/>
              <w:bottom w:val="nil"/>
              <w:right w:val="nil"/>
            </w:tcBorders>
            <w:shd w:val="clear" w:color="auto" w:fill="auto"/>
            <w:noWrap/>
            <w:vAlign w:val="bottom"/>
            <w:hideMark/>
          </w:tcPr>
          <w:p w14:paraId="43D5DBDD"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 Phylum</w:t>
            </w:r>
          </w:p>
        </w:tc>
        <w:tc>
          <w:tcPr>
            <w:tcW w:w="2233" w:type="dxa"/>
            <w:tcBorders>
              <w:top w:val="single" w:sz="4" w:space="0" w:color="auto"/>
              <w:left w:val="nil"/>
              <w:bottom w:val="nil"/>
              <w:right w:val="nil"/>
            </w:tcBorders>
            <w:shd w:val="clear" w:color="auto" w:fill="auto"/>
            <w:vAlign w:val="bottom"/>
            <w:hideMark/>
          </w:tcPr>
          <w:p w14:paraId="7E608612"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prevalence (% of samples occurring in)</w:t>
            </w:r>
          </w:p>
        </w:tc>
        <w:tc>
          <w:tcPr>
            <w:tcW w:w="1910" w:type="dxa"/>
            <w:tcBorders>
              <w:top w:val="single" w:sz="4" w:space="0" w:color="auto"/>
              <w:left w:val="nil"/>
              <w:bottom w:val="nil"/>
              <w:right w:val="nil"/>
            </w:tcBorders>
            <w:shd w:val="clear" w:color="auto" w:fill="auto"/>
            <w:vAlign w:val="bottom"/>
            <w:hideMark/>
          </w:tcPr>
          <w:p w14:paraId="58046A1B"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average abundance</w:t>
            </w:r>
          </w:p>
        </w:tc>
      </w:tr>
      <w:tr w:rsidR="00556C82" w:rsidRPr="00D23BF1" w14:paraId="6987B835" w14:textId="77777777" w:rsidTr="009A40FD">
        <w:trPr>
          <w:trHeight w:val="320"/>
          <w:jc w:val="center"/>
        </w:trPr>
        <w:tc>
          <w:tcPr>
            <w:tcW w:w="3203" w:type="dxa"/>
            <w:tcBorders>
              <w:top w:val="single" w:sz="4" w:space="0" w:color="auto"/>
              <w:left w:val="nil"/>
              <w:bottom w:val="nil"/>
              <w:right w:val="nil"/>
            </w:tcBorders>
            <w:shd w:val="clear" w:color="auto" w:fill="auto"/>
            <w:noWrap/>
            <w:vAlign w:val="bottom"/>
            <w:hideMark/>
          </w:tcPr>
          <w:p w14:paraId="68D47C62" w14:textId="77777777" w:rsidR="00556C82" w:rsidRPr="00D23BF1" w:rsidRDefault="00556C82" w:rsidP="00F20BE1">
            <w:pPr>
              <w:rPr>
                <w:rFonts w:ascii="Times" w:eastAsia="Times New Roman" w:hAnsi="Times" w:cs="Calibri"/>
                <w:color w:val="000000"/>
              </w:rPr>
            </w:pPr>
            <w:proofErr w:type="spellStart"/>
            <w:r w:rsidRPr="00D23BF1">
              <w:rPr>
                <w:rFonts w:ascii="Times" w:eastAsia="Times New Roman" w:hAnsi="Times" w:cs="Calibri"/>
                <w:color w:val="000000"/>
              </w:rPr>
              <w:t>Actinobacteriota</w:t>
            </w:r>
            <w:proofErr w:type="spellEnd"/>
          </w:p>
        </w:tc>
        <w:tc>
          <w:tcPr>
            <w:tcW w:w="2233" w:type="dxa"/>
            <w:tcBorders>
              <w:top w:val="single" w:sz="4" w:space="0" w:color="auto"/>
              <w:left w:val="nil"/>
              <w:bottom w:val="nil"/>
              <w:right w:val="nil"/>
            </w:tcBorders>
            <w:shd w:val="clear" w:color="auto" w:fill="auto"/>
            <w:noWrap/>
            <w:vAlign w:val="bottom"/>
            <w:hideMark/>
          </w:tcPr>
          <w:p w14:paraId="3AB4B8A8"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94%</w:t>
            </w:r>
          </w:p>
        </w:tc>
        <w:tc>
          <w:tcPr>
            <w:tcW w:w="1910" w:type="dxa"/>
            <w:tcBorders>
              <w:top w:val="single" w:sz="4" w:space="0" w:color="auto"/>
              <w:left w:val="nil"/>
              <w:bottom w:val="nil"/>
              <w:right w:val="nil"/>
            </w:tcBorders>
            <w:shd w:val="clear" w:color="auto" w:fill="auto"/>
            <w:noWrap/>
            <w:vAlign w:val="bottom"/>
            <w:hideMark/>
          </w:tcPr>
          <w:p w14:paraId="421CE4F1"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29%</w:t>
            </w:r>
          </w:p>
        </w:tc>
      </w:tr>
      <w:tr w:rsidR="00556C82" w:rsidRPr="00D23BF1" w14:paraId="48AF38E0" w14:textId="77777777" w:rsidTr="009A40FD">
        <w:trPr>
          <w:trHeight w:val="320"/>
          <w:jc w:val="center"/>
        </w:trPr>
        <w:tc>
          <w:tcPr>
            <w:tcW w:w="3203" w:type="dxa"/>
            <w:tcBorders>
              <w:top w:val="nil"/>
              <w:left w:val="nil"/>
              <w:bottom w:val="nil"/>
              <w:right w:val="nil"/>
            </w:tcBorders>
            <w:shd w:val="clear" w:color="auto" w:fill="auto"/>
            <w:noWrap/>
            <w:vAlign w:val="bottom"/>
            <w:hideMark/>
          </w:tcPr>
          <w:p w14:paraId="16B2AE1C" w14:textId="77777777" w:rsidR="00556C82" w:rsidRPr="00D23BF1" w:rsidRDefault="00556C82" w:rsidP="00F20BE1">
            <w:pPr>
              <w:rPr>
                <w:rFonts w:ascii="Times" w:eastAsia="Times New Roman" w:hAnsi="Times" w:cs="Calibri"/>
                <w:color w:val="000000"/>
              </w:rPr>
            </w:pPr>
            <w:proofErr w:type="spellStart"/>
            <w:r w:rsidRPr="00D23BF1">
              <w:rPr>
                <w:rFonts w:ascii="Times" w:eastAsia="Times New Roman" w:hAnsi="Times" w:cs="Calibri"/>
                <w:color w:val="000000"/>
              </w:rPr>
              <w:t>Bacteroidota</w:t>
            </w:r>
            <w:proofErr w:type="spellEnd"/>
          </w:p>
        </w:tc>
        <w:tc>
          <w:tcPr>
            <w:tcW w:w="2233" w:type="dxa"/>
            <w:tcBorders>
              <w:top w:val="nil"/>
              <w:left w:val="nil"/>
              <w:bottom w:val="nil"/>
              <w:right w:val="nil"/>
            </w:tcBorders>
            <w:shd w:val="clear" w:color="auto" w:fill="auto"/>
            <w:noWrap/>
            <w:vAlign w:val="bottom"/>
            <w:hideMark/>
          </w:tcPr>
          <w:p w14:paraId="5FCE2E61"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57%</w:t>
            </w:r>
          </w:p>
        </w:tc>
        <w:tc>
          <w:tcPr>
            <w:tcW w:w="1910" w:type="dxa"/>
            <w:tcBorders>
              <w:top w:val="nil"/>
              <w:left w:val="nil"/>
              <w:bottom w:val="nil"/>
              <w:right w:val="nil"/>
            </w:tcBorders>
            <w:shd w:val="clear" w:color="auto" w:fill="auto"/>
            <w:noWrap/>
            <w:vAlign w:val="bottom"/>
            <w:hideMark/>
          </w:tcPr>
          <w:p w14:paraId="03D620A6"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1%</w:t>
            </w:r>
          </w:p>
        </w:tc>
      </w:tr>
      <w:tr w:rsidR="00556C82" w:rsidRPr="00D23BF1" w14:paraId="54EC4212" w14:textId="77777777" w:rsidTr="009A40FD">
        <w:trPr>
          <w:trHeight w:val="320"/>
          <w:jc w:val="center"/>
        </w:trPr>
        <w:tc>
          <w:tcPr>
            <w:tcW w:w="3203" w:type="dxa"/>
            <w:tcBorders>
              <w:top w:val="nil"/>
              <w:left w:val="nil"/>
              <w:bottom w:val="nil"/>
              <w:right w:val="nil"/>
            </w:tcBorders>
            <w:shd w:val="clear" w:color="auto" w:fill="auto"/>
            <w:noWrap/>
            <w:vAlign w:val="bottom"/>
            <w:hideMark/>
          </w:tcPr>
          <w:p w14:paraId="0525C88A"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Firmicutes</w:t>
            </w:r>
          </w:p>
        </w:tc>
        <w:tc>
          <w:tcPr>
            <w:tcW w:w="2233" w:type="dxa"/>
            <w:tcBorders>
              <w:top w:val="nil"/>
              <w:left w:val="nil"/>
              <w:bottom w:val="nil"/>
              <w:right w:val="nil"/>
            </w:tcBorders>
            <w:shd w:val="clear" w:color="auto" w:fill="auto"/>
            <w:noWrap/>
            <w:vAlign w:val="bottom"/>
            <w:hideMark/>
          </w:tcPr>
          <w:p w14:paraId="158AFD79"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94%</w:t>
            </w:r>
          </w:p>
        </w:tc>
        <w:tc>
          <w:tcPr>
            <w:tcW w:w="1910" w:type="dxa"/>
            <w:tcBorders>
              <w:top w:val="nil"/>
              <w:left w:val="nil"/>
              <w:bottom w:val="nil"/>
              <w:right w:val="nil"/>
            </w:tcBorders>
            <w:shd w:val="clear" w:color="auto" w:fill="auto"/>
            <w:noWrap/>
            <w:vAlign w:val="bottom"/>
            <w:hideMark/>
          </w:tcPr>
          <w:p w14:paraId="102ACC4C"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27%</w:t>
            </w:r>
          </w:p>
        </w:tc>
      </w:tr>
      <w:tr w:rsidR="00556C82" w:rsidRPr="00D23BF1" w14:paraId="29201F76" w14:textId="77777777" w:rsidTr="009A40FD">
        <w:trPr>
          <w:trHeight w:val="320"/>
          <w:jc w:val="center"/>
        </w:trPr>
        <w:tc>
          <w:tcPr>
            <w:tcW w:w="3203" w:type="dxa"/>
            <w:tcBorders>
              <w:top w:val="nil"/>
              <w:left w:val="nil"/>
              <w:bottom w:val="single" w:sz="4" w:space="0" w:color="auto"/>
              <w:right w:val="nil"/>
            </w:tcBorders>
            <w:shd w:val="clear" w:color="auto" w:fill="auto"/>
            <w:noWrap/>
            <w:vAlign w:val="bottom"/>
            <w:hideMark/>
          </w:tcPr>
          <w:p w14:paraId="06AF8ACD"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Proteobacteria</w:t>
            </w:r>
          </w:p>
        </w:tc>
        <w:tc>
          <w:tcPr>
            <w:tcW w:w="2233" w:type="dxa"/>
            <w:tcBorders>
              <w:top w:val="nil"/>
              <w:left w:val="nil"/>
              <w:bottom w:val="single" w:sz="4" w:space="0" w:color="auto"/>
              <w:right w:val="nil"/>
            </w:tcBorders>
            <w:shd w:val="clear" w:color="auto" w:fill="auto"/>
            <w:noWrap/>
            <w:vAlign w:val="bottom"/>
            <w:hideMark/>
          </w:tcPr>
          <w:p w14:paraId="176CA148"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97%</w:t>
            </w:r>
          </w:p>
        </w:tc>
        <w:tc>
          <w:tcPr>
            <w:tcW w:w="1910" w:type="dxa"/>
            <w:tcBorders>
              <w:top w:val="nil"/>
              <w:left w:val="nil"/>
              <w:bottom w:val="single" w:sz="4" w:space="0" w:color="auto"/>
              <w:right w:val="nil"/>
            </w:tcBorders>
            <w:shd w:val="clear" w:color="auto" w:fill="auto"/>
            <w:noWrap/>
            <w:vAlign w:val="bottom"/>
            <w:hideMark/>
          </w:tcPr>
          <w:p w14:paraId="3D741395"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41%</w:t>
            </w:r>
          </w:p>
        </w:tc>
      </w:tr>
    </w:tbl>
    <w:p w14:paraId="5063ADA9" w14:textId="77777777" w:rsidR="00556C82" w:rsidRPr="00D23BF1" w:rsidRDefault="00556C82" w:rsidP="00F20BE1">
      <w:pPr>
        <w:rPr>
          <w:rFonts w:ascii="Times" w:hAnsi="Times"/>
        </w:rPr>
      </w:pPr>
    </w:p>
    <w:p w14:paraId="1B0A044A" w14:textId="68EC41A6" w:rsidR="00556C82" w:rsidRPr="00D23BF1" w:rsidRDefault="00556C82" w:rsidP="00F20BE1">
      <w:pPr>
        <w:rPr>
          <w:rFonts w:ascii="Times" w:hAnsi="Times"/>
        </w:rPr>
      </w:pPr>
    </w:p>
    <w:p w14:paraId="4A9F71AB" w14:textId="61D88A55" w:rsidR="00556C82" w:rsidRPr="00D23BF1" w:rsidRDefault="00556C82" w:rsidP="00F20BE1">
      <w:pPr>
        <w:rPr>
          <w:rFonts w:ascii="Times" w:hAnsi="Times"/>
        </w:rPr>
      </w:pPr>
    </w:p>
    <w:p w14:paraId="4B3FB738" w14:textId="6664BF1A" w:rsidR="00556C82" w:rsidRPr="00D23BF1" w:rsidRDefault="00556C82" w:rsidP="00F20BE1">
      <w:pPr>
        <w:rPr>
          <w:rFonts w:ascii="Times" w:hAnsi="Times"/>
        </w:rPr>
      </w:pPr>
    </w:p>
    <w:p w14:paraId="42042788" w14:textId="346D5324" w:rsidR="00556C82" w:rsidRPr="00D23BF1" w:rsidRDefault="00556C82" w:rsidP="00F20BE1">
      <w:pPr>
        <w:rPr>
          <w:rFonts w:ascii="Times" w:hAnsi="Times"/>
        </w:rPr>
      </w:pPr>
    </w:p>
    <w:p w14:paraId="611B5189" w14:textId="7013DD38" w:rsidR="00556C82" w:rsidRPr="00D23BF1" w:rsidRDefault="00556C82" w:rsidP="00F20BE1">
      <w:pPr>
        <w:rPr>
          <w:rFonts w:ascii="Times" w:hAnsi="Times"/>
        </w:rPr>
      </w:pPr>
    </w:p>
    <w:p w14:paraId="451A8F20" w14:textId="26F19A1D" w:rsidR="00556C82" w:rsidRPr="00D23BF1" w:rsidRDefault="00556C82" w:rsidP="00F20BE1">
      <w:pPr>
        <w:rPr>
          <w:rFonts w:ascii="Times" w:hAnsi="Times"/>
        </w:rPr>
      </w:pPr>
    </w:p>
    <w:p w14:paraId="1DB21C0F" w14:textId="54EB36E7" w:rsidR="00556C82" w:rsidRPr="00D23BF1" w:rsidRDefault="00556C82" w:rsidP="00F20BE1">
      <w:pPr>
        <w:rPr>
          <w:rFonts w:ascii="Times" w:hAnsi="Times"/>
        </w:rPr>
      </w:pPr>
    </w:p>
    <w:p w14:paraId="5EA61262" w14:textId="77777777" w:rsidR="00556C82" w:rsidRPr="00D23BF1" w:rsidRDefault="00556C82" w:rsidP="00F20BE1">
      <w:pPr>
        <w:rPr>
          <w:rFonts w:ascii="Times" w:hAnsi="Times"/>
        </w:rPr>
      </w:pPr>
    </w:p>
    <w:p w14:paraId="6A5340D4" w14:textId="704BA684" w:rsidR="00556C82" w:rsidRPr="00D23BF1" w:rsidRDefault="00556C82" w:rsidP="00F20BE1">
      <w:pPr>
        <w:rPr>
          <w:rFonts w:ascii="Times" w:hAnsi="Times"/>
        </w:rPr>
      </w:pPr>
      <w:r w:rsidRPr="00D23BF1">
        <w:rPr>
          <w:rFonts w:ascii="Times" w:hAnsi="Times"/>
          <w:b/>
          <w:bCs/>
        </w:rPr>
        <w:t>Table 7.</w:t>
      </w:r>
      <w:r w:rsidRPr="00D23BF1">
        <w:rPr>
          <w:rFonts w:ascii="Times" w:hAnsi="Times"/>
        </w:rPr>
        <w:t xml:space="preserve"> Mixed linear model results assessing the effect of treatment on alpha diversity. All models included treatment order, and individual bird nested within sex as random effects (+ 1|order + 1|sex/bird). P-values for all post-hoc comparisons can be found in Table S4</w:t>
      </w:r>
    </w:p>
    <w:tbl>
      <w:tblPr>
        <w:tblW w:w="9007" w:type="dxa"/>
        <w:jc w:val="center"/>
        <w:tblLook w:val="04A0" w:firstRow="1" w:lastRow="0" w:firstColumn="1" w:lastColumn="0" w:noHBand="0" w:noVBand="1"/>
      </w:tblPr>
      <w:tblGrid>
        <w:gridCol w:w="1753"/>
        <w:gridCol w:w="1442"/>
        <w:gridCol w:w="1442"/>
        <w:gridCol w:w="421"/>
        <w:gridCol w:w="2130"/>
        <w:gridCol w:w="1442"/>
        <w:gridCol w:w="377"/>
      </w:tblGrid>
      <w:tr w:rsidR="00556C82" w:rsidRPr="00D23BF1" w14:paraId="4417A454" w14:textId="77777777" w:rsidTr="009A40FD">
        <w:trPr>
          <w:trHeight w:val="315"/>
          <w:jc w:val="center"/>
        </w:trPr>
        <w:tc>
          <w:tcPr>
            <w:tcW w:w="1753" w:type="dxa"/>
            <w:tcBorders>
              <w:top w:val="nil"/>
              <w:left w:val="nil"/>
              <w:bottom w:val="single" w:sz="4" w:space="0" w:color="auto"/>
              <w:right w:val="nil"/>
            </w:tcBorders>
            <w:shd w:val="clear" w:color="auto" w:fill="auto"/>
            <w:noWrap/>
            <w:hideMark/>
          </w:tcPr>
          <w:p w14:paraId="16EAFCD4"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 </w:t>
            </w:r>
          </w:p>
        </w:tc>
        <w:tc>
          <w:tcPr>
            <w:tcW w:w="2884" w:type="dxa"/>
            <w:gridSpan w:val="2"/>
            <w:tcBorders>
              <w:top w:val="nil"/>
              <w:left w:val="nil"/>
              <w:bottom w:val="single" w:sz="4" w:space="0" w:color="auto"/>
              <w:right w:val="nil"/>
            </w:tcBorders>
            <w:shd w:val="clear" w:color="auto" w:fill="auto"/>
            <w:noWrap/>
            <w:hideMark/>
          </w:tcPr>
          <w:p w14:paraId="4FF21580" w14:textId="77777777" w:rsidR="00556C82" w:rsidRPr="00D23BF1" w:rsidRDefault="00556C82" w:rsidP="00F20BE1">
            <w:pPr>
              <w:rPr>
                <w:rFonts w:ascii="Times" w:eastAsia="Times New Roman" w:hAnsi="Times" w:cs="Calibri"/>
                <w:color w:val="000000"/>
              </w:rPr>
            </w:pPr>
            <w:proofErr w:type="spellStart"/>
            <w:r w:rsidRPr="00D23BF1">
              <w:rPr>
                <w:rFonts w:ascii="Times" w:eastAsia="Times New Roman" w:hAnsi="Times" w:cs="Calibri"/>
                <w:color w:val="000000"/>
              </w:rPr>
              <w:t>lm</w:t>
            </w:r>
            <w:proofErr w:type="spellEnd"/>
            <w:r w:rsidRPr="00D23BF1">
              <w:rPr>
                <w:rFonts w:ascii="Times" w:eastAsia="Times New Roman" w:hAnsi="Times" w:cs="Calibri"/>
                <w:color w:val="000000"/>
              </w:rPr>
              <w:t xml:space="preserve"> </w:t>
            </w:r>
            <w:proofErr w:type="spellStart"/>
            <w:r w:rsidRPr="00D23BF1">
              <w:rPr>
                <w:rFonts w:ascii="Times" w:eastAsia="Times New Roman" w:hAnsi="Times" w:cs="Calibri"/>
                <w:color w:val="000000"/>
              </w:rPr>
              <w:t>anova</w:t>
            </w:r>
            <w:proofErr w:type="spellEnd"/>
          </w:p>
        </w:tc>
        <w:tc>
          <w:tcPr>
            <w:tcW w:w="421" w:type="dxa"/>
            <w:tcBorders>
              <w:top w:val="nil"/>
              <w:left w:val="nil"/>
              <w:bottom w:val="single" w:sz="4" w:space="0" w:color="auto"/>
              <w:right w:val="nil"/>
            </w:tcBorders>
            <w:shd w:val="clear" w:color="auto" w:fill="auto"/>
            <w:noWrap/>
            <w:hideMark/>
          </w:tcPr>
          <w:p w14:paraId="152FAA17"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 </w:t>
            </w:r>
          </w:p>
        </w:tc>
        <w:tc>
          <w:tcPr>
            <w:tcW w:w="3572" w:type="dxa"/>
            <w:gridSpan w:val="2"/>
            <w:tcBorders>
              <w:top w:val="nil"/>
              <w:left w:val="nil"/>
              <w:bottom w:val="single" w:sz="4" w:space="0" w:color="auto"/>
              <w:right w:val="nil"/>
            </w:tcBorders>
            <w:shd w:val="clear" w:color="auto" w:fill="auto"/>
            <w:noWrap/>
            <w:hideMark/>
          </w:tcPr>
          <w:p w14:paraId="609CFEFB"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Tukey post-hoc</w:t>
            </w:r>
          </w:p>
        </w:tc>
        <w:tc>
          <w:tcPr>
            <w:tcW w:w="377" w:type="dxa"/>
            <w:tcBorders>
              <w:top w:val="nil"/>
              <w:left w:val="nil"/>
              <w:bottom w:val="single" w:sz="4" w:space="0" w:color="auto"/>
              <w:right w:val="nil"/>
            </w:tcBorders>
            <w:shd w:val="clear" w:color="auto" w:fill="auto"/>
            <w:noWrap/>
            <w:hideMark/>
          </w:tcPr>
          <w:p w14:paraId="01EEE018"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 </w:t>
            </w:r>
          </w:p>
        </w:tc>
      </w:tr>
      <w:tr w:rsidR="00556C82" w:rsidRPr="00D23BF1" w14:paraId="4EA41D41" w14:textId="77777777" w:rsidTr="009A40FD">
        <w:trPr>
          <w:trHeight w:val="670"/>
          <w:jc w:val="center"/>
        </w:trPr>
        <w:tc>
          <w:tcPr>
            <w:tcW w:w="1753" w:type="dxa"/>
            <w:tcBorders>
              <w:top w:val="nil"/>
              <w:left w:val="nil"/>
              <w:bottom w:val="single" w:sz="4" w:space="0" w:color="auto"/>
              <w:right w:val="nil"/>
            </w:tcBorders>
            <w:shd w:val="clear" w:color="auto" w:fill="auto"/>
            <w:hideMark/>
          </w:tcPr>
          <w:p w14:paraId="5A07F96B"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Alpha diversity measure</w:t>
            </w:r>
          </w:p>
        </w:tc>
        <w:tc>
          <w:tcPr>
            <w:tcW w:w="1442" w:type="dxa"/>
            <w:tcBorders>
              <w:top w:val="nil"/>
              <w:left w:val="nil"/>
              <w:bottom w:val="single" w:sz="4" w:space="0" w:color="auto"/>
              <w:right w:val="nil"/>
            </w:tcBorders>
            <w:shd w:val="clear" w:color="auto" w:fill="auto"/>
            <w:hideMark/>
          </w:tcPr>
          <w:p w14:paraId="7EF8529D"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model F</w:t>
            </w:r>
          </w:p>
        </w:tc>
        <w:tc>
          <w:tcPr>
            <w:tcW w:w="1442" w:type="dxa"/>
            <w:tcBorders>
              <w:top w:val="nil"/>
              <w:left w:val="nil"/>
              <w:bottom w:val="single" w:sz="4" w:space="0" w:color="auto"/>
              <w:right w:val="nil"/>
            </w:tcBorders>
            <w:shd w:val="clear" w:color="auto" w:fill="auto"/>
            <w:hideMark/>
          </w:tcPr>
          <w:p w14:paraId="17863B96" w14:textId="77777777" w:rsidR="00556C82" w:rsidRPr="00D23BF1" w:rsidRDefault="00556C82" w:rsidP="00F20BE1">
            <w:pPr>
              <w:rPr>
                <w:rFonts w:ascii="Times" w:eastAsia="Times New Roman" w:hAnsi="Times" w:cs="Calibri"/>
                <w:i/>
                <w:iCs/>
                <w:color w:val="000000"/>
              </w:rPr>
            </w:pPr>
            <w:r w:rsidRPr="00D23BF1">
              <w:rPr>
                <w:rFonts w:ascii="Times" w:eastAsia="Times New Roman" w:hAnsi="Times" w:cs="Calibri"/>
                <w:i/>
                <w:iCs/>
                <w:color w:val="000000"/>
              </w:rPr>
              <w:t>P</w:t>
            </w:r>
          </w:p>
        </w:tc>
        <w:tc>
          <w:tcPr>
            <w:tcW w:w="421" w:type="dxa"/>
            <w:tcBorders>
              <w:top w:val="nil"/>
              <w:left w:val="nil"/>
              <w:bottom w:val="single" w:sz="4" w:space="0" w:color="auto"/>
              <w:right w:val="nil"/>
            </w:tcBorders>
            <w:shd w:val="clear" w:color="auto" w:fill="auto"/>
            <w:hideMark/>
          </w:tcPr>
          <w:p w14:paraId="13A8A85C" w14:textId="77777777" w:rsidR="00556C82" w:rsidRPr="00D23BF1" w:rsidRDefault="00556C82" w:rsidP="00F20BE1">
            <w:pPr>
              <w:rPr>
                <w:rFonts w:ascii="Times" w:eastAsia="Times New Roman" w:hAnsi="Times" w:cs="Calibri"/>
                <w:i/>
                <w:iCs/>
                <w:color w:val="000000"/>
              </w:rPr>
            </w:pPr>
            <w:r w:rsidRPr="00D23BF1">
              <w:rPr>
                <w:rFonts w:ascii="Times" w:eastAsia="Times New Roman" w:hAnsi="Times" w:cs="Calibri"/>
                <w:i/>
                <w:iCs/>
                <w:color w:val="000000"/>
              </w:rPr>
              <w:t> </w:t>
            </w:r>
          </w:p>
        </w:tc>
        <w:tc>
          <w:tcPr>
            <w:tcW w:w="2130" w:type="dxa"/>
            <w:tcBorders>
              <w:top w:val="nil"/>
              <w:left w:val="nil"/>
              <w:bottom w:val="single" w:sz="4" w:space="0" w:color="auto"/>
              <w:right w:val="nil"/>
            </w:tcBorders>
            <w:shd w:val="clear" w:color="auto" w:fill="auto"/>
            <w:hideMark/>
          </w:tcPr>
          <w:p w14:paraId="484F941C"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 xml:space="preserve">significant comparisons </w:t>
            </w:r>
          </w:p>
        </w:tc>
        <w:tc>
          <w:tcPr>
            <w:tcW w:w="1442" w:type="dxa"/>
            <w:tcBorders>
              <w:top w:val="nil"/>
              <w:left w:val="nil"/>
              <w:bottom w:val="single" w:sz="4" w:space="0" w:color="auto"/>
              <w:right w:val="nil"/>
            </w:tcBorders>
            <w:shd w:val="clear" w:color="auto" w:fill="auto"/>
            <w:hideMark/>
          </w:tcPr>
          <w:p w14:paraId="2FF1C2FA" w14:textId="77777777" w:rsidR="00556C82" w:rsidRPr="00D23BF1" w:rsidRDefault="00556C82" w:rsidP="00F20BE1">
            <w:pPr>
              <w:rPr>
                <w:rFonts w:ascii="Times" w:eastAsia="Times New Roman" w:hAnsi="Times" w:cs="Calibri"/>
                <w:i/>
                <w:iCs/>
                <w:color w:val="000000"/>
              </w:rPr>
            </w:pPr>
            <w:r w:rsidRPr="00D23BF1">
              <w:rPr>
                <w:rFonts w:ascii="Times" w:eastAsia="Times New Roman" w:hAnsi="Times" w:cs="Calibri"/>
                <w:i/>
                <w:iCs/>
                <w:color w:val="000000"/>
              </w:rPr>
              <w:t>P</w:t>
            </w:r>
          </w:p>
        </w:tc>
        <w:tc>
          <w:tcPr>
            <w:tcW w:w="377" w:type="dxa"/>
            <w:tcBorders>
              <w:top w:val="nil"/>
              <w:left w:val="nil"/>
              <w:bottom w:val="single" w:sz="4" w:space="0" w:color="auto"/>
              <w:right w:val="nil"/>
            </w:tcBorders>
            <w:shd w:val="clear" w:color="auto" w:fill="auto"/>
            <w:hideMark/>
          </w:tcPr>
          <w:p w14:paraId="68D1AB43"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 </w:t>
            </w:r>
          </w:p>
        </w:tc>
      </w:tr>
      <w:tr w:rsidR="00556C82" w:rsidRPr="00D23BF1" w14:paraId="1125F600" w14:textId="77777777" w:rsidTr="009A40FD">
        <w:trPr>
          <w:trHeight w:val="315"/>
          <w:jc w:val="center"/>
        </w:trPr>
        <w:tc>
          <w:tcPr>
            <w:tcW w:w="1753" w:type="dxa"/>
            <w:tcBorders>
              <w:top w:val="nil"/>
              <w:left w:val="nil"/>
              <w:bottom w:val="nil"/>
              <w:right w:val="nil"/>
            </w:tcBorders>
            <w:shd w:val="clear" w:color="auto" w:fill="auto"/>
            <w:noWrap/>
            <w:hideMark/>
          </w:tcPr>
          <w:p w14:paraId="09032062"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vertAlign w:val="superscript"/>
              </w:rPr>
              <w:t>0</w:t>
            </w:r>
            <w:r w:rsidRPr="00D23BF1">
              <w:rPr>
                <w:rFonts w:ascii="Times" w:eastAsia="Times New Roman" w:hAnsi="Times" w:cs="Calibri"/>
                <w:color w:val="000000"/>
              </w:rPr>
              <w:t>D</w:t>
            </w:r>
          </w:p>
        </w:tc>
        <w:tc>
          <w:tcPr>
            <w:tcW w:w="1442" w:type="dxa"/>
            <w:tcBorders>
              <w:top w:val="nil"/>
              <w:left w:val="nil"/>
              <w:bottom w:val="nil"/>
              <w:right w:val="nil"/>
            </w:tcBorders>
            <w:shd w:val="clear" w:color="auto" w:fill="auto"/>
            <w:noWrap/>
            <w:hideMark/>
          </w:tcPr>
          <w:p w14:paraId="57FDF3F1"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1.9449</w:t>
            </w:r>
          </w:p>
        </w:tc>
        <w:tc>
          <w:tcPr>
            <w:tcW w:w="1442" w:type="dxa"/>
            <w:tcBorders>
              <w:top w:val="nil"/>
              <w:left w:val="nil"/>
              <w:bottom w:val="nil"/>
              <w:right w:val="nil"/>
            </w:tcBorders>
            <w:shd w:val="clear" w:color="auto" w:fill="auto"/>
            <w:noWrap/>
            <w:hideMark/>
          </w:tcPr>
          <w:p w14:paraId="44844210"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0.131</w:t>
            </w:r>
          </w:p>
        </w:tc>
        <w:tc>
          <w:tcPr>
            <w:tcW w:w="421" w:type="dxa"/>
            <w:tcBorders>
              <w:top w:val="nil"/>
              <w:left w:val="nil"/>
              <w:bottom w:val="nil"/>
              <w:right w:val="nil"/>
            </w:tcBorders>
            <w:shd w:val="clear" w:color="auto" w:fill="auto"/>
            <w:noWrap/>
            <w:hideMark/>
          </w:tcPr>
          <w:p w14:paraId="20E72DAA" w14:textId="77777777" w:rsidR="00556C82" w:rsidRPr="00D23BF1" w:rsidRDefault="00556C82" w:rsidP="00F20BE1">
            <w:pPr>
              <w:rPr>
                <w:rFonts w:ascii="Times" w:eastAsia="Times New Roman" w:hAnsi="Times" w:cs="Calibri"/>
                <w:color w:val="000000"/>
              </w:rPr>
            </w:pPr>
          </w:p>
        </w:tc>
        <w:tc>
          <w:tcPr>
            <w:tcW w:w="2130" w:type="dxa"/>
            <w:tcBorders>
              <w:top w:val="nil"/>
              <w:left w:val="nil"/>
              <w:bottom w:val="nil"/>
              <w:right w:val="nil"/>
            </w:tcBorders>
            <w:shd w:val="clear" w:color="auto" w:fill="auto"/>
            <w:noWrap/>
            <w:hideMark/>
          </w:tcPr>
          <w:p w14:paraId="5FCFA208"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n/a</w:t>
            </w:r>
          </w:p>
        </w:tc>
        <w:tc>
          <w:tcPr>
            <w:tcW w:w="1442" w:type="dxa"/>
            <w:tcBorders>
              <w:top w:val="nil"/>
              <w:left w:val="nil"/>
              <w:bottom w:val="nil"/>
              <w:right w:val="nil"/>
            </w:tcBorders>
            <w:shd w:val="clear" w:color="auto" w:fill="auto"/>
            <w:noWrap/>
            <w:hideMark/>
          </w:tcPr>
          <w:p w14:paraId="3B87ED7D" w14:textId="77777777" w:rsidR="00556C82" w:rsidRPr="00D23BF1" w:rsidRDefault="00556C82" w:rsidP="00F20BE1">
            <w:pPr>
              <w:rPr>
                <w:rFonts w:ascii="Times" w:eastAsia="Times New Roman" w:hAnsi="Times" w:cs="Calibri"/>
                <w:color w:val="000000"/>
              </w:rPr>
            </w:pPr>
          </w:p>
        </w:tc>
        <w:tc>
          <w:tcPr>
            <w:tcW w:w="377" w:type="dxa"/>
            <w:tcBorders>
              <w:top w:val="nil"/>
              <w:left w:val="nil"/>
              <w:bottom w:val="nil"/>
              <w:right w:val="nil"/>
            </w:tcBorders>
            <w:shd w:val="clear" w:color="auto" w:fill="auto"/>
            <w:noWrap/>
            <w:hideMark/>
          </w:tcPr>
          <w:p w14:paraId="68AEB36B" w14:textId="77777777" w:rsidR="00556C82" w:rsidRPr="00D23BF1" w:rsidRDefault="00556C82" w:rsidP="00F20BE1">
            <w:pPr>
              <w:rPr>
                <w:rFonts w:ascii="Times" w:eastAsia="Times New Roman" w:hAnsi="Times" w:cs="Times New Roman"/>
                <w:sz w:val="20"/>
                <w:szCs w:val="20"/>
              </w:rPr>
            </w:pPr>
          </w:p>
        </w:tc>
      </w:tr>
      <w:tr w:rsidR="00556C82" w:rsidRPr="00D23BF1" w14:paraId="62498973" w14:textId="77777777" w:rsidTr="009A40FD">
        <w:trPr>
          <w:trHeight w:val="315"/>
          <w:jc w:val="center"/>
        </w:trPr>
        <w:tc>
          <w:tcPr>
            <w:tcW w:w="1753" w:type="dxa"/>
            <w:tcBorders>
              <w:top w:val="nil"/>
              <w:left w:val="nil"/>
              <w:bottom w:val="nil"/>
              <w:right w:val="nil"/>
            </w:tcBorders>
            <w:shd w:val="clear" w:color="auto" w:fill="auto"/>
            <w:noWrap/>
            <w:hideMark/>
          </w:tcPr>
          <w:p w14:paraId="785B2794"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vertAlign w:val="superscript"/>
              </w:rPr>
              <w:t>1</w:t>
            </w:r>
            <w:r w:rsidRPr="00D23BF1">
              <w:rPr>
                <w:rFonts w:ascii="Times" w:eastAsia="Times New Roman" w:hAnsi="Times" w:cs="Calibri"/>
                <w:color w:val="000000"/>
              </w:rPr>
              <w:t>D</w:t>
            </w:r>
          </w:p>
        </w:tc>
        <w:tc>
          <w:tcPr>
            <w:tcW w:w="1442" w:type="dxa"/>
            <w:tcBorders>
              <w:top w:val="nil"/>
              <w:left w:val="nil"/>
              <w:bottom w:val="nil"/>
              <w:right w:val="nil"/>
            </w:tcBorders>
            <w:shd w:val="clear" w:color="auto" w:fill="auto"/>
            <w:noWrap/>
            <w:hideMark/>
          </w:tcPr>
          <w:p w14:paraId="5C0A40D7"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3.2003</w:t>
            </w:r>
          </w:p>
        </w:tc>
        <w:tc>
          <w:tcPr>
            <w:tcW w:w="1442" w:type="dxa"/>
            <w:tcBorders>
              <w:top w:val="nil"/>
              <w:left w:val="nil"/>
              <w:bottom w:val="nil"/>
              <w:right w:val="nil"/>
            </w:tcBorders>
            <w:shd w:val="clear" w:color="auto" w:fill="auto"/>
            <w:noWrap/>
            <w:hideMark/>
          </w:tcPr>
          <w:p w14:paraId="10665D7D"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0.029</w:t>
            </w:r>
          </w:p>
        </w:tc>
        <w:tc>
          <w:tcPr>
            <w:tcW w:w="421" w:type="dxa"/>
            <w:tcBorders>
              <w:top w:val="nil"/>
              <w:left w:val="nil"/>
              <w:bottom w:val="nil"/>
              <w:right w:val="nil"/>
            </w:tcBorders>
            <w:shd w:val="clear" w:color="auto" w:fill="auto"/>
            <w:noWrap/>
            <w:hideMark/>
          </w:tcPr>
          <w:p w14:paraId="421D2EAB"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w:t>
            </w:r>
          </w:p>
        </w:tc>
        <w:tc>
          <w:tcPr>
            <w:tcW w:w="2130" w:type="dxa"/>
            <w:tcBorders>
              <w:top w:val="nil"/>
              <w:left w:val="nil"/>
              <w:bottom w:val="nil"/>
              <w:right w:val="nil"/>
            </w:tcBorders>
            <w:shd w:val="clear" w:color="auto" w:fill="auto"/>
            <w:noWrap/>
            <w:hideMark/>
          </w:tcPr>
          <w:p w14:paraId="7494410A"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Recovery - Control</w:t>
            </w:r>
          </w:p>
        </w:tc>
        <w:tc>
          <w:tcPr>
            <w:tcW w:w="1442" w:type="dxa"/>
            <w:tcBorders>
              <w:top w:val="nil"/>
              <w:left w:val="nil"/>
              <w:bottom w:val="nil"/>
              <w:right w:val="nil"/>
            </w:tcBorders>
            <w:shd w:val="clear" w:color="auto" w:fill="auto"/>
            <w:noWrap/>
            <w:hideMark/>
          </w:tcPr>
          <w:p w14:paraId="7690248D"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0.029</w:t>
            </w:r>
          </w:p>
        </w:tc>
        <w:tc>
          <w:tcPr>
            <w:tcW w:w="377" w:type="dxa"/>
            <w:tcBorders>
              <w:top w:val="nil"/>
              <w:left w:val="nil"/>
              <w:bottom w:val="nil"/>
              <w:right w:val="nil"/>
            </w:tcBorders>
            <w:shd w:val="clear" w:color="auto" w:fill="auto"/>
            <w:noWrap/>
            <w:hideMark/>
          </w:tcPr>
          <w:p w14:paraId="12D7223F"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w:t>
            </w:r>
          </w:p>
        </w:tc>
      </w:tr>
      <w:tr w:rsidR="00556C82" w:rsidRPr="00D23BF1" w14:paraId="647862C5" w14:textId="77777777" w:rsidTr="009A40FD">
        <w:trPr>
          <w:trHeight w:val="315"/>
          <w:jc w:val="center"/>
        </w:trPr>
        <w:tc>
          <w:tcPr>
            <w:tcW w:w="1753" w:type="dxa"/>
            <w:tcBorders>
              <w:top w:val="nil"/>
              <w:left w:val="nil"/>
              <w:bottom w:val="nil"/>
              <w:right w:val="nil"/>
            </w:tcBorders>
            <w:shd w:val="clear" w:color="auto" w:fill="auto"/>
            <w:noWrap/>
            <w:hideMark/>
          </w:tcPr>
          <w:p w14:paraId="3A2AF451"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vertAlign w:val="superscript"/>
              </w:rPr>
              <w:t>2</w:t>
            </w:r>
            <w:r w:rsidRPr="00D23BF1">
              <w:rPr>
                <w:rFonts w:ascii="Times" w:eastAsia="Times New Roman" w:hAnsi="Times" w:cs="Calibri"/>
                <w:color w:val="000000"/>
              </w:rPr>
              <w:t>D</w:t>
            </w:r>
          </w:p>
        </w:tc>
        <w:tc>
          <w:tcPr>
            <w:tcW w:w="1442" w:type="dxa"/>
            <w:tcBorders>
              <w:top w:val="nil"/>
              <w:left w:val="nil"/>
              <w:bottom w:val="nil"/>
              <w:right w:val="nil"/>
            </w:tcBorders>
            <w:shd w:val="clear" w:color="auto" w:fill="auto"/>
            <w:noWrap/>
            <w:hideMark/>
          </w:tcPr>
          <w:p w14:paraId="1CEBA4B7"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2.6617</w:t>
            </w:r>
          </w:p>
        </w:tc>
        <w:tc>
          <w:tcPr>
            <w:tcW w:w="1442" w:type="dxa"/>
            <w:tcBorders>
              <w:top w:val="nil"/>
              <w:left w:val="nil"/>
              <w:bottom w:val="nil"/>
              <w:right w:val="nil"/>
            </w:tcBorders>
            <w:shd w:val="clear" w:color="auto" w:fill="auto"/>
            <w:noWrap/>
            <w:hideMark/>
          </w:tcPr>
          <w:p w14:paraId="171AB96E"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0.056</w:t>
            </w:r>
          </w:p>
        </w:tc>
        <w:tc>
          <w:tcPr>
            <w:tcW w:w="421" w:type="dxa"/>
            <w:tcBorders>
              <w:top w:val="nil"/>
              <w:left w:val="nil"/>
              <w:bottom w:val="nil"/>
              <w:right w:val="nil"/>
            </w:tcBorders>
            <w:shd w:val="clear" w:color="auto" w:fill="auto"/>
            <w:noWrap/>
            <w:hideMark/>
          </w:tcPr>
          <w:p w14:paraId="7748663B"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w:t>
            </w:r>
          </w:p>
        </w:tc>
        <w:tc>
          <w:tcPr>
            <w:tcW w:w="2130" w:type="dxa"/>
            <w:tcBorders>
              <w:top w:val="nil"/>
              <w:left w:val="nil"/>
              <w:bottom w:val="nil"/>
              <w:right w:val="nil"/>
            </w:tcBorders>
            <w:shd w:val="clear" w:color="auto" w:fill="auto"/>
            <w:noWrap/>
            <w:hideMark/>
          </w:tcPr>
          <w:p w14:paraId="2F86EB42"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Recovery - Control</w:t>
            </w:r>
          </w:p>
        </w:tc>
        <w:tc>
          <w:tcPr>
            <w:tcW w:w="1442" w:type="dxa"/>
            <w:tcBorders>
              <w:top w:val="nil"/>
              <w:left w:val="nil"/>
              <w:bottom w:val="nil"/>
              <w:right w:val="nil"/>
            </w:tcBorders>
            <w:shd w:val="clear" w:color="auto" w:fill="auto"/>
            <w:noWrap/>
            <w:hideMark/>
          </w:tcPr>
          <w:p w14:paraId="65FC0656"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0.06</w:t>
            </w:r>
          </w:p>
        </w:tc>
        <w:tc>
          <w:tcPr>
            <w:tcW w:w="377" w:type="dxa"/>
            <w:tcBorders>
              <w:top w:val="nil"/>
              <w:left w:val="nil"/>
              <w:bottom w:val="nil"/>
              <w:right w:val="nil"/>
            </w:tcBorders>
            <w:shd w:val="clear" w:color="auto" w:fill="auto"/>
            <w:noWrap/>
            <w:hideMark/>
          </w:tcPr>
          <w:p w14:paraId="108BF666"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w:t>
            </w:r>
          </w:p>
        </w:tc>
      </w:tr>
      <w:tr w:rsidR="00556C82" w:rsidRPr="00D23BF1" w14:paraId="5BB7749F" w14:textId="77777777" w:rsidTr="009A40FD">
        <w:trPr>
          <w:trHeight w:val="315"/>
          <w:jc w:val="center"/>
        </w:trPr>
        <w:tc>
          <w:tcPr>
            <w:tcW w:w="1753" w:type="dxa"/>
            <w:tcBorders>
              <w:top w:val="nil"/>
              <w:left w:val="nil"/>
              <w:bottom w:val="nil"/>
              <w:right w:val="nil"/>
            </w:tcBorders>
            <w:shd w:val="clear" w:color="auto" w:fill="auto"/>
            <w:noWrap/>
            <w:hideMark/>
          </w:tcPr>
          <w:p w14:paraId="797216D9"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faith's pd</w:t>
            </w:r>
          </w:p>
        </w:tc>
        <w:tc>
          <w:tcPr>
            <w:tcW w:w="1442" w:type="dxa"/>
            <w:tcBorders>
              <w:top w:val="nil"/>
              <w:left w:val="nil"/>
              <w:bottom w:val="nil"/>
              <w:right w:val="nil"/>
            </w:tcBorders>
            <w:shd w:val="clear" w:color="auto" w:fill="auto"/>
            <w:noWrap/>
            <w:hideMark/>
          </w:tcPr>
          <w:p w14:paraId="28E389A1"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4.3798</w:t>
            </w:r>
          </w:p>
        </w:tc>
        <w:tc>
          <w:tcPr>
            <w:tcW w:w="1442" w:type="dxa"/>
            <w:tcBorders>
              <w:top w:val="nil"/>
              <w:left w:val="nil"/>
              <w:bottom w:val="nil"/>
              <w:right w:val="nil"/>
            </w:tcBorders>
            <w:shd w:val="clear" w:color="auto" w:fill="auto"/>
            <w:noWrap/>
            <w:hideMark/>
          </w:tcPr>
          <w:p w14:paraId="3C23B6A3"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0.007</w:t>
            </w:r>
          </w:p>
        </w:tc>
        <w:tc>
          <w:tcPr>
            <w:tcW w:w="421" w:type="dxa"/>
            <w:tcBorders>
              <w:top w:val="nil"/>
              <w:left w:val="nil"/>
              <w:bottom w:val="nil"/>
              <w:right w:val="nil"/>
            </w:tcBorders>
            <w:shd w:val="clear" w:color="auto" w:fill="auto"/>
            <w:noWrap/>
            <w:hideMark/>
          </w:tcPr>
          <w:p w14:paraId="41225A31"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w:t>
            </w:r>
          </w:p>
        </w:tc>
        <w:tc>
          <w:tcPr>
            <w:tcW w:w="2130" w:type="dxa"/>
            <w:tcBorders>
              <w:top w:val="nil"/>
              <w:left w:val="nil"/>
              <w:bottom w:val="nil"/>
              <w:right w:val="nil"/>
            </w:tcBorders>
            <w:shd w:val="clear" w:color="auto" w:fill="auto"/>
            <w:noWrap/>
            <w:hideMark/>
          </w:tcPr>
          <w:p w14:paraId="5DEACE82"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Recovery - Control</w:t>
            </w:r>
          </w:p>
        </w:tc>
        <w:tc>
          <w:tcPr>
            <w:tcW w:w="1442" w:type="dxa"/>
            <w:tcBorders>
              <w:top w:val="nil"/>
              <w:left w:val="nil"/>
              <w:bottom w:val="nil"/>
              <w:right w:val="nil"/>
            </w:tcBorders>
            <w:shd w:val="clear" w:color="auto" w:fill="auto"/>
            <w:noWrap/>
            <w:hideMark/>
          </w:tcPr>
          <w:p w14:paraId="140140B9"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0.02</w:t>
            </w:r>
          </w:p>
        </w:tc>
        <w:tc>
          <w:tcPr>
            <w:tcW w:w="377" w:type="dxa"/>
            <w:tcBorders>
              <w:top w:val="nil"/>
              <w:left w:val="nil"/>
              <w:bottom w:val="nil"/>
              <w:right w:val="nil"/>
            </w:tcBorders>
            <w:shd w:val="clear" w:color="auto" w:fill="auto"/>
            <w:noWrap/>
            <w:hideMark/>
          </w:tcPr>
          <w:p w14:paraId="0F1CB77A"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w:t>
            </w:r>
          </w:p>
        </w:tc>
      </w:tr>
      <w:tr w:rsidR="00556C82" w:rsidRPr="00D23BF1" w14:paraId="0A3C3DE3" w14:textId="77777777" w:rsidTr="009A40FD">
        <w:trPr>
          <w:trHeight w:val="315"/>
          <w:jc w:val="center"/>
        </w:trPr>
        <w:tc>
          <w:tcPr>
            <w:tcW w:w="1753" w:type="dxa"/>
            <w:tcBorders>
              <w:top w:val="nil"/>
              <w:left w:val="nil"/>
              <w:bottom w:val="single" w:sz="4" w:space="0" w:color="auto"/>
              <w:right w:val="nil"/>
            </w:tcBorders>
            <w:shd w:val="clear" w:color="auto" w:fill="auto"/>
            <w:noWrap/>
            <w:hideMark/>
          </w:tcPr>
          <w:p w14:paraId="2801E589"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 </w:t>
            </w:r>
          </w:p>
        </w:tc>
        <w:tc>
          <w:tcPr>
            <w:tcW w:w="1442" w:type="dxa"/>
            <w:tcBorders>
              <w:top w:val="nil"/>
              <w:left w:val="nil"/>
              <w:bottom w:val="single" w:sz="4" w:space="0" w:color="auto"/>
              <w:right w:val="nil"/>
            </w:tcBorders>
            <w:shd w:val="clear" w:color="auto" w:fill="auto"/>
            <w:noWrap/>
            <w:hideMark/>
          </w:tcPr>
          <w:p w14:paraId="6BCF7037"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 </w:t>
            </w:r>
          </w:p>
        </w:tc>
        <w:tc>
          <w:tcPr>
            <w:tcW w:w="1442" w:type="dxa"/>
            <w:tcBorders>
              <w:top w:val="nil"/>
              <w:left w:val="nil"/>
              <w:bottom w:val="single" w:sz="4" w:space="0" w:color="auto"/>
              <w:right w:val="nil"/>
            </w:tcBorders>
            <w:shd w:val="clear" w:color="auto" w:fill="auto"/>
            <w:noWrap/>
            <w:hideMark/>
          </w:tcPr>
          <w:p w14:paraId="1010D7B5"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 </w:t>
            </w:r>
          </w:p>
        </w:tc>
        <w:tc>
          <w:tcPr>
            <w:tcW w:w="421" w:type="dxa"/>
            <w:tcBorders>
              <w:top w:val="nil"/>
              <w:left w:val="nil"/>
              <w:bottom w:val="single" w:sz="4" w:space="0" w:color="auto"/>
              <w:right w:val="nil"/>
            </w:tcBorders>
            <w:shd w:val="clear" w:color="auto" w:fill="auto"/>
            <w:noWrap/>
            <w:hideMark/>
          </w:tcPr>
          <w:p w14:paraId="712FF99E"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 </w:t>
            </w:r>
          </w:p>
        </w:tc>
        <w:tc>
          <w:tcPr>
            <w:tcW w:w="2130" w:type="dxa"/>
            <w:tcBorders>
              <w:top w:val="nil"/>
              <w:left w:val="nil"/>
              <w:bottom w:val="single" w:sz="4" w:space="0" w:color="auto"/>
              <w:right w:val="nil"/>
            </w:tcBorders>
            <w:shd w:val="clear" w:color="auto" w:fill="auto"/>
            <w:noWrap/>
            <w:hideMark/>
          </w:tcPr>
          <w:p w14:paraId="58880B72"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Recovery - Noise</w:t>
            </w:r>
          </w:p>
        </w:tc>
        <w:tc>
          <w:tcPr>
            <w:tcW w:w="1442" w:type="dxa"/>
            <w:tcBorders>
              <w:top w:val="nil"/>
              <w:left w:val="nil"/>
              <w:bottom w:val="single" w:sz="4" w:space="0" w:color="auto"/>
              <w:right w:val="nil"/>
            </w:tcBorders>
            <w:shd w:val="clear" w:color="auto" w:fill="auto"/>
            <w:noWrap/>
            <w:hideMark/>
          </w:tcPr>
          <w:p w14:paraId="762C07BA"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0.016</w:t>
            </w:r>
          </w:p>
        </w:tc>
        <w:tc>
          <w:tcPr>
            <w:tcW w:w="377" w:type="dxa"/>
            <w:tcBorders>
              <w:top w:val="nil"/>
              <w:left w:val="nil"/>
              <w:bottom w:val="single" w:sz="4" w:space="0" w:color="auto"/>
              <w:right w:val="nil"/>
            </w:tcBorders>
            <w:shd w:val="clear" w:color="auto" w:fill="auto"/>
            <w:noWrap/>
            <w:hideMark/>
          </w:tcPr>
          <w:p w14:paraId="12315951" w14:textId="77777777" w:rsidR="00556C82" w:rsidRPr="00D23BF1" w:rsidRDefault="00556C82" w:rsidP="00F20BE1">
            <w:pPr>
              <w:rPr>
                <w:rFonts w:ascii="Times" w:eastAsia="Times New Roman" w:hAnsi="Times" w:cs="Calibri"/>
                <w:color w:val="000000"/>
              </w:rPr>
            </w:pPr>
            <w:r w:rsidRPr="00D23BF1">
              <w:rPr>
                <w:rFonts w:ascii="Times" w:eastAsia="Times New Roman" w:hAnsi="Times" w:cs="Calibri"/>
                <w:color w:val="000000"/>
              </w:rPr>
              <w:t>*</w:t>
            </w:r>
          </w:p>
        </w:tc>
      </w:tr>
    </w:tbl>
    <w:p w14:paraId="441EEF8D" w14:textId="77777777" w:rsidR="00556C82" w:rsidRPr="00D23BF1" w:rsidRDefault="00556C82" w:rsidP="00F20BE1">
      <w:pPr>
        <w:rPr>
          <w:rFonts w:ascii="Times" w:hAnsi="Times"/>
        </w:rPr>
      </w:pPr>
    </w:p>
    <w:p w14:paraId="71D8D600" w14:textId="77777777" w:rsidR="00556C82" w:rsidRPr="00D23BF1" w:rsidRDefault="00556C82" w:rsidP="00F20BE1">
      <w:pPr>
        <w:rPr>
          <w:rFonts w:ascii="Times" w:hAnsi="Times"/>
        </w:rPr>
      </w:pPr>
      <w:r w:rsidRPr="00D23BF1">
        <w:rPr>
          <w:rFonts w:ascii="Times" w:hAnsi="Times"/>
        </w:rPr>
        <w:br w:type="page"/>
      </w:r>
    </w:p>
    <w:p w14:paraId="74E4D51D" w14:textId="1E311332" w:rsidR="001B0BC0" w:rsidRPr="00D23BF1" w:rsidRDefault="00556C82" w:rsidP="00F20BE1">
      <w:pPr>
        <w:pStyle w:val="Heading2"/>
        <w:rPr>
          <w:rFonts w:ascii="Times" w:hAnsi="Times"/>
        </w:rPr>
      </w:pPr>
      <w:bookmarkStart w:id="138" w:name="_Toc69972897"/>
      <w:r w:rsidRPr="00D23BF1">
        <w:rPr>
          <w:rFonts w:ascii="Times" w:hAnsi="Times"/>
        </w:rPr>
        <w:lastRenderedPageBreak/>
        <w:t>Figures</w:t>
      </w:r>
      <w:bookmarkEnd w:id="138"/>
    </w:p>
    <w:p w14:paraId="09D0AD3A" w14:textId="77777777" w:rsidR="001B0BC0" w:rsidRPr="00D23BF1" w:rsidRDefault="001B0BC0" w:rsidP="00F20BE1">
      <w:pPr>
        <w:rPr>
          <w:rFonts w:ascii="Times" w:hAnsi="Times"/>
        </w:rPr>
      </w:pPr>
    </w:p>
    <w:p w14:paraId="25924EEE" w14:textId="77777777" w:rsidR="001B0BC0" w:rsidRPr="00D23BF1" w:rsidRDefault="001B0BC0" w:rsidP="00F20BE1">
      <w:pPr>
        <w:rPr>
          <w:rFonts w:ascii="Times" w:hAnsi="Times" w:cs="Times New Roman"/>
        </w:rPr>
      </w:pPr>
      <w:r w:rsidRPr="00D23BF1">
        <w:rPr>
          <w:rFonts w:ascii="Times" w:eastAsia="Times New Roman" w:hAnsi="Times" w:cs="Times New Roman"/>
          <w:b/>
          <w:noProof/>
          <w:color w:val="4F81BD"/>
        </w:rPr>
        <w:drawing>
          <wp:inline distT="0" distB="0" distL="0" distR="0" wp14:anchorId="6BC37AEA" wp14:editId="454F66E2">
            <wp:extent cx="2159922" cy="5029200"/>
            <wp:effectExtent l="0" t="0" r="0" b="0"/>
            <wp:docPr id="9" name="Picture 9" descr="Duke Leto:Users:MaeBerlow:Dropbox:Molecular lab biz:GMB:gut pics:intestines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ke Leto:Users:MaeBerlow:Dropbox:Molecular lab biz:GMB:gut pics:intestines diagram.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59922" cy="5029200"/>
                    </a:xfrm>
                    <a:prstGeom prst="rect">
                      <a:avLst/>
                    </a:prstGeom>
                    <a:noFill/>
                    <a:ln>
                      <a:noFill/>
                    </a:ln>
                  </pic:spPr>
                </pic:pic>
              </a:graphicData>
            </a:graphic>
          </wp:inline>
        </w:drawing>
      </w:r>
    </w:p>
    <w:p w14:paraId="78EAD786" w14:textId="77777777" w:rsidR="001B0BC0" w:rsidRPr="00D23BF1" w:rsidRDefault="001B0BC0" w:rsidP="00F20BE1">
      <w:pPr>
        <w:rPr>
          <w:rFonts w:ascii="Times" w:hAnsi="Times" w:cs="Times New Roman"/>
          <w:i/>
          <w:color w:val="000000" w:themeColor="text1"/>
        </w:rPr>
      </w:pPr>
      <w:bookmarkStart w:id="139" w:name="_Toc69393565"/>
      <w:bookmarkStart w:id="140" w:name="_Toc69396338"/>
      <w:bookmarkStart w:id="141" w:name="_Toc69396373"/>
      <w:bookmarkStart w:id="142" w:name="_Toc69396562"/>
      <w:r w:rsidRPr="00D23BF1">
        <w:rPr>
          <w:rFonts w:ascii="Times" w:hAnsi="Times" w:cs="Times New Roman"/>
          <w:b/>
          <w:bCs/>
          <w:color w:val="000000" w:themeColor="text1"/>
        </w:rPr>
        <w:t>Figure 1.</w:t>
      </w:r>
      <w:r w:rsidRPr="00D23BF1">
        <w:rPr>
          <w:rFonts w:ascii="Times" w:hAnsi="Times" w:cs="Times New Roman"/>
          <w:color w:val="000000" w:themeColor="text1"/>
        </w:rPr>
        <w:t xml:space="preserve"> Gastrointestinal tract of a Zebra Finch. The proventriculus attaches to the esophagus which terminates in the oral cavity. The cloaca is the single external orifice for the passerine gastro-intestinal tract. We sampled the proventriculus, small intestine, large intestine, collected a swab from the cloaca, and sampled </w:t>
      </w:r>
      <w:proofErr w:type="spellStart"/>
      <w:r w:rsidRPr="00D23BF1">
        <w:rPr>
          <w:rFonts w:ascii="Times" w:hAnsi="Times" w:cs="Times New Roman"/>
          <w:color w:val="000000" w:themeColor="text1"/>
        </w:rPr>
        <w:t>faeces</w:t>
      </w:r>
      <w:proofErr w:type="spellEnd"/>
      <w:r w:rsidRPr="00D23BF1">
        <w:rPr>
          <w:rFonts w:ascii="Times" w:hAnsi="Times" w:cs="Times New Roman"/>
          <w:color w:val="000000" w:themeColor="text1"/>
        </w:rPr>
        <w:t>.</w:t>
      </w:r>
      <w:bookmarkEnd w:id="139"/>
      <w:bookmarkEnd w:id="140"/>
      <w:bookmarkEnd w:id="141"/>
      <w:bookmarkEnd w:id="142"/>
    </w:p>
    <w:p w14:paraId="645B326D" w14:textId="77777777" w:rsidR="001B0BC0" w:rsidRPr="00D23BF1" w:rsidRDefault="001B0BC0" w:rsidP="00F20BE1">
      <w:pPr>
        <w:rPr>
          <w:rFonts w:ascii="Times" w:hAnsi="Times" w:cs="Times New Roman"/>
          <w:iCs/>
          <w:color w:val="000000" w:themeColor="text1"/>
        </w:rPr>
      </w:pPr>
      <w:r w:rsidRPr="00D23BF1">
        <w:rPr>
          <w:rFonts w:ascii="Times" w:hAnsi="Times" w:cs="Times New Roman"/>
          <w:i/>
          <w:color w:val="000000" w:themeColor="text1"/>
        </w:rPr>
        <w:br w:type="page"/>
      </w:r>
    </w:p>
    <w:p w14:paraId="19AA7E74" w14:textId="77777777" w:rsidR="001B0BC0" w:rsidRPr="00D23BF1" w:rsidRDefault="001B0BC0" w:rsidP="00F20BE1">
      <w:pPr>
        <w:rPr>
          <w:rFonts w:ascii="Times" w:eastAsia="Times New Roman" w:hAnsi="Times" w:cs="Times New Roman"/>
        </w:rPr>
      </w:pPr>
    </w:p>
    <w:p w14:paraId="3CC1EF79" w14:textId="77777777" w:rsidR="001B0BC0" w:rsidRPr="00D23BF1" w:rsidRDefault="001B0BC0" w:rsidP="00F20BE1">
      <w:pPr>
        <w:rPr>
          <w:rFonts w:ascii="Times" w:eastAsia="Times New Roman" w:hAnsi="Times" w:cs="Times New Roman"/>
          <w:b/>
          <w:color w:val="4F81BD"/>
        </w:rPr>
      </w:pPr>
      <w:r w:rsidRPr="00D23BF1">
        <w:rPr>
          <w:rFonts w:ascii="Times" w:eastAsia="Times New Roman" w:hAnsi="Times" w:cs="Times New Roman"/>
          <w:b/>
          <w:noProof/>
          <w:color w:val="4F81BD"/>
        </w:rPr>
        <w:drawing>
          <wp:inline distT="0" distB="0" distL="0" distR="0" wp14:anchorId="122AB9F5" wp14:editId="0C2C94EB">
            <wp:extent cx="5041900" cy="5041900"/>
            <wp:effectExtent l="0" t="0" r="0" b="0"/>
            <wp:docPr id="3" name="Picture 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pic:nvPicPr>
                  <pic:blipFill>
                    <a:blip r:embed="rId17"/>
                    <a:stretch>
                      <a:fillRect/>
                    </a:stretch>
                  </pic:blipFill>
                  <pic:spPr>
                    <a:xfrm>
                      <a:off x="0" y="0"/>
                      <a:ext cx="5041900" cy="5041900"/>
                    </a:xfrm>
                    <a:prstGeom prst="rect">
                      <a:avLst/>
                    </a:prstGeom>
                  </pic:spPr>
                </pic:pic>
              </a:graphicData>
            </a:graphic>
          </wp:inline>
        </w:drawing>
      </w:r>
    </w:p>
    <w:p w14:paraId="770CCBCC" w14:textId="77777777" w:rsidR="001B0BC0" w:rsidRPr="00D23BF1" w:rsidRDefault="001B0BC0" w:rsidP="00F20BE1">
      <w:pPr>
        <w:rPr>
          <w:rFonts w:ascii="Times" w:eastAsia="Times New Roman" w:hAnsi="Times" w:cs="Times New Roman"/>
          <w:color w:val="000000" w:themeColor="text1"/>
        </w:rPr>
      </w:pPr>
      <w:r w:rsidRPr="00D23BF1">
        <w:rPr>
          <w:rFonts w:ascii="Times" w:eastAsia="Times New Roman" w:hAnsi="Times" w:cs="Times New Roman"/>
          <w:b/>
          <w:color w:val="000000" w:themeColor="text1"/>
        </w:rPr>
        <w:t>Figure 2.</w:t>
      </w:r>
      <w:r w:rsidRPr="00D23BF1">
        <w:rPr>
          <w:rFonts w:ascii="Times" w:eastAsia="Times New Roman" w:hAnsi="Times" w:cs="Times New Roman"/>
          <w:color w:val="000000" w:themeColor="text1"/>
        </w:rPr>
        <w:t xml:space="preserve"> Relative abundance of bacterial classes by sample type: all classes shown comprised at least 1% of at least one sample. Based on unrarefied amplicon sequence variants’ (ASVs). Sample types are proventriculus, small intestine, large intestine, cloacal swab and </w:t>
      </w:r>
      <w:proofErr w:type="spellStart"/>
      <w:r w:rsidRPr="00D23BF1">
        <w:rPr>
          <w:rFonts w:ascii="Times" w:eastAsia="Times New Roman" w:hAnsi="Times" w:cs="Times New Roman"/>
          <w:color w:val="000000" w:themeColor="text1"/>
        </w:rPr>
        <w:t>faeces</w:t>
      </w:r>
      <w:proofErr w:type="spellEnd"/>
      <w:r w:rsidRPr="00D23BF1">
        <w:rPr>
          <w:rFonts w:ascii="Times" w:eastAsia="Times New Roman" w:hAnsi="Times" w:cs="Times New Roman"/>
          <w:color w:val="000000" w:themeColor="text1"/>
        </w:rPr>
        <w:t xml:space="preserve">. </w:t>
      </w:r>
      <w:proofErr w:type="spellStart"/>
      <w:r w:rsidRPr="00D23BF1">
        <w:rPr>
          <w:rFonts w:ascii="Times" w:eastAsia="Times New Roman" w:hAnsi="Times" w:cs="Times New Roman"/>
          <w:color w:val="000000" w:themeColor="text1"/>
        </w:rPr>
        <w:t>Colours</w:t>
      </w:r>
      <w:proofErr w:type="spellEnd"/>
      <w:r w:rsidRPr="00D23BF1">
        <w:rPr>
          <w:rFonts w:ascii="Times" w:eastAsia="Times New Roman" w:hAnsi="Times" w:cs="Times New Roman"/>
          <w:color w:val="000000" w:themeColor="text1"/>
        </w:rPr>
        <w:t xml:space="preserve"> represent different classes of bacteria with the proportions of taxa averaged across individuals for each sample type.</w:t>
      </w:r>
    </w:p>
    <w:p w14:paraId="40F33EF4" w14:textId="77777777" w:rsidR="001B0BC0" w:rsidRPr="00D23BF1" w:rsidRDefault="001B0BC0" w:rsidP="00F20BE1">
      <w:pPr>
        <w:rPr>
          <w:rFonts w:ascii="Times" w:hAnsi="Times" w:cs="Times New Roman"/>
          <w:b/>
          <w:iCs/>
          <w:color w:val="000000" w:themeColor="text1"/>
        </w:rPr>
      </w:pPr>
      <w:r w:rsidRPr="00D23BF1">
        <w:rPr>
          <w:rFonts w:ascii="Times" w:hAnsi="Times" w:cs="Times New Roman"/>
          <w:b/>
          <w:iCs/>
          <w:noProof/>
          <w:color w:val="000000" w:themeColor="text1"/>
        </w:rPr>
        <w:lastRenderedPageBreak/>
        <w:drawing>
          <wp:inline distT="0" distB="0" distL="0" distR="0" wp14:anchorId="2559B598" wp14:editId="7D9840DC">
            <wp:extent cx="5422900" cy="4648200"/>
            <wp:effectExtent l="0" t="0" r="0" b="0"/>
            <wp:docPr id="5" name="Picture 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pic:nvPicPr>
                  <pic:blipFill>
                    <a:blip r:embed="rId18"/>
                    <a:stretch>
                      <a:fillRect/>
                    </a:stretch>
                  </pic:blipFill>
                  <pic:spPr>
                    <a:xfrm>
                      <a:off x="0" y="0"/>
                      <a:ext cx="5424586" cy="4649645"/>
                    </a:xfrm>
                    <a:prstGeom prst="rect">
                      <a:avLst/>
                    </a:prstGeom>
                  </pic:spPr>
                </pic:pic>
              </a:graphicData>
            </a:graphic>
          </wp:inline>
        </w:drawing>
      </w:r>
    </w:p>
    <w:p w14:paraId="4EC2FB92" w14:textId="77777777" w:rsidR="001B0BC0" w:rsidRPr="00D23BF1" w:rsidRDefault="001B0BC0" w:rsidP="00F20BE1">
      <w:pPr>
        <w:rPr>
          <w:rFonts w:ascii="Times" w:hAnsi="Times" w:cs="Times New Roman"/>
          <w:b/>
          <w:iCs/>
          <w:color w:val="000000" w:themeColor="text1"/>
        </w:rPr>
      </w:pPr>
    </w:p>
    <w:p w14:paraId="2939DD38" w14:textId="5635CC52" w:rsidR="001B0BC0" w:rsidRPr="00D23BF1" w:rsidRDefault="001B0BC0" w:rsidP="00F20BE1">
      <w:pPr>
        <w:rPr>
          <w:rFonts w:ascii="Times" w:eastAsia="Times New Roman" w:hAnsi="Times" w:cs="Times New Roman"/>
          <w:color w:val="000000" w:themeColor="text1"/>
        </w:rPr>
      </w:pPr>
      <w:r w:rsidRPr="00D23BF1">
        <w:rPr>
          <w:rFonts w:ascii="Times" w:hAnsi="Times" w:cs="Times New Roman"/>
          <w:b/>
          <w:iCs/>
          <w:color w:val="000000" w:themeColor="text1"/>
        </w:rPr>
        <w:t xml:space="preserve">Figure 3.  </w:t>
      </w:r>
      <w:r w:rsidRPr="00D23BF1">
        <w:rPr>
          <w:rFonts w:ascii="Times" w:hAnsi="Times" w:cs="Times New Roman"/>
          <w:bCs/>
          <w:iCs/>
          <w:color w:val="000000" w:themeColor="text1"/>
        </w:rPr>
        <w:t>Box plot</w:t>
      </w:r>
      <w:r w:rsidRPr="00D23BF1">
        <w:rPr>
          <w:rFonts w:ascii="Times" w:hAnsi="Times" w:cs="Times New Roman"/>
          <w:b/>
          <w:iCs/>
          <w:color w:val="000000" w:themeColor="text1"/>
        </w:rPr>
        <w:t xml:space="preserve"> </w:t>
      </w:r>
      <w:r w:rsidRPr="00D23BF1">
        <w:rPr>
          <w:rFonts w:ascii="Times" w:hAnsi="Times" w:cs="Times New Roman"/>
          <w:iCs/>
          <w:color w:val="000000" w:themeColor="text1"/>
        </w:rPr>
        <w:t xml:space="preserve">shows average Shannon diversity indices of all sample types. </w:t>
      </w:r>
    </w:p>
    <w:p w14:paraId="2BE86445" w14:textId="77777777" w:rsidR="001B0BC0" w:rsidRPr="00D23BF1" w:rsidRDefault="001B0BC0" w:rsidP="00F20BE1">
      <w:pPr>
        <w:rPr>
          <w:rFonts w:ascii="Times" w:eastAsia="Times New Roman" w:hAnsi="Times" w:cs="Times New Roman"/>
          <w:color w:val="000000" w:themeColor="text1"/>
        </w:rPr>
      </w:pPr>
      <w:r w:rsidRPr="00D23BF1">
        <w:rPr>
          <w:rFonts w:ascii="Times" w:eastAsia="Times New Roman" w:hAnsi="Times" w:cs="Times New Roman"/>
          <w:color w:val="000000" w:themeColor="text1"/>
        </w:rPr>
        <w:t xml:space="preserve">Significant t-test results are indicated by an asterisk, </w:t>
      </w:r>
      <w:r w:rsidRPr="00D23BF1">
        <w:rPr>
          <w:rFonts w:ascii="Times" w:eastAsia="Times New Roman" w:hAnsi="Times" w:cs="Times New Roman"/>
          <w:color w:val="222222"/>
          <w:shd w:val="clear" w:color="auto" w:fill="FFFFFF"/>
        </w:rPr>
        <w:t>*, **, and *** represent p= 0.05, 0.01 and 0.001, respectively.</w:t>
      </w:r>
    </w:p>
    <w:p w14:paraId="0D5B6404" w14:textId="77777777" w:rsidR="001B0BC0" w:rsidRPr="00D23BF1" w:rsidRDefault="001B0BC0" w:rsidP="00F20BE1">
      <w:pPr>
        <w:rPr>
          <w:rFonts w:ascii="Times" w:eastAsia="Times New Roman" w:hAnsi="Times" w:cs="Times New Roman"/>
          <w:color w:val="000000" w:themeColor="text1"/>
        </w:rPr>
      </w:pPr>
    </w:p>
    <w:p w14:paraId="0618A2BB" w14:textId="77777777" w:rsidR="001B0BC0" w:rsidRPr="00D23BF1" w:rsidRDefault="001B0BC0" w:rsidP="00F20BE1">
      <w:pPr>
        <w:rPr>
          <w:rFonts w:ascii="Times" w:hAnsi="Times" w:cs="Times New Roman"/>
          <w:iCs/>
          <w:color w:val="000000" w:themeColor="text1"/>
        </w:rPr>
      </w:pPr>
    </w:p>
    <w:p w14:paraId="7A279907" w14:textId="77777777" w:rsidR="001B0BC0" w:rsidRPr="00D23BF1" w:rsidRDefault="001B0BC0" w:rsidP="00F20BE1">
      <w:pPr>
        <w:rPr>
          <w:rFonts w:ascii="Times" w:hAnsi="Times" w:cs="Times New Roman"/>
          <w:i/>
          <w:color w:val="000000" w:themeColor="text1"/>
        </w:rPr>
      </w:pPr>
    </w:p>
    <w:p w14:paraId="5C268B1E" w14:textId="77777777" w:rsidR="001B0BC0" w:rsidRPr="00D23BF1" w:rsidRDefault="001B0BC0" w:rsidP="00F20BE1">
      <w:pPr>
        <w:rPr>
          <w:rFonts w:ascii="Times" w:hAnsi="Times" w:cs="Times New Roman"/>
          <w:iCs/>
          <w:color w:val="000000" w:themeColor="text1"/>
        </w:rPr>
      </w:pPr>
    </w:p>
    <w:p w14:paraId="4DB3D530" w14:textId="77777777" w:rsidR="001B0BC0" w:rsidRPr="00D23BF1" w:rsidRDefault="001B0BC0" w:rsidP="00F20BE1">
      <w:pPr>
        <w:rPr>
          <w:rFonts w:ascii="Times" w:eastAsia="Times New Roman" w:hAnsi="Times" w:cs="Times New Roman"/>
        </w:rPr>
      </w:pPr>
    </w:p>
    <w:p w14:paraId="070683BC" w14:textId="77777777" w:rsidR="001B0BC0" w:rsidRPr="00D23BF1" w:rsidRDefault="001B0BC0" w:rsidP="00F20BE1">
      <w:pPr>
        <w:rPr>
          <w:rFonts w:ascii="Times" w:eastAsia="Times New Roman" w:hAnsi="Times" w:cs="Times New Roman"/>
          <w:b/>
          <w:color w:val="4F81BD"/>
        </w:rPr>
      </w:pPr>
      <w:r w:rsidRPr="00D23BF1">
        <w:rPr>
          <w:rFonts w:ascii="Times" w:eastAsia="Times New Roman" w:hAnsi="Times" w:cs="Times New Roman"/>
          <w:b/>
          <w:noProof/>
          <w:color w:val="4F81BD"/>
        </w:rPr>
        <w:lastRenderedPageBreak/>
        <w:drawing>
          <wp:inline distT="0" distB="0" distL="0" distR="0" wp14:anchorId="54FD4469" wp14:editId="1336602A">
            <wp:extent cx="6223000" cy="3660588"/>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19"/>
                    <a:stretch>
                      <a:fillRect/>
                    </a:stretch>
                  </pic:blipFill>
                  <pic:spPr>
                    <a:xfrm>
                      <a:off x="0" y="0"/>
                      <a:ext cx="6225697" cy="3662174"/>
                    </a:xfrm>
                    <a:prstGeom prst="rect">
                      <a:avLst/>
                    </a:prstGeom>
                  </pic:spPr>
                </pic:pic>
              </a:graphicData>
            </a:graphic>
          </wp:inline>
        </w:drawing>
      </w:r>
    </w:p>
    <w:p w14:paraId="1FF868FD" w14:textId="77777777" w:rsidR="001B0BC0" w:rsidRPr="00D23BF1" w:rsidRDefault="001B0BC0" w:rsidP="00F20BE1">
      <w:pPr>
        <w:rPr>
          <w:rFonts w:ascii="Times" w:eastAsia="Times New Roman" w:hAnsi="Times" w:cs="Times New Roman"/>
          <w:color w:val="000000" w:themeColor="text1"/>
        </w:rPr>
      </w:pPr>
      <w:r w:rsidRPr="00D23BF1">
        <w:rPr>
          <w:rFonts w:ascii="Times" w:eastAsia="Times New Roman" w:hAnsi="Times" w:cs="Times New Roman"/>
          <w:b/>
          <w:color w:val="000000" w:themeColor="text1"/>
        </w:rPr>
        <w:t>Figure 4.</w:t>
      </w:r>
      <w:r w:rsidRPr="00D23BF1">
        <w:rPr>
          <w:rFonts w:ascii="Times" w:eastAsia="Times New Roman" w:hAnsi="Times" w:cs="Times New Roman"/>
          <w:color w:val="000000" w:themeColor="text1"/>
        </w:rPr>
        <w:t xml:space="preserve">  </w:t>
      </w:r>
      <w:proofErr w:type="spellStart"/>
      <w:r w:rsidRPr="00D23BF1">
        <w:rPr>
          <w:rFonts w:ascii="Times" w:eastAsia="Times New Roman" w:hAnsi="Times" w:cs="Times New Roman"/>
          <w:color w:val="000000" w:themeColor="text1"/>
        </w:rPr>
        <w:t>PCoA</w:t>
      </w:r>
      <w:proofErr w:type="spellEnd"/>
      <w:r w:rsidRPr="00D23BF1">
        <w:rPr>
          <w:rFonts w:ascii="Times" w:eastAsia="Times New Roman" w:hAnsi="Times" w:cs="Times New Roman"/>
          <w:color w:val="000000" w:themeColor="text1"/>
        </w:rPr>
        <w:t xml:space="preserve"> plot of (a) unweighted </w:t>
      </w:r>
      <w:proofErr w:type="spellStart"/>
      <w:r w:rsidRPr="00D23BF1">
        <w:rPr>
          <w:rFonts w:ascii="Times" w:eastAsia="Times New Roman" w:hAnsi="Times" w:cs="Times New Roman"/>
          <w:color w:val="000000" w:themeColor="text1"/>
        </w:rPr>
        <w:t>UniFrac</w:t>
      </w:r>
      <w:proofErr w:type="spellEnd"/>
      <w:r w:rsidRPr="00D23BF1">
        <w:rPr>
          <w:rFonts w:ascii="Times" w:eastAsia="Times New Roman" w:hAnsi="Times" w:cs="Times New Roman"/>
          <w:color w:val="000000" w:themeColor="text1"/>
        </w:rPr>
        <w:t xml:space="preserve"> distances (community membership) and (b) weighted </w:t>
      </w:r>
      <w:proofErr w:type="spellStart"/>
      <w:r w:rsidRPr="00D23BF1">
        <w:rPr>
          <w:rFonts w:ascii="Times" w:eastAsia="Times New Roman" w:hAnsi="Times" w:cs="Times New Roman"/>
          <w:color w:val="000000" w:themeColor="text1"/>
        </w:rPr>
        <w:t>UniFrac</w:t>
      </w:r>
      <w:proofErr w:type="spellEnd"/>
      <w:r w:rsidRPr="00D23BF1">
        <w:rPr>
          <w:rFonts w:ascii="Times" w:eastAsia="Times New Roman" w:hAnsi="Times" w:cs="Times New Roman"/>
          <w:color w:val="000000" w:themeColor="text1"/>
        </w:rPr>
        <w:t xml:space="preserve"> distances (community structure, accounting for relative abundances). Variation explained by each </w:t>
      </w:r>
      <w:proofErr w:type="spellStart"/>
      <w:r w:rsidRPr="00D23BF1">
        <w:rPr>
          <w:rFonts w:ascii="Times" w:eastAsia="Times New Roman" w:hAnsi="Times" w:cs="Times New Roman"/>
          <w:color w:val="000000" w:themeColor="text1"/>
        </w:rPr>
        <w:t>PCoA</w:t>
      </w:r>
      <w:proofErr w:type="spellEnd"/>
      <w:r w:rsidRPr="00D23BF1">
        <w:rPr>
          <w:rFonts w:ascii="Times" w:eastAsia="Times New Roman" w:hAnsi="Times" w:cs="Times New Roman"/>
          <w:color w:val="000000" w:themeColor="text1"/>
        </w:rPr>
        <w:t xml:space="preserve"> axis is provided in parentheses. Each data point represents one sample, with each sample type having a different </w:t>
      </w:r>
      <w:proofErr w:type="spellStart"/>
      <w:r w:rsidRPr="00D23BF1">
        <w:rPr>
          <w:rFonts w:ascii="Times" w:eastAsia="Times New Roman" w:hAnsi="Times" w:cs="Times New Roman"/>
          <w:color w:val="000000" w:themeColor="text1"/>
        </w:rPr>
        <w:t>colour</w:t>
      </w:r>
      <w:proofErr w:type="spellEnd"/>
      <w:r w:rsidRPr="00D23BF1">
        <w:rPr>
          <w:rFonts w:ascii="Times" w:eastAsia="Times New Roman" w:hAnsi="Times" w:cs="Times New Roman"/>
          <w:color w:val="000000" w:themeColor="text1"/>
        </w:rPr>
        <w:t xml:space="preserve"> and shape. Ellipses represent 90% confidence intervals.</w:t>
      </w:r>
    </w:p>
    <w:p w14:paraId="17E07366" w14:textId="77777777" w:rsidR="001B0BC0" w:rsidRPr="00D23BF1" w:rsidRDefault="001B0BC0" w:rsidP="00F20BE1">
      <w:pPr>
        <w:rPr>
          <w:rFonts w:ascii="Times" w:hAnsi="Times" w:cs="Times New Roman"/>
          <w:i/>
          <w:color w:val="000000" w:themeColor="text1"/>
        </w:rPr>
      </w:pPr>
    </w:p>
    <w:p w14:paraId="18B7E075" w14:textId="77777777" w:rsidR="001B0BC0" w:rsidRPr="00D23BF1" w:rsidRDefault="001B0BC0" w:rsidP="00F20BE1">
      <w:pPr>
        <w:rPr>
          <w:rFonts w:ascii="Times" w:eastAsia="Times New Roman" w:hAnsi="Times" w:cs="Times New Roman"/>
        </w:rPr>
      </w:pPr>
    </w:p>
    <w:p w14:paraId="612A9828" w14:textId="77777777" w:rsidR="001B0BC0" w:rsidRPr="00D23BF1" w:rsidRDefault="001B0BC0" w:rsidP="00F20BE1">
      <w:pPr>
        <w:rPr>
          <w:rFonts w:ascii="Times" w:eastAsia="Times New Roman" w:hAnsi="Times" w:cs="Times New Roman"/>
        </w:rPr>
      </w:pPr>
      <w:bookmarkStart w:id="143" w:name="_Toc69393566"/>
      <w:bookmarkStart w:id="144" w:name="_Toc69396339"/>
      <w:bookmarkStart w:id="145" w:name="_Toc69396374"/>
      <w:bookmarkStart w:id="146" w:name="_Toc69396563"/>
      <w:r w:rsidRPr="00D23BF1">
        <w:rPr>
          <w:rFonts w:ascii="Times" w:eastAsia="Times New Roman" w:hAnsi="Times" w:cs="Times New Roman"/>
          <w:noProof/>
        </w:rPr>
        <w:lastRenderedPageBreak/>
        <w:drawing>
          <wp:inline distT="0" distB="0" distL="0" distR="0" wp14:anchorId="2813F3F1" wp14:editId="20821F5F">
            <wp:extent cx="5486400" cy="5760720"/>
            <wp:effectExtent l="0" t="0" r="0" b="5080"/>
            <wp:docPr id="1" name="Picture 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ox and whisker chart&#10;&#10;Description automatically generated"/>
                    <pic:cNvPicPr/>
                  </pic:nvPicPr>
                  <pic:blipFill>
                    <a:blip r:embed="rId20"/>
                    <a:stretch>
                      <a:fillRect/>
                    </a:stretch>
                  </pic:blipFill>
                  <pic:spPr>
                    <a:xfrm>
                      <a:off x="0" y="0"/>
                      <a:ext cx="5486400" cy="5760720"/>
                    </a:xfrm>
                    <a:prstGeom prst="rect">
                      <a:avLst/>
                    </a:prstGeom>
                  </pic:spPr>
                </pic:pic>
              </a:graphicData>
            </a:graphic>
          </wp:inline>
        </w:drawing>
      </w:r>
      <w:bookmarkEnd w:id="143"/>
      <w:bookmarkEnd w:id="144"/>
      <w:bookmarkEnd w:id="145"/>
      <w:bookmarkEnd w:id="146"/>
    </w:p>
    <w:p w14:paraId="3A1C2474" w14:textId="77777777" w:rsidR="001B0BC0" w:rsidRPr="00D23BF1" w:rsidRDefault="001B0BC0" w:rsidP="00F20BE1">
      <w:pPr>
        <w:rPr>
          <w:rFonts w:ascii="Times" w:eastAsia="Times New Roman" w:hAnsi="Times" w:cs="Times New Roman"/>
        </w:rPr>
      </w:pPr>
    </w:p>
    <w:p w14:paraId="64AF3B86" w14:textId="77777777" w:rsidR="001B0BC0" w:rsidRPr="00D23BF1" w:rsidRDefault="001B0BC0" w:rsidP="00F20BE1">
      <w:pPr>
        <w:rPr>
          <w:rFonts w:ascii="Times" w:eastAsia="Times New Roman" w:hAnsi="Times" w:cs="Times New Roman"/>
          <w:color w:val="000000" w:themeColor="text1"/>
        </w:rPr>
      </w:pPr>
      <w:r w:rsidRPr="00D23BF1">
        <w:rPr>
          <w:rFonts w:ascii="Times" w:eastAsia="Times New Roman" w:hAnsi="Times" w:cs="Times New Roman"/>
          <w:b/>
          <w:color w:val="000000" w:themeColor="text1"/>
        </w:rPr>
        <w:t>Figure 5.</w:t>
      </w:r>
      <w:r w:rsidRPr="00D23BF1">
        <w:rPr>
          <w:rFonts w:ascii="Times" w:eastAsia="Times New Roman" w:hAnsi="Times" w:cs="Times New Roman"/>
          <w:color w:val="000000" w:themeColor="text1"/>
        </w:rPr>
        <w:t xml:space="preserve"> Boxplots of unweighted (community membership) and weighted (community structure, accounting for relative abundances) </w:t>
      </w:r>
      <w:proofErr w:type="spellStart"/>
      <w:r w:rsidRPr="00D23BF1">
        <w:rPr>
          <w:rFonts w:ascii="Times" w:eastAsia="Times New Roman" w:hAnsi="Times" w:cs="Times New Roman"/>
          <w:color w:val="000000" w:themeColor="text1"/>
        </w:rPr>
        <w:t>UniFrac</w:t>
      </w:r>
      <w:proofErr w:type="spellEnd"/>
      <w:r w:rsidRPr="00D23BF1">
        <w:rPr>
          <w:rFonts w:ascii="Times" w:eastAsia="Times New Roman" w:hAnsi="Times" w:cs="Times New Roman"/>
          <w:color w:val="000000" w:themeColor="text1"/>
        </w:rPr>
        <w:t xml:space="preserve"> distances between non-lethal sample types, cloacal swabs and </w:t>
      </w:r>
      <w:proofErr w:type="spellStart"/>
      <w:r w:rsidRPr="00D23BF1">
        <w:rPr>
          <w:rFonts w:ascii="Times" w:eastAsia="Times New Roman" w:hAnsi="Times" w:cs="Times New Roman"/>
          <w:color w:val="000000" w:themeColor="text1"/>
        </w:rPr>
        <w:t>faeces</w:t>
      </w:r>
      <w:proofErr w:type="spellEnd"/>
      <w:r w:rsidRPr="00D23BF1">
        <w:rPr>
          <w:rFonts w:ascii="Times" w:eastAsia="Times New Roman" w:hAnsi="Times" w:cs="Times New Roman"/>
          <w:color w:val="000000" w:themeColor="text1"/>
        </w:rPr>
        <w:t xml:space="preserve">, as compared to lethal sample types (proventriculus, small intestine, and large intestine). Significant t-test results are indicated by an asterisk (*), non-significant results are indicated by ns. </w:t>
      </w:r>
      <w:r w:rsidRPr="00D23BF1">
        <w:rPr>
          <w:rFonts w:ascii="Times" w:eastAsia="Times New Roman" w:hAnsi="Times" w:cs="Times New Roman"/>
          <w:color w:val="222222"/>
          <w:shd w:val="clear" w:color="auto" w:fill="FFFFFF"/>
        </w:rPr>
        <w:t>*, **, and *** represent p= 0.05, 0.01 and 0.001, respectively.</w:t>
      </w:r>
    </w:p>
    <w:p w14:paraId="318B652A" w14:textId="77777777" w:rsidR="001B0BC0" w:rsidRPr="00D23BF1" w:rsidRDefault="001B0BC0" w:rsidP="00F20BE1">
      <w:pPr>
        <w:rPr>
          <w:rFonts w:ascii="Times" w:eastAsia="Times New Roman" w:hAnsi="Times" w:cs="Times New Roman"/>
          <w:b/>
          <w:color w:val="4F81BD"/>
        </w:rPr>
      </w:pPr>
    </w:p>
    <w:p w14:paraId="4BB4BBCC" w14:textId="77777777" w:rsidR="001B0BC0" w:rsidRPr="00D23BF1" w:rsidRDefault="001B0BC0" w:rsidP="00F20BE1">
      <w:pPr>
        <w:rPr>
          <w:rFonts w:ascii="Times" w:eastAsia="Times New Roman" w:hAnsi="Times" w:cs="Times New Roman"/>
          <w:b/>
          <w:color w:val="4F81BD"/>
        </w:rPr>
      </w:pPr>
    </w:p>
    <w:p w14:paraId="6F955C25" w14:textId="77777777" w:rsidR="001B0BC0" w:rsidRPr="00D23BF1" w:rsidRDefault="001B0BC0" w:rsidP="00F20BE1">
      <w:pPr>
        <w:rPr>
          <w:rFonts w:ascii="Times" w:eastAsia="Times New Roman" w:hAnsi="Times" w:cs="Times New Roman"/>
        </w:rPr>
      </w:pPr>
    </w:p>
    <w:p w14:paraId="4FFCEBE1" w14:textId="77777777" w:rsidR="001B0BC0" w:rsidRPr="00D23BF1" w:rsidRDefault="001B0BC0" w:rsidP="00F20BE1">
      <w:pPr>
        <w:rPr>
          <w:rFonts w:ascii="Times" w:eastAsia="Times New Roman" w:hAnsi="Times" w:cs="Times New Roman"/>
        </w:rPr>
      </w:pPr>
    </w:p>
    <w:p w14:paraId="34F1FB11" w14:textId="77777777" w:rsidR="001B0BC0" w:rsidRPr="00D23BF1" w:rsidRDefault="001B0BC0" w:rsidP="00F20BE1">
      <w:pPr>
        <w:rPr>
          <w:rFonts w:ascii="Times" w:eastAsia="Times New Roman" w:hAnsi="Times" w:cs="Times New Roman"/>
        </w:rPr>
      </w:pPr>
    </w:p>
    <w:p w14:paraId="42399D55" w14:textId="77777777" w:rsidR="001B0BC0" w:rsidRPr="00D23BF1" w:rsidRDefault="001B0BC0" w:rsidP="00F20BE1">
      <w:pPr>
        <w:rPr>
          <w:rFonts w:ascii="Times" w:hAnsi="Times"/>
        </w:rPr>
      </w:pPr>
      <w:r w:rsidRPr="00D23BF1">
        <w:rPr>
          <w:rFonts w:ascii="Times" w:hAnsi="Times"/>
          <w:noProof/>
        </w:rPr>
        <w:lastRenderedPageBreak/>
        <w:drawing>
          <wp:inline distT="0" distB="0" distL="0" distR="0" wp14:anchorId="3AFA498B" wp14:editId="2EE41EA8">
            <wp:extent cx="5486400" cy="5760720"/>
            <wp:effectExtent l="0" t="0" r="0" b="508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21"/>
                    <a:stretch>
                      <a:fillRect/>
                    </a:stretch>
                  </pic:blipFill>
                  <pic:spPr>
                    <a:xfrm>
                      <a:off x="0" y="0"/>
                      <a:ext cx="5486400" cy="5760720"/>
                    </a:xfrm>
                    <a:prstGeom prst="rect">
                      <a:avLst/>
                    </a:prstGeom>
                  </pic:spPr>
                </pic:pic>
              </a:graphicData>
            </a:graphic>
          </wp:inline>
        </w:drawing>
      </w:r>
    </w:p>
    <w:p w14:paraId="37559DC5" w14:textId="24E73DAD" w:rsidR="001B0BC0" w:rsidRPr="00D23BF1" w:rsidRDefault="001B0BC0" w:rsidP="00F20BE1">
      <w:pPr>
        <w:rPr>
          <w:rFonts w:ascii="Times" w:hAnsi="Times" w:cs="Times New Roman"/>
          <w:i/>
          <w:color w:val="000000" w:themeColor="text1"/>
        </w:rPr>
      </w:pPr>
      <w:r w:rsidRPr="00D23BF1">
        <w:rPr>
          <w:rFonts w:ascii="Times" w:hAnsi="Times" w:cs="Times New Roman"/>
          <w:b/>
          <w:bCs/>
          <w:color w:val="000000" w:themeColor="text1"/>
        </w:rPr>
        <w:t>Figure 6.</w:t>
      </w:r>
      <w:r w:rsidRPr="00D23BF1">
        <w:rPr>
          <w:rFonts w:ascii="Times" w:hAnsi="Times" w:cs="Times New Roman"/>
          <w:color w:val="000000" w:themeColor="text1"/>
        </w:rPr>
        <w:t xml:space="preserve">  Individual variation captured by non-lethal samples. Graph shows average unweighted (community membership) and weighted </w:t>
      </w:r>
      <w:r w:rsidRPr="00D23BF1">
        <w:rPr>
          <w:rFonts w:ascii="Times" w:eastAsia="Times New Roman" w:hAnsi="Times" w:cs="Times New Roman"/>
          <w:color w:val="000000" w:themeColor="text1"/>
        </w:rPr>
        <w:t>(community structure, accounting for relative abundances)</w:t>
      </w:r>
      <w:r w:rsidRPr="00D23BF1">
        <w:rPr>
          <w:rFonts w:ascii="Times" w:hAnsi="Times" w:cs="Times New Roman"/>
          <w:color w:val="000000" w:themeColor="text1"/>
        </w:rPr>
        <w:t xml:space="preserve"> </w:t>
      </w:r>
      <w:proofErr w:type="spellStart"/>
      <w:r w:rsidRPr="00D23BF1">
        <w:rPr>
          <w:rFonts w:ascii="Times" w:hAnsi="Times" w:cs="Times New Roman"/>
          <w:color w:val="000000" w:themeColor="text1"/>
        </w:rPr>
        <w:t>UniFrac</w:t>
      </w:r>
      <w:proofErr w:type="spellEnd"/>
      <w:r w:rsidRPr="00D23BF1">
        <w:rPr>
          <w:rFonts w:ascii="Times" w:hAnsi="Times" w:cs="Times New Roman"/>
          <w:color w:val="000000" w:themeColor="text1"/>
        </w:rPr>
        <w:t xml:space="preserve"> distances from large intestine to cloacal swabs and </w:t>
      </w:r>
      <w:proofErr w:type="spellStart"/>
      <w:r w:rsidRPr="00D23BF1">
        <w:rPr>
          <w:rFonts w:ascii="Times" w:hAnsi="Times" w:cs="Times New Roman"/>
          <w:color w:val="000000" w:themeColor="text1"/>
        </w:rPr>
        <w:t>faeces</w:t>
      </w:r>
      <w:proofErr w:type="spellEnd"/>
      <w:r w:rsidRPr="00D23BF1">
        <w:rPr>
          <w:rFonts w:ascii="Times" w:hAnsi="Times" w:cs="Times New Roman"/>
          <w:color w:val="000000" w:themeColor="text1"/>
        </w:rPr>
        <w:t xml:space="preserve"> across birds (between-individuals) as compared to distance from the large intestine to these non-lethal samples taken from the same bird (within-individuals). Significant differences between comparisons are indicated by an asterisk (*).</w:t>
      </w:r>
    </w:p>
    <w:p w14:paraId="6A926AE0" w14:textId="77777777" w:rsidR="001B0BC0" w:rsidRPr="00D23BF1" w:rsidRDefault="001B0BC0" w:rsidP="00F20BE1">
      <w:pPr>
        <w:rPr>
          <w:rFonts w:ascii="Times" w:hAnsi="Times" w:cs="Times New Roman"/>
          <w:i/>
          <w:color w:val="000000" w:themeColor="text1"/>
        </w:rPr>
      </w:pPr>
    </w:p>
    <w:p w14:paraId="1A73ECA0" w14:textId="77777777" w:rsidR="001B0BC0" w:rsidRPr="00D23BF1" w:rsidRDefault="001B0BC0" w:rsidP="00F20BE1">
      <w:pPr>
        <w:rPr>
          <w:rFonts w:ascii="Times" w:hAnsi="Times"/>
        </w:rPr>
      </w:pPr>
      <w:r w:rsidRPr="00D23BF1">
        <w:rPr>
          <w:rFonts w:ascii="Times" w:hAnsi="Times"/>
          <w:noProof/>
        </w:rPr>
        <w:lastRenderedPageBreak/>
        <w:drawing>
          <wp:inline distT="0" distB="0" distL="0" distR="0" wp14:anchorId="62480F77" wp14:editId="0186206D">
            <wp:extent cx="5943600" cy="39649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oomed Map.pdf"/>
                    <pic:cNvPicPr/>
                  </pic:nvPicPr>
                  <pic:blipFill>
                    <a:blip r:embed="rId22"/>
                    <a:stretch>
                      <a:fillRect/>
                    </a:stretch>
                  </pic:blipFill>
                  <pic:spPr>
                    <a:xfrm>
                      <a:off x="0" y="0"/>
                      <a:ext cx="5943600" cy="3964940"/>
                    </a:xfrm>
                    <a:prstGeom prst="rect">
                      <a:avLst/>
                    </a:prstGeom>
                  </pic:spPr>
                </pic:pic>
              </a:graphicData>
            </a:graphic>
          </wp:inline>
        </w:drawing>
      </w:r>
    </w:p>
    <w:p w14:paraId="6C497E47" w14:textId="747AC512" w:rsidR="001B0BC0" w:rsidRPr="00D23BF1" w:rsidRDefault="001B0BC0" w:rsidP="00F20BE1">
      <w:pPr>
        <w:rPr>
          <w:rFonts w:ascii="Times" w:hAnsi="Times"/>
        </w:rPr>
      </w:pPr>
      <w:r w:rsidRPr="00D23BF1">
        <w:rPr>
          <w:rFonts w:ascii="Times" w:hAnsi="Times"/>
          <w:b/>
        </w:rPr>
        <w:t>Figure 7.</w:t>
      </w:r>
      <w:r w:rsidRPr="00D23BF1">
        <w:rPr>
          <w:rFonts w:ascii="Times" w:hAnsi="Times"/>
        </w:rPr>
        <w:t xml:space="preserve">  Transects were sampled in ten locations in urban and rural areas. Transects from Abbotts Lagoon, Limantour, and Commonweal were designated rural, while Richmond, Presidio and Ft. Funston transects were considered urban. Each dot represents a sampled bird. Transects were originally designed to sample across a noise gradient, and so dots are on a color scale from green to purple; light green is quietest and dark purple is loudest (dBA). See supplement Figure S1 for locations of all transects on one map.</w:t>
      </w:r>
    </w:p>
    <w:p w14:paraId="5A7E66EC" w14:textId="77777777" w:rsidR="001B0BC0" w:rsidRPr="00D23BF1" w:rsidRDefault="001B0BC0" w:rsidP="00F20BE1">
      <w:pPr>
        <w:rPr>
          <w:rFonts w:ascii="Times" w:hAnsi="Times"/>
        </w:rPr>
      </w:pPr>
      <w:r w:rsidRPr="00D23BF1">
        <w:rPr>
          <w:rFonts w:ascii="Times" w:hAnsi="Times"/>
        </w:rPr>
        <w:br w:type="page"/>
      </w:r>
    </w:p>
    <w:p w14:paraId="3E3F52C3" w14:textId="77777777" w:rsidR="001B0BC0" w:rsidRPr="00D23BF1" w:rsidRDefault="001B0BC0" w:rsidP="00F20BE1">
      <w:pPr>
        <w:rPr>
          <w:rFonts w:ascii="Times" w:hAnsi="Times"/>
        </w:rPr>
      </w:pPr>
      <w:r w:rsidRPr="00D23BF1">
        <w:rPr>
          <w:rFonts w:ascii="Times" w:hAnsi="Times"/>
          <w:noProof/>
        </w:rPr>
        <w:lastRenderedPageBreak/>
        <w:drawing>
          <wp:inline distT="0" distB="0" distL="0" distR="0" wp14:anchorId="1196A10F" wp14:editId="5AAD7D69">
            <wp:extent cx="4749165" cy="4545946"/>
            <wp:effectExtent l="0" t="0" r="635" b="127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laxy52-[C)_Plot_LEfSe_Results_on_data_51].png"/>
                    <pic:cNvPicPr/>
                  </pic:nvPicPr>
                  <pic:blipFill rotWithShape="1">
                    <a:blip r:embed="rId23">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val="0"/>
                        </a:ext>
                      </a:extLst>
                    </a:blip>
                    <a:srcRect l="13960" t="8206" r="6125"/>
                    <a:stretch/>
                  </pic:blipFill>
                  <pic:spPr bwMode="auto">
                    <a:xfrm>
                      <a:off x="0" y="0"/>
                      <a:ext cx="4749792" cy="454654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http://schemas.microsoft.com/office/word/2018/wordml" xmlns:w16cex="http://schemas.microsoft.com/office/word/2018/wordml/cex"/>
                      </a:ext>
                    </a:extLst>
                  </pic:spPr>
                </pic:pic>
              </a:graphicData>
            </a:graphic>
          </wp:inline>
        </w:drawing>
      </w:r>
    </w:p>
    <w:p w14:paraId="1E56D351" w14:textId="77777777" w:rsidR="001B0BC0" w:rsidRPr="00D23BF1" w:rsidRDefault="001B0BC0" w:rsidP="00F20BE1">
      <w:pPr>
        <w:rPr>
          <w:rFonts w:ascii="Times" w:hAnsi="Times"/>
          <w:b/>
        </w:rPr>
      </w:pPr>
      <w:r w:rsidRPr="00D23BF1">
        <w:rPr>
          <w:rFonts w:ascii="Times" w:hAnsi="Times"/>
          <w:b/>
        </w:rPr>
        <w:t>Figure 8.</w:t>
      </w:r>
      <w:r w:rsidRPr="00D23BF1">
        <w:rPr>
          <w:rFonts w:ascii="Times" w:hAnsi="Times"/>
        </w:rPr>
        <w:t xml:space="preserve"> Linear discriminant analysis effect size (</w:t>
      </w:r>
      <w:proofErr w:type="spellStart"/>
      <w:r w:rsidRPr="00D23BF1">
        <w:rPr>
          <w:rFonts w:ascii="Times" w:hAnsi="Times"/>
        </w:rPr>
        <w:t>LEfSe</w:t>
      </w:r>
      <w:proofErr w:type="spellEnd"/>
      <w:r w:rsidRPr="00D23BF1">
        <w:rPr>
          <w:rFonts w:ascii="Times" w:hAnsi="Times"/>
        </w:rPr>
        <w:t>) comparing bacterial families between urban and rural groups. Colors correspond to which group was found to have disproportionately more abundance of that bacterial family.</w:t>
      </w:r>
    </w:p>
    <w:p w14:paraId="03F5810D" w14:textId="77777777" w:rsidR="001B0BC0" w:rsidRPr="00D23BF1" w:rsidRDefault="001B0BC0" w:rsidP="00F20BE1">
      <w:pPr>
        <w:rPr>
          <w:rFonts w:ascii="Times" w:hAnsi="Times"/>
        </w:rPr>
      </w:pPr>
    </w:p>
    <w:p w14:paraId="7C649328" w14:textId="77777777" w:rsidR="001B0BC0" w:rsidRPr="00D23BF1" w:rsidRDefault="001B0BC0" w:rsidP="00F20BE1">
      <w:pPr>
        <w:rPr>
          <w:rFonts w:ascii="Times" w:hAnsi="Times"/>
        </w:rPr>
      </w:pPr>
      <w:r w:rsidRPr="00D23BF1">
        <w:rPr>
          <w:rFonts w:ascii="Times" w:hAnsi="Times"/>
          <w:b/>
          <w:noProof/>
        </w:rPr>
        <w:lastRenderedPageBreak/>
        <w:drawing>
          <wp:inline distT="0" distB="0" distL="0" distR="0" wp14:anchorId="4CB11CFE" wp14:editId="41B21763">
            <wp:extent cx="5004079" cy="4925584"/>
            <wp:effectExtent l="0" t="0" r="0" b="2540"/>
            <wp:docPr id="4"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3.png"/>
                    <pic:cNvPicPr/>
                  </pic:nvPicPr>
                  <pic:blipFill>
                    <a:blip r:embed="rId25"/>
                    <a:stretch>
                      <a:fillRect/>
                    </a:stretch>
                  </pic:blipFill>
                  <pic:spPr>
                    <a:xfrm>
                      <a:off x="0" y="0"/>
                      <a:ext cx="5027927" cy="4949057"/>
                    </a:xfrm>
                    <a:prstGeom prst="rect">
                      <a:avLst/>
                    </a:prstGeom>
                  </pic:spPr>
                </pic:pic>
              </a:graphicData>
            </a:graphic>
          </wp:inline>
        </w:drawing>
      </w:r>
    </w:p>
    <w:p w14:paraId="396E51A7" w14:textId="77777777" w:rsidR="001B0BC0" w:rsidRPr="00D23BF1" w:rsidRDefault="001B0BC0" w:rsidP="00F20BE1">
      <w:pPr>
        <w:rPr>
          <w:rFonts w:ascii="Times" w:hAnsi="Times"/>
        </w:rPr>
        <w:sectPr w:rsidR="001B0BC0" w:rsidRPr="00D23BF1" w:rsidSect="00675C23">
          <w:headerReference w:type="even" r:id="rId26"/>
          <w:headerReference w:type="default" r:id="rId27"/>
          <w:type w:val="continuous"/>
          <w:pgSz w:w="12240" w:h="15840"/>
          <w:pgMar w:top="1440" w:right="1440" w:bottom="1440" w:left="1440" w:header="720" w:footer="720" w:gutter="0"/>
          <w:pgNumType w:start="73"/>
          <w:cols w:space="720"/>
          <w:docGrid w:linePitch="326"/>
        </w:sectPr>
      </w:pPr>
      <w:r w:rsidRPr="00D23BF1">
        <w:rPr>
          <w:rFonts w:ascii="Times" w:hAnsi="Times"/>
          <w:b/>
        </w:rPr>
        <w:t>Figure 9.</w:t>
      </w:r>
      <w:r w:rsidRPr="00D23BF1">
        <w:rPr>
          <w:rFonts w:ascii="Times" w:hAnsi="Times"/>
        </w:rPr>
        <w:t xml:space="preserve"> Variation in alpha diversity (effective number of species) measured in Hill numbers (three orders of q). Effective number of species is less sensitive to rare bacteria as q increases. </w:t>
      </w:r>
      <w:r w:rsidRPr="00D23BF1">
        <w:rPr>
          <w:rFonts w:ascii="Times" w:hAnsi="Times"/>
          <w:vertAlign w:val="superscript"/>
        </w:rPr>
        <w:t>0</w:t>
      </w:r>
      <w:r w:rsidRPr="00D23BF1">
        <w:rPr>
          <w:rFonts w:ascii="Times" w:hAnsi="Times"/>
        </w:rPr>
        <w:t>D</w:t>
      </w:r>
      <w:r w:rsidRPr="00D23BF1" w:rsidDel="007208EE">
        <w:rPr>
          <w:rFonts w:ascii="Times" w:hAnsi="Times"/>
        </w:rPr>
        <w:t xml:space="preserve"> </w:t>
      </w:r>
      <w:r w:rsidRPr="00D23BF1">
        <w:rPr>
          <w:rFonts w:ascii="Times" w:hAnsi="Times"/>
        </w:rPr>
        <w:t xml:space="preserve">is bacterial richness, </w:t>
      </w:r>
      <w:r w:rsidRPr="00D23BF1">
        <w:rPr>
          <w:rFonts w:ascii="Times" w:hAnsi="Times"/>
          <w:vertAlign w:val="superscript"/>
        </w:rPr>
        <w:t>1</w:t>
      </w:r>
      <w:r w:rsidRPr="00D23BF1">
        <w:rPr>
          <w:rFonts w:ascii="Times" w:hAnsi="Times"/>
        </w:rPr>
        <w:t>D</w:t>
      </w:r>
      <w:r w:rsidRPr="00D23BF1" w:rsidDel="007208EE">
        <w:rPr>
          <w:rFonts w:ascii="Times" w:hAnsi="Times"/>
        </w:rPr>
        <w:t xml:space="preserve"> </w:t>
      </w:r>
      <w:r w:rsidRPr="00D23BF1">
        <w:rPr>
          <w:rFonts w:ascii="Times" w:hAnsi="Times"/>
        </w:rPr>
        <w:t xml:space="preserve">is the exponential of Shannon entropy, and </w:t>
      </w:r>
      <w:r w:rsidRPr="00D23BF1">
        <w:rPr>
          <w:rFonts w:ascii="Times" w:hAnsi="Times"/>
          <w:vertAlign w:val="superscript"/>
        </w:rPr>
        <w:t>2</w:t>
      </w:r>
      <w:r w:rsidRPr="00D23BF1">
        <w:rPr>
          <w:rFonts w:ascii="Times" w:hAnsi="Times"/>
        </w:rPr>
        <w:t xml:space="preserve">D is the inverse of Simpson's Index. Color corresponds to habitat type for sampled birds. * indicates significance difference (p&lt;0.05).  </w:t>
      </w:r>
    </w:p>
    <w:p w14:paraId="583F51B4" w14:textId="77777777" w:rsidR="001B0BC0" w:rsidRPr="00D23BF1" w:rsidRDefault="001B0BC0" w:rsidP="00F20BE1">
      <w:pPr>
        <w:rPr>
          <w:rFonts w:ascii="Times" w:hAnsi="Times"/>
        </w:rPr>
      </w:pPr>
    </w:p>
    <w:p w14:paraId="102E3EA9" w14:textId="77777777" w:rsidR="001B0BC0" w:rsidRPr="00D23BF1" w:rsidRDefault="001B0BC0" w:rsidP="00F20BE1">
      <w:pPr>
        <w:rPr>
          <w:rFonts w:ascii="Times" w:hAnsi="Times"/>
        </w:rPr>
      </w:pPr>
      <w:r w:rsidRPr="00D23BF1">
        <w:rPr>
          <w:rFonts w:ascii="Times" w:hAnsi="Times"/>
          <w:noProof/>
        </w:rPr>
        <w:lastRenderedPageBreak/>
        <w:drawing>
          <wp:inline distT="0" distB="0" distL="0" distR="0" wp14:anchorId="68380602" wp14:editId="3E6CFF60">
            <wp:extent cx="6005924" cy="3413894"/>
            <wp:effectExtent l="0" t="0" r="1270" b="254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lImportanceRanking_ALL.png"/>
                    <pic:cNvPicPr/>
                  </pic:nvPicPr>
                  <pic:blipFill>
                    <a:blip r:embed="rId28"/>
                    <a:stretch>
                      <a:fillRect/>
                    </a:stretch>
                  </pic:blipFill>
                  <pic:spPr>
                    <a:xfrm>
                      <a:off x="0" y="0"/>
                      <a:ext cx="6030370" cy="3427790"/>
                    </a:xfrm>
                    <a:prstGeom prst="rect">
                      <a:avLst/>
                    </a:prstGeom>
                  </pic:spPr>
                </pic:pic>
              </a:graphicData>
            </a:graphic>
          </wp:inline>
        </w:drawing>
      </w:r>
    </w:p>
    <w:p w14:paraId="59268BD2" w14:textId="77777777" w:rsidR="001B0BC0" w:rsidRPr="00D23BF1" w:rsidRDefault="001B0BC0" w:rsidP="00F20BE1">
      <w:pPr>
        <w:rPr>
          <w:rFonts w:ascii="Times" w:hAnsi="Times"/>
        </w:rPr>
      </w:pPr>
      <w:r w:rsidRPr="00D23BF1">
        <w:rPr>
          <w:rFonts w:ascii="Times" w:hAnsi="Times"/>
          <w:b/>
        </w:rPr>
        <w:t>Figure 10</w:t>
      </w:r>
      <w:r w:rsidRPr="00D23BF1">
        <w:rPr>
          <w:rFonts w:ascii="Times" w:hAnsi="Times"/>
        </w:rPr>
        <w:t>. Important variables ranked by importance for averaged model for all data (combined) and urban and rural locations separately. Shown are all variables above .5 importance. Points and labels colored by variable type (environmental=</w:t>
      </w:r>
      <w:r w:rsidRPr="00D23BF1">
        <w:rPr>
          <w:rFonts w:ascii="Times" w:hAnsi="Times"/>
          <w:color w:val="88BA95"/>
        </w:rPr>
        <w:t>green</w:t>
      </w:r>
      <w:r w:rsidRPr="00D23BF1">
        <w:rPr>
          <w:rFonts w:ascii="Times" w:hAnsi="Times"/>
        </w:rPr>
        <w:t>; morphological=</w:t>
      </w:r>
      <w:r w:rsidRPr="00D23BF1">
        <w:rPr>
          <w:rFonts w:ascii="Times" w:hAnsi="Times"/>
          <w:color w:val="E4953B"/>
        </w:rPr>
        <w:t>orange</w:t>
      </w:r>
      <w:r w:rsidRPr="00D23BF1">
        <w:rPr>
          <w:rFonts w:ascii="Times" w:hAnsi="Times"/>
        </w:rPr>
        <w:t xml:space="preserve">). For example, for </w:t>
      </w:r>
      <w:r w:rsidRPr="00D23BF1">
        <w:rPr>
          <w:rFonts w:ascii="Times" w:hAnsi="Times"/>
          <w:vertAlign w:val="superscript"/>
        </w:rPr>
        <w:t>0</w:t>
      </w:r>
      <w:r w:rsidRPr="00D23BF1">
        <w:rPr>
          <w:rFonts w:ascii="Times" w:hAnsi="Times"/>
        </w:rPr>
        <w:t>D combined dataset, the most important variable is % grass, followed by bill depth, north coordinate, noise, and finally % trees. Overall, urban gut bacterial communities are best predicted by morphological characteristics, whereas rural gut bacterial communities are better predicted by environmental factors.</w:t>
      </w:r>
    </w:p>
    <w:p w14:paraId="36CEDA7F" w14:textId="77777777" w:rsidR="001B0BC0" w:rsidRPr="00D23BF1" w:rsidRDefault="001B0BC0" w:rsidP="00F20BE1">
      <w:pPr>
        <w:rPr>
          <w:rFonts w:ascii="Times" w:hAnsi="Times"/>
        </w:rPr>
      </w:pPr>
    </w:p>
    <w:p w14:paraId="38A1007F" w14:textId="77777777" w:rsidR="001B0BC0" w:rsidRPr="00D23BF1" w:rsidRDefault="001B0BC0" w:rsidP="00F20BE1">
      <w:pPr>
        <w:rPr>
          <w:rFonts w:ascii="Times" w:hAnsi="Times"/>
        </w:rPr>
        <w:sectPr w:rsidR="001B0BC0" w:rsidRPr="00D23BF1" w:rsidSect="00BA538C">
          <w:type w:val="continuous"/>
          <w:pgSz w:w="12240" w:h="15840"/>
          <w:pgMar w:top="1440" w:right="1440" w:bottom="1440" w:left="1440" w:header="720" w:footer="720" w:gutter="0"/>
          <w:cols w:space="720"/>
          <w:docGrid w:linePitch="326"/>
        </w:sectPr>
      </w:pPr>
    </w:p>
    <w:p w14:paraId="139CD11F" w14:textId="77777777" w:rsidR="001B0BC0" w:rsidRPr="00D23BF1" w:rsidRDefault="001B0BC0" w:rsidP="00F20BE1">
      <w:pPr>
        <w:rPr>
          <w:rFonts w:ascii="Times" w:hAnsi="Times"/>
        </w:rPr>
      </w:pPr>
    </w:p>
    <w:p w14:paraId="020F4298" w14:textId="77777777" w:rsidR="001B0BC0" w:rsidRPr="00D23BF1" w:rsidRDefault="001B0BC0" w:rsidP="00F20BE1">
      <w:pPr>
        <w:rPr>
          <w:rFonts w:ascii="Times" w:hAnsi="Times"/>
        </w:rPr>
      </w:pPr>
    </w:p>
    <w:p w14:paraId="1E7A7AC4" w14:textId="77777777" w:rsidR="001B0BC0" w:rsidRPr="00D23BF1" w:rsidRDefault="001B0BC0" w:rsidP="00F20BE1">
      <w:pPr>
        <w:rPr>
          <w:rFonts w:ascii="Times" w:hAnsi="Times"/>
        </w:rPr>
      </w:pPr>
    </w:p>
    <w:p w14:paraId="5BC477DD" w14:textId="77777777" w:rsidR="001B0BC0" w:rsidRPr="00D23BF1" w:rsidRDefault="001B0BC0" w:rsidP="00F20BE1">
      <w:pPr>
        <w:rPr>
          <w:rFonts w:ascii="Times" w:hAnsi="Times"/>
        </w:rPr>
      </w:pPr>
    </w:p>
    <w:p w14:paraId="1B372EC8" w14:textId="77777777" w:rsidR="001B0BC0" w:rsidRPr="00D23BF1" w:rsidRDefault="001B0BC0" w:rsidP="00356E45">
      <w:pPr>
        <w:jc w:val="center"/>
        <w:rPr>
          <w:rFonts w:ascii="Times" w:hAnsi="Times"/>
        </w:rPr>
      </w:pPr>
      <w:r w:rsidRPr="00D23BF1">
        <w:rPr>
          <w:rFonts w:ascii="Times" w:hAnsi="Times"/>
          <w:noProof/>
        </w:rPr>
        <w:lastRenderedPageBreak/>
        <w:drawing>
          <wp:inline distT="0" distB="0" distL="0" distR="0" wp14:anchorId="0DE6A59E" wp14:editId="1C45E87C">
            <wp:extent cx="5227186" cy="4840941"/>
            <wp:effectExtent l="0" t="0" r="5715" b="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29"/>
                    <a:stretch>
                      <a:fillRect/>
                    </a:stretch>
                  </pic:blipFill>
                  <pic:spPr>
                    <a:xfrm>
                      <a:off x="0" y="0"/>
                      <a:ext cx="5242065" cy="4854721"/>
                    </a:xfrm>
                    <a:prstGeom prst="rect">
                      <a:avLst/>
                    </a:prstGeom>
                  </pic:spPr>
                </pic:pic>
              </a:graphicData>
            </a:graphic>
          </wp:inline>
        </w:drawing>
      </w:r>
    </w:p>
    <w:p w14:paraId="2F0A6BCD" w14:textId="77777777" w:rsidR="001B0BC0" w:rsidRPr="00D23BF1" w:rsidRDefault="001B0BC0" w:rsidP="00F20BE1">
      <w:pPr>
        <w:rPr>
          <w:rFonts w:ascii="Times" w:hAnsi="Times"/>
        </w:rPr>
      </w:pPr>
      <w:r w:rsidRPr="00D23BF1">
        <w:rPr>
          <w:rFonts w:ascii="Times" w:hAnsi="Times"/>
          <w:b/>
        </w:rPr>
        <w:t>Figure 11</w:t>
      </w:r>
      <w:r w:rsidRPr="00D23BF1">
        <w:rPr>
          <w:rFonts w:ascii="Times" w:hAnsi="Times"/>
        </w:rPr>
        <w:t>.  Principal coordinates plot (</w:t>
      </w:r>
      <w:proofErr w:type="spellStart"/>
      <w:r w:rsidRPr="00D23BF1">
        <w:rPr>
          <w:rFonts w:ascii="Times" w:hAnsi="Times"/>
        </w:rPr>
        <w:t>PCoA</w:t>
      </w:r>
      <w:proofErr w:type="spellEnd"/>
      <w:r w:rsidRPr="00D23BF1">
        <w:rPr>
          <w:rFonts w:ascii="Times" w:hAnsi="Times"/>
        </w:rPr>
        <w:t xml:space="preserve">) of (a) Jaccard, (b) unweighted </w:t>
      </w:r>
      <w:proofErr w:type="spellStart"/>
      <w:r w:rsidRPr="00D23BF1">
        <w:rPr>
          <w:rFonts w:ascii="Times" w:hAnsi="Times"/>
        </w:rPr>
        <w:t>UniFrac</w:t>
      </w:r>
      <w:proofErr w:type="spellEnd"/>
      <w:r w:rsidRPr="00D23BF1">
        <w:rPr>
          <w:rFonts w:ascii="Times" w:hAnsi="Times"/>
        </w:rPr>
        <w:t xml:space="preserve">, (c) Bray-Curtis, and (d) weighted </w:t>
      </w:r>
      <w:proofErr w:type="spellStart"/>
      <w:r w:rsidRPr="00D23BF1">
        <w:rPr>
          <w:rFonts w:ascii="Times" w:hAnsi="Times"/>
        </w:rPr>
        <w:t>UniFrac</w:t>
      </w:r>
      <w:proofErr w:type="spellEnd"/>
      <w:r w:rsidRPr="00D23BF1">
        <w:rPr>
          <w:rFonts w:ascii="Times" w:hAnsi="Times"/>
        </w:rPr>
        <w:t xml:space="preserve"> distances. Variation explained by each axis is provided in parentheses. Each data point represents one sample. </w:t>
      </w:r>
    </w:p>
    <w:p w14:paraId="2921D36A" w14:textId="77777777" w:rsidR="001B0BC0" w:rsidRPr="00D23BF1" w:rsidRDefault="001B0BC0" w:rsidP="00F20BE1">
      <w:pPr>
        <w:rPr>
          <w:rFonts w:ascii="Times" w:hAnsi="Times"/>
        </w:rPr>
      </w:pPr>
      <w:r w:rsidRPr="00D23BF1">
        <w:rPr>
          <w:rFonts w:ascii="Times" w:hAnsi="Times"/>
        </w:rPr>
        <w:br w:type="page"/>
      </w:r>
    </w:p>
    <w:p w14:paraId="11B84647" w14:textId="77777777" w:rsidR="001B0BC0" w:rsidRPr="00D23BF1" w:rsidRDefault="001B0BC0" w:rsidP="00F20BE1">
      <w:pPr>
        <w:rPr>
          <w:rFonts w:ascii="Times" w:hAnsi="Times" w:cs="Calibri"/>
        </w:rPr>
      </w:pPr>
      <w:r w:rsidRPr="00D23BF1">
        <w:rPr>
          <w:rFonts w:ascii="Times" w:hAnsi="Times" w:cs="Calibri"/>
          <w:noProof/>
        </w:rPr>
        <w:lastRenderedPageBreak/>
        <mc:AlternateContent>
          <mc:Choice Requires="wps">
            <w:drawing>
              <wp:anchor distT="0" distB="0" distL="114300" distR="114300" simplePos="0" relativeHeight="251661312" behindDoc="0" locked="0" layoutInCell="1" allowOverlap="1" wp14:anchorId="6B82579F" wp14:editId="02684D2D">
                <wp:simplePos x="0" y="0"/>
                <wp:positionH relativeFrom="column">
                  <wp:posOffset>258147</wp:posOffset>
                </wp:positionH>
                <wp:positionV relativeFrom="paragraph">
                  <wp:posOffset>2312670</wp:posOffset>
                </wp:positionV>
                <wp:extent cx="490840" cy="261610"/>
                <wp:effectExtent l="0" t="0" r="0" b="0"/>
                <wp:wrapNone/>
                <wp:docPr id="12" name="TextBox 145"/>
                <wp:cNvGraphicFramePr/>
                <a:graphic xmlns:a="http://schemas.openxmlformats.org/drawingml/2006/main">
                  <a:graphicData uri="http://schemas.microsoft.com/office/word/2010/wordprocessingShape">
                    <wps:wsp>
                      <wps:cNvSpPr txBox="1"/>
                      <wps:spPr>
                        <a:xfrm>
                          <a:off x="0" y="0"/>
                          <a:ext cx="490840" cy="261610"/>
                        </a:xfrm>
                        <a:prstGeom prst="rect">
                          <a:avLst/>
                        </a:prstGeom>
                        <a:noFill/>
                      </wps:spPr>
                      <wps:txbx>
                        <w:txbxContent>
                          <w:p w14:paraId="022F9C5D" w14:textId="77777777" w:rsidR="001B0BC0" w:rsidRDefault="001B0BC0" w:rsidP="001B0BC0">
                            <w:r>
                              <w:rPr>
                                <w:rFonts w:hAnsi="Calibri"/>
                                <w:color w:val="000000" w:themeColor="text1"/>
                                <w:kern w:val="24"/>
                                <w:sz w:val="22"/>
                                <w:szCs w:val="22"/>
                              </w:rPr>
                              <w:t>N=13</w:t>
                            </w:r>
                          </w:p>
                        </w:txbxContent>
                      </wps:txbx>
                      <wps:bodyPr wrap="none" rtlCol="0">
                        <a:spAutoFit/>
                      </wps:bodyPr>
                    </wps:wsp>
                  </a:graphicData>
                </a:graphic>
              </wp:anchor>
            </w:drawing>
          </mc:Choice>
          <mc:Fallback xmlns:w16="http://schemas.microsoft.com/office/word/2018/wordml" xmlns:w16cex="http://schemas.microsoft.com/office/word/2018/wordml/cex">
            <w:pict>
              <v:shapetype w14:anchorId="6B82579F" id="_x0000_t202" coordsize="21600,21600" o:spt="202" path="m,l,21600r21600,l21600,xe">
                <v:stroke joinstyle="miter"/>
                <v:path gradientshapeok="t" o:connecttype="rect"/>
              </v:shapetype>
              <v:shape id="TextBox 145" o:spid="_x0000_s1026" type="#_x0000_t202" style="position:absolute;margin-left:20.35pt;margin-top:182.1pt;width:38.65pt;height:20.6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" filled="f" stroked="f">
                <v:textbox style="mso-fit-shape-to-text:t">
                  <w:txbxContent>
                    <w:p w14:paraId="022F9C5D" w14:textId="77777777" w:rsidR="001B0BC0" w:rsidRDefault="001B0BC0" w:rsidP="001B0BC0">
                      <w:r>
                        <w:rPr>
                          <w:rFonts w:hAnsi="Calibri"/>
                          <w:color w:val="000000" w:themeColor="text1"/>
                          <w:kern w:val="24"/>
                          <w:sz w:val="22"/>
                          <w:szCs w:val="22"/>
                        </w:rPr>
                        <w:t>N=13</w:t>
                      </w:r>
                    </w:p>
                  </w:txbxContent>
                </v:textbox>
              </v:shape>
            </w:pict>
          </mc:Fallback>
        </mc:AlternateContent>
      </w:r>
      <w:r w:rsidRPr="00D23BF1">
        <w:rPr>
          <w:rFonts w:ascii="Times" w:hAnsi="Times" w:cs="Calibri"/>
          <w:noProof/>
        </w:rPr>
        <mc:AlternateContent>
          <mc:Choice Requires="wps">
            <w:drawing>
              <wp:anchor distT="0" distB="0" distL="114300" distR="114300" simplePos="0" relativeHeight="251660288" behindDoc="0" locked="0" layoutInCell="1" allowOverlap="1" wp14:anchorId="766565BA" wp14:editId="2AFC7B1F">
                <wp:simplePos x="0" y="0"/>
                <wp:positionH relativeFrom="column">
                  <wp:posOffset>257923</wp:posOffset>
                </wp:positionH>
                <wp:positionV relativeFrom="paragraph">
                  <wp:posOffset>1244600</wp:posOffset>
                </wp:positionV>
                <wp:extent cx="490840" cy="261610"/>
                <wp:effectExtent l="0" t="0" r="0" b="0"/>
                <wp:wrapNone/>
                <wp:docPr id="146" name="TextBox 145">
                  <a:extLst xmlns:a="http://schemas.openxmlformats.org/drawingml/2006/main">
                    <a:ext uri="{FF2B5EF4-FFF2-40B4-BE49-F238E27FC236}">
                      <a16:creationId xmlns:a16="http://schemas.microsoft.com/office/drawing/2014/main" id="{8793B24B-2AF9-6C4A-B1AB-E7E1D1221088}"/>
                    </a:ext>
                  </a:extLst>
                </wp:docPr>
                <wp:cNvGraphicFramePr/>
                <a:graphic xmlns:a="http://schemas.openxmlformats.org/drawingml/2006/main">
                  <a:graphicData uri="http://schemas.microsoft.com/office/word/2010/wordprocessingShape">
                    <wps:wsp>
                      <wps:cNvSpPr txBox="1"/>
                      <wps:spPr>
                        <a:xfrm>
                          <a:off x="0" y="0"/>
                          <a:ext cx="490840" cy="261610"/>
                        </a:xfrm>
                        <a:prstGeom prst="rect">
                          <a:avLst/>
                        </a:prstGeom>
                        <a:noFill/>
                      </wps:spPr>
                      <wps:txbx>
                        <w:txbxContent>
                          <w:p w14:paraId="778E4CB6" w14:textId="77777777" w:rsidR="001B0BC0" w:rsidRDefault="001B0BC0" w:rsidP="001B0BC0">
                            <w:r>
                              <w:rPr>
                                <w:rFonts w:hAnsi="Calibri"/>
                                <w:color w:val="000000" w:themeColor="text1"/>
                                <w:kern w:val="24"/>
                                <w:sz w:val="22"/>
                                <w:szCs w:val="22"/>
                              </w:rPr>
                              <w:t>N=13</w:t>
                            </w:r>
                          </w:p>
                        </w:txbxContent>
                      </wps:txbx>
                      <wps:bodyPr wrap="none" rtlCol="0">
                        <a:spAutoFit/>
                      </wps:bodyPr>
                    </wps:wsp>
                  </a:graphicData>
                </a:graphic>
              </wp:anchor>
            </w:drawing>
          </mc:Choice>
          <mc:Fallback xmlns:w16="http://schemas.microsoft.com/office/word/2018/wordml" xmlns:w16cex="http://schemas.microsoft.com/office/word/2018/wordml/cex">
            <w:pict>
              <v:shape w14:anchorId="766565BA" id="_x0000_s1027" type="#_x0000_t202" style="position:absolute;margin-left:20.3pt;margin-top:98pt;width:38.65pt;height:20.6pt;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" filled="f" stroked="f">
                <v:textbox style="mso-fit-shape-to-text:t">
                  <w:txbxContent>
                    <w:p w14:paraId="778E4CB6" w14:textId="77777777" w:rsidR="001B0BC0" w:rsidRDefault="001B0BC0" w:rsidP="001B0BC0">
                      <w:r>
                        <w:rPr>
                          <w:rFonts w:hAnsi="Calibri"/>
                          <w:color w:val="000000" w:themeColor="text1"/>
                          <w:kern w:val="24"/>
                          <w:sz w:val="22"/>
                          <w:szCs w:val="22"/>
                        </w:rPr>
                        <w:t>N=13</w:t>
                      </w:r>
                    </w:p>
                  </w:txbxContent>
                </v:textbox>
              </v:shape>
            </w:pict>
          </mc:Fallback>
        </mc:AlternateContent>
      </w:r>
      <w:r w:rsidRPr="00D23BF1">
        <w:rPr>
          <w:rFonts w:ascii="Times" w:hAnsi="Times" w:cs="Calibri"/>
          <w:noProof/>
        </w:rPr>
        <w:drawing>
          <wp:inline distT="0" distB="0" distL="0" distR="0" wp14:anchorId="330C2A0E" wp14:editId="74B63419">
            <wp:extent cx="5421854" cy="3138968"/>
            <wp:effectExtent l="0" t="0" r="0" b="0"/>
            <wp:docPr id="101" name="Picture 100" descr="A close up of a bird&#10;&#10;Description automatically generated">
              <a:extLst xmlns:a="http://schemas.openxmlformats.org/drawingml/2006/main">
                <a:ext uri="{FF2B5EF4-FFF2-40B4-BE49-F238E27FC236}">
                  <a16:creationId xmlns:a16="http://schemas.microsoft.com/office/drawing/2014/main" id="{09895138-C8F4-624D-84F6-AC88D39683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0" descr="A close up of a bird&#10;&#10;Description automatically generated">
                      <a:extLst>
                        <a:ext uri="{FF2B5EF4-FFF2-40B4-BE49-F238E27FC236}">
                          <a16:creationId xmlns:a16="http://schemas.microsoft.com/office/drawing/2014/main" id="{09895138-C8F4-624D-84F6-AC88D3968349}"/>
                        </a:ext>
                      </a:extLst>
                    </pic:cNvPr>
                    <pic:cNvPicPr>
                      <a:picLocks noChangeAspect="1"/>
                    </pic:cNvPicPr>
                  </pic:nvPicPr>
                  <pic:blipFill>
                    <a:blip r:embed="rId30"/>
                    <a:stretch>
                      <a:fillRect/>
                    </a:stretch>
                  </pic:blipFill>
                  <pic:spPr>
                    <a:xfrm>
                      <a:off x="0" y="0"/>
                      <a:ext cx="5437043" cy="3147761"/>
                    </a:xfrm>
                    <a:prstGeom prst="rect">
                      <a:avLst/>
                    </a:prstGeom>
                  </pic:spPr>
                </pic:pic>
              </a:graphicData>
            </a:graphic>
          </wp:inline>
        </w:drawing>
      </w:r>
    </w:p>
    <w:p w14:paraId="656CD12E" w14:textId="0F108914" w:rsidR="001B0BC0" w:rsidRPr="00D23BF1" w:rsidRDefault="001B0BC0" w:rsidP="00F20BE1">
      <w:pPr>
        <w:rPr>
          <w:rFonts w:ascii="Times" w:hAnsi="Times" w:cs="Calibri"/>
        </w:rPr>
      </w:pPr>
      <w:r w:rsidRPr="00D23BF1">
        <w:rPr>
          <w:rFonts w:ascii="Times" w:hAnsi="Times" w:cs="Calibri"/>
          <w:b/>
          <w:bCs/>
        </w:rPr>
        <w:t>Figure 12</w:t>
      </w:r>
      <w:r w:rsidR="00556C82" w:rsidRPr="00D23BF1">
        <w:rPr>
          <w:rFonts w:ascii="Times" w:hAnsi="Times" w:cs="Calibri"/>
          <w:b/>
          <w:bCs/>
        </w:rPr>
        <w:t>.</w:t>
      </w:r>
      <w:r w:rsidRPr="00D23BF1">
        <w:rPr>
          <w:rFonts w:ascii="Times" w:hAnsi="Times" w:cs="Calibri"/>
        </w:rPr>
        <w:t xml:space="preserve"> Experimental design diagram. Each treatment group had 13 birds,</w:t>
      </w:r>
      <w:r w:rsidRPr="00D23BF1">
        <w:rPr>
          <w:rFonts w:ascii="Times" w:hAnsi="Times"/>
          <w:noProof/>
        </w:rPr>
        <w:t xml:space="preserve"> with one group receiving noise and recovery first, and the other group receiving control first. Blood for plasma cort and cloacal swabs were collected on the last (5</w:t>
      </w:r>
      <w:r w:rsidRPr="00D23BF1">
        <w:rPr>
          <w:rFonts w:ascii="Times" w:hAnsi="Times"/>
          <w:noProof/>
          <w:vertAlign w:val="superscript"/>
        </w:rPr>
        <w:t>th</w:t>
      </w:r>
      <w:r w:rsidRPr="00D23BF1">
        <w:rPr>
          <w:rFonts w:ascii="Times" w:hAnsi="Times"/>
          <w:noProof/>
        </w:rPr>
        <w:t>) day of each treatment period, and food intake was recorded twice daily.</w:t>
      </w:r>
    </w:p>
    <w:p w14:paraId="1AA1C52E" w14:textId="77777777" w:rsidR="001B0BC0" w:rsidRPr="00D23BF1" w:rsidRDefault="001B0BC0" w:rsidP="00F20BE1">
      <w:pPr>
        <w:rPr>
          <w:rFonts w:ascii="Times" w:hAnsi="Times"/>
        </w:rPr>
      </w:pPr>
    </w:p>
    <w:p w14:paraId="4B1625AA" w14:textId="77777777" w:rsidR="001B0BC0" w:rsidRPr="00D23BF1" w:rsidRDefault="001B0BC0" w:rsidP="00F20BE1">
      <w:pPr>
        <w:rPr>
          <w:rFonts w:ascii="Times" w:hAnsi="Times"/>
        </w:rPr>
      </w:pPr>
    </w:p>
    <w:p w14:paraId="4A9E0B66" w14:textId="77777777" w:rsidR="00556C82" w:rsidRPr="00D23BF1" w:rsidRDefault="00556C82" w:rsidP="00F20BE1">
      <w:pPr>
        <w:rPr>
          <w:rFonts w:ascii="Times" w:hAnsi="Times"/>
        </w:rPr>
      </w:pPr>
    </w:p>
    <w:p w14:paraId="1916B1F9" w14:textId="77777777" w:rsidR="00556C82" w:rsidRPr="00D23BF1" w:rsidRDefault="00556C82" w:rsidP="00F20BE1">
      <w:pPr>
        <w:rPr>
          <w:rFonts w:ascii="Times" w:hAnsi="Times"/>
        </w:rPr>
      </w:pPr>
    </w:p>
    <w:p w14:paraId="2BAFCE30" w14:textId="2C281768" w:rsidR="001B0BC0" w:rsidRPr="00D23BF1" w:rsidRDefault="001B0BC0" w:rsidP="00F20BE1">
      <w:pPr>
        <w:rPr>
          <w:rFonts w:ascii="Times" w:hAnsi="Times"/>
        </w:rPr>
      </w:pPr>
      <w:r w:rsidRPr="00D23BF1">
        <w:rPr>
          <w:rFonts w:ascii="Times" w:hAnsi="Times"/>
          <w:noProof/>
        </w:rPr>
        <w:lastRenderedPageBreak/>
        <w:drawing>
          <wp:inline distT="0" distB="0" distL="0" distR="0" wp14:anchorId="0CF99B32" wp14:editId="5EC3873B">
            <wp:extent cx="2857500" cy="3810000"/>
            <wp:effectExtent l="0" t="0" r="0" b="0"/>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nus_relAbun.png"/>
                    <pic:cNvPicPr/>
                  </pic:nvPicPr>
                  <pic:blipFill>
                    <a:blip r:embed="rId31"/>
                    <a:stretch>
                      <a:fillRect/>
                    </a:stretch>
                  </pic:blipFill>
                  <pic:spPr>
                    <a:xfrm>
                      <a:off x="0" y="0"/>
                      <a:ext cx="2857500" cy="3810000"/>
                    </a:xfrm>
                    <a:prstGeom prst="rect">
                      <a:avLst/>
                    </a:prstGeom>
                  </pic:spPr>
                </pic:pic>
              </a:graphicData>
            </a:graphic>
          </wp:inline>
        </w:drawing>
      </w:r>
    </w:p>
    <w:p w14:paraId="1285E2B4" w14:textId="77777777" w:rsidR="001B0BC0" w:rsidRPr="00D23BF1" w:rsidRDefault="001B0BC0" w:rsidP="00F20BE1">
      <w:pPr>
        <w:rPr>
          <w:rFonts w:ascii="Times" w:hAnsi="Times"/>
        </w:rPr>
      </w:pPr>
    </w:p>
    <w:p w14:paraId="3556D002" w14:textId="4E20EB2E" w:rsidR="001B0BC0" w:rsidRPr="00D23BF1" w:rsidRDefault="001B0BC0" w:rsidP="00F20BE1">
      <w:pPr>
        <w:rPr>
          <w:rFonts w:ascii="Times" w:hAnsi="Times"/>
        </w:rPr>
      </w:pPr>
      <w:r w:rsidRPr="00D23BF1">
        <w:rPr>
          <w:rFonts w:ascii="Times" w:hAnsi="Times"/>
          <w:b/>
          <w:bCs/>
        </w:rPr>
        <w:t>Figure 13</w:t>
      </w:r>
      <w:r w:rsidR="00556C82" w:rsidRPr="00D23BF1">
        <w:rPr>
          <w:rFonts w:ascii="Times" w:hAnsi="Times"/>
          <w:b/>
          <w:bCs/>
        </w:rPr>
        <w:t>.</w:t>
      </w:r>
      <w:r w:rsidR="00556C82" w:rsidRPr="00D23BF1">
        <w:rPr>
          <w:rFonts w:ascii="Times" w:hAnsi="Times"/>
        </w:rPr>
        <w:t xml:space="preserve"> </w:t>
      </w:r>
      <w:r w:rsidRPr="00D23BF1">
        <w:rPr>
          <w:rFonts w:ascii="Times" w:hAnsi="Times"/>
        </w:rPr>
        <w:t xml:space="preserve"> Relative abundances of bacterial genera in captive white-crowned sparrows combined from samples across all treatments. Figure of relative abundances of bacterial phyla can be found in the supplemental figures (Figure S1).</w:t>
      </w:r>
    </w:p>
    <w:p w14:paraId="5E76B48A" w14:textId="77777777" w:rsidR="001B0BC0" w:rsidRPr="00D23BF1" w:rsidRDefault="001B0BC0" w:rsidP="00F20BE1">
      <w:pPr>
        <w:rPr>
          <w:rFonts w:ascii="Times" w:hAnsi="Times"/>
        </w:rPr>
      </w:pPr>
    </w:p>
    <w:p w14:paraId="0AF90DD8" w14:textId="77777777" w:rsidR="001B0BC0" w:rsidRPr="00D23BF1" w:rsidRDefault="001B0BC0" w:rsidP="00F20BE1">
      <w:pPr>
        <w:rPr>
          <w:rFonts w:ascii="Times" w:hAnsi="Times"/>
        </w:rPr>
      </w:pPr>
    </w:p>
    <w:p w14:paraId="0F94C6AD" w14:textId="77777777" w:rsidR="001B0BC0" w:rsidRPr="00D23BF1" w:rsidRDefault="001B0BC0" w:rsidP="00F20BE1">
      <w:pPr>
        <w:rPr>
          <w:rFonts w:ascii="Times" w:hAnsi="Times"/>
        </w:rPr>
      </w:pPr>
      <w:r w:rsidRPr="00D23BF1">
        <w:rPr>
          <w:rFonts w:ascii="Times" w:hAnsi="Times"/>
          <w:noProof/>
        </w:rPr>
        <w:lastRenderedPageBreak/>
        <w:drawing>
          <wp:inline distT="0" distB="0" distL="0" distR="0" wp14:anchorId="0E27D9DF" wp14:editId="29DE0805">
            <wp:extent cx="5329989" cy="5329989"/>
            <wp:effectExtent l="0" t="0" r="4445" b="4445"/>
            <wp:docPr id="14" name="Picture 1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32"/>
                    <a:stretch>
                      <a:fillRect/>
                    </a:stretch>
                  </pic:blipFill>
                  <pic:spPr>
                    <a:xfrm>
                      <a:off x="0" y="0"/>
                      <a:ext cx="5340505" cy="5340505"/>
                    </a:xfrm>
                    <a:prstGeom prst="rect">
                      <a:avLst/>
                    </a:prstGeom>
                  </pic:spPr>
                </pic:pic>
              </a:graphicData>
            </a:graphic>
          </wp:inline>
        </w:drawing>
      </w:r>
    </w:p>
    <w:p w14:paraId="59969EF5" w14:textId="77777777" w:rsidR="001B0BC0" w:rsidRPr="00D23BF1" w:rsidRDefault="001B0BC0" w:rsidP="00F20BE1">
      <w:pPr>
        <w:rPr>
          <w:rFonts w:ascii="Times" w:hAnsi="Times"/>
        </w:rPr>
      </w:pPr>
    </w:p>
    <w:p w14:paraId="025CFB1E" w14:textId="77777777" w:rsidR="001B0BC0" w:rsidRPr="00D23BF1" w:rsidRDefault="001B0BC0" w:rsidP="00F20BE1">
      <w:pPr>
        <w:rPr>
          <w:rFonts w:ascii="Times" w:hAnsi="Times"/>
        </w:rPr>
      </w:pPr>
    </w:p>
    <w:p w14:paraId="441A66C5" w14:textId="77777777" w:rsidR="001B0BC0" w:rsidRPr="00D23BF1" w:rsidRDefault="001B0BC0" w:rsidP="00F20BE1">
      <w:pPr>
        <w:rPr>
          <w:rFonts w:ascii="Times" w:hAnsi="Times"/>
        </w:rPr>
      </w:pPr>
    </w:p>
    <w:p w14:paraId="43E5683D" w14:textId="43FCF1F3" w:rsidR="001B0BC0" w:rsidRPr="00D23BF1" w:rsidRDefault="001B0BC0" w:rsidP="00F20BE1">
      <w:pPr>
        <w:rPr>
          <w:rFonts w:ascii="Times" w:hAnsi="Times"/>
        </w:rPr>
      </w:pPr>
      <w:r w:rsidRPr="00D23BF1">
        <w:rPr>
          <w:rFonts w:ascii="Times" w:hAnsi="Times"/>
          <w:b/>
          <w:bCs/>
        </w:rPr>
        <w:t>Figure 14</w:t>
      </w:r>
      <w:r w:rsidR="00556C82" w:rsidRPr="00D23BF1">
        <w:rPr>
          <w:rFonts w:ascii="Times" w:hAnsi="Times"/>
          <w:b/>
          <w:bCs/>
        </w:rPr>
        <w:t>.</w:t>
      </w:r>
      <w:r w:rsidRPr="00D23BF1">
        <w:rPr>
          <w:rFonts w:ascii="Times" w:hAnsi="Times"/>
        </w:rPr>
        <w:t xml:space="preserve"> Alpha diversity in response to noise treatment by order of treatment received (A=acclimation, C=control, N=noise, R=Recovery). Noise exposure has an effect on alpha diversity.</w:t>
      </w:r>
    </w:p>
    <w:p w14:paraId="52DCC061" w14:textId="77777777" w:rsidR="001B0BC0" w:rsidRPr="00D23BF1" w:rsidRDefault="001B0BC0" w:rsidP="00F20BE1">
      <w:pPr>
        <w:rPr>
          <w:rFonts w:ascii="Times" w:hAnsi="Times"/>
        </w:rPr>
      </w:pPr>
    </w:p>
    <w:p w14:paraId="79CD295E" w14:textId="77777777" w:rsidR="001B0BC0" w:rsidRPr="00D23BF1" w:rsidRDefault="001B0BC0" w:rsidP="00F20BE1">
      <w:pPr>
        <w:rPr>
          <w:rFonts w:ascii="Times" w:hAnsi="Times"/>
        </w:rPr>
      </w:pPr>
    </w:p>
    <w:p w14:paraId="4EB8FD13" w14:textId="77777777" w:rsidR="001B0BC0" w:rsidRPr="00D23BF1" w:rsidRDefault="001B0BC0" w:rsidP="00F20BE1">
      <w:pPr>
        <w:rPr>
          <w:rFonts w:ascii="Times" w:hAnsi="Times"/>
        </w:rPr>
      </w:pPr>
      <w:r w:rsidRPr="00D23BF1">
        <w:rPr>
          <w:rFonts w:ascii="Times" w:hAnsi="Times"/>
          <w:noProof/>
        </w:rPr>
        <w:lastRenderedPageBreak/>
        <w:drawing>
          <wp:inline distT="0" distB="0" distL="0" distR="0" wp14:anchorId="45E670A6" wp14:editId="347C5910">
            <wp:extent cx="5943600" cy="2323465"/>
            <wp:effectExtent l="0" t="0" r="0" b="635"/>
            <wp:docPr id="15" name="Picture 1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chart&#10;&#10;Description automatically generated"/>
                    <pic:cNvPicPr/>
                  </pic:nvPicPr>
                  <pic:blipFill>
                    <a:blip r:embed="rId33"/>
                    <a:stretch>
                      <a:fillRect/>
                    </a:stretch>
                  </pic:blipFill>
                  <pic:spPr>
                    <a:xfrm>
                      <a:off x="0" y="0"/>
                      <a:ext cx="5943600" cy="2323465"/>
                    </a:xfrm>
                    <a:prstGeom prst="rect">
                      <a:avLst/>
                    </a:prstGeom>
                  </pic:spPr>
                </pic:pic>
              </a:graphicData>
            </a:graphic>
          </wp:inline>
        </w:drawing>
      </w:r>
      <w:r w:rsidRPr="00D23BF1">
        <w:rPr>
          <w:rFonts w:ascii="Times" w:hAnsi="Times"/>
          <w:noProof/>
        </w:rPr>
        <w:drawing>
          <wp:inline distT="0" distB="0" distL="0" distR="0" wp14:anchorId="21717C9A" wp14:editId="19C5E5DB">
            <wp:extent cx="5943600" cy="2924810"/>
            <wp:effectExtent l="0" t="0" r="0" b="0"/>
            <wp:docPr id="16" name="Picture 1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ar chart&#10;&#10;Description automatically generated"/>
                    <pic:cNvPicPr/>
                  </pic:nvPicPr>
                  <pic:blipFill>
                    <a:blip r:embed="rId34"/>
                    <a:stretch>
                      <a:fillRect/>
                    </a:stretch>
                  </pic:blipFill>
                  <pic:spPr>
                    <a:xfrm>
                      <a:off x="0" y="0"/>
                      <a:ext cx="5943600" cy="2924810"/>
                    </a:xfrm>
                    <a:prstGeom prst="rect">
                      <a:avLst/>
                    </a:prstGeom>
                  </pic:spPr>
                </pic:pic>
              </a:graphicData>
            </a:graphic>
          </wp:inline>
        </w:drawing>
      </w:r>
    </w:p>
    <w:p w14:paraId="29D19A8B" w14:textId="1303E4E0" w:rsidR="001B0BC0" w:rsidRPr="00D23BF1" w:rsidRDefault="001B0BC0" w:rsidP="00F20BE1">
      <w:pPr>
        <w:rPr>
          <w:rFonts w:ascii="Times" w:hAnsi="Times"/>
        </w:rPr>
      </w:pPr>
      <w:r w:rsidRPr="00D23BF1">
        <w:rPr>
          <w:rFonts w:ascii="Times" w:hAnsi="Times"/>
          <w:b/>
          <w:bCs/>
        </w:rPr>
        <w:t>Figure 15</w:t>
      </w:r>
      <w:r w:rsidR="00556C82" w:rsidRPr="00D23BF1">
        <w:rPr>
          <w:rFonts w:ascii="Times" w:hAnsi="Times"/>
          <w:b/>
          <w:bCs/>
        </w:rPr>
        <w:t>.</w:t>
      </w:r>
      <w:r w:rsidR="00556C82" w:rsidRPr="00D23BF1">
        <w:rPr>
          <w:rFonts w:ascii="Times" w:hAnsi="Times"/>
        </w:rPr>
        <w:t xml:space="preserve"> </w:t>
      </w:r>
      <w:r w:rsidRPr="00D23BF1">
        <w:rPr>
          <w:rFonts w:ascii="Times" w:hAnsi="Times"/>
        </w:rPr>
        <w:t xml:space="preserve"> </w:t>
      </w:r>
      <w:r w:rsidRPr="00D23BF1">
        <w:rPr>
          <w:rFonts w:ascii="Calibri" w:hAnsi="Calibri" w:cs="Calibri"/>
        </w:rPr>
        <w:t>﻿</w:t>
      </w:r>
      <w:r w:rsidRPr="00D23BF1">
        <w:rPr>
          <w:rFonts w:ascii="Times" w:hAnsi="Times"/>
        </w:rPr>
        <w:t>Linear discriminant analysis effect size (</w:t>
      </w:r>
      <w:proofErr w:type="spellStart"/>
      <w:r w:rsidRPr="00D23BF1">
        <w:rPr>
          <w:rFonts w:ascii="Times" w:hAnsi="Times"/>
        </w:rPr>
        <w:t>LEfSe</w:t>
      </w:r>
      <w:proofErr w:type="spellEnd"/>
      <w:r w:rsidRPr="00D23BF1">
        <w:rPr>
          <w:rFonts w:ascii="Times" w:hAnsi="Times"/>
        </w:rPr>
        <w:t>) comparing predicted gene abundances (</w:t>
      </w:r>
      <w:proofErr w:type="spellStart"/>
      <w:r w:rsidRPr="00D23BF1">
        <w:rPr>
          <w:rFonts w:ascii="Times" w:hAnsi="Times"/>
        </w:rPr>
        <w:t>PICRUSt</w:t>
      </w:r>
      <w:proofErr w:type="spellEnd"/>
      <w:r w:rsidRPr="00D23BF1">
        <w:rPr>
          <w:rFonts w:ascii="Times" w:hAnsi="Times"/>
        </w:rPr>
        <w:t>) between control and noise treatments (top), and control and recovery treatments (bottom). Colors correspond to which treatment was found to have disproportionately more abundance of that gene. More predicted genes differed between control and recovery than between control and noise, suggesting a delayed effect of noise on the gut microbiome.</w:t>
      </w:r>
    </w:p>
    <w:p w14:paraId="69229BC3" w14:textId="77777777" w:rsidR="001B0BC0" w:rsidRPr="00D23BF1" w:rsidRDefault="001B0BC0" w:rsidP="00F20BE1">
      <w:pPr>
        <w:rPr>
          <w:rFonts w:ascii="Times" w:hAnsi="Times"/>
        </w:rPr>
        <w:sectPr w:rsidR="001B0BC0" w:rsidRPr="00D23BF1" w:rsidSect="00BA538C">
          <w:headerReference w:type="even" r:id="rId35"/>
          <w:headerReference w:type="default" r:id="rId36"/>
          <w:type w:val="continuous"/>
          <w:pgSz w:w="12240" w:h="15840"/>
          <w:pgMar w:top="1440" w:right="1440" w:bottom="1440" w:left="1440" w:header="720" w:footer="720" w:gutter="0"/>
          <w:cols w:space="720"/>
          <w:docGrid w:linePitch="360"/>
        </w:sectPr>
      </w:pPr>
    </w:p>
    <w:p w14:paraId="45339550" w14:textId="77777777" w:rsidR="00556C82" w:rsidRPr="00D23BF1" w:rsidRDefault="00556C82" w:rsidP="00F20BE1">
      <w:pPr>
        <w:rPr>
          <w:rFonts w:ascii="Times" w:hAnsi="Times"/>
        </w:rPr>
      </w:pPr>
    </w:p>
    <w:p w14:paraId="6FBE7CCD" w14:textId="17702B23" w:rsidR="001B0BC0" w:rsidRPr="00D23BF1" w:rsidRDefault="001B0BC0" w:rsidP="00F20BE1">
      <w:pPr>
        <w:rPr>
          <w:rFonts w:ascii="Times" w:hAnsi="Times"/>
        </w:rPr>
      </w:pPr>
      <w:r w:rsidRPr="00D23BF1">
        <w:rPr>
          <w:rFonts w:ascii="Times" w:hAnsi="Times"/>
          <w:noProof/>
        </w:rPr>
        <w:lastRenderedPageBreak/>
        <w:drawing>
          <wp:inline distT="0" distB="0" distL="0" distR="0" wp14:anchorId="580FC817" wp14:editId="707C09C5">
            <wp:extent cx="4970720" cy="1988288"/>
            <wp:effectExtent l="0" t="0" r="0" b="0"/>
            <wp:docPr id="17" name="Picture 17"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athResults_S2 - pm faith pd.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994188" cy="1997675"/>
                    </a:xfrm>
                    <a:prstGeom prst="rect">
                      <a:avLst/>
                    </a:prstGeom>
                  </pic:spPr>
                </pic:pic>
              </a:graphicData>
            </a:graphic>
          </wp:inline>
        </w:drawing>
      </w:r>
    </w:p>
    <w:p w14:paraId="79C6B310" w14:textId="266594B6" w:rsidR="001B0BC0" w:rsidRPr="00D23BF1" w:rsidRDefault="001B0BC0" w:rsidP="00F20BE1">
      <w:pPr>
        <w:rPr>
          <w:rFonts w:ascii="Times" w:hAnsi="Times"/>
        </w:rPr>
      </w:pPr>
      <w:r w:rsidRPr="00D23BF1">
        <w:rPr>
          <w:rFonts w:ascii="Times" w:hAnsi="Times"/>
          <w:b/>
          <w:bCs/>
        </w:rPr>
        <w:t>Figure 16</w:t>
      </w:r>
      <w:r w:rsidR="00556C82" w:rsidRPr="00D23BF1">
        <w:rPr>
          <w:rFonts w:ascii="Times" w:hAnsi="Times"/>
          <w:b/>
          <w:bCs/>
        </w:rPr>
        <w:t>.</w:t>
      </w:r>
      <w:r w:rsidRPr="00D23BF1">
        <w:rPr>
          <w:rFonts w:ascii="Times" w:hAnsi="Times"/>
        </w:rPr>
        <w:t xml:space="preserve"> Path analysis results assessing relative contributions of noise treatment, corticosterone (CORT), and food intake to Faith’s phylogenetic diversity. Path analysis figures for other measures of food intake and alpha diversity can be found in the supplemental materials (Figure S2). * indicated significant relationships, gray arrows indicate non-significant relationships. Order of treatment and individual bird nested within sex were included as random effects.</w:t>
      </w:r>
    </w:p>
    <w:p w14:paraId="56D070E9" w14:textId="77777777" w:rsidR="001B0BC0" w:rsidRPr="00D23BF1" w:rsidRDefault="001B0BC0" w:rsidP="00F20BE1">
      <w:pPr>
        <w:rPr>
          <w:rFonts w:ascii="Times" w:hAnsi="Times"/>
        </w:rPr>
      </w:pPr>
    </w:p>
    <w:p w14:paraId="15887D7A" w14:textId="77777777" w:rsidR="001B0BC0" w:rsidRPr="00D23BF1" w:rsidRDefault="001B0BC0" w:rsidP="00F20BE1">
      <w:pPr>
        <w:rPr>
          <w:rFonts w:ascii="Times" w:hAnsi="Times"/>
        </w:rPr>
      </w:pPr>
    </w:p>
    <w:p w14:paraId="7AFFBB38" w14:textId="77777777" w:rsidR="00556C82" w:rsidRPr="00D23BF1" w:rsidRDefault="00556C82" w:rsidP="00F20BE1">
      <w:pPr>
        <w:rPr>
          <w:rFonts w:ascii="Times" w:hAnsi="Times"/>
        </w:rPr>
      </w:pPr>
    </w:p>
    <w:p w14:paraId="02D75C33" w14:textId="77777777" w:rsidR="00556C82" w:rsidRPr="00D23BF1" w:rsidRDefault="00556C82" w:rsidP="00F20BE1">
      <w:pPr>
        <w:rPr>
          <w:rFonts w:ascii="Times" w:hAnsi="Times"/>
        </w:rPr>
      </w:pPr>
    </w:p>
    <w:p w14:paraId="55953FC0" w14:textId="77777777" w:rsidR="00556C82" w:rsidRPr="00D23BF1" w:rsidRDefault="00556C82" w:rsidP="00F20BE1">
      <w:pPr>
        <w:rPr>
          <w:rFonts w:ascii="Times" w:hAnsi="Times"/>
        </w:rPr>
      </w:pPr>
    </w:p>
    <w:p w14:paraId="0BC1132F" w14:textId="77777777" w:rsidR="00556C82" w:rsidRPr="00D23BF1" w:rsidRDefault="00556C82" w:rsidP="00F20BE1">
      <w:pPr>
        <w:rPr>
          <w:rFonts w:ascii="Times" w:hAnsi="Times"/>
        </w:rPr>
      </w:pPr>
    </w:p>
    <w:p w14:paraId="51BF284A" w14:textId="77777777" w:rsidR="00556C82" w:rsidRPr="00D23BF1" w:rsidRDefault="00556C82" w:rsidP="00F20BE1">
      <w:pPr>
        <w:rPr>
          <w:rFonts w:ascii="Times" w:hAnsi="Times"/>
        </w:rPr>
      </w:pPr>
    </w:p>
    <w:p w14:paraId="2BC7F876" w14:textId="77777777" w:rsidR="00556C82" w:rsidRPr="00D23BF1" w:rsidRDefault="00556C82" w:rsidP="00F20BE1">
      <w:pPr>
        <w:rPr>
          <w:rFonts w:ascii="Times" w:hAnsi="Times"/>
        </w:rPr>
      </w:pPr>
    </w:p>
    <w:p w14:paraId="061EE1BA" w14:textId="77777777" w:rsidR="00556C82" w:rsidRPr="00D23BF1" w:rsidRDefault="00556C82" w:rsidP="00F20BE1">
      <w:pPr>
        <w:rPr>
          <w:rFonts w:ascii="Times" w:hAnsi="Times"/>
        </w:rPr>
      </w:pPr>
    </w:p>
    <w:p w14:paraId="753C4D95" w14:textId="77777777" w:rsidR="00556C82" w:rsidRPr="00D23BF1" w:rsidRDefault="00556C82" w:rsidP="00F20BE1">
      <w:pPr>
        <w:rPr>
          <w:rFonts w:ascii="Times" w:hAnsi="Times"/>
        </w:rPr>
      </w:pPr>
    </w:p>
    <w:p w14:paraId="3ABDBA6F" w14:textId="77777777" w:rsidR="00556C82" w:rsidRPr="00D23BF1" w:rsidRDefault="00556C82" w:rsidP="00F20BE1">
      <w:pPr>
        <w:rPr>
          <w:rFonts w:ascii="Times" w:hAnsi="Times"/>
        </w:rPr>
      </w:pPr>
    </w:p>
    <w:p w14:paraId="30427B33" w14:textId="257954FA" w:rsidR="001B0BC0" w:rsidRPr="00D23BF1" w:rsidRDefault="001B0BC0" w:rsidP="00F20BE1">
      <w:pPr>
        <w:rPr>
          <w:rFonts w:ascii="Times" w:hAnsi="Times"/>
        </w:rPr>
      </w:pPr>
      <w:r w:rsidRPr="00D23BF1">
        <w:rPr>
          <w:rFonts w:ascii="Times" w:hAnsi="Times"/>
          <w:noProof/>
        </w:rPr>
        <w:lastRenderedPageBreak/>
        <w:drawing>
          <wp:inline distT="0" distB="0" distL="0" distR="0" wp14:anchorId="618FCE97" wp14:editId="64F552CA">
            <wp:extent cx="4316819" cy="3460590"/>
            <wp:effectExtent l="0" t="0" r="1270" b="0"/>
            <wp:docPr id="18" name="Picture 1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rt~treatment_ordersSplit.png"/>
                    <pic:cNvPicPr/>
                  </pic:nvPicPr>
                  <pic:blipFill>
                    <a:blip r:embed="rId38">
                      <a:extLst>
                        <a:ext uri="{28A0092B-C50C-407E-A947-70E740481C1C}">
                          <a14:useLocalDpi xmlns:a14="http://schemas.microsoft.com/office/drawing/2010/main" val="0"/>
                        </a:ext>
                      </a:extLst>
                    </a:blip>
                    <a:stretch>
                      <a:fillRect/>
                    </a:stretch>
                  </pic:blipFill>
                  <pic:spPr>
                    <a:xfrm>
                      <a:off x="0" y="0"/>
                      <a:ext cx="4335009" cy="3475172"/>
                    </a:xfrm>
                    <a:prstGeom prst="rect">
                      <a:avLst/>
                    </a:prstGeom>
                  </pic:spPr>
                </pic:pic>
              </a:graphicData>
            </a:graphic>
          </wp:inline>
        </w:drawing>
      </w:r>
    </w:p>
    <w:p w14:paraId="017D311E" w14:textId="7AFBC3EE" w:rsidR="001B0BC0" w:rsidRPr="00D23BF1" w:rsidRDefault="001B0BC0" w:rsidP="00F20BE1">
      <w:pPr>
        <w:rPr>
          <w:rFonts w:ascii="Times" w:hAnsi="Times"/>
        </w:rPr>
      </w:pPr>
      <w:r w:rsidRPr="00D23BF1">
        <w:rPr>
          <w:rFonts w:ascii="Times" w:hAnsi="Times"/>
          <w:b/>
          <w:bCs/>
        </w:rPr>
        <w:t>Figure 17</w:t>
      </w:r>
      <w:r w:rsidR="00556C82" w:rsidRPr="00D23BF1">
        <w:rPr>
          <w:rFonts w:ascii="Times" w:hAnsi="Times"/>
          <w:b/>
          <w:bCs/>
        </w:rPr>
        <w:t>.</w:t>
      </w:r>
      <w:r w:rsidRPr="00D23BF1">
        <w:rPr>
          <w:rFonts w:ascii="Times" w:hAnsi="Times"/>
        </w:rPr>
        <w:t xml:space="preserve"> CORT response to noise treatment by order of treatment received (A=acclimation, C=control, N=noise, R=Recovery). Noise exposure has an effect on corticosterone levels and does not return to normal after noise playback has stopped.</w:t>
      </w:r>
    </w:p>
    <w:p w14:paraId="3AD1FA5B" w14:textId="77777777" w:rsidR="001B0BC0" w:rsidRPr="00D23BF1" w:rsidRDefault="001B0BC0" w:rsidP="00F20BE1">
      <w:pPr>
        <w:rPr>
          <w:rFonts w:ascii="Times" w:hAnsi="Times"/>
        </w:rPr>
      </w:pPr>
    </w:p>
    <w:p w14:paraId="247E4037" w14:textId="77777777" w:rsidR="001B0BC0" w:rsidRPr="00D23BF1" w:rsidRDefault="001B0BC0" w:rsidP="00F20BE1">
      <w:pPr>
        <w:rPr>
          <w:rFonts w:ascii="Times" w:hAnsi="Times"/>
        </w:rPr>
      </w:pPr>
      <w:r w:rsidRPr="00D23BF1">
        <w:rPr>
          <w:rFonts w:ascii="Times" w:hAnsi="Times"/>
          <w:noProof/>
        </w:rPr>
        <w:lastRenderedPageBreak/>
        <w:drawing>
          <wp:inline distT="0" distB="0" distL="0" distR="0" wp14:anchorId="32760AB7" wp14:editId="7585E791">
            <wp:extent cx="5317958" cy="5317958"/>
            <wp:effectExtent l="0" t="0" r="3810" b="3810"/>
            <wp:docPr id="19" name="Picture 1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box and whisker chart&#10;&#10;Description automatically generated"/>
                    <pic:cNvPicPr/>
                  </pic:nvPicPr>
                  <pic:blipFill>
                    <a:blip r:embed="rId39"/>
                    <a:stretch>
                      <a:fillRect/>
                    </a:stretch>
                  </pic:blipFill>
                  <pic:spPr>
                    <a:xfrm>
                      <a:off x="0" y="0"/>
                      <a:ext cx="5334921" cy="5334921"/>
                    </a:xfrm>
                    <a:prstGeom prst="rect">
                      <a:avLst/>
                    </a:prstGeom>
                  </pic:spPr>
                </pic:pic>
              </a:graphicData>
            </a:graphic>
          </wp:inline>
        </w:drawing>
      </w:r>
      <w:r w:rsidRPr="00D23BF1">
        <w:rPr>
          <w:rFonts w:ascii="Times" w:hAnsi="Times"/>
          <w:noProof/>
        </w:rPr>
        <w:drawing>
          <wp:anchor distT="0" distB="0" distL="114300" distR="114300" simplePos="0" relativeHeight="251659264" behindDoc="0" locked="0" layoutInCell="1" allowOverlap="1" wp14:anchorId="2D11A4C1" wp14:editId="18EA5C5A">
            <wp:simplePos x="0" y="0"/>
            <wp:positionH relativeFrom="column">
              <wp:posOffset>2536825</wp:posOffset>
            </wp:positionH>
            <wp:positionV relativeFrom="paragraph">
              <wp:posOffset>2849390</wp:posOffset>
            </wp:positionV>
            <wp:extent cx="2672080" cy="2120900"/>
            <wp:effectExtent l="0" t="0" r="0" b="0"/>
            <wp:wrapNone/>
            <wp:docPr id="20" name="Picture 3" descr="A white bird with a black background&#10;&#10;Description automatically generated with medium confidence">
              <a:extLst xmlns:a="http://schemas.openxmlformats.org/drawingml/2006/main">
                <a:ext uri="{FF2B5EF4-FFF2-40B4-BE49-F238E27FC236}">
                  <a16:creationId xmlns:a16="http://schemas.microsoft.com/office/drawing/2014/main" id="{879DFE3B-3FBA-DF4D-BDED-66B6EEA776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3" descr="A white bird with a black background&#10;&#10;Description automatically generated with medium confidence">
                      <a:extLst>
                        <a:ext uri="{FF2B5EF4-FFF2-40B4-BE49-F238E27FC236}">
                          <a16:creationId xmlns:a16="http://schemas.microsoft.com/office/drawing/2014/main" id="{879DFE3B-3FBA-DF4D-BDED-66B6EEA776F2}"/>
                        </a:ext>
                      </a:extLst>
                    </pic:cNvPr>
                    <pic:cNvPicPr>
                      <a:picLocks noChangeAspect="1"/>
                    </pic:cNvPicPr>
                  </pic:nvPicPr>
                  <pic:blipFill rotWithShape="1">
                    <a:blip r:embed="rId40"/>
                    <a:srcRect l="12731" t="16807" r="11694" b="3148"/>
                    <a:stretch/>
                  </pic:blipFill>
                  <pic:spPr bwMode="auto">
                    <a:xfrm>
                      <a:off x="0" y="0"/>
                      <a:ext cx="2672080" cy="2120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72440B" w14:textId="06974690" w:rsidR="001B0BC0" w:rsidRPr="00D23BF1" w:rsidRDefault="001B0BC0" w:rsidP="00F20BE1">
      <w:pPr>
        <w:rPr>
          <w:rFonts w:ascii="Times" w:hAnsi="Times"/>
        </w:rPr>
      </w:pPr>
      <w:r w:rsidRPr="00D23BF1">
        <w:rPr>
          <w:rFonts w:ascii="Times" w:hAnsi="Times"/>
          <w:b/>
          <w:bCs/>
        </w:rPr>
        <w:t>Figure 18</w:t>
      </w:r>
      <w:r w:rsidR="00556C82" w:rsidRPr="00D23BF1">
        <w:rPr>
          <w:rFonts w:ascii="Times" w:hAnsi="Times"/>
          <w:b/>
          <w:bCs/>
        </w:rPr>
        <w:t>.</w:t>
      </w:r>
      <w:r w:rsidRPr="00D23BF1">
        <w:rPr>
          <w:rFonts w:ascii="Times" w:hAnsi="Times"/>
        </w:rPr>
        <w:t xml:space="preserve"> Food intake for each treatment a) in the morning during noise playback for noise treatment, b) in the afternoon after noise playback for noise treatment, c) all day food intake. Black points indicate outliers.</w:t>
      </w:r>
    </w:p>
    <w:p w14:paraId="513823D0" w14:textId="09BEFD0C" w:rsidR="00D23BF1" w:rsidRDefault="00D23BF1">
      <w:pPr>
        <w:rPr>
          <w:rFonts w:ascii="Times" w:hAnsi="Times"/>
        </w:rPr>
      </w:pPr>
      <w:r w:rsidRPr="00D23BF1">
        <w:rPr>
          <w:rFonts w:ascii="Times" w:hAnsi="Times"/>
        </w:rPr>
        <w:br w:type="page"/>
      </w:r>
    </w:p>
    <w:p w14:paraId="7EFE5B1F" w14:textId="23D249B7" w:rsidR="00586C22" w:rsidRDefault="0049322E">
      <w:pPr>
        <w:rPr>
          <w:rFonts w:ascii="Times" w:hAnsi="Times"/>
        </w:rPr>
      </w:pPr>
      <w:r w:rsidRPr="0049322E">
        <w:rPr>
          <w:rFonts w:ascii="Times" w:hAnsi="Times"/>
          <w:noProof/>
        </w:rPr>
        <w:lastRenderedPageBreak/>
        <w:drawing>
          <wp:inline distT="0" distB="0" distL="0" distR="0" wp14:anchorId="5562C3C0" wp14:editId="3215B3A8">
            <wp:extent cx="5943600" cy="3161030"/>
            <wp:effectExtent l="0" t="0" r="0" b="0"/>
            <wp:docPr id="33" name="Picture 10" descr="A close up of a logo&#10;&#10;Description automatically generated">
              <a:extLst xmlns:a="http://schemas.openxmlformats.org/drawingml/2006/main">
                <a:ext uri="{FF2B5EF4-FFF2-40B4-BE49-F238E27FC236}">
                  <a16:creationId xmlns:a16="http://schemas.microsoft.com/office/drawing/2014/main" id="{98D076EE-031B-7847-955B-93631FEDB1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lose up of a logo&#10;&#10;Description automatically generated">
                      <a:extLst>
                        <a:ext uri="{FF2B5EF4-FFF2-40B4-BE49-F238E27FC236}">
                          <a16:creationId xmlns:a16="http://schemas.microsoft.com/office/drawing/2014/main" id="{98D076EE-031B-7847-955B-93631FEDB18C}"/>
                        </a:ext>
                      </a:extLst>
                    </pic:cNvPr>
                    <pic:cNvPicPr>
                      <a:picLocks noChangeAspect="1"/>
                    </pic:cNvPicPr>
                  </pic:nvPicPr>
                  <pic:blipFill>
                    <a:blip r:embed="rId41"/>
                    <a:stretch>
                      <a:fillRect/>
                    </a:stretch>
                  </pic:blipFill>
                  <pic:spPr>
                    <a:xfrm>
                      <a:off x="0" y="0"/>
                      <a:ext cx="5943600" cy="3161030"/>
                    </a:xfrm>
                    <a:prstGeom prst="rect">
                      <a:avLst/>
                    </a:prstGeom>
                  </pic:spPr>
                </pic:pic>
              </a:graphicData>
            </a:graphic>
          </wp:inline>
        </w:drawing>
      </w:r>
    </w:p>
    <w:p w14:paraId="704F28FA" w14:textId="3878651C" w:rsidR="00586C22" w:rsidRDefault="00586C22">
      <w:pPr>
        <w:rPr>
          <w:rFonts w:ascii="Times" w:hAnsi="Times"/>
        </w:rPr>
      </w:pPr>
    </w:p>
    <w:p w14:paraId="0D25AC39" w14:textId="2FF928C4" w:rsidR="00586C22" w:rsidRPr="00D23BF1" w:rsidRDefault="00586C22">
      <w:pPr>
        <w:rPr>
          <w:rFonts w:ascii="Times" w:hAnsi="Times"/>
        </w:rPr>
      </w:pPr>
      <w:r>
        <w:rPr>
          <w:rFonts w:ascii="Times" w:hAnsi="Times"/>
          <w:b/>
          <w:bCs/>
        </w:rPr>
        <w:t xml:space="preserve">Figure 19. </w:t>
      </w:r>
      <w:r w:rsidR="0049322E">
        <w:rPr>
          <w:rFonts w:ascii="Times" w:hAnsi="Times"/>
        </w:rPr>
        <w:t xml:space="preserve">Figure inspired by </w:t>
      </w:r>
      <w:proofErr w:type="spellStart"/>
      <w:r w:rsidR="0049322E">
        <w:rPr>
          <w:rFonts w:ascii="Times" w:hAnsi="Times"/>
        </w:rPr>
        <w:t>Sih</w:t>
      </w:r>
      <w:proofErr w:type="spellEnd"/>
      <w:r w:rsidR="0049322E">
        <w:rPr>
          <w:rFonts w:ascii="Times" w:hAnsi="Times"/>
        </w:rPr>
        <w:t xml:space="preserve"> 2011. Gut microbiomes could be viewed as a plastic trait, that may play a role in an animal’s ability to respond to human induced rapid environmental change. Similar to previous frameworks presented about the role of behavior as a plastic trait influencing how animals respond to human development, our understanding of the physiological capacities and limitations on adaptation to urbanization might benefit from considering microbiomes in a similar way.</w:t>
      </w:r>
      <w:r>
        <w:rPr>
          <w:rFonts w:ascii="Times" w:hAnsi="Times"/>
        </w:rPr>
        <w:br w:type="page"/>
      </w:r>
    </w:p>
    <w:p w14:paraId="6F9D2DE4" w14:textId="51517B07" w:rsidR="00CA3F29" w:rsidRPr="00D23BF1" w:rsidRDefault="00D23BF1" w:rsidP="00D23BF1">
      <w:pPr>
        <w:pStyle w:val="Heading1"/>
      </w:pPr>
      <w:bookmarkStart w:id="147" w:name="_Toc69972898"/>
      <w:r w:rsidRPr="00D23BF1">
        <w:lastRenderedPageBreak/>
        <w:t>Vita</w:t>
      </w:r>
      <w:bookmarkEnd w:id="147"/>
    </w:p>
    <w:p w14:paraId="61EAB6AC" w14:textId="046ECD2A" w:rsidR="00D23BF1" w:rsidRPr="00D23BF1" w:rsidRDefault="00D23BF1" w:rsidP="00D23BF1">
      <w:pPr>
        <w:rPr>
          <w:rFonts w:ascii="Times" w:hAnsi="Times"/>
        </w:rPr>
      </w:pPr>
    </w:p>
    <w:p w14:paraId="624BB740" w14:textId="42863B77" w:rsidR="00D23BF1" w:rsidRPr="00D23BF1" w:rsidRDefault="00D23BF1" w:rsidP="00D23BF1">
      <w:pPr>
        <w:rPr>
          <w:rFonts w:ascii="Times" w:hAnsi="Times"/>
        </w:rPr>
      </w:pPr>
      <w:r w:rsidRPr="00D23BF1">
        <w:rPr>
          <w:rFonts w:ascii="Times" w:hAnsi="Times"/>
        </w:rPr>
        <w:t xml:space="preserve">Mae is interested in </w:t>
      </w:r>
      <w:r>
        <w:rPr>
          <w:rFonts w:ascii="Times" w:hAnsi="Times"/>
        </w:rPr>
        <w:t xml:space="preserve">the role played by microbiota in urban ecology and other kinds of landscape change. </w:t>
      </w:r>
    </w:p>
    <w:p w14:paraId="0DC1F35C" w14:textId="5E2ADE50" w:rsidR="00D23BF1" w:rsidRPr="00D23BF1" w:rsidRDefault="00D23BF1" w:rsidP="00CE2FB7">
      <w:pPr>
        <w:ind w:firstLine="720"/>
        <w:rPr>
          <w:rFonts w:ascii="Times" w:hAnsi="Times"/>
        </w:rPr>
      </w:pPr>
      <w:r w:rsidRPr="00D23BF1">
        <w:rPr>
          <w:rFonts w:ascii="Times" w:hAnsi="Times"/>
        </w:rPr>
        <w:t xml:space="preserve">Mae received her Bachelor of Science degree in Conservation Biology at Warren Wilson College, where she worked on the effects of stream contaminants on fish morphology and growth. She then worked as a joint research assistant for the Derryberry and Van </w:t>
      </w:r>
      <w:proofErr w:type="spellStart"/>
      <w:r w:rsidRPr="00D23BF1">
        <w:rPr>
          <w:rFonts w:ascii="Times" w:hAnsi="Times"/>
        </w:rPr>
        <w:t>Bael</w:t>
      </w:r>
      <w:proofErr w:type="spellEnd"/>
      <w:r w:rsidRPr="00D23BF1">
        <w:rPr>
          <w:rFonts w:ascii="Times" w:hAnsi="Times"/>
        </w:rPr>
        <w:t xml:space="preserve"> labs before joining the Derryberry lab in 2015 to start her Ph.D. </w:t>
      </w:r>
      <w:r>
        <w:rPr>
          <w:rFonts w:ascii="Times" w:hAnsi="Times"/>
        </w:rPr>
        <w:t xml:space="preserve">Her dissertation research focused on </w:t>
      </w:r>
      <w:r w:rsidRPr="00D23BF1">
        <w:rPr>
          <w:rFonts w:ascii="Times" w:hAnsi="Times"/>
        </w:rPr>
        <w:t>avian gut microbial diversity and effects of shifts in gut microbial community on avian behavior.</w:t>
      </w:r>
    </w:p>
    <w:p w14:paraId="29C16E38" w14:textId="77777777" w:rsidR="00D23BF1" w:rsidRPr="00D23BF1" w:rsidRDefault="00D23BF1" w:rsidP="00D23BF1">
      <w:pPr>
        <w:rPr>
          <w:rFonts w:ascii="Times" w:hAnsi="Times"/>
        </w:rPr>
      </w:pPr>
    </w:p>
    <w:sectPr w:rsidR="00D23BF1" w:rsidRPr="00D23BF1" w:rsidSect="00BA538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98782" w14:textId="77777777" w:rsidR="00C37DB3" w:rsidRDefault="00C37DB3" w:rsidP="008D5EB5">
      <w:r>
        <w:separator/>
      </w:r>
    </w:p>
  </w:endnote>
  <w:endnote w:type="continuationSeparator" w:id="0">
    <w:p w14:paraId="7A948661" w14:textId="77777777" w:rsidR="00C37DB3" w:rsidRDefault="00C37DB3" w:rsidP="008D5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uperclarendon Regular">
    <w:altName w:val="Superclarendon"/>
    <w:charset w:val="4D"/>
    <w:family w:val="roman"/>
    <w:pitch w:val="variable"/>
    <w:sig w:usb0="A00000EF" w:usb1="5000205A" w:usb2="00000000" w:usb3="00000000" w:csb0="00000183"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Times">
    <w:altName w:val="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89886334"/>
      <w:docPartObj>
        <w:docPartGallery w:val="Page Numbers (Bottom of Page)"/>
        <w:docPartUnique/>
      </w:docPartObj>
    </w:sdtPr>
    <w:sdtEndPr>
      <w:rPr>
        <w:rStyle w:val="PageNumber"/>
      </w:rPr>
    </w:sdtEndPr>
    <w:sdtContent>
      <w:p w14:paraId="5FC1DE48" w14:textId="77777777" w:rsidR="008F56A9" w:rsidRDefault="008F56A9" w:rsidP="001D74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796CC3" w14:textId="77777777" w:rsidR="008F56A9" w:rsidRDefault="008F56A9" w:rsidP="003150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13289170"/>
      <w:docPartObj>
        <w:docPartGallery w:val="Page Numbers (Bottom of Page)"/>
        <w:docPartUnique/>
      </w:docPartObj>
    </w:sdtPr>
    <w:sdtEndPr>
      <w:rPr>
        <w:rStyle w:val="PageNumber"/>
      </w:rPr>
    </w:sdtEndPr>
    <w:sdtContent>
      <w:p w14:paraId="79579E0C" w14:textId="4D92EFE8" w:rsidR="008F56A9" w:rsidRDefault="008F56A9" w:rsidP="001D74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5CD943BD" w14:textId="77777777" w:rsidR="008F56A9" w:rsidRDefault="008F56A9" w:rsidP="003150C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39924453"/>
      <w:docPartObj>
        <w:docPartGallery w:val="Page Numbers (Bottom of Page)"/>
        <w:docPartUnique/>
      </w:docPartObj>
    </w:sdtPr>
    <w:sdtEndPr>
      <w:rPr>
        <w:rStyle w:val="PageNumber"/>
      </w:rPr>
    </w:sdtEndPr>
    <w:sdtContent>
      <w:p w14:paraId="3987A73C" w14:textId="77777777" w:rsidR="00041ADB" w:rsidRDefault="00041ADB" w:rsidP="001D74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2781F7" w14:textId="77777777" w:rsidR="00041ADB" w:rsidRDefault="00041ADB" w:rsidP="003150C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16194349"/>
      <w:docPartObj>
        <w:docPartGallery w:val="Page Numbers (Bottom of Page)"/>
        <w:docPartUnique/>
      </w:docPartObj>
    </w:sdtPr>
    <w:sdtEndPr>
      <w:rPr>
        <w:rStyle w:val="PageNumber"/>
      </w:rPr>
    </w:sdtEndPr>
    <w:sdtContent>
      <w:p w14:paraId="2FFDA168" w14:textId="781A9CB2" w:rsidR="001D74DB" w:rsidRDefault="001D74DB" w:rsidP="00274D03">
        <w:pPr>
          <w:pStyle w:val="Footer"/>
          <w:framePr w:wrap="around" w:hAnchor="margin" w:xAlign="right" w:yAlign="bottom"/>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BAC4EF6" w14:textId="77777777" w:rsidR="00041ADB" w:rsidRDefault="00041ADB" w:rsidP="003150C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31658C" w14:textId="77777777" w:rsidR="00C37DB3" w:rsidRDefault="00C37DB3" w:rsidP="008D5EB5">
      <w:r>
        <w:separator/>
      </w:r>
    </w:p>
  </w:footnote>
  <w:footnote w:type="continuationSeparator" w:id="0">
    <w:p w14:paraId="003DE401" w14:textId="77777777" w:rsidR="00C37DB3" w:rsidRDefault="00C37DB3" w:rsidP="008D5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84255513"/>
      <w:docPartObj>
        <w:docPartGallery w:val="Page Numbers (Top of Page)"/>
        <w:docPartUnique/>
      </w:docPartObj>
    </w:sdtPr>
    <w:sdtEndPr>
      <w:rPr>
        <w:rStyle w:val="PageNumber"/>
      </w:rPr>
    </w:sdtEndPr>
    <w:sdtContent>
      <w:p w14:paraId="37E78020" w14:textId="77777777" w:rsidR="00BA538C" w:rsidRDefault="00BA538C" w:rsidP="003150C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2B14D4" w14:textId="77777777" w:rsidR="00BA538C" w:rsidRDefault="00BA538C" w:rsidP="003150C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6FE95" w14:textId="77777777" w:rsidR="00BA538C" w:rsidRDefault="00BA538C" w:rsidP="003150CF">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05834493"/>
      <w:docPartObj>
        <w:docPartGallery w:val="Page Numbers (Top of Page)"/>
        <w:docPartUnique/>
      </w:docPartObj>
    </w:sdtPr>
    <w:sdtEndPr>
      <w:rPr>
        <w:rStyle w:val="PageNumber"/>
      </w:rPr>
    </w:sdtEndPr>
    <w:sdtContent>
      <w:p w14:paraId="49AC3306" w14:textId="77777777" w:rsidR="008F56A9" w:rsidRDefault="008F56A9" w:rsidP="003150C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2E4897" w14:textId="77777777" w:rsidR="008F56A9" w:rsidRDefault="008F56A9" w:rsidP="003150CF">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4FAD4" w14:textId="77777777" w:rsidR="008F56A9" w:rsidRDefault="008F56A9" w:rsidP="003150CF">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73290706"/>
      <w:docPartObj>
        <w:docPartGallery w:val="Page Numbers (Top of Page)"/>
        <w:docPartUnique/>
      </w:docPartObj>
    </w:sdtPr>
    <w:sdtEndPr>
      <w:rPr>
        <w:rStyle w:val="PageNumber"/>
      </w:rPr>
    </w:sdtEndPr>
    <w:sdtContent>
      <w:p w14:paraId="66ADA3ED" w14:textId="77777777" w:rsidR="001B0BC0" w:rsidRDefault="001B0BC0" w:rsidP="003150C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76B695" w14:textId="77777777" w:rsidR="001B0BC0" w:rsidRDefault="001B0BC0" w:rsidP="003150CF">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46639" w14:textId="77777777" w:rsidR="001B0BC0" w:rsidRDefault="001B0BC0" w:rsidP="003150CF">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48D8DCA2"/>
    <w:lvl w:ilvl="0" w:tplc="00000001">
      <w:start w:val="1"/>
      <w:numFmt w:val="bullet"/>
      <w:lvlText w:val="⁃"/>
      <w:lvlJc w:val="left"/>
      <w:pPr>
        <w:ind w:left="720" w:hanging="360"/>
      </w:pPr>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04090001">
      <w:start w:val="1"/>
      <w:numFmt w:val="bullet"/>
      <w:lvlText w:val=""/>
      <w:lvlJc w:val="left"/>
      <w:pPr>
        <w:ind w:left="360" w:hanging="360"/>
      </w:pPr>
      <w:rPr>
        <w:rFonts w:ascii="Symbol" w:hAnsi="Symbol" w:hint="default"/>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7D5436"/>
    <w:multiLevelType w:val="hybridMultilevel"/>
    <w:tmpl w:val="4ABA11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B81B27"/>
    <w:multiLevelType w:val="hybridMultilevel"/>
    <w:tmpl w:val="89F2710A"/>
    <w:lvl w:ilvl="0" w:tplc="C5A043CE">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E8B16B9"/>
    <w:multiLevelType w:val="hybridMultilevel"/>
    <w:tmpl w:val="FEC2F8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20CE0"/>
    <w:multiLevelType w:val="hybridMultilevel"/>
    <w:tmpl w:val="7C84623A"/>
    <w:lvl w:ilvl="0" w:tplc="A4D8A3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C17E2"/>
    <w:multiLevelType w:val="hybridMultilevel"/>
    <w:tmpl w:val="C67AD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B5D4C"/>
    <w:multiLevelType w:val="hybridMultilevel"/>
    <w:tmpl w:val="D8A0FB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B30BD1"/>
    <w:multiLevelType w:val="hybridMultilevel"/>
    <w:tmpl w:val="E3A23A3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FDE2EDA"/>
    <w:multiLevelType w:val="hybridMultilevel"/>
    <w:tmpl w:val="3F1CA78A"/>
    <w:lvl w:ilvl="0" w:tplc="974264D4">
      <w:start w:val="1"/>
      <w:numFmt w:val="bullet"/>
      <w:lvlText w:val="»"/>
      <w:lvlJc w:val="left"/>
      <w:pPr>
        <w:ind w:left="720" w:hanging="360"/>
      </w:pPr>
      <w:rPr>
        <w:rFonts w:ascii="Superclarendon Regular" w:hAnsi="Superclarendon Regular"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C300AD"/>
    <w:multiLevelType w:val="hybridMultilevel"/>
    <w:tmpl w:val="678A9A7E"/>
    <w:lvl w:ilvl="0" w:tplc="5B72C27A">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EF703A1"/>
    <w:multiLevelType w:val="hybridMultilevel"/>
    <w:tmpl w:val="D370EF48"/>
    <w:lvl w:ilvl="0" w:tplc="974264D4">
      <w:start w:val="1"/>
      <w:numFmt w:val="bullet"/>
      <w:lvlText w:val="»"/>
      <w:lvlJc w:val="left"/>
      <w:pPr>
        <w:ind w:left="720" w:hanging="360"/>
      </w:pPr>
      <w:rPr>
        <w:rFonts w:ascii="Superclarendon Regular" w:hAnsi="Superclarendon Regular"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2F3297"/>
    <w:multiLevelType w:val="hybridMultilevel"/>
    <w:tmpl w:val="4E8CA200"/>
    <w:lvl w:ilvl="0" w:tplc="3A648F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0E38E4"/>
    <w:multiLevelType w:val="hybridMultilevel"/>
    <w:tmpl w:val="8BCC9A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EE2D99"/>
    <w:multiLevelType w:val="hybridMultilevel"/>
    <w:tmpl w:val="E9D04FB8"/>
    <w:lvl w:ilvl="0" w:tplc="63B221E6">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38A5732"/>
    <w:multiLevelType w:val="hybridMultilevel"/>
    <w:tmpl w:val="A6DA7D4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3F96F76"/>
    <w:multiLevelType w:val="multilevel"/>
    <w:tmpl w:val="89E810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6843F78"/>
    <w:multiLevelType w:val="hybridMultilevel"/>
    <w:tmpl w:val="D6FAC9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741B4A"/>
    <w:multiLevelType w:val="hybridMultilevel"/>
    <w:tmpl w:val="2662C490"/>
    <w:lvl w:ilvl="0" w:tplc="9A96F136">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991657B"/>
    <w:multiLevelType w:val="multilevel"/>
    <w:tmpl w:val="181E8270"/>
    <w:lvl w:ilvl="0">
      <w:start w:val="1"/>
      <w:numFmt w:val="bullet"/>
      <w:lvlText w:val=""/>
      <w:lvlJc w:val="left"/>
      <w:pPr>
        <w:ind w:left="720" w:hanging="360"/>
      </w:pPr>
      <w:rPr>
        <w:rFonts w:ascii="Symbol" w:hAnsi="Symbol" w:hint="default"/>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B080AA6"/>
    <w:multiLevelType w:val="multilevel"/>
    <w:tmpl w:val="4B1CCF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E120FCC"/>
    <w:multiLevelType w:val="hybridMultilevel"/>
    <w:tmpl w:val="827C45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9BA5D50"/>
    <w:multiLevelType w:val="hybridMultilevel"/>
    <w:tmpl w:val="44C0E2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E6721B7"/>
    <w:multiLevelType w:val="hybridMultilevel"/>
    <w:tmpl w:val="590CAA04"/>
    <w:lvl w:ilvl="0" w:tplc="5574D4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3"/>
  </w:num>
  <w:num w:numId="3">
    <w:abstractNumId w:val="15"/>
  </w:num>
  <w:num w:numId="4">
    <w:abstractNumId w:val="19"/>
  </w:num>
  <w:num w:numId="5">
    <w:abstractNumId w:val="18"/>
  </w:num>
  <w:num w:numId="6">
    <w:abstractNumId w:val="5"/>
  </w:num>
  <w:num w:numId="7">
    <w:abstractNumId w:val="10"/>
  </w:num>
  <w:num w:numId="8">
    <w:abstractNumId w:val="8"/>
  </w:num>
  <w:num w:numId="9">
    <w:abstractNumId w:val="9"/>
  </w:num>
  <w:num w:numId="10">
    <w:abstractNumId w:val="2"/>
  </w:num>
  <w:num w:numId="11">
    <w:abstractNumId w:val="13"/>
  </w:num>
  <w:num w:numId="12">
    <w:abstractNumId w:val="17"/>
  </w:num>
  <w:num w:numId="13">
    <w:abstractNumId w:val="7"/>
  </w:num>
  <w:num w:numId="14">
    <w:abstractNumId w:val="14"/>
  </w:num>
  <w:num w:numId="15">
    <w:abstractNumId w:val="22"/>
  </w:num>
  <w:num w:numId="16">
    <w:abstractNumId w:val="0"/>
  </w:num>
  <w:num w:numId="17">
    <w:abstractNumId w:val="4"/>
  </w:num>
  <w:num w:numId="18">
    <w:abstractNumId w:val="1"/>
  </w:num>
  <w:num w:numId="19">
    <w:abstractNumId w:val="21"/>
  </w:num>
  <w:num w:numId="20">
    <w:abstractNumId w:val="12"/>
  </w:num>
  <w:num w:numId="21">
    <w:abstractNumId w:val="20"/>
  </w:num>
  <w:num w:numId="22">
    <w:abstractNumId w:val="6"/>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F29"/>
    <w:rsid w:val="000416D8"/>
    <w:rsid w:val="00041ADB"/>
    <w:rsid w:val="000C48F0"/>
    <w:rsid w:val="001B0BC0"/>
    <w:rsid w:val="001D74DB"/>
    <w:rsid w:val="002123A2"/>
    <w:rsid w:val="00240FA4"/>
    <w:rsid w:val="002523D7"/>
    <w:rsid w:val="00271E5B"/>
    <w:rsid w:val="00274D03"/>
    <w:rsid w:val="00283345"/>
    <w:rsid w:val="002853E6"/>
    <w:rsid w:val="002B3D57"/>
    <w:rsid w:val="002D0663"/>
    <w:rsid w:val="002F33C5"/>
    <w:rsid w:val="003150CF"/>
    <w:rsid w:val="00356E45"/>
    <w:rsid w:val="0038471E"/>
    <w:rsid w:val="00390131"/>
    <w:rsid w:val="004273A0"/>
    <w:rsid w:val="00427682"/>
    <w:rsid w:val="00447B9D"/>
    <w:rsid w:val="0049322E"/>
    <w:rsid w:val="004B4064"/>
    <w:rsid w:val="00556C82"/>
    <w:rsid w:val="00586C22"/>
    <w:rsid w:val="005D1D02"/>
    <w:rsid w:val="005D64F1"/>
    <w:rsid w:val="00624BF5"/>
    <w:rsid w:val="00636F87"/>
    <w:rsid w:val="00656D3D"/>
    <w:rsid w:val="00675C23"/>
    <w:rsid w:val="007065AE"/>
    <w:rsid w:val="00723586"/>
    <w:rsid w:val="007C0178"/>
    <w:rsid w:val="007C49E7"/>
    <w:rsid w:val="00845600"/>
    <w:rsid w:val="008A5F36"/>
    <w:rsid w:val="008D5EB5"/>
    <w:rsid w:val="008F56A9"/>
    <w:rsid w:val="00932263"/>
    <w:rsid w:val="009A609E"/>
    <w:rsid w:val="009E4AFE"/>
    <w:rsid w:val="009F104E"/>
    <w:rsid w:val="00A16A61"/>
    <w:rsid w:val="00AF79B2"/>
    <w:rsid w:val="00B21E95"/>
    <w:rsid w:val="00B2535D"/>
    <w:rsid w:val="00B36955"/>
    <w:rsid w:val="00BA538C"/>
    <w:rsid w:val="00BC0092"/>
    <w:rsid w:val="00BE4855"/>
    <w:rsid w:val="00C37DB3"/>
    <w:rsid w:val="00C4495D"/>
    <w:rsid w:val="00CA3F29"/>
    <w:rsid w:val="00CB14BB"/>
    <w:rsid w:val="00CE2FB7"/>
    <w:rsid w:val="00D23BF1"/>
    <w:rsid w:val="00D93191"/>
    <w:rsid w:val="00D9436C"/>
    <w:rsid w:val="00E74B63"/>
    <w:rsid w:val="00EA2962"/>
    <w:rsid w:val="00F2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8ECA8"/>
  <w15:chartTrackingRefBased/>
  <w15:docId w15:val="{AD934C73-4818-D24B-9ACC-6F4FAA34B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2263"/>
    <w:pPr>
      <w:keepNext/>
      <w:keepLines/>
      <w:jc w:val="center"/>
      <w:outlineLvl w:val="0"/>
    </w:pPr>
    <w:rPr>
      <w:rFonts w:ascii="Times" w:eastAsia="Cambria" w:hAnsi="Times" w:cs="Cambria"/>
      <w:b/>
      <w:szCs w:val="48"/>
    </w:rPr>
  </w:style>
  <w:style w:type="paragraph" w:styleId="Heading2">
    <w:name w:val="heading 2"/>
    <w:basedOn w:val="Normal"/>
    <w:next w:val="Normal"/>
    <w:link w:val="Heading2Char"/>
    <w:uiPriority w:val="9"/>
    <w:unhideWhenUsed/>
    <w:qFormat/>
    <w:rsid w:val="00932263"/>
    <w:pPr>
      <w:keepNext/>
      <w:keepLines/>
      <w:outlineLvl w:val="1"/>
    </w:pPr>
    <w:rPr>
      <w:rFonts w:ascii="Cambria" w:eastAsia="Cambria" w:hAnsi="Cambria" w:cs="Cambria"/>
      <w:szCs w:val="36"/>
      <w:u w:val="single"/>
    </w:rPr>
  </w:style>
  <w:style w:type="paragraph" w:styleId="Heading3">
    <w:name w:val="heading 3"/>
    <w:basedOn w:val="Normal"/>
    <w:next w:val="Normal"/>
    <w:link w:val="Heading3Char"/>
    <w:uiPriority w:val="9"/>
    <w:unhideWhenUsed/>
    <w:qFormat/>
    <w:rsid w:val="00932263"/>
    <w:pPr>
      <w:keepNext/>
      <w:keepLines/>
      <w:outlineLvl w:val="2"/>
    </w:pPr>
    <w:rPr>
      <w:rFonts w:ascii="Cambria" w:eastAsia="Cambria" w:hAnsi="Cambria" w:cs="Cambria"/>
      <w:b/>
      <w:szCs w:val="28"/>
    </w:rPr>
  </w:style>
  <w:style w:type="paragraph" w:styleId="Heading4">
    <w:name w:val="heading 4"/>
    <w:basedOn w:val="Normal"/>
    <w:next w:val="Normal"/>
    <w:link w:val="Heading4Char"/>
    <w:uiPriority w:val="9"/>
    <w:unhideWhenUsed/>
    <w:qFormat/>
    <w:rsid w:val="00932263"/>
    <w:pPr>
      <w:keepNext/>
      <w:keepLines/>
      <w:outlineLvl w:val="3"/>
    </w:pPr>
    <w:rPr>
      <w:rFonts w:ascii="Cambria" w:eastAsia="Cambria" w:hAnsi="Cambria" w:cs="Cambria"/>
      <w:i/>
    </w:rPr>
  </w:style>
  <w:style w:type="paragraph" w:styleId="Heading5">
    <w:name w:val="heading 5"/>
    <w:basedOn w:val="Normal"/>
    <w:next w:val="Normal"/>
    <w:link w:val="Heading5Char"/>
    <w:uiPriority w:val="9"/>
    <w:unhideWhenUsed/>
    <w:qFormat/>
    <w:rsid w:val="003150CF"/>
    <w:pPr>
      <w:keepNext/>
      <w:keepLines/>
      <w:spacing w:before="220" w:after="40"/>
      <w:outlineLvl w:val="4"/>
    </w:pPr>
    <w:rPr>
      <w:rFonts w:ascii="Cambria" w:eastAsia="Cambria" w:hAnsi="Cambria" w:cs="Cambria"/>
      <w:b/>
      <w:sz w:val="22"/>
      <w:szCs w:val="22"/>
    </w:rPr>
  </w:style>
  <w:style w:type="paragraph" w:styleId="Heading6">
    <w:name w:val="heading 6"/>
    <w:basedOn w:val="Normal"/>
    <w:next w:val="Normal"/>
    <w:link w:val="Heading6Char"/>
    <w:uiPriority w:val="9"/>
    <w:unhideWhenUsed/>
    <w:qFormat/>
    <w:rsid w:val="003150CF"/>
    <w:pPr>
      <w:keepNext/>
      <w:keepLines/>
      <w:spacing w:before="200" w:after="40"/>
      <w:outlineLvl w:val="5"/>
    </w:pPr>
    <w:rPr>
      <w:rFonts w:ascii="Cambria" w:eastAsia="Cambria" w:hAnsi="Cambria" w:cs="Cambria"/>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263"/>
    <w:rPr>
      <w:rFonts w:ascii="Times" w:eastAsia="Cambria" w:hAnsi="Times" w:cs="Cambria"/>
      <w:b/>
      <w:szCs w:val="48"/>
    </w:rPr>
  </w:style>
  <w:style w:type="character" w:customStyle="1" w:styleId="Heading2Char">
    <w:name w:val="Heading 2 Char"/>
    <w:basedOn w:val="DefaultParagraphFont"/>
    <w:link w:val="Heading2"/>
    <w:uiPriority w:val="9"/>
    <w:rsid w:val="00932263"/>
    <w:rPr>
      <w:rFonts w:ascii="Cambria" w:eastAsia="Cambria" w:hAnsi="Cambria" w:cs="Cambria"/>
      <w:szCs w:val="36"/>
      <w:u w:val="single"/>
    </w:rPr>
  </w:style>
  <w:style w:type="character" w:customStyle="1" w:styleId="Heading3Char">
    <w:name w:val="Heading 3 Char"/>
    <w:basedOn w:val="DefaultParagraphFont"/>
    <w:link w:val="Heading3"/>
    <w:uiPriority w:val="9"/>
    <w:rsid w:val="00932263"/>
    <w:rPr>
      <w:rFonts w:ascii="Cambria" w:eastAsia="Cambria" w:hAnsi="Cambria" w:cs="Cambria"/>
      <w:b/>
      <w:szCs w:val="28"/>
    </w:rPr>
  </w:style>
  <w:style w:type="character" w:customStyle="1" w:styleId="Heading4Char">
    <w:name w:val="Heading 4 Char"/>
    <w:basedOn w:val="DefaultParagraphFont"/>
    <w:link w:val="Heading4"/>
    <w:uiPriority w:val="9"/>
    <w:rsid w:val="00932263"/>
    <w:rPr>
      <w:rFonts w:ascii="Cambria" w:eastAsia="Cambria" w:hAnsi="Cambria" w:cs="Cambria"/>
      <w:i/>
    </w:rPr>
  </w:style>
  <w:style w:type="character" w:customStyle="1" w:styleId="Heading5Char">
    <w:name w:val="Heading 5 Char"/>
    <w:basedOn w:val="DefaultParagraphFont"/>
    <w:link w:val="Heading5"/>
    <w:uiPriority w:val="9"/>
    <w:semiHidden/>
    <w:rsid w:val="003150CF"/>
    <w:rPr>
      <w:rFonts w:ascii="Cambria" w:eastAsia="Cambria" w:hAnsi="Cambria" w:cs="Cambria"/>
      <w:b/>
      <w:sz w:val="22"/>
      <w:szCs w:val="22"/>
    </w:rPr>
  </w:style>
  <w:style w:type="character" w:customStyle="1" w:styleId="Heading6Char">
    <w:name w:val="Heading 6 Char"/>
    <w:basedOn w:val="DefaultParagraphFont"/>
    <w:link w:val="Heading6"/>
    <w:uiPriority w:val="9"/>
    <w:semiHidden/>
    <w:rsid w:val="003150CF"/>
    <w:rPr>
      <w:rFonts w:ascii="Cambria" w:eastAsia="Cambria" w:hAnsi="Cambria" w:cs="Cambria"/>
      <w:b/>
      <w:sz w:val="20"/>
      <w:szCs w:val="20"/>
    </w:rPr>
  </w:style>
  <w:style w:type="paragraph" w:styleId="Title">
    <w:name w:val="Title"/>
    <w:basedOn w:val="Normal"/>
    <w:next w:val="Normal"/>
    <w:link w:val="TitleChar"/>
    <w:uiPriority w:val="10"/>
    <w:qFormat/>
    <w:rsid w:val="003150CF"/>
    <w:pPr>
      <w:keepNext/>
      <w:keepLines/>
      <w:spacing w:before="480" w:after="120"/>
    </w:pPr>
    <w:rPr>
      <w:rFonts w:ascii="Cambria" w:eastAsia="Cambria" w:hAnsi="Cambria" w:cs="Cambria"/>
      <w:b/>
      <w:sz w:val="72"/>
      <w:szCs w:val="72"/>
    </w:rPr>
  </w:style>
  <w:style w:type="character" w:customStyle="1" w:styleId="TitleChar">
    <w:name w:val="Title Char"/>
    <w:basedOn w:val="DefaultParagraphFont"/>
    <w:link w:val="Title"/>
    <w:uiPriority w:val="10"/>
    <w:rsid w:val="003150CF"/>
    <w:rPr>
      <w:rFonts w:ascii="Cambria" w:eastAsia="Cambria" w:hAnsi="Cambria" w:cs="Cambria"/>
      <w:b/>
      <w:sz w:val="72"/>
      <w:szCs w:val="72"/>
    </w:rPr>
  </w:style>
  <w:style w:type="paragraph" w:styleId="Subtitle">
    <w:name w:val="Subtitle"/>
    <w:basedOn w:val="Normal"/>
    <w:next w:val="Normal"/>
    <w:link w:val="SubtitleChar"/>
    <w:uiPriority w:val="11"/>
    <w:qFormat/>
    <w:rsid w:val="003150CF"/>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3150CF"/>
    <w:rPr>
      <w:rFonts w:ascii="Georgia" w:eastAsia="Georgia" w:hAnsi="Georgia" w:cs="Georgia"/>
      <w:i/>
      <w:color w:val="666666"/>
      <w:sz w:val="48"/>
      <w:szCs w:val="48"/>
    </w:rPr>
  </w:style>
  <w:style w:type="paragraph" w:styleId="CommentText">
    <w:name w:val="annotation text"/>
    <w:basedOn w:val="Normal"/>
    <w:link w:val="CommentTextChar"/>
    <w:uiPriority w:val="99"/>
    <w:unhideWhenUsed/>
    <w:rsid w:val="003150CF"/>
    <w:rPr>
      <w:rFonts w:ascii="Cambria" w:eastAsia="Cambria" w:hAnsi="Cambria" w:cs="Cambria"/>
      <w:sz w:val="20"/>
      <w:szCs w:val="20"/>
    </w:rPr>
  </w:style>
  <w:style w:type="character" w:customStyle="1" w:styleId="CommentTextChar">
    <w:name w:val="Comment Text Char"/>
    <w:basedOn w:val="DefaultParagraphFont"/>
    <w:link w:val="CommentText"/>
    <w:uiPriority w:val="99"/>
    <w:rsid w:val="003150CF"/>
    <w:rPr>
      <w:rFonts w:ascii="Cambria" w:eastAsia="Cambria" w:hAnsi="Cambria" w:cs="Cambria"/>
      <w:sz w:val="20"/>
      <w:szCs w:val="20"/>
    </w:rPr>
  </w:style>
  <w:style w:type="character" w:styleId="CommentReference">
    <w:name w:val="annotation reference"/>
    <w:basedOn w:val="DefaultParagraphFont"/>
    <w:uiPriority w:val="99"/>
    <w:semiHidden/>
    <w:unhideWhenUsed/>
    <w:rsid w:val="003150CF"/>
    <w:rPr>
      <w:sz w:val="16"/>
      <w:szCs w:val="16"/>
    </w:rPr>
  </w:style>
  <w:style w:type="paragraph" w:styleId="BalloonText">
    <w:name w:val="Balloon Text"/>
    <w:basedOn w:val="Normal"/>
    <w:link w:val="BalloonTextChar"/>
    <w:uiPriority w:val="99"/>
    <w:semiHidden/>
    <w:unhideWhenUsed/>
    <w:rsid w:val="003150CF"/>
    <w:rPr>
      <w:rFonts w:ascii="Times New Roman" w:eastAsia="Cambria" w:hAnsi="Times New Roman" w:cs="Times New Roman"/>
      <w:sz w:val="18"/>
      <w:szCs w:val="18"/>
    </w:rPr>
  </w:style>
  <w:style w:type="character" w:customStyle="1" w:styleId="BalloonTextChar">
    <w:name w:val="Balloon Text Char"/>
    <w:basedOn w:val="DefaultParagraphFont"/>
    <w:link w:val="BalloonText"/>
    <w:uiPriority w:val="99"/>
    <w:semiHidden/>
    <w:rsid w:val="003150CF"/>
    <w:rPr>
      <w:rFonts w:ascii="Times New Roman" w:eastAsia="Cambria" w:hAnsi="Times New Roman" w:cs="Times New Roman"/>
      <w:sz w:val="18"/>
      <w:szCs w:val="18"/>
    </w:rPr>
  </w:style>
  <w:style w:type="paragraph" w:customStyle="1" w:styleId="Normal1">
    <w:name w:val="Normal1"/>
    <w:rsid w:val="003150CF"/>
    <w:pPr>
      <w:pBdr>
        <w:top w:val="nil"/>
        <w:left w:val="nil"/>
        <w:bottom w:val="nil"/>
        <w:right w:val="nil"/>
        <w:between w:val="nil"/>
      </w:pBdr>
    </w:pPr>
    <w:rPr>
      <w:rFonts w:ascii="Cambria" w:eastAsia="Cambria" w:hAnsi="Cambria" w:cs="Cambria"/>
      <w:color w:val="000000"/>
    </w:rPr>
  </w:style>
  <w:style w:type="paragraph" w:styleId="CommentSubject">
    <w:name w:val="annotation subject"/>
    <w:basedOn w:val="CommentText"/>
    <w:next w:val="CommentText"/>
    <w:link w:val="CommentSubjectChar"/>
    <w:uiPriority w:val="99"/>
    <w:semiHidden/>
    <w:unhideWhenUsed/>
    <w:rsid w:val="003150CF"/>
    <w:rPr>
      <w:b/>
      <w:bCs/>
    </w:rPr>
  </w:style>
  <w:style w:type="character" w:customStyle="1" w:styleId="CommentSubjectChar">
    <w:name w:val="Comment Subject Char"/>
    <w:basedOn w:val="CommentTextChar"/>
    <w:link w:val="CommentSubject"/>
    <w:uiPriority w:val="99"/>
    <w:semiHidden/>
    <w:rsid w:val="003150CF"/>
    <w:rPr>
      <w:rFonts w:ascii="Cambria" w:eastAsia="Cambria" w:hAnsi="Cambria" w:cs="Cambria"/>
      <w:b/>
      <w:bCs/>
      <w:sz w:val="20"/>
      <w:szCs w:val="20"/>
    </w:rPr>
  </w:style>
  <w:style w:type="paragraph" w:styleId="Revision">
    <w:name w:val="Revision"/>
    <w:hidden/>
    <w:uiPriority w:val="99"/>
    <w:semiHidden/>
    <w:rsid w:val="003150CF"/>
    <w:rPr>
      <w:rFonts w:ascii="Cambria" w:eastAsia="Cambria" w:hAnsi="Cambria" w:cs="Cambria"/>
    </w:rPr>
  </w:style>
  <w:style w:type="paragraph" w:styleId="Caption">
    <w:name w:val="caption"/>
    <w:basedOn w:val="Normal"/>
    <w:next w:val="Normal"/>
    <w:uiPriority w:val="35"/>
    <w:unhideWhenUsed/>
    <w:qFormat/>
    <w:rsid w:val="003150CF"/>
    <w:pPr>
      <w:spacing w:after="200"/>
    </w:pPr>
    <w:rPr>
      <w:rFonts w:ascii="Cambria" w:eastAsia="Cambria" w:hAnsi="Cambria" w:cs="Cambria"/>
      <w:b/>
      <w:bCs/>
      <w:color w:val="4472C4" w:themeColor="accent1"/>
      <w:sz w:val="18"/>
      <w:szCs w:val="18"/>
    </w:rPr>
  </w:style>
  <w:style w:type="table" w:styleId="TableGrid">
    <w:name w:val="Table Grid"/>
    <w:basedOn w:val="TableNormal"/>
    <w:uiPriority w:val="59"/>
    <w:rsid w:val="003150C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50CF"/>
    <w:pPr>
      <w:ind w:left="720"/>
      <w:contextualSpacing/>
    </w:pPr>
    <w:rPr>
      <w:rFonts w:ascii="Cambria" w:eastAsia="Cambria" w:hAnsi="Cambria" w:cs="Cambria"/>
    </w:rPr>
  </w:style>
  <w:style w:type="paragraph" w:customStyle="1" w:styleId="EndNoteBibliography">
    <w:name w:val="EndNote Bibliography"/>
    <w:basedOn w:val="Normal"/>
    <w:rsid w:val="003150CF"/>
    <w:rPr>
      <w:rFonts w:ascii="Times New Roman" w:eastAsiaTheme="minorEastAsia" w:hAnsi="Times New Roman" w:cs="Times New Roman"/>
    </w:rPr>
  </w:style>
  <w:style w:type="paragraph" w:styleId="Header">
    <w:name w:val="header"/>
    <w:basedOn w:val="Normal"/>
    <w:link w:val="HeaderChar"/>
    <w:uiPriority w:val="99"/>
    <w:unhideWhenUsed/>
    <w:rsid w:val="003150CF"/>
    <w:pPr>
      <w:tabs>
        <w:tab w:val="center" w:pos="4320"/>
        <w:tab w:val="right" w:pos="8640"/>
      </w:tabs>
    </w:pPr>
    <w:rPr>
      <w:rFonts w:ascii="Cambria" w:eastAsia="Cambria" w:hAnsi="Cambria" w:cs="Cambria"/>
    </w:rPr>
  </w:style>
  <w:style w:type="character" w:customStyle="1" w:styleId="HeaderChar">
    <w:name w:val="Header Char"/>
    <w:basedOn w:val="DefaultParagraphFont"/>
    <w:link w:val="Header"/>
    <w:uiPriority w:val="99"/>
    <w:rsid w:val="003150CF"/>
    <w:rPr>
      <w:rFonts w:ascii="Cambria" w:eastAsia="Cambria" w:hAnsi="Cambria" w:cs="Cambria"/>
    </w:rPr>
  </w:style>
  <w:style w:type="paragraph" w:styleId="Footer">
    <w:name w:val="footer"/>
    <w:basedOn w:val="Normal"/>
    <w:link w:val="FooterChar"/>
    <w:uiPriority w:val="99"/>
    <w:unhideWhenUsed/>
    <w:rsid w:val="003150CF"/>
    <w:pPr>
      <w:tabs>
        <w:tab w:val="center" w:pos="4320"/>
        <w:tab w:val="right" w:pos="8640"/>
      </w:tabs>
    </w:pPr>
    <w:rPr>
      <w:rFonts w:ascii="Cambria" w:eastAsia="Cambria" w:hAnsi="Cambria" w:cs="Cambria"/>
    </w:rPr>
  </w:style>
  <w:style w:type="character" w:customStyle="1" w:styleId="FooterChar">
    <w:name w:val="Footer Char"/>
    <w:basedOn w:val="DefaultParagraphFont"/>
    <w:link w:val="Footer"/>
    <w:uiPriority w:val="99"/>
    <w:rsid w:val="003150CF"/>
    <w:rPr>
      <w:rFonts w:ascii="Cambria" w:eastAsia="Cambria" w:hAnsi="Cambria" w:cs="Cambria"/>
    </w:rPr>
  </w:style>
  <w:style w:type="character" w:customStyle="1" w:styleId="referencesnote">
    <w:name w:val="references__note"/>
    <w:basedOn w:val="DefaultParagraphFont"/>
    <w:rsid w:val="003150CF"/>
  </w:style>
  <w:style w:type="character" w:customStyle="1" w:styleId="referencesyear">
    <w:name w:val="references__year"/>
    <w:basedOn w:val="DefaultParagraphFont"/>
    <w:rsid w:val="003150CF"/>
  </w:style>
  <w:style w:type="character" w:customStyle="1" w:styleId="referencesarticle-title">
    <w:name w:val="references__article-title"/>
    <w:basedOn w:val="DefaultParagraphFont"/>
    <w:rsid w:val="003150CF"/>
  </w:style>
  <w:style w:type="character" w:styleId="Strong">
    <w:name w:val="Strong"/>
    <w:basedOn w:val="DefaultParagraphFont"/>
    <w:uiPriority w:val="22"/>
    <w:qFormat/>
    <w:rsid w:val="003150CF"/>
    <w:rPr>
      <w:b/>
      <w:bCs/>
    </w:rPr>
  </w:style>
  <w:style w:type="character" w:styleId="Hyperlink">
    <w:name w:val="Hyperlink"/>
    <w:basedOn w:val="DefaultParagraphFont"/>
    <w:uiPriority w:val="99"/>
    <w:unhideWhenUsed/>
    <w:rsid w:val="003150CF"/>
    <w:rPr>
      <w:color w:val="0000FF"/>
      <w:u w:val="single"/>
    </w:rPr>
  </w:style>
  <w:style w:type="character" w:styleId="FollowedHyperlink">
    <w:name w:val="FollowedHyperlink"/>
    <w:basedOn w:val="DefaultParagraphFont"/>
    <w:uiPriority w:val="99"/>
    <w:semiHidden/>
    <w:unhideWhenUsed/>
    <w:rsid w:val="003150CF"/>
    <w:rPr>
      <w:color w:val="954F72" w:themeColor="followedHyperlink"/>
      <w:u w:val="single"/>
    </w:rPr>
  </w:style>
  <w:style w:type="character" w:styleId="HTMLCite">
    <w:name w:val="HTML Cite"/>
    <w:basedOn w:val="DefaultParagraphFont"/>
    <w:uiPriority w:val="99"/>
    <w:semiHidden/>
    <w:unhideWhenUsed/>
    <w:rsid w:val="003150CF"/>
    <w:rPr>
      <w:i/>
      <w:iCs/>
    </w:rPr>
  </w:style>
  <w:style w:type="character" w:styleId="PageNumber">
    <w:name w:val="page number"/>
    <w:basedOn w:val="DefaultParagraphFont"/>
    <w:uiPriority w:val="99"/>
    <w:semiHidden/>
    <w:unhideWhenUsed/>
    <w:rsid w:val="003150CF"/>
  </w:style>
  <w:style w:type="character" w:styleId="LineNumber">
    <w:name w:val="line number"/>
    <w:basedOn w:val="DefaultParagraphFont"/>
    <w:uiPriority w:val="99"/>
    <w:semiHidden/>
    <w:unhideWhenUsed/>
    <w:rsid w:val="003150CF"/>
  </w:style>
  <w:style w:type="paragraph" w:styleId="FootnoteText">
    <w:name w:val="footnote text"/>
    <w:basedOn w:val="Normal"/>
    <w:link w:val="FootnoteTextChar"/>
    <w:uiPriority w:val="99"/>
    <w:semiHidden/>
    <w:unhideWhenUsed/>
    <w:rsid w:val="003150CF"/>
    <w:pPr>
      <w:pBdr>
        <w:top w:val="nil"/>
        <w:left w:val="nil"/>
        <w:bottom w:val="nil"/>
        <w:right w:val="nil"/>
        <w:between w:val="nil"/>
      </w:pBdr>
    </w:pPr>
    <w:rPr>
      <w:rFonts w:ascii="Cambria" w:eastAsia="Cambria" w:hAnsi="Cambria" w:cs="Cambria"/>
      <w:color w:val="000000"/>
      <w:sz w:val="20"/>
      <w:szCs w:val="20"/>
    </w:rPr>
  </w:style>
  <w:style w:type="character" w:customStyle="1" w:styleId="FootnoteTextChar">
    <w:name w:val="Footnote Text Char"/>
    <w:basedOn w:val="DefaultParagraphFont"/>
    <w:link w:val="FootnoteText"/>
    <w:uiPriority w:val="99"/>
    <w:semiHidden/>
    <w:rsid w:val="003150CF"/>
    <w:rPr>
      <w:rFonts w:ascii="Cambria" w:eastAsia="Cambria" w:hAnsi="Cambria" w:cs="Cambria"/>
      <w:color w:val="000000"/>
      <w:sz w:val="20"/>
      <w:szCs w:val="20"/>
    </w:rPr>
  </w:style>
  <w:style w:type="character" w:styleId="FootnoteReference">
    <w:name w:val="footnote reference"/>
    <w:basedOn w:val="DefaultParagraphFont"/>
    <w:uiPriority w:val="99"/>
    <w:semiHidden/>
    <w:unhideWhenUsed/>
    <w:rsid w:val="003150CF"/>
    <w:rPr>
      <w:vertAlign w:val="superscript"/>
    </w:rPr>
  </w:style>
  <w:style w:type="table" w:customStyle="1" w:styleId="PlainTable21">
    <w:name w:val="Plain Table 21"/>
    <w:basedOn w:val="TableNormal"/>
    <w:uiPriority w:val="99"/>
    <w:rsid w:val="003150CF"/>
    <w:pPr>
      <w:pBdr>
        <w:top w:val="nil"/>
        <w:left w:val="nil"/>
        <w:bottom w:val="nil"/>
        <w:right w:val="nil"/>
        <w:between w:val="nil"/>
      </w:pBdr>
    </w:pPr>
    <w:rPr>
      <w:rFonts w:ascii="Cambria" w:eastAsia="Cambria" w:hAnsi="Cambria" w:cs="Cambria"/>
      <w:color w:val="00000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99"/>
    <w:rsid w:val="003150CF"/>
    <w:pPr>
      <w:pBdr>
        <w:top w:val="nil"/>
        <w:left w:val="nil"/>
        <w:bottom w:val="nil"/>
        <w:right w:val="nil"/>
        <w:between w:val="nil"/>
      </w:pBdr>
    </w:pPr>
    <w:rPr>
      <w:rFonts w:ascii="Cambria" w:eastAsia="Cambria" w:hAnsi="Cambria" w:cs="Cambria"/>
      <w:color w:val="00000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99"/>
    <w:rsid w:val="003150CF"/>
    <w:pPr>
      <w:pBdr>
        <w:top w:val="nil"/>
        <w:left w:val="nil"/>
        <w:bottom w:val="nil"/>
        <w:right w:val="nil"/>
        <w:between w:val="nil"/>
      </w:pBdr>
    </w:pPr>
    <w:rPr>
      <w:rFonts w:ascii="Cambria" w:eastAsia="Cambria" w:hAnsi="Cambria" w:cs="Cambria"/>
      <w:color w:val="00000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99"/>
    <w:rsid w:val="003150CF"/>
    <w:pPr>
      <w:pBdr>
        <w:top w:val="nil"/>
        <w:left w:val="nil"/>
        <w:bottom w:val="nil"/>
        <w:right w:val="nil"/>
        <w:between w:val="nil"/>
      </w:pBdr>
    </w:pPr>
    <w:rPr>
      <w:rFonts w:ascii="Cambria" w:eastAsia="Cambria" w:hAnsi="Cambria" w:cs="Cambria"/>
      <w:color w:val="00000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3150CF"/>
    <w:pPr>
      <w:spacing w:before="100" w:beforeAutospacing="1" w:after="100" w:afterAutospacing="1"/>
    </w:pPr>
    <w:rPr>
      <w:rFonts w:ascii="Times New Roman" w:eastAsia="Cambria" w:hAnsi="Times New Roman" w:cs="Times New Roman"/>
      <w:sz w:val="20"/>
      <w:szCs w:val="20"/>
    </w:rPr>
  </w:style>
  <w:style w:type="character" w:customStyle="1" w:styleId="UnresolvedMention1">
    <w:name w:val="Unresolved Mention1"/>
    <w:basedOn w:val="DefaultParagraphFont"/>
    <w:uiPriority w:val="99"/>
    <w:semiHidden/>
    <w:unhideWhenUsed/>
    <w:rsid w:val="003150CF"/>
    <w:rPr>
      <w:color w:val="605E5C"/>
      <w:shd w:val="clear" w:color="auto" w:fill="E1DFDD"/>
    </w:rPr>
  </w:style>
  <w:style w:type="table" w:styleId="LightShading">
    <w:name w:val="Light Shading"/>
    <w:basedOn w:val="TableNormal"/>
    <w:uiPriority w:val="60"/>
    <w:rsid w:val="003150CF"/>
    <w:rPr>
      <w:rFonts w:ascii="Times New Roman" w:eastAsia="Times New Roman" w:hAnsi="Times New Roman"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identifier">
    <w:name w:val="identifier"/>
    <w:basedOn w:val="DefaultParagraphFont"/>
    <w:rsid w:val="003150CF"/>
  </w:style>
  <w:style w:type="character" w:customStyle="1" w:styleId="id-label">
    <w:name w:val="id-label"/>
    <w:basedOn w:val="DefaultParagraphFont"/>
    <w:rsid w:val="003150CF"/>
  </w:style>
  <w:style w:type="paragraph" w:customStyle="1" w:styleId="EndNoteBibliographyTitle">
    <w:name w:val="EndNote Bibliography Title"/>
    <w:basedOn w:val="Normal"/>
    <w:rsid w:val="003150CF"/>
    <w:pPr>
      <w:jc w:val="center"/>
    </w:pPr>
    <w:rPr>
      <w:rFonts w:ascii="Times New Roman" w:eastAsia="MS Mincho" w:hAnsi="Times New Roman" w:cs="Times New Roman"/>
    </w:rPr>
  </w:style>
  <w:style w:type="paragraph" w:styleId="TOCHeading">
    <w:name w:val="TOC Heading"/>
    <w:basedOn w:val="Heading1"/>
    <w:next w:val="Normal"/>
    <w:uiPriority w:val="39"/>
    <w:unhideWhenUsed/>
    <w:qFormat/>
    <w:rsid w:val="00932263"/>
    <w:pPr>
      <w:spacing w:line="276" w:lineRule="auto"/>
      <w:outlineLvl w:val="9"/>
    </w:pPr>
    <w:rPr>
      <w:rFonts w:asciiTheme="majorHAnsi" w:eastAsiaTheme="majorEastAsia" w:hAnsiTheme="majorHAnsi" w:cstheme="majorBidi"/>
      <w:bCs/>
      <w:color w:val="2F5496" w:themeColor="accent1" w:themeShade="BF"/>
      <w:sz w:val="28"/>
      <w:szCs w:val="28"/>
    </w:rPr>
  </w:style>
  <w:style w:type="paragraph" w:styleId="TOC2">
    <w:name w:val="toc 2"/>
    <w:basedOn w:val="Normal"/>
    <w:next w:val="Normal"/>
    <w:autoRedefine/>
    <w:uiPriority w:val="39"/>
    <w:unhideWhenUsed/>
    <w:rsid w:val="00932263"/>
    <w:pPr>
      <w:spacing w:before="120"/>
      <w:ind w:left="240"/>
    </w:pPr>
    <w:rPr>
      <w:rFonts w:cstheme="minorHAnsi"/>
      <w:i/>
      <w:iCs/>
      <w:sz w:val="20"/>
      <w:szCs w:val="20"/>
    </w:rPr>
  </w:style>
  <w:style w:type="paragraph" w:styleId="TOC1">
    <w:name w:val="toc 1"/>
    <w:basedOn w:val="Normal"/>
    <w:next w:val="Normal"/>
    <w:autoRedefine/>
    <w:uiPriority w:val="39"/>
    <w:unhideWhenUsed/>
    <w:rsid w:val="00B2535D"/>
    <w:pPr>
      <w:spacing w:before="240" w:after="120"/>
    </w:pPr>
    <w:rPr>
      <w:rFonts w:cstheme="minorHAnsi"/>
      <w:b/>
      <w:bCs/>
      <w:sz w:val="20"/>
      <w:szCs w:val="20"/>
    </w:rPr>
  </w:style>
  <w:style w:type="paragraph" w:styleId="TOC3">
    <w:name w:val="toc 3"/>
    <w:basedOn w:val="Normal"/>
    <w:next w:val="Normal"/>
    <w:autoRedefine/>
    <w:uiPriority w:val="39"/>
    <w:unhideWhenUsed/>
    <w:rsid w:val="00932263"/>
    <w:pPr>
      <w:ind w:left="480"/>
    </w:pPr>
    <w:rPr>
      <w:rFonts w:cstheme="minorHAnsi"/>
      <w:sz w:val="20"/>
      <w:szCs w:val="20"/>
    </w:rPr>
  </w:style>
  <w:style w:type="paragraph" w:styleId="TOC4">
    <w:name w:val="toc 4"/>
    <w:basedOn w:val="Normal"/>
    <w:next w:val="Normal"/>
    <w:autoRedefine/>
    <w:uiPriority w:val="39"/>
    <w:semiHidden/>
    <w:unhideWhenUsed/>
    <w:rsid w:val="00932263"/>
    <w:pPr>
      <w:ind w:left="720"/>
    </w:pPr>
    <w:rPr>
      <w:rFonts w:cstheme="minorHAnsi"/>
      <w:sz w:val="20"/>
      <w:szCs w:val="20"/>
    </w:rPr>
  </w:style>
  <w:style w:type="paragraph" w:styleId="TOC5">
    <w:name w:val="toc 5"/>
    <w:basedOn w:val="Normal"/>
    <w:next w:val="Normal"/>
    <w:autoRedefine/>
    <w:uiPriority w:val="39"/>
    <w:semiHidden/>
    <w:unhideWhenUsed/>
    <w:rsid w:val="00932263"/>
    <w:pPr>
      <w:ind w:left="960"/>
    </w:pPr>
    <w:rPr>
      <w:rFonts w:cstheme="minorHAnsi"/>
      <w:sz w:val="20"/>
      <w:szCs w:val="20"/>
    </w:rPr>
  </w:style>
  <w:style w:type="paragraph" w:styleId="TOC6">
    <w:name w:val="toc 6"/>
    <w:basedOn w:val="Normal"/>
    <w:next w:val="Normal"/>
    <w:autoRedefine/>
    <w:uiPriority w:val="39"/>
    <w:semiHidden/>
    <w:unhideWhenUsed/>
    <w:rsid w:val="00932263"/>
    <w:pPr>
      <w:ind w:left="1200"/>
    </w:pPr>
    <w:rPr>
      <w:rFonts w:cstheme="minorHAnsi"/>
      <w:sz w:val="20"/>
      <w:szCs w:val="20"/>
    </w:rPr>
  </w:style>
  <w:style w:type="paragraph" w:styleId="TOC7">
    <w:name w:val="toc 7"/>
    <w:basedOn w:val="Normal"/>
    <w:next w:val="Normal"/>
    <w:autoRedefine/>
    <w:uiPriority w:val="39"/>
    <w:semiHidden/>
    <w:unhideWhenUsed/>
    <w:rsid w:val="00932263"/>
    <w:pPr>
      <w:ind w:left="1440"/>
    </w:pPr>
    <w:rPr>
      <w:rFonts w:cstheme="minorHAnsi"/>
      <w:sz w:val="20"/>
      <w:szCs w:val="20"/>
    </w:rPr>
  </w:style>
  <w:style w:type="paragraph" w:styleId="TOC8">
    <w:name w:val="toc 8"/>
    <w:basedOn w:val="Normal"/>
    <w:next w:val="Normal"/>
    <w:autoRedefine/>
    <w:uiPriority w:val="39"/>
    <w:semiHidden/>
    <w:unhideWhenUsed/>
    <w:rsid w:val="00932263"/>
    <w:pPr>
      <w:ind w:left="1680"/>
    </w:pPr>
    <w:rPr>
      <w:rFonts w:cstheme="minorHAnsi"/>
      <w:sz w:val="20"/>
      <w:szCs w:val="20"/>
    </w:rPr>
  </w:style>
  <w:style w:type="paragraph" w:styleId="TOC9">
    <w:name w:val="toc 9"/>
    <w:basedOn w:val="Normal"/>
    <w:next w:val="Normal"/>
    <w:autoRedefine/>
    <w:uiPriority w:val="39"/>
    <w:semiHidden/>
    <w:unhideWhenUsed/>
    <w:rsid w:val="00932263"/>
    <w:pPr>
      <w:ind w:left="1920"/>
    </w:pPr>
    <w:rPr>
      <w:rFonts w:cstheme="minorHAnsi"/>
      <w:sz w:val="20"/>
      <w:szCs w:val="20"/>
    </w:rPr>
  </w:style>
  <w:style w:type="paragraph" w:styleId="NoSpacing">
    <w:name w:val="No Spacing"/>
    <w:uiPriority w:val="1"/>
    <w:qFormat/>
    <w:rsid w:val="00932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7776687">
      <w:bodyDiv w:val="1"/>
      <w:marLeft w:val="0"/>
      <w:marRight w:val="0"/>
      <w:marTop w:val="0"/>
      <w:marBottom w:val="0"/>
      <w:divBdr>
        <w:top w:val="none" w:sz="0" w:space="0" w:color="auto"/>
        <w:left w:val="none" w:sz="0" w:space="0" w:color="auto"/>
        <w:bottom w:val="none" w:sz="0" w:space="0" w:color="auto"/>
        <w:right w:val="none" w:sz="0" w:space="0" w:color="auto"/>
      </w:divBdr>
    </w:div>
    <w:div w:id="88324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header" Target="header3.xml"/><Relationship Id="rId39" Type="http://schemas.openxmlformats.org/officeDocument/2006/relationships/image" Target="media/image20.png"/><Relationship Id="rId21" Type="http://schemas.openxmlformats.org/officeDocument/2006/relationships/image" Target="media/image7.tiff"/><Relationship Id="rId34" Type="http://schemas.openxmlformats.org/officeDocument/2006/relationships/image" Target="media/image17.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tiff"/><Relationship Id="rId29" Type="http://schemas.openxmlformats.org/officeDocument/2006/relationships/image" Target="media/image12.png"/><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microsoft.com/office/2007/relationships/hdphoto" Target="media/hdphoto1.wdp"/><Relationship Id="rId32" Type="http://schemas.openxmlformats.org/officeDocument/2006/relationships/image" Target="media/image15.png"/><Relationship Id="rId37" Type="http://schemas.openxmlformats.org/officeDocument/2006/relationships/image" Target="media/image18.png"/><Relationship Id="rId40"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image" Target="media/image11.png"/><Relationship Id="rId36" Type="http://schemas.openxmlformats.org/officeDocument/2006/relationships/header" Target="header6.xml"/><Relationship Id="rId10" Type="http://schemas.openxmlformats.org/officeDocument/2006/relationships/footer" Target="footer3.xml"/><Relationship Id="rId19" Type="http://schemas.openxmlformats.org/officeDocument/2006/relationships/image" Target="media/image5.pn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 Id="rId22" Type="http://schemas.openxmlformats.org/officeDocument/2006/relationships/image" Target="media/image8.emf"/><Relationship Id="rId27" Type="http://schemas.openxmlformats.org/officeDocument/2006/relationships/header" Target="header4.xml"/><Relationship Id="rId30" Type="http://schemas.openxmlformats.org/officeDocument/2006/relationships/image" Target="media/image13.png"/><Relationship Id="rId35" Type="http://schemas.openxmlformats.org/officeDocument/2006/relationships/header" Target="header5.xml"/><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github.com/mBerlow/ibis2019" TargetMode="Externa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CD476-AB80-4B11-B36E-6A16B4F75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98</Pages>
  <Words>192548</Words>
  <Characters>1097528</Characters>
  <Application>Microsoft Office Word</Application>
  <DocSecurity>0</DocSecurity>
  <Lines>9146</Lines>
  <Paragraphs>2575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Berlow, Mae Lisa</dc:creator>
  <cp:keywords/>
  <dc:description/>
  <cp:lastModifiedBy>Sherman, Abby L</cp:lastModifiedBy>
  <cp:revision>28</cp:revision>
  <dcterms:created xsi:type="dcterms:W3CDTF">2021-04-19T20:22:00Z</dcterms:created>
  <dcterms:modified xsi:type="dcterms:W3CDTF">2021-04-24T17:01:00Z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http://www.zotero.org/styles/evolution</vt:lpwstr>
  </property>
  <property fmtid="{D5CDD505-2E9C-101B-9397-08002B2CF9AE}" pid="7" name="Mendeley Recent Style Name 2_1">
    <vt:lpwstr>Evolution</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http://www.zotero.org/styles/ibis</vt:lpwstr>
  </property>
  <property fmtid="{D5CDD505-2E9C-101B-9397-08002B2CF9AE}" pid="11" name="Mendeley Recent Style Name 4_1">
    <vt:lpwstr>Ibis</vt:lpwstr>
  </property>
  <property fmtid="{D5CDD505-2E9C-101B-9397-08002B2CF9AE}" pid="12" name="Mendeley Recent Style Id 5_1">
    <vt:lpwstr>http://www.zotero.org/styles/microbial-ecology</vt:lpwstr>
  </property>
  <property fmtid="{D5CDD505-2E9C-101B-9397-08002B2CF9AE}" pid="13" name="Mendeley Recent Style Name 5_1">
    <vt:lpwstr>Microbial Ecology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http://www.zotero.org/styles/molecular-ecology</vt:lpwstr>
  </property>
  <property fmtid="{D5CDD505-2E9C-101B-9397-08002B2CF9AE}" pid="19" name="Mendeley Recent Style Name 8_1">
    <vt:lpwstr>Molecular Ecology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dee1b28a-23e6-3e2e-bb5f-5fc41badc3f4</vt:lpwstr>
  </property>
  <property fmtid="{D5CDD505-2E9C-101B-9397-08002B2CF9AE}" pid="24" name="Mendeley Citation Style_1">
    <vt:lpwstr>http://www.zotero.org/styles/ibis</vt:lpwstr>
  </property>
</Properties>
</file>