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rawings/drawing8.xml" ContentType="application/vnd.openxmlformats-officedocument.drawingml.chartshapes+xml"/>
  <Default Extension="wmf" ContentType="image/x-wmf"/>
  <Override PartName="/word/drawings/drawing6.xml" ContentType="application/vnd.openxmlformats-officedocument.drawingml.chartshapes+xml"/>
  <Override PartName="/word/drawings/drawing18.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rawings/drawing4.xml" ContentType="application/vnd.openxmlformats-officedocument.drawingml.chartshapes+xml"/>
  <Override PartName="/word/charts/chart9.xml" ContentType="application/vnd.openxmlformats-officedocument.drawingml.chart+xml"/>
  <Override PartName="/word/drawings/drawing16.xml" ContentType="application/vnd.openxmlformats-officedocument.drawingml.chartshapes+xml"/>
  <Override PartName="/word/charts/chart19.xml" ContentType="application/vnd.openxmlformats-officedocument.drawingml.chart+xml"/>
  <Override PartName="/word/drawings/drawing25.xml" ContentType="application/vnd.openxmlformats-officedocument.drawingml.chartshapes+xml"/>
  <Override PartName="/word/stylesWithEffects.xml" ContentType="application/vnd.ms-word.stylesWithEffects+xml"/>
  <Override PartName="/word/footer3.xml" ContentType="application/vnd.openxmlformats-officedocument.wordprocessingml.footer+xml"/>
  <Override PartName="/word/drawings/drawing2.xml" ContentType="application/vnd.openxmlformats-officedocument.drawingml.chartshapes+xml"/>
  <Override PartName="/word/charts/chart7.xml" ContentType="application/vnd.openxmlformats-officedocument.drawingml.chart+xml"/>
  <Override PartName="/word/drawings/drawing14.xml" ContentType="application/vnd.openxmlformats-officedocument.drawingml.chartshapes+xml"/>
  <Override PartName="/word/charts/chart17.xml" ContentType="application/vnd.openxmlformats-officedocument.drawingml.chart+xml"/>
  <Override PartName="/word/drawings/drawing23.xml" ContentType="application/vnd.openxmlformats-officedocument.drawingml.chartshapes+xml"/>
  <Override PartName="/word/charts/chart26.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drawings/drawing12.xml" ContentType="application/vnd.openxmlformats-officedocument.drawingml.chartshapes+xml"/>
  <Override PartName="/word/drawings/drawing13.xml" ContentType="application/vnd.openxmlformats-officedocument.drawingml.chartshapes+xml"/>
  <Override PartName="/word/charts/chart15.xml" ContentType="application/vnd.openxmlformats-officedocument.drawingml.chart+xml"/>
  <Override PartName="/word/charts/chart16.xml" ContentType="application/vnd.openxmlformats-officedocument.drawingml.chart+xml"/>
  <Override PartName="/word/drawings/drawing21.xml" ContentType="application/vnd.openxmlformats-officedocument.drawingml.chartshapes+xml"/>
  <Override PartName="/word/drawings/drawing22.xml" ContentType="application/vnd.openxmlformats-officedocument.drawingml.chartshapes+xml"/>
  <Override PartName="/word/charts/chart24.xml" ContentType="application/vnd.openxmlformats-officedocument.drawingml.chart+xml"/>
  <Override PartName="/word/charts/chart2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drawings/drawing10.xml" ContentType="application/vnd.openxmlformats-officedocument.drawingml.chartshapes+xml"/>
  <Override PartName="/word/drawings/drawing11.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drawings/drawing20.xml" ContentType="application/vnd.openxmlformats-officedocument.drawingml.chartshapes+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bin" ContentType="application/vnd.openxmlformats-officedocument.oleObject"/>
  <Default Extension="png" ContentType="image/png"/>
  <Override PartName="/word/drawings/drawing9.xml" ContentType="application/vnd.openxmlformats-officedocument.drawingml.chartshapes+xml"/>
  <Override PartName="/word/drawings/drawing7.xml" ContentType="application/vnd.openxmlformats-officedocument.drawingml.chartshapes+xml"/>
  <Override PartName="/word/drawings/drawing19.xml" ContentType="application/vnd.openxmlformats-officedocument.drawingml.chartshapes+xml"/>
  <Override PartName="/word/numbering.xml" ContentType="application/vnd.openxmlformats-officedocument.wordprocessingml.numbering+xml"/>
  <Override PartName="/word/endnotes.xml" ContentType="application/vnd.openxmlformats-officedocument.wordprocessingml.endnotes+xml"/>
  <Override PartName="/word/drawings/drawing3.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drawings/drawing17.xml" ContentType="application/vnd.openxmlformats-officedocument.drawingml.chartshapes+xml"/>
  <Override PartName="/word/drawings/drawing26.xml" ContentType="application/vnd.openxmlformats-officedocument.drawingml.chartshap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charts/chart6.xml" ContentType="application/vnd.openxmlformats-officedocument.drawingml.chart+xml"/>
  <Override PartName="/word/drawings/drawing15.xml" ContentType="application/vnd.openxmlformats-officedocument.drawingml.chartshapes+xml"/>
  <Override PartName="/word/charts/chart18.xml" ContentType="application/vnd.openxmlformats-officedocument.drawingml.chart+xml"/>
  <Override PartName="/word/drawings/drawing24.xml" ContentType="application/vnd.openxmlformats-officedocument.drawingml.chartshap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BC8" w:rsidRPr="00A55804" w:rsidRDefault="00DC5BC8" w:rsidP="00DC5BC8">
      <w:pPr>
        <w:rPr>
          <w:rFonts w:asciiTheme="majorBidi" w:hAnsiTheme="majorBidi" w:cstheme="majorBidi"/>
        </w:rPr>
      </w:pPr>
      <w:r w:rsidRPr="00A55804">
        <w:rPr>
          <w:rFonts w:asciiTheme="majorBidi" w:hAnsiTheme="majorBidi" w:cstheme="majorBidi"/>
        </w:rPr>
        <w:t>To The Graduate Council:</w:t>
      </w:r>
    </w:p>
    <w:p w:rsidR="00DC5BC8" w:rsidRPr="00A55804" w:rsidRDefault="00DC5BC8" w:rsidP="00DC5BC8">
      <w:pPr>
        <w:spacing w:after="360"/>
        <w:jc w:val="both"/>
        <w:rPr>
          <w:rFonts w:asciiTheme="majorBidi" w:hAnsiTheme="majorBidi" w:cstheme="majorBidi"/>
        </w:rPr>
      </w:pPr>
      <w:r w:rsidRPr="00A55804">
        <w:rPr>
          <w:rFonts w:asciiTheme="majorBidi" w:hAnsiTheme="majorBidi" w:cstheme="majorBidi"/>
        </w:rPr>
        <w:t>I am submitting herewith a dissertation written by Ali Mohammad Al-</w:t>
      </w:r>
      <w:proofErr w:type="spellStart"/>
      <w:r w:rsidRPr="00A55804">
        <w:rPr>
          <w:rFonts w:asciiTheme="majorBidi" w:hAnsiTheme="majorBidi" w:cstheme="majorBidi"/>
        </w:rPr>
        <w:t>Nadi</w:t>
      </w:r>
      <w:proofErr w:type="spellEnd"/>
      <w:r w:rsidRPr="00A55804">
        <w:rPr>
          <w:rFonts w:asciiTheme="majorBidi" w:hAnsiTheme="majorBidi" w:cstheme="majorBidi"/>
        </w:rPr>
        <w:t xml:space="preserve"> entitled “Three Macroeconomic Essays: Budget Stabilization Funds, Terms of Trade, Durability and the Small Open Economy Business Cycle.” I have examined the final electronic copy of this dissertation for form and content and recommend that it be accepted in partial fulfillment of the requirements for the degree of Doctor of Philosophy, with a major in Economics.</w:t>
      </w:r>
    </w:p>
    <w:p w:rsidR="00DC5BC8" w:rsidRPr="00A55804" w:rsidRDefault="00DC5BC8" w:rsidP="00DC5BC8">
      <w:pPr>
        <w:rPr>
          <w:rFonts w:asciiTheme="majorBidi" w:hAnsiTheme="majorBidi" w:cstheme="majorBid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8"/>
        <w:gridCol w:w="1350"/>
        <w:gridCol w:w="3960"/>
        <w:gridCol w:w="1008"/>
      </w:tblGrid>
      <w:tr w:rsidR="00DC5BC8" w:rsidRPr="00A55804" w:rsidTr="00786F2D">
        <w:trPr>
          <w:trHeight w:val="324"/>
        </w:trPr>
        <w:tc>
          <w:tcPr>
            <w:tcW w:w="3258" w:type="dxa"/>
            <w:tcBorders>
              <w:top w:val="nil"/>
              <w:left w:val="nil"/>
              <w:bottom w:val="nil"/>
              <w:right w:val="nil"/>
            </w:tcBorders>
          </w:tcPr>
          <w:p w:rsidR="00DC5BC8" w:rsidRPr="00A55804" w:rsidRDefault="00DC5BC8" w:rsidP="00786F2D">
            <w:pPr>
              <w:rPr>
                <w:rFonts w:asciiTheme="majorBidi" w:hAnsiTheme="majorBidi" w:cstheme="majorBidi"/>
              </w:rPr>
            </w:pPr>
          </w:p>
        </w:tc>
        <w:tc>
          <w:tcPr>
            <w:tcW w:w="1350" w:type="dxa"/>
            <w:tcBorders>
              <w:top w:val="nil"/>
              <w:left w:val="nil"/>
              <w:bottom w:val="nil"/>
              <w:right w:val="nil"/>
            </w:tcBorders>
          </w:tcPr>
          <w:p w:rsidR="00DC5BC8" w:rsidRPr="00A55804" w:rsidRDefault="00DC5BC8" w:rsidP="00786F2D">
            <w:pPr>
              <w:rPr>
                <w:rFonts w:asciiTheme="majorBidi" w:hAnsiTheme="majorBidi" w:cstheme="majorBidi"/>
              </w:rPr>
            </w:pPr>
          </w:p>
        </w:tc>
        <w:tc>
          <w:tcPr>
            <w:tcW w:w="3960" w:type="dxa"/>
            <w:tcBorders>
              <w:top w:val="nil"/>
              <w:left w:val="nil"/>
              <w:bottom w:val="single" w:sz="4" w:space="0" w:color="auto"/>
              <w:right w:val="nil"/>
            </w:tcBorders>
            <w:vAlign w:val="bottom"/>
          </w:tcPr>
          <w:p w:rsidR="00DC5BC8" w:rsidRPr="00A55804" w:rsidRDefault="00DC5BC8" w:rsidP="00786F2D">
            <w:pPr>
              <w:rPr>
                <w:rFonts w:asciiTheme="majorBidi" w:hAnsiTheme="majorBidi" w:cstheme="majorBidi"/>
              </w:rPr>
            </w:pPr>
            <w:r w:rsidRPr="00A55804">
              <w:rPr>
                <w:rFonts w:asciiTheme="majorBidi" w:hAnsiTheme="majorBidi" w:cstheme="majorBidi"/>
              </w:rPr>
              <w:t>Mohammed</w:t>
            </w:r>
            <w:r w:rsidR="000E01F4">
              <w:rPr>
                <w:rFonts w:asciiTheme="majorBidi" w:hAnsiTheme="majorBidi" w:cstheme="majorBidi"/>
              </w:rPr>
              <w:t xml:space="preserve"> </w:t>
            </w:r>
            <w:proofErr w:type="spellStart"/>
            <w:r w:rsidRPr="00A55804">
              <w:rPr>
                <w:rFonts w:asciiTheme="majorBidi" w:hAnsiTheme="majorBidi" w:cstheme="majorBidi"/>
              </w:rPr>
              <w:t>Mohsin</w:t>
            </w:r>
            <w:proofErr w:type="spellEnd"/>
            <w:r w:rsidRPr="00A55804">
              <w:rPr>
                <w:rFonts w:asciiTheme="majorBidi" w:hAnsiTheme="majorBidi" w:cstheme="majorBidi"/>
              </w:rPr>
              <w:t>, Major Professor</w:t>
            </w:r>
          </w:p>
        </w:tc>
        <w:tc>
          <w:tcPr>
            <w:tcW w:w="1008" w:type="dxa"/>
            <w:tcBorders>
              <w:top w:val="nil"/>
              <w:left w:val="nil"/>
              <w:bottom w:val="nil"/>
              <w:right w:val="nil"/>
            </w:tcBorders>
          </w:tcPr>
          <w:p w:rsidR="00DC5BC8" w:rsidRPr="00A55804" w:rsidRDefault="00DC5BC8" w:rsidP="00786F2D">
            <w:pPr>
              <w:rPr>
                <w:rFonts w:asciiTheme="majorBidi" w:hAnsiTheme="majorBidi" w:cstheme="majorBidi"/>
              </w:rPr>
            </w:pPr>
          </w:p>
        </w:tc>
      </w:tr>
      <w:tr w:rsidR="00DC5BC8" w:rsidRPr="00A55804" w:rsidTr="00786F2D">
        <w:trPr>
          <w:trHeight w:val="720"/>
        </w:trPr>
        <w:tc>
          <w:tcPr>
            <w:tcW w:w="3258" w:type="dxa"/>
            <w:tcBorders>
              <w:top w:val="nil"/>
              <w:left w:val="nil"/>
              <w:bottom w:val="nil"/>
              <w:right w:val="nil"/>
            </w:tcBorders>
          </w:tcPr>
          <w:p w:rsidR="00DC5BC8" w:rsidRPr="00A55804" w:rsidRDefault="00DC5BC8" w:rsidP="00786F2D">
            <w:pPr>
              <w:rPr>
                <w:rFonts w:asciiTheme="majorBidi" w:hAnsiTheme="majorBidi" w:cstheme="majorBidi"/>
              </w:rPr>
            </w:pPr>
          </w:p>
          <w:p w:rsidR="00DC5BC8" w:rsidRPr="00A55804" w:rsidRDefault="00DC5BC8" w:rsidP="00786F2D">
            <w:pPr>
              <w:rPr>
                <w:rFonts w:asciiTheme="majorBidi" w:hAnsiTheme="majorBidi" w:cstheme="majorBidi"/>
              </w:rPr>
            </w:pPr>
            <w:r w:rsidRPr="00A55804">
              <w:rPr>
                <w:rFonts w:asciiTheme="majorBidi" w:hAnsiTheme="majorBidi" w:cstheme="majorBidi"/>
              </w:rPr>
              <w:t>We have read this dissertation and recommend its acceptance:</w:t>
            </w:r>
          </w:p>
          <w:p w:rsidR="00DC5BC8" w:rsidRPr="00A55804" w:rsidRDefault="00DC5BC8" w:rsidP="00786F2D">
            <w:pPr>
              <w:rPr>
                <w:rFonts w:asciiTheme="majorBidi" w:hAnsiTheme="majorBidi" w:cstheme="majorBidi"/>
              </w:rPr>
            </w:pPr>
          </w:p>
          <w:p w:rsidR="00DC5BC8" w:rsidRPr="00A55804" w:rsidRDefault="00DC5BC8" w:rsidP="00786F2D">
            <w:pPr>
              <w:rPr>
                <w:rFonts w:asciiTheme="majorBidi" w:hAnsiTheme="majorBidi" w:cstheme="majorBidi"/>
              </w:rPr>
            </w:pPr>
          </w:p>
        </w:tc>
        <w:tc>
          <w:tcPr>
            <w:tcW w:w="1350" w:type="dxa"/>
            <w:tcBorders>
              <w:top w:val="nil"/>
              <w:left w:val="nil"/>
              <w:bottom w:val="nil"/>
              <w:right w:val="nil"/>
            </w:tcBorders>
          </w:tcPr>
          <w:p w:rsidR="00DC5BC8" w:rsidRPr="00A55804" w:rsidRDefault="00DC5BC8" w:rsidP="00786F2D">
            <w:pPr>
              <w:rPr>
                <w:rFonts w:asciiTheme="majorBidi" w:hAnsiTheme="majorBidi" w:cstheme="majorBidi"/>
              </w:rPr>
            </w:pPr>
          </w:p>
        </w:tc>
        <w:tc>
          <w:tcPr>
            <w:tcW w:w="3960" w:type="dxa"/>
            <w:tcBorders>
              <w:left w:val="nil"/>
              <w:bottom w:val="nil"/>
              <w:right w:val="nil"/>
            </w:tcBorders>
          </w:tcPr>
          <w:p w:rsidR="00DC5BC8" w:rsidRPr="00A55804" w:rsidRDefault="00DC5BC8" w:rsidP="00786F2D">
            <w:pPr>
              <w:rPr>
                <w:rFonts w:asciiTheme="majorBidi" w:hAnsiTheme="majorBidi" w:cstheme="majorBidi"/>
              </w:rPr>
            </w:pPr>
          </w:p>
        </w:tc>
        <w:tc>
          <w:tcPr>
            <w:tcW w:w="1008" w:type="dxa"/>
            <w:tcBorders>
              <w:top w:val="nil"/>
              <w:left w:val="nil"/>
              <w:bottom w:val="nil"/>
              <w:right w:val="nil"/>
            </w:tcBorders>
          </w:tcPr>
          <w:p w:rsidR="00DC5BC8" w:rsidRPr="00A55804" w:rsidRDefault="00DC5BC8" w:rsidP="00786F2D">
            <w:pPr>
              <w:rPr>
                <w:rFonts w:asciiTheme="majorBidi" w:hAnsiTheme="majorBidi" w:cstheme="majorBidi"/>
              </w:rPr>
            </w:pPr>
          </w:p>
        </w:tc>
      </w:tr>
    </w:tbl>
    <w:p w:rsidR="00DC5BC8" w:rsidRPr="00A55804" w:rsidRDefault="00DC5BC8" w:rsidP="00DC5BC8">
      <w:pPr>
        <w:rPr>
          <w:rFonts w:asciiTheme="majorBidi" w:hAnsiTheme="majorBidi" w:cstheme="majorBidi"/>
        </w:rPr>
      </w:pPr>
    </w:p>
    <w:tbl>
      <w:tblPr>
        <w:tblW w:w="0" w:type="auto"/>
        <w:tblBorders>
          <w:top w:val="single" w:sz="4" w:space="0" w:color="auto"/>
          <w:bottom w:val="single" w:sz="4" w:space="0" w:color="auto"/>
          <w:insideH w:val="single" w:sz="4" w:space="0" w:color="auto"/>
        </w:tblBorders>
        <w:tblLook w:val="04A0"/>
      </w:tblPr>
      <w:tblGrid>
        <w:gridCol w:w="3258"/>
        <w:gridCol w:w="3126"/>
        <w:gridCol w:w="3192"/>
      </w:tblGrid>
      <w:tr w:rsidR="00DC5BC8" w:rsidRPr="00A55804" w:rsidTr="00786F2D">
        <w:trPr>
          <w:trHeight w:val="144"/>
        </w:trPr>
        <w:tc>
          <w:tcPr>
            <w:tcW w:w="3258" w:type="dxa"/>
            <w:tcBorders>
              <w:top w:val="nil"/>
            </w:tcBorders>
            <w:vAlign w:val="bottom"/>
          </w:tcPr>
          <w:p w:rsidR="00DC5BC8" w:rsidRPr="00A55804" w:rsidRDefault="00DC5BC8" w:rsidP="00786F2D">
            <w:pPr>
              <w:spacing w:after="40"/>
              <w:jc w:val="lowKashida"/>
              <w:rPr>
                <w:rFonts w:asciiTheme="majorBidi" w:hAnsiTheme="majorBidi" w:cstheme="majorBidi"/>
              </w:rPr>
            </w:pPr>
            <w:r w:rsidRPr="00A55804">
              <w:rPr>
                <w:rFonts w:asciiTheme="majorBidi" w:hAnsiTheme="majorBidi" w:cstheme="majorBidi"/>
              </w:rPr>
              <w:t>Phillip Daves</w:t>
            </w:r>
          </w:p>
        </w:tc>
        <w:tc>
          <w:tcPr>
            <w:tcW w:w="3126" w:type="dxa"/>
            <w:tcBorders>
              <w:top w:val="nil"/>
              <w:bottom w:val="nil"/>
            </w:tcBorders>
          </w:tcPr>
          <w:p w:rsidR="00DC5BC8" w:rsidRPr="00A55804" w:rsidRDefault="00DC5BC8" w:rsidP="00786F2D">
            <w:pPr>
              <w:rPr>
                <w:rFonts w:asciiTheme="majorBidi" w:hAnsiTheme="majorBidi" w:cstheme="majorBidi"/>
              </w:rPr>
            </w:pPr>
          </w:p>
        </w:tc>
        <w:tc>
          <w:tcPr>
            <w:tcW w:w="3192" w:type="dxa"/>
            <w:tcBorders>
              <w:top w:val="nil"/>
              <w:bottom w:val="nil"/>
            </w:tcBorders>
          </w:tcPr>
          <w:p w:rsidR="00DC5BC8" w:rsidRPr="00A55804" w:rsidRDefault="00DC5BC8" w:rsidP="00786F2D">
            <w:pPr>
              <w:rPr>
                <w:rFonts w:asciiTheme="majorBidi" w:hAnsiTheme="majorBidi" w:cstheme="majorBidi"/>
              </w:rPr>
            </w:pPr>
          </w:p>
        </w:tc>
      </w:tr>
      <w:tr w:rsidR="00DC5BC8" w:rsidRPr="00A55804" w:rsidTr="00786F2D">
        <w:trPr>
          <w:trHeight w:val="728"/>
        </w:trPr>
        <w:tc>
          <w:tcPr>
            <w:tcW w:w="3258" w:type="dxa"/>
            <w:tcBorders>
              <w:bottom w:val="nil"/>
            </w:tcBorders>
          </w:tcPr>
          <w:p w:rsidR="00DC5BC8" w:rsidRPr="00A55804" w:rsidRDefault="00DC5BC8" w:rsidP="00786F2D">
            <w:pPr>
              <w:rPr>
                <w:rFonts w:asciiTheme="majorBidi" w:hAnsiTheme="majorBidi" w:cstheme="majorBidi"/>
              </w:rPr>
            </w:pPr>
          </w:p>
        </w:tc>
        <w:tc>
          <w:tcPr>
            <w:tcW w:w="3126" w:type="dxa"/>
            <w:tcBorders>
              <w:top w:val="nil"/>
              <w:bottom w:val="nil"/>
            </w:tcBorders>
          </w:tcPr>
          <w:p w:rsidR="00DC5BC8" w:rsidRPr="00A55804" w:rsidRDefault="00DC5BC8" w:rsidP="00786F2D">
            <w:pPr>
              <w:rPr>
                <w:rFonts w:asciiTheme="majorBidi" w:hAnsiTheme="majorBidi" w:cstheme="majorBidi"/>
              </w:rPr>
            </w:pPr>
          </w:p>
        </w:tc>
        <w:tc>
          <w:tcPr>
            <w:tcW w:w="3192" w:type="dxa"/>
            <w:tcBorders>
              <w:top w:val="nil"/>
              <w:bottom w:val="nil"/>
            </w:tcBorders>
          </w:tcPr>
          <w:p w:rsidR="00DC5BC8" w:rsidRPr="00A55804" w:rsidRDefault="00DC5BC8" w:rsidP="00786F2D">
            <w:pPr>
              <w:rPr>
                <w:rFonts w:asciiTheme="majorBidi" w:hAnsiTheme="majorBidi" w:cstheme="majorBidi"/>
              </w:rPr>
            </w:pPr>
          </w:p>
        </w:tc>
      </w:tr>
      <w:tr w:rsidR="00DC5BC8" w:rsidRPr="00A55804" w:rsidTr="00786F2D">
        <w:trPr>
          <w:trHeight w:val="341"/>
        </w:trPr>
        <w:tc>
          <w:tcPr>
            <w:tcW w:w="3258" w:type="dxa"/>
            <w:tcBorders>
              <w:top w:val="nil"/>
            </w:tcBorders>
          </w:tcPr>
          <w:p w:rsidR="00DC5BC8" w:rsidRPr="00A55804" w:rsidRDefault="00DC5BC8" w:rsidP="00786F2D">
            <w:pPr>
              <w:spacing w:after="40"/>
              <w:jc w:val="lowKashida"/>
              <w:rPr>
                <w:rFonts w:asciiTheme="majorBidi" w:hAnsiTheme="majorBidi" w:cstheme="majorBidi"/>
              </w:rPr>
            </w:pPr>
            <w:r w:rsidRPr="00A55804">
              <w:rPr>
                <w:rFonts w:asciiTheme="majorBidi" w:hAnsiTheme="majorBidi" w:cstheme="majorBidi"/>
              </w:rPr>
              <w:t>Matthew N. Murray</w:t>
            </w:r>
          </w:p>
        </w:tc>
        <w:tc>
          <w:tcPr>
            <w:tcW w:w="3126" w:type="dxa"/>
            <w:tcBorders>
              <w:top w:val="nil"/>
              <w:bottom w:val="nil"/>
            </w:tcBorders>
          </w:tcPr>
          <w:p w:rsidR="00DC5BC8" w:rsidRPr="00A55804" w:rsidRDefault="00DC5BC8" w:rsidP="00786F2D">
            <w:pPr>
              <w:rPr>
                <w:rFonts w:asciiTheme="majorBidi" w:hAnsiTheme="majorBidi" w:cstheme="majorBidi"/>
              </w:rPr>
            </w:pPr>
          </w:p>
        </w:tc>
        <w:tc>
          <w:tcPr>
            <w:tcW w:w="3192" w:type="dxa"/>
            <w:tcBorders>
              <w:top w:val="nil"/>
              <w:bottom w:val="nil"/>
            </w:tcBorders>
          </w:tcPr>
          <w:p w:rsidR="00DC5BC8" w:rsidRPr="00A55804" w:rsidRDefault="00DC5BC8" w:rsidP="00786F2D">
            <w:pPr>
              <w:rPr>
                <w:rFonts w:asciiTheme="majorBidi" w:hAnsiTheme="majorBidi" w:cstheme="majorBidi"/>
              </w:rPr>
            </w:pPr>
          </w:p>
        </w:tc>
      </w:tr>
      <w:tr w:rsidR="00DC5BC8" w:rsidRPr="00A55804" w:rsidTr="00786F2D">
        <w:trPr>
          <w:trHeight w:val="602"/>
        </w:trPr>
        <w:tc>
          <w:tcPr>
            <w:tcW w:w="3258" w:type="dxa"/>
            <w:tcBorders>
              <w:bottom w:val="nil"/>
            </w:tcBorders>
          </w:tcPr>
          <w:p w:rsidR="00DC5BC8" w:rsidRPr="00A55804" w:rsidRDefault="00DC5BC8" w:rsidP="00786F2D">
            <w:pPr>
              <w:rPr>
                <w:rFonts w:asciiTheme="majorBidi" w:hAnsiTheme="majorBidi" w:cstheme="majorBidi"/>
              </w:rPr>
            </w:pPr>
          </w:p>
        </w:tc>
        <w:tc>
          <w:tcPr>
            <w:tcW w:w="3126" w:type="dxa"/>
            <w:tcBorders>
              <w:top w:val="nil"/>
              <w:bottom w:val="nil"/>
            </w:tcBorders>
          </w:tcPr>
          <w:p w:rsidR="00DC5BC8" w:rsidRPr="00A55804" w:rsidRDefault="00DC5BC8" w:rsidP="00786F2D">
            <w:pPr>
              <w:rPr>
                <w:rFonts w:asciiTheme="majorBidi" w:hAnsiTheme="majorBidi" w:cstheme="majorBidi"/>
              </w:rPr>
            </w:pPr>
          </w:p>
        </w:tc>
        <w:tc>
          <w:tcPr>
            <w:tcW w:w="3192" w:type="dxa"/>
            <w:tcBorders>
              <w:top w:val="nil"/>
              <w:bottom w:val="nil"/>
            </w:tcBorders>
          </w:tcPr>
          <w:p w:rsidR="00DC5BC8" w:rsidRPr="00A55804" w:rsidRDefault="00DC5BC8" w:rsidP="00786F2D">
            <w:pPr>
              <w:rPr>
                <w:rFonts w:asciiTheme="majorBidi" w:hAnsiTheme="majorBidi" w:cstheme="majorBidi"/>
              </w:rPr>
            </w:pPr>
          </w:p>
        </w:tc>
      </w:tr>
      <w:tr w:rsidR="00DC5BC8" w:rsidRPr="00A55804" w:rsidTr="00786F2D">
        <w:trPr>
          <w:trHeight w:val="449"/>
        </w:trPr>
        <w:tc>
          <w:tcPr>
            <w:tcW w:w="3258" w:type="dxa"/>
            <w:tcBorders>
              <w:top w:val="nil"/>
            </w:tcBorders>
            <w:vAlign w:val="bottom"/>
          </w:tcPr>
          <w:p w:rsidR="00DC5BC8" w:rsidRPr="00A55804" w:rsidRDefault="00DC5BC8" w:rsidP="00786F2D">
            <w:pPr>
              <w:spacing w:after="40"/>
              <w:rPr>
                <w:rFonts w:asciiTheme="majorBidi" w:hAnsiTheme="majorBidi" w:cstheme="majorBidi"/>
              </w:rPr>
            </w:pPr>
            <w:r w:rsidRPr="00A55804">
              <w:rPr>
                <w:rFonts w:asciiTheme="majorBidi" w:hAnsiTheme="majorBidi" w:cstheme="majorBidi"/>
              </w:rPr>
              <w:t>William S. Neilson</w:t>
            </w:r>
          </w:p>
        </w:tc>
        <w:tc>
          <w:tcPr>
            <w:tcW w:w="3126" w:type="dxa"/>
            <w:tcBorders>
              <w:top w:val="nil"/>
              <w:bottom w:val="nil"/>
            </w:tcBorders>
          </w:tcPr>
          <w:p w:rsidR="00DC5BC8" w:rsidRPr="00A55804" w:rsidRDefault="00DC5BC8" w:rsidP="00786F2D">
            <w:pPr>
              <w:rPr>
                <w:rFonts w:asciiTheme="majorBidi" w:hAnsiTheme="majorBidi" w:cstheme="majorBidi"/>
              </w:rPr>
            </w:pPr>
          </w:p>
        </w:tc>
        <w:tc>
          <w:tcPr>
            <w:tcW w:w="3192" w:type="dxa"/>
            <w:tcBorders>
              <w:top w:val="nil"/>
              <w:bottom w:val="nil"/>
            </w:tcBorders>
          </w:tcPr>
          <w:p w:rsidR="00DC5BC8" w:rsidRPr="00A55804" w:rsidRDefault="00DC5BC8" w:rsidP="00786F2D">
            <w:pPr>
              <w:rPr>
                <w:rFonts w:asciiTheme="majorBidi" w:hAnsiTheme="majorBidi" w:cstheme="majorBidi"/>
              </w:rPr>
            </w:pPr>
          </w:p>
        </w:tc>
      </w:tr>
    </w:tbl>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08"/>
        <w:gridCol w:w="4732"/>
        <w:gridCol w:w="236"/>
      </w:tblGrid>
      <w:tr w:rsidR="00DC5BC8" w:rsidRPr="00A55804" w:rsidTr="00786F2D">
        <w:trPr>
          <w:trHeight w:val="702"/>
        </w:trPr>
        <w:tc>
          <w:tcPr>
            <w:tcW w:w="4608" w:type="dxa"/>
            <w:tcBorders>
              <w:top w:val="nil"/>
              <w:left w:val="nil"/>
              <w:bottom w:val="nil"/>
              <w:right w:val="nil"/>
            </w:tcBorders>
          </w:tcPr>
          <w:p w:rsidR="00DC5BC8" w:rsidRPr="00A55804" w:rsidRDefault="00DC5BC8" w:rsidP="00786F2D">
            <w:pPr>
              <w:rPr>
                <w:rFonts w:asciiTheme="majorBidi" w:hAnsiTheme="majorBidi" w:cstheme="majorBidi"/>
              </w:rPr>
            </w:pPr>
          </w:p>
        </w:tc>
        <w:tc>
          <w:tcPr>
            <w:tcW w:w="4732" w:type="dxa"/>
            <w:tcBorders>
              <w:top w:val="nil"/>
              <w:left w:val="nil"/>
              <w:bottom w:val="nil"/>
              <w:right w:val="nil"/>
            </w:tcBorders>
          </w:tcPr>
          <w:p w:rsidR="00DC5BC8" w:rsidRPr="00A55804" w:rsidRDefault="00DC5BC8" w:rsidP="00786F2D">
            <w:pPr>
              <w:spacing w:after="240"/>
              <w:rPr>
                <w:rFonts w:asciiTheme="majorBidi" w:hAnsiTheme="majorBidi" w:cstheme="majorBidi"/>
              </w:rPr>
            </w:pPr>
            <w:r w:rsidRPr="00A55804">
              <w:rPr>
                <w:rFonts w:asciiTheme="majorBidi" w:hAnsiTheme="majorBidi" w:cstheme="majorBidi"/>
              </w:rPr>
              <w:t>Accepted for the Council:</w:t>
            </w:r>
          </w:p>
          <w:p w:rsidR="00DC5BC8" w:rsidRPr="00A55804" w:rsidRDefault="00DC5BC8" w:rsidP="00786F2D">
            <w:pPr>
              <w:spacing w:before="120"/>
              <w:jc w:val="center"/>
              <w:rPr>
                <w:rFonts w:asciiTheme="majorBidi" w:hAnsiTheme="majorBidi" w:cstheme="majorBidi"/>
              </w:rPr>
            </w:pPr>
          </w:p>
        </w:tc>
        <w:tc>
          <w:tcPr>
            <w:tcW w:w="236" w:type="dxa"/>
            <w:tcBorders>
              <w:top w:val="nil"/>
              <w:left w:val="nil"/>
              <w:bottom w:val="nil"/>
              <w:right w:val="nil"/>
            </w:tcBorders>
          </w:tcPr>
          <w:p w:rsidR="00DC5BC8" w:rsidRPr="00A55804" w:rsidRDefault="00DC5BC8" w:rsidP="00786F2D">
            <w:pPr>
              <w:rPr>
                <w:rFonts w:asciiTheme="majorBidi" w:hAnsiTheme="majorBidi" w:cstheme="majorBidi"/>
              </w:rPr>
            </w:pPr>
          </w:p>
        </w:tc>
      </w:tr>
      <w:tr w:rsidR="00DC5BC8" w:rsidRPr="00A55804" w:rsidTr="00786F2D">
        <w:trPr>
          <w:trHeight w:val="503"/>
        </w:trPr>
        <w:tc>
          <w:tcPr>
            <w:tcW w:w="4608" w:type="dxa"/>
            <w:tcBorders>
              <w:top w:val="nil"/>
              <w:left w:val="nil"/>
              <w:bottom w:val="nil"/>
              <w:right w:val="nil"/>
            </w:tcBorders>
          </w:tcPr>
          <w:p w:rsidR="00DC5BC8" w:rsidRPr="00A55804" w:rsidRDefault="00DC5BC8" w:rsidP="00786F2D">
            <w:pPr>
              <w:rPr>
                <w:rFonts w:asciiTheme="majorBidi" w:hAnsiTheme="majorBidi" w:cstheme="majorBidi"/>
              </w:rPr>
            </w:pPr>
          </w:p>
        </w:tc>
        <w:tc>
          <w:tcPr>
            <w:tcW w:w="4732" w:type="dxa"/>
            <w:tcBorders>
              <w:top w:val="nil"/>
              <w:left w:val="nil"/>
              <w:bottom w:val="single" w:sz="4" w:space="0" w:color="auto"/>
              <w:right w:val="nil"/>
            </w:tcBorders>
            <w:vAlign w:val="bottom"/>
          </w:tcPr>
          <w:p w:rsidR="00DC5BC8" w:rsidRPr="00A55804" w:rsidRDefault="00DC5BC8" w:rsidP="00786F2D">
            <w:pPr>
              <w:spacing w:after="40"/>
              <w:rPr>
                <w:rFonts w:asciiTheme="majorBidi" w:hAnsiTheme="majorBidi" w:cstheme="majorBidi"/>
              </w:rPr>
            </w:pPr>
            <w:r w:rsidRPr="00A55804">
              <w:rPr>
                <w:rFonts w:asciiTheme="majorBidi" w:hAnsiTheme="majorBidi" w:cstheme="majorBidi"/>
              </w:rPr>
              <w:t>Carolyn R. Hodges</w:t>
            </w:r>
          </w:p>
        </w:tc>
        <w:tc>
          <w:tcPr>
            <w:tcW w:w="236" w:type="dxa"/>
            <w:tcBorders>
              <w:top w:val="nil"/>
              <w:left w:val="nil"/>
              <w:bottom w:val="nil"/>
              <w:right w:val="nil"/>
            </w:tcBorders>
          </w:tcPr>
          <w:p w:rsidR="00DC5BC8" w:rsidRPr="00A55804" w:rsidRDefault="00DC5BC8" w:rsidP="00786F2D">
            <w:pPr>
              <w:rPr>
                <w:rFonts w:asciiTheme="majorBidi" w:hAnsiTheme="majorBidi" w:cstheme="majorBidi"/>
              </w:rPr>
            </w:pPr>
          </w:p>
        </w:tc>
      </w:tr>
      <w:tr w:rsidR="00DC5BC8" w:rsidRPr="00A55804" w:rsidTr="00786F2D">
        <w:trPr>
          <w:trHeight w:val="305"/>
        </w:trPr>
        <w:tc>
          <w:tcPr>
            <w:tcW w:w="4608" w:type="dxa"/>
            <w:tcBorders>
              <w:top w:val="nil"/>
              <w:left w:val="nil"/>
              <w:bottom w:val="nil"/>
              <w:right w:val="nil"/>
            </w:tcBorders>
          </w:tcPr>
          <w:p w:rsidR="00DC5BC8" w:rsidRPr="00A55804" w:rsidRDefault="00DC5BC8" w:rsidP="00786F2D">
            <w:pPr>
              <w:rPr>
                <w:rFonts w:asciiTheme="majorBidi" w:hAnsiTheme="majorBidi" w:cstheme="majorBidi"/>
              </w:rPr>
            </w:pPr>
          </w:p>
        </w:tc>
        <w:tc>
          <w:tcPr>
            <w:tcW w:w="4732" w:type="dxa"/>
            <w:tcBorders>
              <w:top w:val="single" w:sz="4" w:space="0" w:color="auto"/>
              <w:left w:val="nil"/>
              <w:bottom w:val="nil"/>
              <w:right w:val="nil"/>
            </w:tcBorders>
            <w:vAlign w:val="bottom"/>
          </w:tcPr>
          <w:p w:rsidR="00DC5BC8" w:rsidRPr="00A55804" w:rsidRDefault="00DC5BC8" w:rsidP="00786F2D">
            <w:pPr>
              <w:spacing w:before="120"/>
              <w:rPr>
                <w:rFonts w:asciiTheme="majorBidi" w:hAnsiTheme="majorBidi" w:cstheme="majorBidi"/>
              </w:rPr>
            </w:pPr>
            <w:r w:rsidRPr="00A55804">
              <w:rPr>
                <w:rFonts w:asciiTheme="majorBidi" w:hAnsiTheme="majorBidi" w:cstheme="majorBidi"/>
              </w:rPr>
              <w:t>Vice Provost and Dean of the Graduate School</w:t>
            </w:r>
          </w:p>
        </w:tc>
        <w:tc>
          <w:tcPr>
            <w:tcW w:w="236" w:type="dxa"/>
            <w:tcBorders>
              <w:top w:val="nil"/>
              <w:left w:val="nil"/>
              <w:bottom w:val="nil"/>
              <w:right w:val="nil"/>
            </w:tcBorders>
          </w:tcPr>
          <w:p w:rsidR="00DC5BC8" w:rsidRPr="00A55804" w:rsidRDefault="00DC5BC8" w:rsidP="00786F2D">
            <w:pPr>
              <w:rPr>
                <w:rFonts w:asciiTheme="majorBidi" w:hAnsiTheme="majorBidi" w:cstheme="majorBidi"/>
              </w:rPr>
            </w:pPr>
          </w:p>
        </w:tc>
      </w:tr>
    </w:tbl>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DC5BC8" w:rsidRPr="00A55804" w:rsidRDefault="00DC5BC8" w:rsidP="00DC5BC8">
      <w:pPr>
        <w:jc w:val="center"/>
        <w:rPr>
          <w:rFonts w:asciiTheme="majorBidi" w:hAnsiTheme="majorBidi" w:cstheme="majorBidi"/>
        </w:rPr>
      </w:pPr>
      <w:r w:rsidRPr="00A55804">
        <w:rPr>
          <w:rFonts w:asciiTheme="majorBidi" w:hAnsiTheme="majorBidi" w:cstheme="majorBidi"/>
        </w:rPr>
        <w:t>(Original signatures are on file with official student records.)</w:t>
      </w:r>
    </w:p>
    <w:p w:rsidR="00DC5BC8" w:rsidRPr="00A55804" w:rsidRDefault="00DC5BC8" w:rsidP="00DC5BC8">
      <w:pPr>
        <w:rPr>
          <w:rFonts w:asciiTheme="majorBidi" w:hAnsiTheme="majorBidi" w:cstheme="majorBidi"/>
        </w:rPr>
      </w:pPr>
    </w:p>
    <w:p w:rsidR="00DC5BC8" w:rsidRPr="00A55804" w:rsidRDefault="00DC5BC8" w:rsidP="00DC5BC8">
      <w:pPr>
        <w:rPr>
          <w:rFonts w:asciiTheme="majorBidi" w:hAnsiTheme="majorBidi" w:cstheme="majorBidi"/>
        </w:rPr>
      </w:pPr>
    </w:p>
    <w:p w:rsidR="00824A50" w:rsidRDefault="00824A50" w:rsidP="00DC5BC8">
      <w:pPr>
        <w:rPr>
          <w:rFonts w:asciiTheme="majorBidi" w:hAnsiTheme="majorBidi" w:cstheme="majorBidi"/>
        </w:rPr>
        <w:sectPr w:rsidR="00824A50" w:rsidSect="00F4506E">
          <w:headerReference w:type="even" r:id="rId8"/>
          <w:headerReference w:type="default" r:id="rId9"/>
          <w:footerReference w:type="default" r:id="rId10"/>
          <w:pgSz w:w="12240" w:h="15840"/>
          <w:pgMar w:top="1440" w:right="1440" w:bottom="1872" w:left="1440" w:header="720" w:footer="720" w:gutter="0"/>
          <w:pgNumType w:start="1"/>
          <w:cols w:space="720"/>
          <w:titlePg/>
          <w:docGrid w:linePitch="360"/>
        </w:sectPr>
      </w:pPr>
    </w:p>
    <w:p w:rsidR="00DC5BC8" w:rsidRPr="00A55804" w:rsidRDefault="00DC5BC8" w:rsidP="00DC5BC8">
      <w:pPr>
        <w:rPr>
          <w:rFonts w:asciiTheme="majorBidi" w:hAnsiTheme="majorBidi" w:cstheme="majorBidi"/>
        </w:rPr>
      </w:pPr>
    </w:p>
    <w:p w:rsidR="00824A50" w:rsidRDefault="00824A50" w:rsidP="00DC5BC8">
      <w:pPr>
        <w:jc w:val="center"/>
        <w:rPr>
          <w:rFonts w:asciiTheme="majorBidi" w:hAnsiTheme="majorBidi" w:cstheme="majorBidi"/>
          <w:b/>
          <w:bCs/>
          <w:sz w:val="52"/>
          <w:szCs w:val="52"/>
        </w:rPr>
      </w:pPr>
    </w:p>
    <w:p w:rsidR="00DC5BC8" w:rsidRPr="00A55804" w:rsidRDefault="00DC5BC8" w:rsidP="00DC5BC8">
      <w:pPr>
        <w:jc w:val="center"/>
        <w:rPr>
          <w:rFonts w:asciiTheme="majorBidi" w:hAnsiTheme="majorBidi" w:cstheme="majorBidi"/>
          <w:b/>
          <w:bCs/>
          <w:sz w:val="52"/>
          <w:szCs w:val="52"/>
        </w:rPr>
      </w:pPr>
      <w:r w:rsidRPr="00A55804">
        <w:rPr>
          <w:rFonts w:asciiTheme="majorBidi" w:hAnsiTheme="majorBidi" w:cstheme="majorBidi"/>
          <w:b/>
          <w:bCs/>
          <w:sz w:val="52"/>
          <w:szCs w:val="52"/>
        </w:rPr>
        <w:t>Three Macroeconomic Essays:</w:t>
      </w:r>
    </w:p>
    <w:p w:rsidR="00DC5BC8" w:rsidRPr="00A55804" w:rsidRDefault="00DC5BC8" w:rsidP="00DC5BC8">
      <w:pPr>
        <w:jc w:val="center"/>
        <w:rPr>
          <w:rFonts w:asciiTheme="majorBidi" w:hAnsiTheme="majorBidi" w:cstheme="majorBidi"/>
          <w:b/>
          <w:bCs/>
          <w:sz w:val="52"/>
          <w:szCs w:val="52"/>
        </w:rPr>
      </w:pPr>
      <w:r w:rsidRPr="00A55804">
        <w:rPr>
          <w:rFonts w:asciiTheme="majorBidi" w:hAnsiTheme="majorBidi" w:cstheme="majorBidi"/>
          <w:b/>
          <w:bCs/>
          <w:sz w:val="52"/>
          <w:szCs w:val="52"/>
        </w:rPr>
        <w:t>Budget Stabilization Funds, Terms of Trade, Durability and the Small Open Economy Business Cycle</w:t>
      </w:r>
    </w:p>
    <w:p w:rsidR="00DC5BC8" w:rsidRPr="00A55804" w:rsidRDefault="00DC5BC8" w:rsidP="00DC5BC8">
      <w:pPr>
        <w:rPr>
          <w:rFonts w:asciiTheme="majorBidi" w:hAnsiTheme="majorBidi" w:cstheme="majorBidi"/>
          <w:i/>
          <w:iCs/>
          <w:sz w:val="32"/>
          <w:szCs w:val="32"/>
        </w:rPr>
      </w:pPr>
    </w:p>
    <w:p w:rsidR="00DC5BC8" w:rsidRPr="00A55804" w:rsidRDefault="00DC5BC8" w:rsidP="00DC5BC8">
      <w:pPr>
        <w:rPr>
          <w:rFonts w:asciiTheme="majorBidi" w:hAnsiTheme="majorBidi" w:cstheme="majorBidi"/>
          <w:i/>
          <w:iCs/>
          <w:sz w:val="32"/>
          <w:szCs w:val="32"/>
        </w:rPr>
      </w:pPr>
    </w:p>
    <w:p w:rsidR="00DC5BC8" w:rsidRPr="00A55804" w:rsidRDefault="00DC5BC8" w:rsidP="00DC5BC8">
      <w:pPr>
        <w:rPr>
          <w:rFonts w:asciiTheme="majorBidi" w:hAnsiTheme="majorBidi" w:cstheme="majorBidi"/>
          <w:i/>
          <w:iCs/>
          <w:sz w:val="32"/>
          <w:szCs w:val="32"/>
        </w:rPr>
      </w:pPr>
    </w:p>
    <w:p w:rsidR="00DC5BC8" w:rsidRPr="00A55804" w:rsidRDefault="00DC5BC8" w:rsidP="00DC5BC8">
      <w:pPr>
        <w:rPr>
          <w:rFonts w:asciiTheme="majorBidi" w:hAnsiTheme="majorBidi" w:cstheme="majorBidi"/>
          <w:i/>
          <w:iCs/>
          <w:sz w:val="32"/>
          <w:szCs w:val="32"/>
        </w:rPr>
      </w:pPr>
    </w:p>
    <w:p w:rsidR="00DC5BC8" w:rsidRPr="00A55804" w:rsidRDefault="00DC5BC8" w:rsidP="00DC5BC8">
      <w:pPr>
        <w:rPr>
          <w:rFonts w:asciiTheme="majorBidi" w:hAnsiTheme="majorBidi" w:cstheme="majorBidi"/>
          <w:i/>
          <w:iCs/>
          <w:sz w:val="32"/>
          <w:szCs w:val="32"/>
        </w:rPr>
      </w:pPr>
    </w:p>
    <w:p w:rsidR="00DC5BC8" w:rsidRPr="00A55804" w:rsidRDefault="00DC5BC8" w:rsidP="00DC5BC8">
      <w:pPr>
        <w:rPr>
          <w:rFonts w:asciiTheme="majorBidi" w:hAnsiTheme="majorBidi" w:cstheme="majorBidi"/>
          <w:i/>
          <w:iCs/>
          <w:sz w:val="32"/>
          <w:szCs w:val="32"/>
        </w:rPr>
      </w:pPr>
    </w:p>
    <w:p w:rsidR="00DC5BC8" w:rsidRPr="00A55804" w:rsidRDefault="00DC5BC8" w:rsidP="00DC5BC8">
      <w:pPr>
        <w:jc w:val="center"/>
        <w:rPr>
          <w:rFonts w:asciiTheme="majorBidi" w:hAnsiTheme="majorBidi" w:cstheme="majorBidi"/>
          <w:sz w:val="36"/>
          <w:szCs w:val="36"/>
        </w:rPr>
      </w:pPr>
      <w:r w:rsidRPr="00A55804">
        <w:rPr>
          <w:rFonts w:asciiTheme="majorBidi" w:hAnsiTheme="majorBidi" w:cstheme="majorBidi"/>
          <w:sz w:val="36"/>
          <w:szCs w:val="36"/>
        </w:rPr>
        <w:t>A Dissertation</w:t>
      </w:r>
    </w:p>
    <w:p w:rsidR="00DC5BC8" w:rsidRPr="00A55804" w:rsidRDefault="00DC5BC8" w:rsidP="00DC5BC8">
      <w:pPr>
        <w:jc w:val="center"/>
        <w:rPr>
          <w:rFonts w:asciiTheme="majorBidi" w:hAnsiTheme="majorBidi" w:cstheme="majorBidi"/>
          <w:sz w:val="36"/>
          <w:szCs w:val="36"/>
        </w:rPr>
      </w:pPr>
      <w:r w:rsidRPr="00A55804">
        <w:rPr>
          <w:rFonts w:asciiTheme="majorBidi" w:hAnsiTheme="majorBidi" w:cstheme="majorBidi"/>
          <w:sz w:val="36"/>
          <w:szCs w:val="36"/>
        </w:rPr>
        <w:t>Presented for the</w:t>
      </w:r>
    </w:p>
    <w:p w:rsidR="00DC5BC8" w:rsidRPr="00A55804" w:rsidRDefault="00DC5BC8" w:rsidP="00DC5BC8">
      <w:pPr>
        <w:jc w:val="center"/>
        <w:rPr>
          <w:rFonts w:asciiTheme="majorBidi" w:hAnsiTheme="majorBidi" w:cstheme="majorBidi"/>
          <w:sz w:val="36"/>
          <w:szCs w:val="36"/>
        </w:rPr>
      </w:pPr>
      <w:r w:rsidRPr="00A55804">
        <w:rPr>
          <w:rFonts w:asciiTheme="majorBidi" w:hAnsiTheme="majorBidi" w:cstheme="majorBidi"/>
          <w:sz w:val="36"/>
          <w:szCs w:val="36"/>
        </w:rPr>
        <w:t>Doctor of Philosophy Degree</w:t>
      </w:r>
    </w:p>
    <w:p w:rsidR="00DC5BC8" w:rsidRPr="00A55804" w:rsidRDefault="00DC5BC8" w:rsidP="00DC5BC8">
      <w:pPr>
        <w:jc w:val="center"/>
        <w:rPr>
          <w:rFonts w:asciiTheme="majorBidi" w:hAnsiTheme="majorBidi" w:cstheme="majorBidi"/>
          <w:sz w:val="36"/>
          <w:szCs w:val="36"/>
        </w:rPr>
      </w:pPr>
      <w:r w:rsidRPr="00A55804">
        <w:rPr>
          <w:rFonts w:asciiTheme="majorBidi" w:hAnsiTheme="majorBidi" w:cstheme="majorBidi"/>
          <w:sz w:val="36"/>
          <w:szCs w:val="36"/>
        </w:rPr>
        <w:t>The University of Tennessee, Knoxville</w:t>
      </w: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2"/>
          <w:szCs w:val="32"/>
        </w:rPr>
      </w:pPr>
    </w:p>
    <w:p w:rsidR="00DC5BC8" w:rsidRPr="00A55804" w:rsidRDefault="00DC5BC8" w:rsidP="00DC5BC8">
      <w:pPr>
        <w:jc w:val="center"/>
        <w:rPr>
          <w:rFonts w:asciiTheme="majorBidi" w:hAnsiTheme="majorBidi" w:cstheme="majorBidi"/>
          <w:sz w:val="36"/>
          <w:szCs w:val="36"/>
        </w:rPr>
      </w:pPr>
      <w:r w:rsidRPr="00A55804">
        <w:rPr>
          <w:rFonts w:asciiTheme="majorBidi" w:hAnsiTheme="majorBidi" w:cstheme="majorBidi"/>
          <w:sz w:val="36"/>
          <w:szCs w:val="36"/>
        </w:rPr>
        <w:t>Ali Mohammad Al-</w:t>
      </w:r>
      <w:proofErr w:type="spellStart"/>
      <w:r w:rsidRPr="00A55804">
        <w:rPr>
          <w:rFonts w:asciiTheme="majorBidi" w:hAnsiTheme="majorBidi" w:cstheme="majorBidi"/>
          <w:sz w:val="36"/>
          <w:szCs w:val="36"/>
        </w:rPr>
        <w:t>Nadi</w:t>
      </w:r>
      <w:proofErr w:type="spellEnd"/>
    </w:p>
    <w:p w:rsidR="00DC5BC8" w:rsidRPr="00A55804" w:rsidRDefault="006F7337" w:rsidP="006F7337">
      <w:pPr>
        <w:jc w:val="center"/>
        <w:rPr>
          <w:rFonts w:asciiTheme="majorBidi" w:hAnsiTheme="majorBidi" w:cstheme="majorBidi"/>
          <w:b/>
          <w:sz w:val="36"/>
          <w:szCs w:val="36"/>
          <w:lang w:val="en-CA"/>
        </w:rPr>
      </w:pPr>
      <w:r>
        <w:rPr>
          <w:rFonts w:asciiTheme="majorBidi" w:hAnsiTheme="majorBidi" w:cstheme="majorBidi"/>
          <w:sz w:val="36"/>
          <w:szCs w:val="36"/>
        </w:rPr>
        <w:t xml:space="preserve">May </w:t>
      </w:r>
      <w:r w:rsidR="00DC5BC8" w:rsidRPr="00A55804">
        <w:rPr>
          <w:rFonts w:asciiTheme="majorBidi" w:hAnsiTheme="majorBidi" w:cstheme="majorBidi"/>
          <w:sz w:val="36"/>
          <w:szCs w:val="36"/>
        </w:rPr>
        <w:t>201</w:t>
      </w:r>
      <w:r>
        <w:rPr>
          <w:rFonts w:asciiTheme="majorBidi" w:hAnsiTheme="majorBidi" w:cstheme="majorBidi"/>
          <w:sz w:val="36"/>
          <w:szCs w:val="36"/>
        </w:rPr>
        <w:t>1</w:t>
      </w:r>
    </w:p>
    <w:p w:rsidR="00DC5BC8" w:rsidRPr="00A55804" w:rsidRDefault="00DC5BC8" w:rsidP="00DC5BC8">
      <w:pPr>
        <w:jc w:val="center"/>
        <w:rPr>
          <w:rFonts w:asciiTheme="majorBidi" w:hAnsiTheme="majorBidi" w:cstheme="majorBidi"/>
          <w:b/>
          <w:sz w:val="36"/>
          <w:szCs w:val="36"/>
          <w:lang w:val="en-CA"/>
        </w:rPr>
      </w:pPr>
    </w:p>
    <w:p w:rsidR="00DC5BC8" w:rsidRPr="00A55804" w:rsidRDefault="00DC5BC8" w:rsidP="00DC5BC8">
      <w:pPr>
        <w:jc w:val="center"/>
        <w:rPr>
          <w:rFonts w:asciiTheme="majorBidi" w:hAnsiTheme="majorBidi" w:cstheme="majorBidi"/>
          <w:b/>
          <w:sz w:val="36"/>
          <w:szCs w:val="36"/>
          <w:lang w:val="en-CA"/>
        </w:rPr>
      </w:pPr>
    </w:p>
    <w:p w:rsidR="00DC5BC8" w:rsidRPr="00A55804" w:rsidRDefault="00DC5BC8" w:rsidP="00DC5BC8">
      <w:pPr>
        <w:jc w:val="center"/>
        <w:rPr>
          <w:rFonts w:asciiTheme="majorBidi" w:hAnsiTheme="majorBidi" w:cstheme="majorBidi"/>
          <w:b/>
          <w:sz w:val="36"/>
          <w:szCs w:val="36"/>
          <w:lang w:val="en-CA"/>
        </w:rPr>
      </w:pPr>
    </w:p>
    <w:p w:rsidR="00DC5BC8" w:rsidRPr="00A55804" w:rsidRDefault="00DC5BC8" w:rsidP="00DC5BC8">
      <w:pPr>
        <w:jc w:val="center"/>
        <w:rPr>
          <w:rFonts w:asciiTheme="majorBidi" w:hAnsiTheme="majorBidi" w:cstheme="majorBidi"/>
          <w:b/>
          <w:sz w:val="36"/>
          <w:szCs w:val="36"/>
          <w:lang w:val="en-CA"/>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autoSpaceDE w:val="0"/>
        <w:autoSpaceDN w:val="0"/>
        <w:adjustRightInd w:val="0"/>
        <w:jc w:val="center"/>
        <w:rPr>
          <w:rFonts w:asciiTheme="majorBidi" w:hAnsiTheme="majorBidi" w:cstheme="majorBidi"/>
          <w:bCs/>
        </w:rPr>
      </w:pPr>
      <w:r w:rsidRPr="00A55804">
        <w:rPr>
          <w:rFonts w:asciiTheme="majorBidi" w:hAnsiTheme="majorBidi" w:cstheme="majorBidi"/>
          <w:bCs/>
        </w:rPr>
        <w:t>Copyright © 2010 by Ali Mohammad Al-</w:t>
      </w:r>
      <w:proofErr w:type="spellStart"/>
      <w:r w:rsidRPr="00A55804">
        <w:rPr>
          <w:rFonts w:asciiTheme="majorBidi" w:hAnsiTheme="majorBidi" w:cstheme="majorBidi"/>
          <w:bCs/>
        </w:rPr>
        <w:t>Nadi</w:t>
      </w:r>
      <w:proofErr w:type="spellEnd"/>
    </w:p>
    <w:p w:rsidR="00DC5BC8" w:rsidRPr="00A55804" w:rsidRDefault="00DC5BC8" w:rsidP="00DC5BC8">
      <w:pPr>
        <w:autoSpaceDE w:val="0"/>
        <w:autoSpaceDN w:val="0"/>
        <w:adjustRightInd w:val="0"/>
        <w:jc w:val="center"/>
        <w:rPr>
          <w:rFonts w:asciiTheme="majorBidi" w:hAnsiTheme="majorBidi" w:cstheme="majorBidi"/>
          <w:bCs/>
        </w:rPr>
      </w:pPr>
      <w:r w:rsidRPr="00A55804">
        <w:rPr>
          <w:rFonts w:asciiTheme="majorBidi" w:hAnsiTheme="majorBidi" w:cstheme="majorBidi"/>
          <w:bCs/>
        </w:rPr>
        <w:t>All rights reserved.</w:t>
      </w: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DC5BC8" w:rsidRPr="00A55804" w:rsidRDefault="00DC5BC8" w:rsidP="00DC5BC8">
      <w:pPr>
        <w:jc w:val="center"/>
        <w:rPr>
          <w:rFonts w:asciiTheme="majorBidi" w:hAnsiTheme="majorBidi" w:cstheme="majorBidi"/>
        </w:rPr>
      </w:pPr>
    </w:p>
    <w:p w:rsidR="002A62F9" w:rsidRDefault="002A62F9" w:rsidP="006F7337">
      <w:pPr>
        <w:numPr>
          <w:ilvl w:val="12"/>
          <w:numId w:val="0"/>
        </w:numPr>
        <w:rPr>
          <w:rFonts w:asciiTheme="majorBidi" w:hAnsiTheme="majorBidi" w:cstheme="majorBidi"/>
          <w:sz w:val="48"/>
          <w:szCs w:val="48"/>
        </w:rPr>
      </w:pPr>
    </w:p>
    <w:p w:rsidR="00824A50" w:rsidRDefault="00824A50" w:rsidP="006F7337">
      <w:pPr>
        <w:numPr>
          <w:ilvl w:val="12"/>
          <w:numId w:val="0"/>
        </w:numPr>
        <w:rPr>
          <w:rFonts w:asciiTheme="majorBidi" w:hAnsiTheme="majorBidi" w:cstheme="majorBidi"/>
          <w:sz w:val="48"/>
          <w:szCs w:val="48"/>
        </w:rPr>
      </w:pPr>
    </w:p>
    <w:p w:rsidR="00DC5BC8" w:rsidRPr="006F7337" w:rsidRDefault="00DC5BC8" w:rsidP="006F7337">
      <w:pPr>
        <w:numPr>
          <w:ilvl w:val="12"/>
          <w:numId w:val="0"/>
        </w:numPr>
        <w:rPr>
          <w:rFonts w:asciiTheme="majorBidi" w:hAnsiTheme="majorBidi" w:cstheme="majorBidi"/>
          <w:sz w:val="48"/>
          <w:szCs w:val="48"/>
        </w:rPr>
      </w:pPr>
      <w:r w:rsidRPr="006F7337">
        <w:rPr>
          <w:rFonts w:asciiTheme="majorBidi" w:hAnsiTheme="majorBidi" w:cstheme="majorBidi"/>
          <w:sz w:val="48"/>
          <w:szCs w:val="48"/>
        </w:rPr>
        <w:t>Dedication</w:t>
      </w:r>
    </w:p>
    <w:p w:rsidR="0077731A" w:rsidRPr="00A55804" w:rsidRDefault="0077731A" w:rsidP="00DC5BC8">
      <w:pPr>
        <w:autoSpaceDE w:val="0"/>
        <w:autoSpaceDN w:val="0"/>
        <w:adjustRightInd w:val="0"/>
        <w:jc w:val="both"/>
        <w:rPr>
          <w:rFonts w:asciiTheme="majorBidi" w:hAnsiTheme="majorBidi" w:cstheme="majorBidi"/>
          <w:bCs/>
          <w:sz w:val="32"/>
          <w:szCs w:val="32"/>
        </w:rPr>
      </w:pPr>
    </w:p>
    <w:p w:rsidR="00DC5BC8" w:rsidRPr="00A55804" w:rsidRDefault="00DC5BC8" w:rsidP="00DC5BC8">
      <w:pPr>
        <w:autoSpaceDE w:val="0"/>
        <w:autoSpaceDN w:val="0"/>
        <w:adjustRightInd w:val="0"/>
        <w:jc w:val="both"/>
        <w:rPr>
          <w:rFonts w:asciiTheme="majorBidi" w:hAnsiTheme="majorBidi" w:cstheme="majorBidi"/>
          <w:bCs/>
        </w:rPr>
      </w:pPr>
      <w:r w:rsidRPr="00A55804">
        <w:rPr>
          <w:rFonts w:asciiTheme="majorBidi" w:hAnsiTheme="majorBidi" w:cstheme="majorBidi"/>
          <w:bCs/>
        </w:rPr>
        <w:t xml:space="preserve">To my mother </w:t>
      </w: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Default="00DC5BC8" w:rsidP="00DC5BC8">
      <w:pPr>
        <w:jc w:val="center"/>
        <w:rPr>
          <w:rFonts w:asciiTheme="majorBidi" w:hAnsiTheme="majorBidi" w:cstheme="majorBidi"/>
          <w:sz w:val="36"/>
          <w:szCs w:val="36"/>
        </w:rPr>
      </w:pPr>
    </w:p>
    <w:p w:rsidR="0039681B" w:rsidRPr="00A55804" w:rsidRDefault="0039681B"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824A50" w:rsidRDefault="00824A50" w:rsidP="006F7337">
      <w:pPr>
        <w:numPr>
          <w:ilvl w:val="12"/>
          <w:numId w:val="0"/>
        </w:numPr>
        <w:rPr>
          <w:rFonts w:asciiTheme="majorBidi" w:hAnsiTheme="majorBidi" w:cstheme="majorBidi"/>
          <w:sz w:val="48"/>
          <w:szCs w:val="48"/>
        </w:rPr>
      </w:pPr>
    </w:p>
    <w:p w:rsidR="00DC5BC8" w:rsidRPr="00A55804" w:rsidRDefault="00DC5BC8" w:rsidP="006F7337">
      <w:pPr>
        <w:numPr>
          <w:ilvl w:val="12"/>
          <w:numId w:val="0"/>
        </w:numPr>
        <w:rPr>
          <w:rFonts w:asciiTheme="majorBidi" w:hAnsiTheme="majorBidi" w:cstheme="majorBidi"/>
          <w:bCs/>
          <w:sz w:val="40"/>
          <w:szCs w:val="40"/>
        </w:rPr>
      </w:pPr>
      <w:r w:rsidRPr="006F7337">
        <w:rPr>
          <w:rFonts w:asciiTheme="majorBidi" w:hAnsiTheme="majorBidi" w:cstheme="majorBidi"/>
          <w:sz w:val="48"/>
          <w:szCs w:val="48"/>
        </w:rPr>
        <w:t>Acknowledgments</w:t>
      </w:r>
    </w:p>
    <w:p w:rsidR="0077731A" w:rsidRPr="00A55804" w:rsidRDefault="0077731A" w:rsidP="00DC5BC8">
      <w:pPr>
        <w:autoSpaceDE w:val="0"/>
        <w:autoSpaceDN w:val="0"/>
        <w:adjustRightInd w:val="0"/>
        <w:jc w:val="both"/>
        <w:rPr>
          <w:rFonts w:asciiTheme="majorBidi" w:hAnsiTheme="majorBidi" w:cstheme="majorBidi"/>
          <w:bCs/>
          <w:sz w:val="36"/>
          <w:szCs w:val="36"/>
        </w:rPr>
      </w:pPr>
    </w:p>
    <w:p w:rsidR="00DC5BC8" w:rsidRPr="00A55804" w:rsidRDefault="00DC5BC8" w:rsidP="00B213C4">
      <w:pPr>
        <w:autoSpaceDE w:val="0"/>
        <w:autoSpaceDN w:val="0"/>
        <w:adjustRightInd w:val="0"/>
        <w:jc w:val="both"/>
        <w:rPr>
          <w:rFonts w:asciiTheme="majorBidi" w:hAnsiTheme="majorBidi" w:cstheme="majorBidi"/>
          <w:bCs/>
        </w:rPr>
      </w:pPr>
      <w:r w:rsidRPr="00A55804">
        <w:rPr>
          <w:rFonts w:asciiTheme="majorBidi" w:hAnsiTheme="majorBidi" w:cstheme="majorBidi"/>
          <w:bCs/>
        </w:rPr>
        <w:t xml:space="preserve">I wish to express my gratitude to my advisor, Mohammed </w:t>
      </w:r>
      <w:proofErr w:type="spellStart"/>
      <w:r w:rsidRPr="00A55804">
        <w:rPr>
          <w:rFonts w:asciiTheme="majorBidi" w:hAnsiTheme="majorBidi" w:cstheme="majorBidi"/>
          <w:bCs/>
        </w:rPr>
        <w:t>Mohsin</w:t>
      </w:r>
      <w:proofErr w:type="spellEnd"/>
      <w:r w:rsidRPr="00A55804">
        <w:rPr>
          <w:rFonts w:asciiTheme="majorBidi" w:hAnsiTheme="majorBidi" w:cstheme="majorBidi"/>
          <w:bCs/>
        </w:rPr>
        <w:t xml:space="preserve"> for his diligence, assistance, patience and dedication. I am so grateful to him. I also thank my committee members, Phillip Daves, Matthew Murray and William Neilson for their assistance and willingness to serve. In addition, I like to thank those how helped me during the whole course of my program particularly the head of the economics department, Robert </w:t>
      </w:r>
      <w:proofErr w:type="spellStart"/>
      <w:r w:rsidRPr="00A55804">
        <w:rPr>
          <w:rFonts w:asciiTheme="majorBidi" w:hAnsiTheme="majorBidi" w:cstheme="majorBidi"/>
          <w:bCs/>
        </w:rPr>
        <w:t>Bohm</w:t>
      </w:r>
      <w:proofErr w:type="spellEnd"/>
      <w:r w:rsidRPr="00A55804">
        <w:rPr>
          <w:rFonts w:asciiTheme="majorBidi" w:hAnsiTheme="majorBidi" w:cstheme="majorBidi"/>
          <w:bCs/>
        </w:rPr>
        <w:t xml:space="preserve"> and the graduate director, Donald Bruce. Their kind support, patience and wisdom are invaluable. Finally, I wish to give special thanks to my wife </w:t>
      </w:r>
      <w:proofErr w:type="spellStart"/>
      <w:r w:rsidRPr="00A55804">
        <w:rPr>
          <w:rFonts w:asciiTheme="majorBidi" w:hAnsiTheme="majorBidi" w:cstheme="majorBidi"/>
          <w:bCs/>
        </w:rPr>
        <w:t>Fadwa</w:t>
      </w:r>
      <w:proofErr w:type="spellEnd"/>
      <w:r w:rsidR="00B213C4">
        <w:rPr>
          <w:rFonts w:asciiTheme="majorBidi" w:hAnsiTheme="majorBidi" w:cstheme="majorBidi"/>
          <w:bCs/>
        </w:rPr>
        <w:t xml:space="preserve"> </w:t>
      </w:r>
      <w:proofErr w:type="spellStart"/>
      <w:r w:rsidR="00B213C4">
        <w:rPr>
          <w:rFonts w:asciiTheme="majorBidi" w:hAnsiTheme="majorBidi" w:cstheme="majorBidi"/>
          <w:bCs/>
        </w:rPr>
        <w:t>Khwaileh</w:t>
      </w:r>
      <w:proofErr w:type="spellEnd"/>
      <w:r w:rsidRPr="00A55804">
        <w:rPr>
          <w:rFonts w:asciiTheme="majorBidi" w:hAnsiTheme="majorBidi" w:cstheme="majorBidi"/>
          <w:bCs/>
        </w:rPr>
        <w:t xml:space="preserve"> for her </w:t>
      </w:r>
      <w:r w:rsidR="00B213C4">
        <w:rPr>
          <w:rFonts w:asciiTheme="majorBidi" w:hAnsiTheme="majorBidi" w:cstheme="majorBidi"/>
          <w:bCs/>
        </w:rPr>
        <w:t xml:space="preserve">great </w:t>
      </w:r>
      <w:r w:rsidRPr="00A55804">
        <w:rPr>
          <w:rFonts w:asciiTheme="majorBidi" w:hAnsiTheme="majorBidi" w:cstheme="majorBidi"/>
          <w:bCs/>
        </w:rPr>
        <w:t xml:space="preserve">support </w:t>
      </w:r>
      <w:r w:rsidR="00B213C4">
        <w:rPr>
          <w:rFonts w:asciiTheme="majorBidi" w:hAnsiTheme="majorBidi" w:cstheme="majorBidi"/>
          <w:bCs/>
        </w:rPr>
        <w:t xml:space="preserve">and patience </w:t>
      </w:r>
      <w:r w:rsidRPr="00A55804">
        <w:rPr>
          <w:rFonts w:asciiTheme="majorBidi" w:hAnsiTheme="majorBidi" w:cstheme="majorBidi"/>
          <w:bCs/>
        </w:rPr>
        <w:t xml:space="preserve">throughout my doctoral program. </w:t>
      </w:r>
    </w:p>
    <w:p w:rsidR="00DC5BC8" w:rsidRPr="00A55804" w:rsidRDefault="00DC5BC8" w:rsidP="00DC5BC8">
      <w:pPr>
        <w:jc w:val="center"/>
        <w:rPr>
          <w:rFonts w:asciiTheme="majorBidi" w:hAnsiTheme="majorBidi" w:cstheme="majorBidi"/>
          <w:sz w:val="36"/>
          <w:szCs w:val="36"/>
        </w:rPr>
      </w:pPr>
    </w:p>
    <w:p w:rsidR="00DC5BC8" w:rsidRPr="00A55804" w:rsidRDefault="00DC5BC8" w:rsidP="00DC5BC8">
      <w:pPr>
        <w:jc w:val="center"/>
        <w:rPr>
          <w:rFonts w:asciiTheme="majorBidi" w:hAnsiTheme="majorBidi" w:cstheme="majorBidi"/>
          <w:sz w:val="36"/>
          <w:szCs w:val="36"/>
        </w:rPr>
      </w:pPr>
    </w:p>
    <w:p w:rsidR="00DC5BC8" w:rsidRDefault="00DC5BC8" w:rsidP="00DC5BC8">
      <w:pPr>
        <w:jc w:val="center"/>
        <w:rPr>
          <w:rFonts w:asciiTheme="majorBidi" w:hAnsiTheme="majorBidi" w:cstheme="majorBidi"/>
          <w:b/>
          <w:sz w:val="28"/>
          <w:szCs w:val="28"/>
        </w:rPr>
      </w:pPr>
    </w:p>
    <w:p w:rsidR="00ED0730" w:rsidRPr="00A55804" w:rsidRDefault="00ED0730" w:rsidP="00DC5BC8">
      <w:pPr>
        <w:jc w:val="center"/>
        <w:rPr>
          <w:rFonts w:asciiTheme="majorBidi" w:hAnsiTheme="majorBidi" w:cstheme="majorBidi"/>
          <w:b/>
          <w:sz w:val="28"/>
          <w:szCs w:val="28"/>
        </w:rPr>
      </w:pPr>
    </w:p>
    <w:p w:rsidR="00DC5BC8" w:rsidRPr="00A55804" w:rsidRDefault="00DC5BC8" w:rsidP="00DC5BC8">
      <w:pPr>
        <w:jc w:val="center"/>
        <w:rPr>
          <w:rFonts w:asciiTheme="majorBidi" w:hAnsiTheme="majorBidi" w:cstheme="majorBidi"/>
          <w:b/>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Pr="00A55804" w:rsidRDefault="00DC5BC8" w:rsidP="00DC5BC8">
      <w:pPr>
        <w:jc w:val="center"/>
        <w:rPr>
          <w:rFonts w:asciiTheme="majorBidi" w:hAnsiTheme="majorBidi" w:cstheme="majorBidi"/>
          <w:b/>
          <w:bCs/>
          <w:sz w:val="28"/>
          <w:szCs w:val="28"/>
        </w:rPr>
      </w:pPr>
    </w:p>
    <w:p w:rsidR="00DC5BC8" w:rsidRDefault="00DC5BC8" w:rsidP="00DC5BC8">
      <w:pPr>
        <w:jc w:val="center"/>
        <w:rPr>
          <w:rFonts w:asciiTheme="majorBidi" w:hAnsiTheme="majorBidi" w:cstheme="majorBidi"/>
          <w:b/>
          <w:bCs/>
          <w:sz w:val="28"/>
          <w:szCs w:val="28"/>
        </w:rPr>
      </w:pPr>
    </w:p>
    <w:p w:rsidR="00C13538" w:rsidRPr="00A55804" w:rsidRDefault="00C13538" w:rsidP="00DC5BC8">
      <w:pPr>
        <w:jc w:val="center"/>
        <w:rPr>
          <w:rFonts w:asciiTheme="majorBidi" w:hAnsiTheme="majorBidi" w:cstheme="majorBidi"/>
          <w:b/>
          <w:bCs/>
          <w:sz w:val="28"/>
          <w:szCs w:val="28"/>
        </w:rPr>
      </w:pPr>
    </w:p>
    <w:p w:rsidR="00DC5BC8" w:rsidRPr="006F7337" w:rsidRDefault="00DC5BC8" w:rsidP="006F7337">
      <w:pPr>
        <w:numPr>
          <w:ilvl w:val="12"/>
          <w:numId w:val="0"/>
        </w:numPr>
        <w:rPr>
          <w:rFonts w:asciiTheme="majorBidi" w:hAnsiTheme="majorBidi" w:cstheme="majorBidi"/>
          <w:sz w:val="48"/>
          <w:szCs w:val="48"/>
        </w:rPr>
      </w:pPr>
      <w:r w:rsidRPr="006F7337">
        <w:rPr>
          <w:rFonts w:asciiTheme="majorBidi" w:hAnsiTheme="majorBidi" w:cstheme="majorBidi"/>
          <w:sz w:val="48"/>
          <w:szCs w:val="48"/>
        </w:rPr>
        <w:t>Abstract</w:t>
      </w:r>
    </w:p>
    <w:p w:rsidR="0077731A" w:rsidRPr="00A55804" w:rsidRDefault="0077731A" w:rsidP="00DC5BC8">
      <w:pPr>
        <w:autoSpaceDE w:val="0"/>
        <w:autoSpaceDN w:val="0"/>
        <w:adjustRightInd w:val="0"/>
        <w:jc w:val="both"/>
        <w:rPr>
          <w:rFonts w:asciiTheme="majorBidi" w:hAnsiTheme="majorBidi" w:cstheme="majorBidi"/>
          <w:bCs/>
          <w:sz w:val="32"/>
          <w:szCs w:val="32"/>
        </w:rPr>
      </w:pPr>
    </w:p>
    <w:p w:rsidR="00DC5BC8" w:rsidRPr="005937E6" w:rsidRDefault="00DC5BC8" w:rsidP="005937E6">
      <w:pPr>
        <w:autoSpaceDE w:val="0"/>
        <w:autoSpaceDN w:val="0"/>
        <w:adjustRightInd w:val="0"/>
        <w:ind w:firstLine="720"/>
        <w:jc w:val="both"/>
        <w:rPr>
          <w:rFonts w:asciiTheme="majorBidi" w:hAnsiTheme="majorBidi" w:cstheme="majorBidi"/>
          <w:color w:val="000000"/>
        </w:rPr>
      </w:pPr>
      <w:r w:rsidRPr="00AB5434">
        <w:rPr>
          <w:rFonts w:asciiTheme="majorBidi" w:hAnsiTheme="majorBidi" w:cstheme="majorBidi"/>
          <w:color w:val="000000"/>
        </w:rPr>
        <w:t xml:space="preserve">In this </w:t>
      </w:r>
      <w:r w:rsidR="00AB5434" w:rsidRPr="00AB5434">
        <w:rPr>
          <w:rFonts w:asciiTheme="majorBidi" w:hAnsiTheme="majorBidi" w:cstheme="majorBidi"/>
          <w:color w:val="000000"/>
        </w:rPr>
        <w:t xml:space="preserve">dissertation we </w:t>
      </w:r>
      <w:r w:rsidR="00AB5434" w:rsidRPr="00AB5434">
        <w:t xml:space="preserve">use Dynamic Stochastic General Equilibrium models (DSGE) to explain empirical regularities and policy implications related to (1) durable goods, interest rates and small open economy business cycles, (2) Terms-of-Trade (ToT) and economic fluctuations in small open economies and (3) Budget Stabilization Funds (BSFs) and States’ business cycles. </w:t>
      </w:r>
      <w:r w:rsidR="00AB5434" w:rsidRPr="00AB5434">
        <w:rPr>
          <w:rFonts w:asciiTheme="majorBidi" w:hAnsiTheme="majorBidi" w:cstheme="majorBidi"/>
          <w:color w:val="000000"/>
        </w:rPr>
        <w:t xml:space="preserve">In the first essay, we observe that durable spending in developed small open economies constitutes a large share of their total income. Their spending is highly procyclical, sensitive to interest rates, and leads the business cycle in advanced small open economies. We address these regularities with a RBC model with durable goods, and interest rates uncertainty. In conclusion the model replicates the observed business cycle regularities and explains many anomalies not explained elsewhere. </w:t>
      </w:r>
      <w:r w:rsidR="00AB5434">
        <w:rPr>
          <w:rFonts w:asciiTheme="majorBidi" w:hAnsiTheme="majorBidi" w:cstheme="majorBidi"/>
          <w:color w:val="000000"/>
        </w:rPr>
        <w:t>The second focus on explaining the differences across small open economi</w:t>
      </w:r>
      <w:r w:rsidR="00AB5434" w:rsidRPr="00AB5434">
        <w:rPr>
          <w:rFonts w:asciiTheme="majorBidi" w:hAnsiTheme="majorBidi" w:cstheme="majorBidi"/>
          <w:color w:val="000000"/>
        </w:rPr>
        <w:t>e</w:t>
      </w:r>
      <w:r w:rsidR="00AB5434">
        <w:rPr>
          <w:rFonts w:asciiTheme="majorBidi" w:hAnsiTheme="majorBidi" w:cstheme="majorBidi"/>
          <w:color w:val="000000"/>
        </w:rPr>
        <w:t>s i</w:t>
      </w:r>
      <w:r w:rsidR="00AB5434" w:rsidRPr="00AB5434">
        <w:rPr>
          <w:rFonts w:asciiTheme="majorBidi" w:hAnsiTheme="majorBidi" w:cstheme="majorBidi"/>
          <w:color w:val="000000"/>
        </w:rPr>
        <w:t>n</w:t>
      </w:r>
      <w:r w:rsidR="00AB5434">
        <w:rPr>
          <w:rFonts w:asciiTheme="majorBidi" w:hAnsiTheme="majorBidi" w:cstheme="majorBidi"/>
          <w:color w:val="000000"/>
        </w:rPr>
        <w:t xml:space="preserve"> terms of their business cycles characteristics.</w:t>
      </w:r>
      <w:r w:rsidR="005937E6">
        <w:rPr>
          <w:rFonts w:asciiTheme="majorBidi" w:hAnsiTheme="majorBidi" w:cstheme="majorBidi"/>
          <w:color w:val="000000"/>
        </w:rPr>
        <w:t xml:space="preserve"> W</w:t>
      </w:r>
      <w:r w:rsidR="00AB5434" w:rsidRPr="00AB5434">
        <w:rPr>
          <w:rFonts w:asciiTheme="majorBidi" w:hAnsiTheme="majorBidi" w:cstheme="majorBidi"/>
          <w:color w:val="000000"/>
        </w:rPr>
        <w:t xml:space="preserve">e </w:t>
      </w:r>
      <w:r w:rsidR="005937E6">
        <w:rPr>
          <w:rFonts w:asciiTheme="majorBidi" w:hAnsiTheme="majorBidi" w:cstheme="majorBidi"/>
          <w:color w:val="000000"/>
        </w:rPr>
        <w:t xml:space="preserve">argue </w:t>
      </w:r>
      <w:r w:rsidR="00AB5434" w:rsidRPr="00AB5434">
        <w:rPr>
          <w:rFonts w:asciiTheme="majorBidi" w:hAnsiTheme="majorBidi" w:cstheme="majorBidi"/>
          <w:color w:val="000000"/>
        </w:rPr>
        <w:t xml:space="preserve">that differences in the degree of durability in domestic industries production and imports make these economies more or less </w:t>
      </w:r>
      <w:r w:rsidR="005937E6">
        <w:rPr>
          <w:rFonts w:asciiTheme="majorBidi" w:hAnsiTheme="majorBidi" w:cstheme="majorBidi"/>
          <w:color w:val="000000"/>
        </w:rPr>
        <w:t xml:space="preserve">sensitive </w:t>
      </w:r>
      <w:r w:rsidR="00AB5434" w:rsidRPr="00AB5434">
        <w:rPr>
          <w:rFonts w:asciiTheme="majorBidi" w:hAnsiTheme="majorBidi" w:cstheme="majorBidi"/>
          <w:color w:val="000000"/>
        </w:rPr>
        <w:t>to terms of trade.</w:t>
      </w:r>
      <w:r w:rsidR="005937E6">
        <w:rPr>
          <w:rFonts w:asciiTheme="majorBidi" w:hAnsiTheme="majorBidi" w:cstheme="majorBidi"/>
          <w:color w:val="000000"/>
        </w:rPr>
        <w:t xml:space="preserve"> In the last essay,</w:t>
      </w:r>
      <w:r w:rsidRPr="00AB5434">
        <w:rPr>
          <w:rFonts w:asciiTheme="majorBidi" w:hAnsiTheme="majorBidi" w:cstheme="majorBidi"/>
          <w:color w:val="000000"/>
        </w:rPr>
        <w:t xml:space="preserve"> </w:t>
      </w:r>
      <w:r w:rsidR="005937E6">
        <w:rPr>
          <w:rFonts w:asciiTheme="majorBidi" w:hAnsiTheme="majorBidi" w:cstheme="majorBidi"/>
          <w:color w:val="000000"/>
        </w:rPr>
        <w:t xml:space="preserve">we address the economic impacts of the Budget Stabilization Funds (BSF) on State-level business cycles. </w:t>
      </w:r>
      <w:r w:rsidR="005937E6" w:rsidRPr="00AB5434">
        <w:rPr>
          <w:rFonts w:asciiTheme="majorBidi" w:hAnsiTheme="majorBidi" w:cstheme="majorBidi"/>
          <w:color w:val="000000"/>
        </w:rPr>
        <w:t>We</w:t>
      </w:r>
      <w:r w:rsidRPr="00AB5434">
        <w:rPr>
          <w:rFonts w:asciiTheme="majorBidi" w:hAnsiTheme="majorBidi" w:cstheme="majorBidi"/>
          <w:color w:val="000000"/>
        </w:rPr>
        <w:t xml:space="preserve"> lay out a State economy RBC model in which a State government applies a designated saving rule consistent with households’ optimization. Given the suggested rule we find that the State budget stabilization fund becomes a significant automatic stabilizer. It is not only mitigates the procyclicality of the government spending but it also smooth the State’s business cycle. </w:t>
      </w:r>
    </w:p>
    <w:p w:rsidR="00DC5BC8" w:rsidRPr="00AB5434" w:rsidRDefault="00DC5BC8" w:rsidP="00AB5434">
      <w:pPr>
        <w:jc w:val="center"/>
        <w:rPr>
          <w:rFonts w:asciiTheme="majorBidi" w:hAnsiTheme="majorBidi" w:cstheme="majorBidi"/>
          <w:b/>
          <w:bCs/>
        </w:rPr>
      </w:pPr>
    </w:p>
    <w:p w:rsidR="00DC5BC8" w:rsidRPr="00A55804" w:rsidRDefault="00DC5BC8"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DC5BC8">
      <w:pPr>
        <w:jc w:val="center"/>
        <w:rPr>
          <w:rFonts w:asciiTheme="majorBidi" w:hAnsiTheme="majorBidi" w:cstheme="majorBidi"/>
          <w:b/>
          <w:bCs/>
          <w:sz w:val="28"/>
          <w:szCs w:val="28"/>
        </w:rPr>
      </w:pPr>
    </w:p>
    <w:p w:rsidR="0077731A" w:rsidRPr="00A55804" w:rsidRDefault="0077731A" w:rsidP="00ED0730">
      <w:pPr>
        <w:numPr>
          <w:ilvl w:val="12"/>
          <w:numId w:val="0"/>
        </w:numPr>
        <w:spacing w:line="480" w:lineRule="auto"/>
        <w:rPr>
          <w:rFonts w:asciiTheme="majorBidi" w:hAnsiTheme="majorBidi" w:cstheme="majorBidi"/>
          <w:bCs/>
          <w:sz w:val="32"/>
          <w:szCs w:val="32"/>
        </w:rPr>
      </w:pPr>
      <w:r w:rsidRPr="006F7337">
        <w:rPr>
          <w:rFonts w:asciiTheme="majorBidi" w:hAnsiTheme="majorBidi" w:cstheme="majorBidi"/>
          <w:sz w:val="48"/>
          <w:szCs w:val="48"/>
        </w:rPr>
        <w:t>Preface</w:t>
      </w:r>
    </w:p>
    <w:p w:rsidR="0077731A" w:rsidRPr="00A55804" w:rsidRDefault="0077731A" w:rsidP="007B2ACA">
      <w:pPr>
        <w:spacing w:line="480" w:lineRule="auto"/>
        <w:ind w:firstLine="720"/>
        <w:jc w:val="both"/>
        <w:rPr>
          <w:rFonts w:asciiTheme="majorBidi" w:hAnsiTheme="majorBidi" w:cstheme="majorBidi"/>
        </w:rPr>
      </w:pPr>
      <w:r w:rsidRPr="00A55804">
        <w:rPr>
          <w:rFonts w:asciiTheme="majorBidi" w:hAnsiTheme="majorBidi" w:cstheme="majorBidi"/>
        </w:rPr>
        <w:t xml:space="preserve">Following the pioneering work of </w:t>
      </w:r>
      <w:proofErr w:type="spellStart"/>
      <w:r w:rsidRPr="00A55804">
        <w:rPr>
          <w:rFonts w:asciiTheme="majorBidi" w:hAnsiTheme="majorBidi" w:cstheme="majorBidi"/>
        </w:rPr>
        <w:t>Kydland</w:t>
      </w:r>
      <w:proofErr w:type="spellEnd"/>
      <w:r w:rsidRPr="00A55804">
        <w:rPr>
          <w:rFonts w:asciiTheme="majorBidi" w:hAnsiTheme="majorBidi" w:cstheme="majorBidi"/>
        </w:rPr>
        <w:t xml:space="preserve"> and Prescott (1982), dynamic stochastic general equilibrium (DSGE) framework has become the standard tool in analyzing various issues in macroeconomics. This framework suggests constructing an artificial economy that is capable of replicating an actual economy. The main attractive features of these models are their flexibility in specifying the objectives and the constraints faced by different economic units and the institutional framework under which they interact.  These models indeed have solid micro foundations. Apart from the basic aggregate supply or ‘technology’ shocks, these models are also able to address the effects of various exogenous policy shocks (fiscal, monetary and commercial for example). Despite the significant success of these models in explaining macroeconomic fluctuations and dynamics, they still face important challenges in explaining some of the empirical regularities observed in the actual real business cycle data. In this dissertation we analyze three distinct macroeconomic issues, the first two are specific to small open economies business cycles while the third on is specific to State economy business cycles. In first essay we observe that households spend a relatively high share of their income o</w:t>
      </w:r>
      <w:r w:rsidR="005937E6">
        <w:rPr>
          <w:rFonts w:asciiTheme="majorBidi" w:hAnsiTheme="majorBidi" w:cstheme="majorBidi"/>
        </w:rPr>
        <w:t xml:space="preserve">n durable consumption goods is </w:t>
      </w:r>
      <w:r w:rsidRPr="00A55804">
        <w:rPr>
          <w:rFonts w:asciiTheme="majorBidi" w:hAnsiTheme="majorBidi" w:cstheme="majorBidi"/>
        </w:rPr>
        <w:t>their income on purchasing durable consumption goods. Their spending on durables is strongly procyclical, strongly correlated with all national accounts, sensitive to interest rates and leads the business cycle. We construct a business cycle model with durable and nondurable goods, habit formation and variable capital utilization. Our model is derived by stationary shocks to technology and country premium. We calibrate to Canadian data (1980:Q1-2009:Q4) and find that the model economy closely matches the observed business cycle and replicates well the comovement between durable spending and the rest of the national accounts. It also predicts that durable spending leads the cycle.</w:t>
      </w:r>
      <w:r w:rsidR="005937E6">
        <w:rPr>
          <w:rFonts w:asciiTheme="majorBidi" w:hAnsiTheme="majorBidi" w:cstheme="majorBidi"/>
        </w:rPr>
        <w:t xml:space="preserve"> Moreover we find that interest-</w:t>
      </w:r>
      <w:r w:rsidRPr="00A55804">
        <w:rPr>
          <w:rFonts w:asciiTheme="majorBidi" w:hAnsiTheme="majorBidi" w:cstheme="majorBidi"/>
        </w:rPr>
        <w:t>rate uncertainty explains only 1.3 percent of aggregate fluctuations, improves the model predictions and plays an important factor in the dynamics of the external debt small open economy.</w:t>
      </w:r>
    </w:p>
    <w:p w:rsidR="0077731A" w:rsidRPr="00A55804" w:rsidRDefault="0077731A" w:rsidP="005937E6">
      <w:pPr>
        <w:spacing w:line="480" w:lineRule="auto"/>
        <w:ind w:firstLine="720"/>
        <w:jc w:val="both"/>
        <w:rPr>
          <w:rFonts w:asciiTheme="majorBidi" w:hAnsiTheme="majorBidi" w:cstheme="majorBidi"/>
        </w:rPr>
      </w:pPr>
      <w:r w:rsidRPr="00A55804">
        <w:rPr>
          <w:rFonts w:asciiTheme="majorBidi" w:hAnsiTheme="majorBidi" w:cstheme="majorBidi"/>
        </w:rPr>
        <w:t>Another issue surfaced recently is the explanation of the differences between developed and developing economies in terms of their business cycle characteristics. The business cycles in emerging economies are more volatile than in developed ones, consumption is more volatile than output and net exports are strongly countercyclical. Recent literature focuses on two possible sources for such observed variations among those economies. The first source is the sensitivity of the open economies to international interest rates while the other possible source is the differences in domestic policies and regime switching in those economies. We provide an alternative explanation that underscores the natural differences among these economies in terms of their production and demand patterns. To achieve our stated objectives we develop a small open economy model with two goods – domestic and foreign. Instead of dealing with completely nondurable consumption, we assume both home and foreign goods are two aggregate consumption goods with certain degree (s) of durability.  The model economy is able to replicate the different moments of the national accounts in advanced economies. Mor</w:t>
      </w:r>
      <w:r w:rsidR="005937E6">
        <w:rPr>
          <w:rFonts w:asciiTheme="majorBidi" w:hAnsiTheme="majorBidi" w:cstheme="majorBidi"/>
        </w:rPr>
        <w:t>eover, for the first time</w:t>
      </w:r>
      <w:r w:rsidRPr="00A55804">
        <w:rPr>
          <w:rFonts w:asciiTheme="majorBidi" w:hAnsiTheme="majorBidi" w:cstheme="majorBidi"/>
        </w:rPr>
        <w:t>, this model replicates the comovement between tot and national accounts. The model correctly predict</w:t>
      </w:r>
      <w:r w:rsidR="005937E6">
        <w:rPr>
          <w:rFonts w:asciiTheme="majorBidi" w:hAnsiTheme="majorBidi" w:cstheme="majorBidi"/>
        </w:rPr>
        <w:t>s moderately countercyclical ToT</w:t>
      </w:r>
      <w:r w:rsidRPr="00A55804">
        <w:rPr>
          <w:rFonts w:asciiTheme="majorBidi" w:hAnsiTheme="majorBidi" w:cstheme="majorBidi"/>
        </w:rPr>
        <w:t xml:space="preserve"> and the negative correlation between </w:t>
      </w:r>
      <w:r w:rsidR="005937E6">
        <w:rPr>
          <w:rFonts w:asciiTheme="majorBidi" w:hAnsiTheme="majorBidi" w:cstheme="majorBidi"/>
        </w:rPr>
        <w:t xml:space="preserve">ToT </w:t>
      </w:r>
      <w:r w:rsidRPr="00A55804">
        <w:rPr>
          <w:rFonts w:asciiTheme="majorBidi" w:hAnsiTheme="majorBidi" w:cstheme="majorBidi"/>
        </w:rPr>
        <w:t xml:space="preserve">and consumption, employment and investment and the positive correlation between the </w:t>
      </w:r>
      <w:r w:rsidR="005937E6">
        <w:rPr>
          <w:rFonts w:asciiTheme="majorBidi" w:hAnsiTheme="majorBidi" w:cstheme="majorBidi"/>
        </w:rPr>
        <w:t xml:space="preserve">ToT </w:t>
      </w:r>
      <w:r w:rsidRPr="00A55804">
        <w:rPr>
          <w:rFonts w:asciiTheme="majorBidi" w:hAnsiTheme="majorBidi" w:cstheme="majorBidi"/>
        </w:rPr>
        <w:t xml:space="preserve">and the trade balance as observed in the Canadian data. The model replicates all these comovements well.  Further the model predicts that </w:t>
      </w:r>
      <w:r w:rsidR="005937E6">
        <w:rPr>
          <w:rFonts w:asciiTheme="majorBidi" w:hAnsiTheme="majorBidi" w:cstheme="majorBidi"/>
        </w:rPr>
        <w:t xml:space="preserve">ToT is responsible for about </w:t>
      </w:r>
      <w:r w:rsidRPr="00A55804">
        <w:rPr>
          <w:rFonts w:asciiTheme="majorBidi" w:hAnsiTheme="majorBidi" w:cstheme="majorBidi"/>
        </w:rPr>
        <w:t xml:space="preserve">one fifth of the aggregate fluctuations of </w:t>
      </w:r>
      <w:r w:rsidR="005937E6">
        <w:rPr>
          <w:rFonts w:asciiTheme="majorBidi" w:hAnsiTheme="majorBidi" w:cstheme="majorBidi"/>
        </w:rPr>
        <w:t xml:space="preserve">developed </w:t>
      </w:r>
      <w:r w:rsidRPr="00A55804">
        <w:rPr>
          <w:rFonts w:asciiTheme="majorBidi" w:hAnsiTheme="majorBidi" w:cstheme="majorBidi"/>
        </w:rPr>
        <w:t xml:space="preserve">economies and one </w:t>
      </w:r>
      <w:r w:rsidR="005937E6">
        <w:rPr>
          <w:rFonts w:asciiTheme="majorBidi" w:hAnsiTheme="majorBidi" w:cstheme="majorBidi"/>
        </w:rPr>
        <w:t xml:space="preserve">third </w:t>
      </w:r>
      <w:r w:rsidRPr="00A55804">
        <w:rPr>
          <w:rFonts w:asciiTheme="majorBidi" w:hAnsiTheme="majorBidi" w:cstheme="majorBidi"/>
        </w:rPr>
        <w:t xml:space="preserve">of the aggregate fluctuations in emerging economies.   We also find that the differences in the persistence of the </w:t>
      </w:r>
      <w:r w:rsidR="005937E6">
        <w:rPr>
          <w:rFonts w:asciiTheme="majorBidi" w:hAnsiTheme="majorBidi" w:cstheme="majorBidi"/>
        </w:rPr>
        <w:t xml:space="preserve">ToT can affect the dynamic of the external accounts in response to ToT fluctuations but it </w:t>
      </w:r>
      <w:r w:rsidRPr="00A55804">
        <w:rPr>
          <w:rFonts w:asciiTheme="majorBidi" w:hAnsiTheme="majorBidi" w:cstheme="majorBidi"/>
        </w:rPr>
        <w:t>cannot be enough reason for the differences in the small open economies business cycle.</w:t>
      </w:r>
    </w:p>
    <w:p w:rsidR="004E7CB3" w:rsidRPr="00A55804" w:rsidRDefault="00AC3653" w:rsidP="000205F3">
      <w:pPr>
        <w:spacing w:line="480" w:lineRule="auto"/>
        <w:ind w:firstLine="720"/>
        <w:jc w:val="both"/>
        <w:rPr>
          <w:rFonts w:asciiTheme="majorBidi" w:hAnsiTheme="majorBidi" w:cstheme="majorBidi"/>
        </w:rPr>
      </w:pPr>
      <w:r w:rsidRPr="00A55804">
        <w:rPr>
          <w:rFonts w:asciiTheme="majorBidi" w:hAnsiTheme="majorBidi" w:cstheme="majorBidi"/>
        </w:rPr>
        <w:t xml:space="preserve">The main objective of </w:t>
      </w:r>
      <w:r>
        <w:rPr>
          <w:rFonts w:asciiTheme="majorBidi" w:hAnsiTheme="majorBidi" w:cstheme="majorBidi"/>
        </w:rPr>
        <w:t>the third essay is to develop a S</w:t>
      </w:r>
      <w:r w:rsidRPr="00A55804">
        <w:rPr>
          <w:rFonts w:asciiTheme="majorBidi" w:hAnsiTheme="majorBidi" w:cstheme="majorBidi"/>
        </w:rPr>
        <w:t>tate-level real business cycle (</w:t>
      </w:r>
      <w:smartTag w:uri="urn:schemas-microsoft-com:office:smarttags" w:element="stockticker">
        <w:r w:rsidRPr="00A55804">
          <w:rPr>
            <w:rFonts w:asciiTheme="majorBidi" w:hAnsiTheme="majorBidi" w:cstheme="majorBidi"/>
          </w:rPr>
          <w:t>RBC</w:t>
        </w:r>
      </w:smartTag>
      <w:r w:rsidRPr="00A55804">
        <w:rPr>
          <w:rFonts w:asciiTheme="majorBidi" w:hAnsiTheme="majorBidi" w:cstheme="majorBidi"/>
        </w:rPr>
        <w:t xml:space="preserve">) model with fiscal policy to </w:t>
      </w:r>
      <w:r>
        <w:rPr>
          <w:rFonts w:asciiTheme="majorBidi" w:hAnsiTheme="majorBidi" w:cstheme="majorBidi"/>
        </w:rPr>
        <w:t xml:space="preserve">evaluate </w:t>
      </w:r>
      <w:r w:rsidRPr="00A55804">
        <w:rPr>
          <w:rFonts w:asciiTheme="majorBidi" w:hAnsiTheme="majorBidi" w:cstheme="majorBidi"/>
        </w:rPr>
        <w:t xml:space="preserve">the State’s </w:t>
      </w:r>
      <w:r>
        <w:rPr>
          <w:rFonts w:asciiTheme="majorBidi" w:hAnsiTheme="majorBidi" w:cstheme="majorBidi"/>
        </w:rPr>
        <w:t>BSF in terms of its impact on State’s</w:t>
      </w:r>
      <w:r w:rsidRPr="00A55804">
        <w:rPr>
          <w:rFonts w:asciiTheme="majorBidi" w:hAnsiTheme="majorBidi" w:cstheme="majorBidi"/>
        </w:rPr>
        <w:t xml:space="preserve"> government budget and State’s business cycle. </w:t>
      </w:r>
      <w:r w:rsidR="00936903" w:rsidRPr="00A55804">
        <w:rPr>
          <w:rFonts w:asciiTheme="majorBidi" w:hAnsiTheme="majorBidi" w:cstheme="majorBidi"/>
        </w:rPr>
        <w:t xml:space="preserve">Almost all American states have legal provisions mandating that the budget should be balanced on a yearly basis. It </w:t>
      </w:r>
      <w:r>
        <w:rPr>
          <w:rFonts w:asciiTheme="majorBidi" w:hAnsiTheme="majorBidi" w:cstheme="majorBidi"/>
        </w:rPr>
        <w:t xml:space="preserve">is </w:t>
      </w:r>
      <w:r w:rsidR="00936903" w:rsidRPr="00A55804">
        <w:rPr>
          <w:rFonts w:asciiTheme="majorBidi" w:hAnsiTheme="majorBidi" w:cstheme="majorBidi"/>
        </w:rPr>
        <w:t>relatively easy to comply with the rule in good times as revenue will be abundant. Keeping a balanced budget in bad economic times is challenging. It calls for procyclical tax increases and/or expenditure cuts, unless significant surpluses are run in the upturn. To circumvent these problems state governments across the country adopted bu</w:t>
      </w:r>
      <w:r>
        <w:rPr>
          <w:rFonts w:asciiTheme="majorBidi" w:hAnsiTheme="majorBidi" w:cstheme="majorBidi"/>
        </w:rPr>
        <w:t xml:space="preserve">dget stabilization funds (BSFs). </w:t>
      </w:r>
      <w:r w:rsidR="00936903" w:rsidRPr="00A55804">
        <w:rPr>
          <w:rFonts w:asciiTheme="majorBidi" w:hAnsiTheme="majorBidi" w:cstheme="majorBidi"/>
        </w:rPr>
        <w:t xml:space="preserve">Recently European Monetary Union countries </w:t>
      </w:r>
      <w:r w:rsidR="003D03BA" w:rsidRPr="00A55804">
        <w:rPr>
          <w:rFonts w:asciiTheme="majorBidi" w:hAnsiTheme="majorBidi" w:cstheme="majorBidi"/>
        </w:rPr>
        <w:t xml:space="preserve">also show interest in </w:t>
      </w:r>
      <w:r w:rsidR="00936903" w:rsidRPr="00A55804">
        <w:rPr>
          <w:rFonts w:asciiTheme="majorBidi" w:hAnsiTheme="majorBidi" w:cstheme="majorBidi"/>
        </w:rPr>
        <w:t>BSFs as the Stability and Growth Pact (</w:t>
      </w:r>
      <w:smartTag w:uri="urn:schemas-microsoft-com:office:smarttags" w:element="stockticker">
        <w:r w:rsidR="00936903" w:rsidRPr="00A55804">
          <w:rPr>
            <w:rFonts w:asciiTheme="majorBidi" w:hAnsiTheme="majorBidi" w:cstheme="majorBidi"/>
          </w:rPr>
          <w:t>SGP</w:t>
        </w:r>
      </w:smartTag>
      <w:r w:rsidR="00936903" w:rsidRPr="00A55804">
        <w:rPr>
          <w:rFonts w:asciiTheme="majorBidi" w:hAnsiTheme="majorBidi" w:cstheme="majorBidi"/>
        </w:rPr>
        <w:t>) limits the amount of the budget deficit in these countries.</w:t>
      </w:r>
      <w:r w:rsidR="00936903" w:rsidRPr="00A55804">
        <w:rPr>
          <w:rFonts w:asciiTheme="majorBidi" w:hAnsiTheme="majorBidi" w:cstheme="majorBidi"/>
          <w:sz w:val="20"/>
          <w:szCs w:val="20"/>
        </w:rPr>
        <w:t xml:space="preserve"> </w:t>
      </w:r>
      <w:r w:rsidR="00936903" w:rsidRPr="00A55804">
        <w:rPr>
          <w:rFonts w:asciiTheme="majorBidi" w:hAnsiTheme="majorBidi" w:cstheme="majorBidi"/>
        </w:rPr>
        <w:t xml:space="preserve"> </w:t>
      </w:r>
      <w:r w:rsidR="003D03BA" w:rsidRPr="00A55804">
        <w:rPr>
          <w:rFonts w:asciiTheme="majorBidi" w:hAnsiTheme="majorBidi" w:cstheme="majorBidi"/>
        </w:rPr>
        <w:t xml:space="preserve">Despite the evidence on the role of on stabilizing States government expenditures, </w:t>
      </w:r>
      <w:r w:rsidR="00936903" w:rsidRPr="00A55804">
        <w:rPr>
          <w:rFonts w:asciiTheme="majorBidi" w:hAnsiTheme="majorBidi" w:cstheme="majorBidi"/>
        </w:rPr>
        <w:t xml:space="preserve">there are no empirical studies investigating the effect of the BSF on the business cycle in a systematic way. </w:t>
      </w:r>
      <w:r w:rsidR="008271C9">
        <w:rPr>
          <w:rFonts w:asciiTheme="majorBidi" w:hAnsiTheme="majorBidi" w:cstheme="majorBidi"/>
        </w:rPr>
        <w:t xml:space="preserve">We </w:t>
      </w:r>
      <w:r w:rsidR="000205F3">
        <w:rPr>
          <w:rFonts w:asciiTheme="majorBidi" w:hAnsiTheme="majorBidi" w:cstheme="majorBidi"/>
        </w:rPr>
        <w:t xml:space="preserve">consider </w:t>
      </w:r>
      <w:r w:rsidR="008271C9">
        <w:rPr>
          <w:rFonts w:asciiTheme="majorBidi" w:hAnsiTheme="majorBidi" w:cstheme="majorBidi"/>
        </w:rPr>
        <w:t>two theoretical State economy models. In the first model economy, t</w:t>
      </w:r>
      <w:r>
        <w:rPr>
          <w:rFonts w:asciiTheme="majorBidi" w:hAnsiTheme="majorBidi" w:cstheme="majorBidi"/>
        </w:rPr>
        <w:t xml:space="preserve">he </w:t>
      </w:r>
      <w:r w:rsidR="0077731A" w:rsidRPr="00A55804">
        <w:rPr>
          <w:rFonts w:asciiTheme="majorBidi" w:hAnsiTheme="majorBidi" w:cstheme="majorBidi"/>
        </w:rPr>
        <w:t xml:space="preserve">State </w:t>
      </w:r>
      <w:r>
        <w:rPr>
          <w:rFonts w:asciiTheme="majorBidi" w:hAnsiTheme="majorBidi" w:cstheme="majorBidi"/>
        </w:rPr>
        <w:t>government</w:t>
      </w:r>
      <w:r w:rsidR="000205F3">
        <w:rPr>
          <w:rFonts w:asciiTheme="majorBidi" w:hAnsiTheme="majorBidi" w:cstheme="majorBidi"/>
        </w:rPr>
        <w:t xml:space="preserve"> collects</w:t>
      </w:r>
      <w:r w:rsidR="0077731A" w:rsidRPr="00A55804">
        <w:rPr>
          <w:rFonts w:asciiTheme="majorBidi" w:hAnsiTheme="majorBidi" w:cstheme="majorBidi"/>
        </w:rPr>
        <w:t xml:space="preserve"> revenues using distortionary income and consumption taxes and uses the revenues to provide consumption services, public productive investment and income transfer to households. </w:t>
      </w:r>
      <w:r w:rsidR="000205F3">
        <w:rPr>
          <w:rFonts w:asciiTheme="majorBidi" w:hAnsiTheme="majorBidi" w:cstheme="majorBidi"/>
        </w:rPr>
        <w:t>The</w:t>
      </w:r>
      <w:r w:rsidR="008271C9">
        <w:rPr>
          <w:rFonts w:asciiTheme="majorBidi" w:hAnsiTheme="majorBidi" w:cstheme="majorBidi"/>
        </w:rPr>
        <w:t xml:space="preserve"> </w:t>
      </w:r>
      <w:r w:rsidR="000205F3">
        <w:rPr>
          <w:rFonts w:asciiTheme="majorBidi" w:hAnsiTheme="majorBidi" w:cstheme="majorBidi"/>
        </w:rPr>
        <w:t xml:space="preserve">second model economy is almost identical to the first economy except that State government has a </w:t>
      </w:r>
      <w:r w:rsidR="0077731A" w:rsidRPr="00A55804">
        <w:rPr>
          <w:rFonts w:asciiTheme="majorBidi" w:hAnsiTheme="majorBidi" w:cstheme="majorBidi"/>
        </w:rPr>
        <w:t>budget stabilization fund BSF</w:t>
      </w:r>
      <w:r w:rsidR="000205F3">
        <w:rPr>
          <w:rFonts w:asciiTheme="majorBidi" w:hAnsiTheme="majorBidi" w:cstheme="majorBidi"/>
        </w:rPr>
        <w:t xml:space="preserve">. </w:t>
      </w:r>
      <w:r w:rsidR="0077731A" w:rsidRPr="00A55804">
        <w:rPr>
          <w:rFonts w:asciiTheme="majorBidi" w:hAnsiTheme="majorBidi" w:cstheme="majorBidi"/>
        </w:rPr>
        <w:t xml:space="preserve"> </w:t>
      </w:r>
      <w:r w:rsidR="000205F3">
        <w:rPr>
          <w:rFonts w:asciiTheme="majorBidi" w:hAnsiTheme="majorBidi" w:cstheme="majorBidi"/>
        </w:rPr>
        <w:t xml:space="preserve">In the second model economy, </w:t>
      </w:r>
      <w:r w:rsidR="0077731A" w:rsidRPr="00A55804">
        <w:rPr>
          <w:rFonts w:asciiTheme="majorBidi" w:hAnsiTheme="majorBidi" w:cstheme="majorBidi"/>
        </w:rPr>
        <w:t xml:space="preserve">the government allocates part of its total revenues to accumulate deposit in the BSF to be used to finance the government expenditure during the downturn of the economy. We derive an optimal dynamic rule for government saving that is consistent with households’ optimization. Given that rule the State decision on savings and spending from its BSF become directly linked to the State economic fundamentals rather than the discretion of the policy makers. Given the rule, the State BSF becomes an important automatic stabilizer to the aggregate State macroeconomic fluctuations. In particular we find that government’s tax revenues </w:t>
      </w:r>
      <w:r w:rsidR="003D03BA" w:rsidRPr="00A55804">
        <w:rPr>
          <w:rFonts w:asciiTheme="majorBidi" w:hAnsiTheme="majorBidi" w:cstheme="majorBidi"/>
        </w:rPr>
        <w:t xml:space="preserve">become less </w:t>
      </w:r>
      <w:r w:rsidR="0077731A" w:rsidRPr="00A55804">
        <w:rPr>
          <w:rFonts w:asciiTheme="majorBidi" w:hAnsiTheme="majorBidi" w:cstheme="majorBidi"/>
        </w:rPr>
        <w:t>volatile</w:t>
      </w:r>
      <w:r w:rsidR="003D03BA" w:rsidRPr="00A55804">
        <w:rPr>
          <w:rFonts w:asciiTheme="majorBidi" w:hAnsiTheme="majorBidi" w:cstheme="majorBidi"/>
        </w:rPr>
        <w:t xml:space="preserve"> and more persistence with BSF</w:t>
      </w:r>
      <w:r w:rsidR="004E7CB3" w:rsidRPr="00A55804">
        <w:rPr>
          <w:rFonts w:asciiTheme="majorBidi" w:hAnsiTheme="majorBidi" w:cstheme="majorBidi"/>
        </w:rPr>
        <w:t>.</w:t>
      </w:r>
      <w:r w:rsidR="0077731A" w:rsidRPr="00A55804">
        <w:rPr>
          <w:rFonts w:asciiTheme="majorBidi" w:hAnsiTheme="majorBidi" w:cstheme="majorBidi"/>
        </w:rPr>
        <w:t xml:space="preserve"> More important we find that the BSF reduces the </w:t>
      </w:r>
      <w:r w:rsidR="000205F3">
        <w:rPr>
          <w:rFonts w:asciiTheme="majorBidi" w:hAnsiTheme="majorBidi" w:cstheme="majorBidi"/>
        </w:rPr>
        <w:t>aggregate fluctuations in percapita income, employment and consumption and government revenues and improves the persistence of these important macro variables</w:t>
      </w:r>
      <w:r w:rsidR="0077731A" w:rsidRPr="00A55804">
        <w:rPr>
          <w:rFonts w:asciiTheme="majorBidi" w:hAnsiTheme="majorBidi" w:cstheme="majorBidi"/>
        </w:rPr>
        <w:t>. Household welfare becomes less correlated with income and more smooth.</w:t>
      </w:r>
    </w:p>
    <w:p w:rsidR="003D03BA" w:rsidRPr="00A55804" w:rsidRDefault="004E7CB3" w:rsidP="00C53250">
      <w:pPr>
        <w:spacing w:line="480" w:lineRule="auto"/>
        <w:ind w:firstLine="720"/>
        <w:jc w:val="both"/>
        <w:rPr>
          <w:rFonts w:asciiTheme="majorBidi" w:hAnsiTheme="majorBidi" w:cstheme="majorBidi"/>
        </w:rPr>
      </w:pPr>
      <w:r w:rsidRPr="00A55804">
        <w:rPr>
          <w:rFonts w:asciiTheme="majorBidi" w:hAnsiTheme="majorBidi" w:cstheme="majorBidi"/>
        </w:rPr>
        <w:t xml:space="preserve">The dissertation is organized as follows. In the first </w:t>
      </w:r>
      <w:r w:rsidR="00C53250">
        <w:rPr>
          <w:rFonts w:asciiTheme="majorBidi" w:hAnsiTheme="majorBidi" w:cstheme="majorBidi"/>
        </w:rPr>
        <w:t xml:space="preserve">essay </w:t>
      </w:r>
      <w:r w:rsidRPr="00A55804">
        <w:rPr>
          <w:rFonts w:asciiTheme="majorBidi" w:hAnsiTheme="majorBidi" w:cstheme="majorBidi"/>
        </w:rPr>
        <w:t xml:space="preserve">we analyze </w:t>
      </w:r>
      <w:r w:rsidR="00C53250">
        <w:rPr>
          <w:rFonts w:asciiTheme="majorBidi" w:hAnsiTheme="majorBidi" w:cstheme="majorBidi"/>
        </w:rPr>
        <w:t xml:space="preserve">the </w:t>
      </w:r>
      <w:r w:rsidRPr="00A55804">
        <w:rPr>
          <w:rFonts w:asciiTheme="majorBidi" w:hAnsiTheme="majorBidi" w:cstheme="majorBidi"/>
        </w:rPr>
        <w:t>open economies real business cycle with durables an</w:t>
      </w:r>
      <w:r w:rsidR="00C53250">
        <w:rPr>
          <w:rFonts w:asciiTheme="majorBidi" w:hAnsiTheme="majorBidi" w:cstheme="majorBidi"/>
        </w:rPr>
        <w:t xml:space="preserve">d interest rates. The second essay addresses </w:t>
      </w:r>
      <w:r w:rsidRPr="00A55804">
        <w:rPr>
          <w:rFonts w:asciiTheme="majorBidi" w:hAnsiTheme="majorBidi" w:cstheme="majorBidi"/>
        </w:rPr>
        <w:t>th</w:t>
      </w:r>
      <w:r w:rsidR="00C53250">
        <w:rPr>
          <w:rFonts w:asciiTheme="majorBidi" w:hAnsiTheme="majorBidi" w:cstheme="majorBidi"/>
        </w:rPr>
        <w:t xml:space="preserve">e sensitivity of the </w:t>
      </w:r>
      <w:r w:rsidR="008044EC">
        <w:rPr>
          <w:rFonts w:asciiTheme="majorBidi" w:hAnsiTheme="majorBidi" w:cstheme="majorBidi"/>
        </w:rPr>
        <w:t xml:space="preserve">small open economies’ </w:t>
      </w:r>
      <w:r w:rsidR="00C53250">
        <w:rPr>
          <w:rFonts w:asciiTheme="majorBidi" w:hAnsiTheme="majorBidi" w:cstheme="majorBidi"/>
        </w:rPr>
        <w:t xml:space="preserve">business cycles to </w:t>
      </w:r>
      <w:proofErr w:type="gramStart"/>
      <w:r w:rsidR="00C53250">
        <w:rPr>
          <w:rFonts w:asciiTheme="majorBidi" w:hAnsiTheme="majorBidi" w:cstheme="majorBidi"/>
        </w:rPr>
        <w:t>ToT</w:t>
      </w:r>
      <w:proofErr w:type="gramEnd"/>
      <w:r w:rsidRPr="00A55804">
        <w:rPr>
          <w:rFonts w:asciiTheme="majorBidi" w:hAnsiTheme="majorBidi" w:cstheme="majorBidi"/>
        </w:rPr>
        <w:t xml:space="preserve">.  </w:t>
      </w:r>
      <w:r w:rsidR="00C53250">
        <w:rPr>
          <w:rFonts w:asciiTheme="majorBidi" w:hAnsiTheme="majorBidi" w:cstheme="majorBidi"/>
        </w:rPr>
        <w:t xml:space="preserve">In the last essay we address the BSFs and evaluate its impact on </w:t>
      </w:r>
      <w:r w:rsidRPr="00A55804">
        <w:rPr>
          <w:rFonts w:asciiTheme="majorBidi" w:hAnsiTheme="majorBidi" w:cstheme="majorBidi"/>
        </w:rPr>
        <w:t>the State’s government budget and the State’s business cycle.</w:t>
      </w:r>
    </w:p>
    <w:p w:rsidR="003D03BA" w:rsidRPr="00A55804" w:rsidRDefault="003D03BA" w:rsidP="0077731A">
      <w:pPr>
        <w:spacing w:line="480" w:lineRule="auto"/>
        <w:ind w:firstLine="720"/>
        <w:rPr>
          <w:rFonts w:asciiTheme="majorBidi" w:hAnsiTheme="majorBidi" w:cstheme="majorBidi"/>
        </w:rPr>
      </w:pPr>
    </w:p>
    <w:p w:rsidR="003D03BA" w:rsidRPr="00A55804" w:rsidRDefault="003D03BA" w:rsidP="0077731A">
      <w:pPr>
        <w:spacing w:line="480" w:lineRule="auto"/>
        <w:ind w:firstLine="720"/>
        <w:rPr>
          <w:rFonts w:asciiTheme="majorBidi" w:hAnsiTheme="majorBidi" w:cstheme="majorBidi"/>
        </w:rPr>
      </w:pPr>
    </w:p>
    <w:p w:rsidR="003D03BA" w:rsidRPr="00A55804" w:rsidRDefault="003D03BA" w:rsidP="0077731A">
      <w:pPr>
        <w:spacing w:line="480" w:lineRule="auto"/>
        <w:ind w:firstLine="720"/>
        <w:rPr>
          <w:rFonts w:asciiTheme="majorBidi" w:hAnsiTheme="majorBidi" w:cstheme="majorBidi"/>
        </w:rPr>
      </w:pPr>
    </w:p>
    <w:p w:rsidR="003D03BA" w:rsidRPr="00A55804" w:rsidRDefault="003D03BA" w:rsidP="0077731A">
      <w:pPr>
        <w:spacing w:line="480" w:lineRule="auto"/>
        <w:ind w:firstLine="720"/>
        <w:rPr>
          <w:rFonts w:asciiTheme="majorBidi" w:hAnsiTheme="majorBidi" w:cstheme="majorBidi"/>
        </w:rPr>
      </w:pPr>
    </w:p>
    <w:p w:rsidR="003D03BA" w:rsidRPr="00A55804" w:rsidRDefault="003D03BA" w:rsidP="0077731A">
      <w:pPr>
        <w:spacing w:line="480" w:lineRule="auto"/>
        <w:ind w:firstLine="720"/>
        <w:rPr>
          <w:rFonts w:asciiTheme="majorBidi" w:hAnsiTheme="majorBidi" w:cstheme="majorBidi"/>
        </w:rPr>
      </w:pPr>
    </w:p>
    <w:p w:rsidR="00AD4525" w:rsidRDefault="00AD4525" w:rsidP="0077731A">
      <w:pPr>
        <w:spacing w:line="480" w:lineRule="auto"/>
        <w:ind w:firstLine="720"/>
        <w:rPr>
          <w:rFonts w:asciiTheme="majorBidi" w:hAnsiTheme="majorBidi" w:cstheme="majorBidi"/>
        </w:rPr>
      </w:pPr>
    </w:p>
    <w:p w:rsidR="00824A50" w:rsidRDefault="00824A50" w:rsidP="0077731A">
      <w:pPr>
        <w:spacing w:line="480" w:lineRule="auto"/>
        <w:ind w:firstLine="720"/>
        <w:rPr>
          <w:rFonts w:asciiTheme="majorBidi" w:hAnsiTheme="majorBidi" w:cstheme="majorBidi"/>
        </w:rPr>
      </w:pPr>
    </w:p>
    <w:p w:rsidR="00824A50" w:rsidRDefault="00824A50" w:rsidP="0077731A">
      <w:pPr>
        <w:spacing w:line="480" w:lineRule="auto"/>
        <w:ind w:firstLine="720"/>
        <w:rPr>
          <w:rFonts w:asciiTheme="majorBidi" w:hAnsiTheme="majorBidi" w:cstheme="majorBidi"/>
        </w:rPr>
      </w:pPr>
    </w:p>
    <w:p w:rsidR="00824A50" w:rsidRPr="00A55804" w:rsidRDefault="00824A50" w:rsidP="0077731A">
      <w:pPr>
        <w:spacing w:line="480" w:lineRule="auto"/>
        <w:ind w:firstLine="720"/>
        <w:rPr>
          <w:rFonts w:asciiTheme="majorBidi" w:hAnsiTheme="majorBidi" w:cstheme="majorBidi"/>
        </w:rPr>
      </w:pPr>
    </w:p>
    <w:p w:rsidR="00DC5BC8" w:rsidRPr="00A55804" w:rsidRDefault="003A65AE" w:rsidP="00617D79">
      <w:pPr>
        <w:numPr>
          <w:ilvl w:val="12"/>
          <w:numId w:val="0"/>
        </w:numPr>
        <w:spacing w:line="480" w:lineRule="auto"/>
        <w:rPr>
          <w:rFonts w:asciiTheme="majorBidi" w:hAnsiTheme="majorBidi" w:cstheme="majorBidi"/>
          <w:sz w:val="40"/>
          <w:szCs w:val="40"/>
        </w:rPr>
      </w:pPr>
      <w:r w:rsidRPr="00A55804">
        <w:rPr>
          <w:rFonts w:asciiTheme="majorBidi" w:hAnsiTheme="majorBidi" w:cstheme="majorBidi"/>
          <w:sz w:val="48"/>
          <w:szCs w:val="48"/>
        </w:rPr>
        <w:t>Contents</w:t>
      </w:r>
    </w:p>
    <w:p w:rsidR="00DC5BC8" w:rsidRPr="00A55804" w:rsidRDefault="00DC5BC8" w:rsidP="00617D79">
      <w:pPr>
        <w:numPr>
          <w:ilvl w:val="12"/>
          <w:numId w:val="0"/>
        </w:numPr>
        <w:spacing w:line="480" w:lineRule="auto"/>
        <w:jc w:val="center"/>
        <w:rPr>
          <w:rFonts w:asciiTheme="majorBidi" w:hAnsiTheme="majorBidi" w:cstheme="majorBidi"/>
        </w:rPr>
      </w:pPr>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r w:rsidRPr="00A55804">
        <w:rPr>
          <w:rFonts w:asciiTheme="majorBidi" w:hAnsiTheme="majorBidi" w:cstheme="majorBidi"/>
        </w:rPr>
        <w:fldChar w:fldCharType="begin"/>
      </w:r>
      <w:r w:rsidR="00DC5BC8" w:rsidRPr="00A55804">
        <w:rPr>
          <w:rFonts w:asciiTheme="majorBidi" w:hAnsiTheme="majorBidi" w:cstheme="majorBidi"/>
        </w:rPr>
        <w:instrText xml:space="preserve"> TOC \o "1-3" \h \z </w:instrText>
      </w:r>
      <w:r w:rsidRPr="00A55804">
        <w:rPr>
          <w:rFonts w:asciiTheme="majorBidi" w:hAnsiTheme="majorBidi" w:cstheme="majorBidi"/>
        </w:rPr>
        <w:fldChar w:fldCharType="separate"/>
      </w:r>
      <w:hyperlink w:anchor="_Toc285477999" w:history="1">
        <w:r w:rsidR="00617D79" w:rsidRPr="001D1E39">
          <w:rPr>
            <w:rStyle w:val="Hyperlink"/>
            <w:rFonts w:asciiTheme="majorBidi" w:hAnsiTheme="majorBidi" w:cstheme="majorBidi"/>
            <w:noProof/>
          </w:rPr>
          <w:t>1. Durable Goods, Interest Rates and the Small Open Economy Business Cycle</w:t>
        </w:r>
        <w:r w:rsidR="00617D79">
          <w:rPr>
            <w:noProof/>
            <w:webHidden/>
          </w:rPr>
          <w:tab/>
        </w:r>
        <w:r>
          <w:rPr>
            <w:noProof/>
            <w:webHidden/>
          </w:rPr>
          <w:fldChar w:fldCharType="begin"/>
        </w:r>
        <w:r w:rsidR="00617D79">
          <w:rPr>
            <w:noProof/>
            <w:webHidden/>
          </w:rPr>
          <w:instrText xml:space="preserve"> PAGEREF _Toc285477999 \h </w:instrText>
        </w:r>
        <w:r>
          <w:rPr>
            <w:noProof/>
            <w:webHidden/>
          </w:rPr>
        </w:r>
        <w:r>
          <w:rPr>
            <w:noProof/>
            <w:webHidden/>
          </w:rPr>
          <w:fldChar w:fldCharType="separate"/>
        </w:r>
        <w:r w:rsidR="00531AB5">
          <w:rPr>
            <w:noProof/>
            <w:webHidden/>
          </w:rPr>
          <w:t>1</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0" w:history="1">
        <w:r w:rsidR="00617D79" w:rsidRPr="001D1E39">
          <w:rPr>
            <w:rStyle w:val="Hyperlink"/>
            <w:noProof/>
          </w:rPr>
          <w:t>1.1</w:t>
        </w:r>
        <w:r w:rsidR="00617D79">
          <w:rPr>
            <w:rFonts w:asciiTheme="minorHAnsi" w:eastAsiaTheme="minorEastAsia" w:hAnsiTheme="minorHAnsi" w:cstheme="minorBidi"/>
            <w:noProof/>
            <w:sz w:val="22"/>
            <w:szCs w:val="22"/>
          </w:rPr>
          <w:tab/>
        </w:r>
        <w:r w:rsidR="00617D79" w:rsidRPr="001D1E39">
          <w:rPr>
            <w:rStyle w:val="Hyperlink"/>
            <w:noProof/>
          </w:rPr>
          <w:t>Introduction</w:t>
        </w:r>
        <w:r w:rsidR="00617D79">
          <w:rPr>
            <w:noProof/>
            <w:webHidden/>
          </w:rPr>
          <w:tab/>
        </w:r>
        <w:r>
          <w:rPr>
            <w:noProof/>
            <w:webHidden/>
          </w:rPr>
          <w:fldChar w:fldCharType="begin"/>
        </w:r>
        <w:r w:rsidR="00617D79">
          <w:rPr>
            <w:noProof/>
            <w:webHidden/>
          </w:rPr>
          <w:instrText xml:space="preserve"> PAGEREF _Toc285478000 \h </w:instrText>
        </w:r>
        <w:r>
          <w:rPr>
            <w:noProof/>
            <w:webHidden/>
          </w:rPr>
        </w:r>
        <w:r>
          <w:rPr>
            <w:noProof/>
            <w:webHidden/>
          </w:rPr>
          <w:fldChar w:fldCharType="separate"/>
        </w:r>
        <w:r w:rsidR="00531AB5">
          <w:rPr>
            <w:noProof/>
            <w:webHidden/>
          </w:rPr>
          <w:t>1</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1" w:history="1">
        <w:r w:rsidR="00617D79" w:rsidRPr="001D1E39">
          <w:rPr>
            <w:rStyle w:val="Hyperlink"/>
            <w:noProof/>
          </w:rPr>
          <w:t>1.2</w:t>
        </w:r>
        <w:r w:rsidR="00617D79">
          <w:rPr>
            <w:rFonts w:asciiTheme="minorHAnsi" w:eastAsiaTheme="minorEastAsia" w:hAnsiTheme="minorHAnsi" w:cstheme="minorBidi"/>
            <w:noProof/>
            <w:sz w:val="22"/>
            <w:szCs w:val="22"/>
          </w:rPr>
          <w:tab/>
        </w:r>
        <w:r w:rsidR="00617D79" w:rsidRPr="001D1E39">
          <w:rPr>
            <w:rStyle w:val="Hyperlink"/>
            <w:noProof/>
          </w:rPr>
          <w:t>Consumer Durables: Empirics</w:t>
        </w:r>
        <w:r w:rsidR="00617D79">
          <w:rPr>
            <w:noProof/>
            <w:webHidden/>
          </w:rPr>
          <w:tab/>
        </w:r>
        <w:r>
          <w:rPr>
            <w:noProof/>
            <w:webHidden/>
          </w:rPr>
          <w:fldChar w:fldCharType="begin"/>
        </w:r>
        <w:r w:rsidR="00617D79">
          <w:rPr>
            <w:noProof/>
            <w:webHidden/>
          </w:rPr>
          <w:instrText xml:space="preserve"> PAGEREF _Toc285478001 \h </w:instrText>
        </w:r>
        <w:r>
          <w:rPr>
            <w:noProof/>
            <w:webHidden/>
          </w:rPr>
        </w:r>
        <w:r>
          <w:rPr>
            <w:noProof/>
            <w:webHidden/>
          </w:rPr>
          <w:fldChar w:fldCharType="separate"/>
        </w:r>
        <w:r w:rsidR="00531AB5">
          <w:rPr>
            <w:noProof/>
            <w:webHidden/>
          </w:rPr>
          <w:t>8</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2" w:history="1">
        <w:r w:rsidR="00617D79" w:rsidRPr="001D1E39">
          <w:rPr>
            <w:rStyle w:val="Hyperlink"/>
            <w:noProof/>
          </w:rPr>
          <w:t>1.3</w:t>
        </w:r>
        <w:r w:rsidR="00617D79">
          <w:rPr>
            <w:rFonts w:asciiTheme="minorHAnsi" w:eastAsiaTheme="minorEastAsia" w:hAnsiTheme="minorHAnsi" w:cstheme="minorBidi"/>
            <w:noProof/>
            <w:sz w:val="22"/>
            <w:szCs w:val="22"/>
          </w:rPr>
          <w:tab/>
        </w:r>
        <w:r w:rsidR="00617D79" w:rsidRPr="001D1E39">
          <w:rPr>
            <w:rStyle w:val="Hyperlink"/>
            <w:noProof/>
          </w:rPr>
          <w:t>The Model</w:t>
        </w:r>
        <w:r w:rsidR="00617D79">
          <w:rPr>
            <w:noProof/>
            <w:webHidden/>
          </w:rPr>
          <w:tab/>
        </w:r>
        <w:r>
          <w:rPr>
            <w:noProof/>
            <w:webHidden/>
          </w:rPr>
          <w:fldChar w:fldCharType="begin"/>
        </w:r>
        <w:r w:rsidR="00617D79">
          <w:rPr>
            <w:noProof/>
            <w:webHidden/>
          </w:rPr>
          <w:instrText xml:space="preserve"> PAGEREF _Toc285478002 \h </w:instrText>
        </w:r>
        <w:r>
          <w:rPr>
            <w:noProof/>
            <w:webHidden/>
          </w:rPr>
        </w:r>
        <w:r>
          <w:rPr>
            <w:noProof/>
            <w:webHidden/>
          </w:rPr>
          <w:fldChar w:fldCharType="separate"/>
        </w:r>
        <w:r w:rsidR="00531AB5">
          <w:rPr>
            <w:noProof/>
            <w:webHidden/>
          </w:rPr>
          <w:t>10</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3" w:history="1">
        <w:r w:rsidR="00617D79" w:rsidRPr="001D1E39">
          <w:rPr>
            <w:rStyle w:val="Hyperlink"/>
            <w:noProof/>
          </w:rPr>
          <w:t>1.4</w:t>
        </w:r>
        <w:r w:rsidR="00617D79">
          <w:rPr>
            <w:rFonts w:asciiTheme="minorHAnsi" w:eastAsiaTheme="minorEastAsia" w:hAnsiTheme="minorHAnsi" w:cstheme="minorBidi"/>
            <w:noProof/>
            <w:sz w:val="22"/>
            <w:szCs w:val="22"/>
          </w:rPr>
          <w:tab/>
        </w:r>
        <w:r w:rsidR="00617D79" w:rsidRPr="001D1E39">
          <w:rPr>
            <w:rStyle w:val="Hyperlink"/>
            <w:noProof/>
          </w:rPr>
          <w:t>Calibration</w:t>
        </w:r>
        <w:r w:rsidR="00617D79">
          <w:rPr>
            <w:noProof/>
            <w:webHidden/>
          </w:rPr>
          <w:tab/>
        </w:r>
        <w:r>
          <w:rPr>
            <w:noProof/>
            <w:webHidden/>
          </w:rPr>
          <w:fldChar w:fldCharType="begin"/>
        </w:r>
        <w:r w:rsidR="00617D79">
          <w:rPr>
            <w:noProof/>
            <w:webHidden/>
          </w:rPr>
          <w:instrText xml:space="preserve"> PAGEREF _Toc285478003 \h </w:instrText>
        </w:r>
        <w:r>
          <w:rPr>
            <w:noProof/>
            <w:webHidden/>
          </w:rPr>
        </w:r>
        <w:r>
          <w:rPr>
            <w:noProof/>
            <w:webHidden/>
          </w:rPr>
          <w:fldChar w:fldCharType="separate"/>
        </w:r>
        <w:r w:rsidR="00531AB5">
          <w:rPr>
            <w:noProof/>
            <w:webHidden/>
          </w:rPr>
          <w:t>17</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4" w:history="1">
        <w:r w:rsidR="00617D79" w:rsidRPr="001D1E39">
          <w:rPr>
            <w:rStyle w:val="Hyperlink"/>
            <w:noProof/>
          </w:rPr>
          <w:t>1.5</w:t>
        </w:r>
        <w:r w:rsidR="00617D79">
          <w:rPr>
            <w:rFonts w:asciiTheme="minorHAnsi" w:eastAsiaTheme="minorEastAsia" w:hAnsiTheme="minorHAnsi" w:cstheme="minorBidi"/>
            <w:noProof/>
            <w:sz w:val="22"/>
            <w:szCs w:val="22"/>
          </w:rPr>
          <w:tab/>
        </w:r>
        <w:r w:rsidR="00617D79" w:rsidRPr="001D1E39">
          <w:rPr>
            <w:rStyle w:val="Hyperlink"/>
            <w:noProof/>
          </w:rPr>
          <w:t>The Model Fit With the Canadian Data</w:t>
        </w:r>
        <w:r w:rsidR="00617D79">
          <w:rPr>
            <w:noProof/>
            <w:webHidden/>
          </w:rPr>
          <w:tab/>
        </w:r>
        <w:r>
          <w:rPr>
            <w:noProof/>
            <w:webHidden/>
          </w:rPr>
          <w:fldChar w:fldCharType="begin"/>
        </w:r>
        <w:r w:rsidR="00617D79">
          <w:rPr>
            <w:noProof/>
            <w:webHidden/>
          </w:rPr>
          <w:instrText xml:space="preserve"> PAGEREF _Toc285478004 \h </w:instrText>
        </w:r>
        <w:r>
          <w:rPr>
            <w:noProof/>
            <w:webHidden/>
          </w:rPr>
        </w:r>
        <w:r>
          <w:rPr>
            <w:noProof/>
            <w:webHidden/>
          </w:rPr>
          <w:fldChar w:fldCharType="separate"/>
        </w:r>
        <w:r w:rsidR="00531AB5">
          <w:rPr>
            <w:noProof/>
            <w:webHidden/>
          </w:rPr>
          <w:t>18</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5" w:history="1">
        <w:r w:rsidR="00617D79" w:rsidRPr="001D1E39">
          <w:rPr>
            <w:rStyle w:val="Hyperlink"/>
            <w:noProof/>
          </w:rPr>
          <w:t>1.6</w:t>
        </w:r>
        <w:r w:rsidR="00617D79">
          <w:rPr>
            <w:rFonts w:asciiTheme="minorHAnsi" w:eastAsiaTheme="minorEastAsia" w:hAnsiTheme="minorHAnsi" w:cstheme="minorBidi"/>
            <w:noProof/>
            <w:sz w:val="22"/>
            <w:szCs w:val="22"/>
          </w:rPr>
          <w:tab/>
        </w:r>
        <w:r w:rsidR="00617D79" w:rsidRPr="001D1E39">
          <w:rPr>
            <w:rStyle w:val="Hyperlink"/>
            <w:noProof/>
          </w:rPr>
          <w:t>Durables and the Interest Rates</w:t>
        </w:r>
        <w:r w:rsidR="00617D79">
          <w:rPr>
            <w:noProof/>
            <w:webHidden/>
          </w:rPr>
          <w:tab/>
        </w:r>
        <w:r>
          <w:rPr>
            <w:noProof/>
            <w:webHidden/>
          </w:rPr>
          <w:fldChar w:fldCharType="begin"/>
        </w:r>
        <w:r w:rsidR="00617D79">
          <w:rPr>
            <w:noProof/>
            <w:webHidden/>
          </w:rPr>
          <w:instrText xml:space="preserve"> PAGEREF _Toc285478005 \h </w:instrText>
        </w:r>
        <w:r>
          <w:rPr>
            <w:noProof/>
            <w:webHidden/>
          </w:rPr>
        </w:r>
        <w:r>
          <w:rPr>
            <w:noProof/>
            <w:webHidden/>
          </w:rPr>
          <w:fldChar w:fldCharType="separate"/>
        </w:r>
        <w:r w:rsidR="00531AB5">
          <w:rPr>
            <w:noProof/>
            <w:webHidden/>
          </w:rPr>
          <w:t>21</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6" w:history="1">
        <w:r w:rsidR="00617D79" w:rsidRPr="001D1E39">
          <w:rPr>
            <w:rStyle w:val="Hyperlink"/>
            <w:noProof/>
          </w:rPr>
          <w:t>1.7</w:t>
        </w:r>
        <w:r w:rsidR="00617D79">
          <w:rPr>
            <w:rFonts w:asciiTheme="minorHAnsi" w:eastAsiaTheme="minorEastAsia" w:hAnsiTheme="minorHAnsi" w:cstheme="minorBidi"/>
            <w:noProof/>
            <w:sz w:val="22"/>
            <w:szCs w:val="22"/>
          </w:rPr>
          <w:tab/>
        </w:r>
        <w:r w:rsidR="00617D79" w:rsidRPr="001D1E39">
          <w:rPr>
            <w:rStyle w:val="Hyperlink"/>
            <w:noProof/>
          </w:rPr>
          <w:t>Habits and Variable Utilization</w:t>
        </w:r>
        <w:r w:rsidR="00617D79">
          <w:rPr>
            <w:noProof/>
            <w:webHidden/>
          </w:rPr>
          <w:tab/>
        </w:r>
        <w:r>
          <w:rPr>
            <w:noProof/>
            <w:webHidden/>
          </w:rPr>
          <w:fldChar w:fldCharType="begin"/>
        </w:r>
        <w:r w:rsidR="00617D79">
          <w:rPr>
            <w:noProof/>
            <w:webHidden/>
          </w:rPr>
          <w:instrText xml:space="preserve"> PAGEREF _Toc285478006 \h </w:instrText>
        </w:r>
        <w:r>
          <w:rPr>
            <w:noProof/>
            <w:webHidden/>
          </w:rPr>
        </w:r>
        <w:r>
          <w:rPr>
            <w:noProof/>
            <w:webHidden/>
          </w:rPr>
          <w:fldChar w:fldCharType="separate"/>
        </w:r>
        <w:r w:rsidR="00531AB5">
          <w:rPr>
            <w:noProof/>
            <w:webHidden/>
          </w:rPr>
          <w:t>24</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7" w:history="1">
        <w:r w:rsidR="00617D79" w:rsidRPr="001D1E39">
          <w:rPr>
            <w:rStyle w:val="Hyperlink"/>
            <w:noProof/>
          </w:rPr>
          <w:t>1.8</w:t>
        </w:r>
        <w:r w:rsidR="00617D79">
          <w:rPr>
            <w:rFonts w:asciiTheme="minorHAnsi" w:eastAsiaTheme="minorEastAsia" w:hAnsiTheme="minorHAnsi" w:cstheme="minorBidi"/>
            <w:noProof/>
            <w:sz w:val="22"/>
            <w:szCs w:val="22"/>
          </w:rPr>
          <w:tab/>
        </w:r>
        <w:r w:rsidR="00617D79" w:rsidRPr="001D1E39">
          <w:rPr>
            <w:rStyle w:val="Hyperlink"/>
            <w:noProof/>
          </w:rPr>
          <w:t>Conclusion</w:t>
        </w:r>
        <w:r w:rsidR="00617D79">
          <w:rPr>
            <w:noProof/>
            <w:webHidden/>
          </w:rPr>
          <w:tab/>
        </w:r>
        <w:r>
          <w:rPr>
            <w:noProof/>
            <w:webHidden/>
          </w:rPr>
          <w:fldChar w:fldCharType="begin"/>
        </w:r>
        <w:r w:rsidR="00617D79">
          <w:rPr>
            <w:noProof/>
            <w:webHidden/>
          </w:rPr>
          <w:instrText xml:space="preserve"> PAGEREF _Toc285478007 \h </w:instrText>
        </w:r>
        <w:r>
          <w:rPr>
            <w:noProof/>
            <w:webHidden/>
          </w:rPr>
        </w:r>
        <w:r>
          <w:rPr>
            <w:noProof/>
            <w:webHidden/>
          </w:rPr>
          <w:fldChar w:fldCharType="separate"/>
        </w:r>
        <w:r w:rsidR="00531AB5">
          <w:rPr>
            <w:noProof/>
            <w:webHidden/>
          </w:rPr>
          <w:t>26</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08" w:history="1">
        <w:r w:rsidR="00617D79" w:rsidRPr="001D1E39">
          <w:rPr>
            <w:rStyle w:val="Hyperlink"/>
            <w:noProof/>
          </w:rPr>
          <w:t>1.9</w:t>
        </w:r>
        <w:r w:rsidR="00617D79">
          <w:rPr>
            <w:rFonts w:asciiTheme="minorHAnsi" w:eastAsiaTheme="minorEastAsia" w:hAnsiTheme="minorHAnsi" w:cstheme="minorBidi"/>
            <w:noProof/>
            <w:sz w:val="22"/>
            <w:szCs w:val="22"/>
          </w:rPr>
          <w:tab/>
        </w:r>
        <w:r w:rsidR="00617D79" w:rsidRPr="001D1E39">
          <w:rPr>
            <w:rStyle w:val="Hyperlink"/>
            <w:noProof/>
          </w:rPr>
          <w:t>Data Sources</w:t>
        </w:r>
        <w:r w:rsidR="00617D79">
          <w:rPr>
            <w:noProof/>
            <w:webHidden/>
          </w:rPr>
          <w:tab/>
        </w:r>
        <w:r>
          <w:rPr>
            <w:noProof/>
            <w:webHidden/>
          </w:rPr>
          <w:fldChar w:fldCharType="begin"/>
        </w:r>
        <w:r w:rsidR="00617D79">
          <w:rPr>
            <w:noProof/>
            <w:webHidden/>
          </w:rPr>
          <w:instrText xml:space="preserve"> PAGEREF _Toc285478008 \h </w:instrText>
        </w:r>
        <w:r>
          <w:rPr>
            <w:noProof/>
            <w:webHidden/>
          </w:rPr>
        </w:r>
        <w:r>
          <w:rPr>
            <w:noProof/>
            <w:webHidden/>
          </w:rPr>
          <w:fldChar w:fldCharType="separate"/>
        </w:r>
        <w:r w:rsidR="00531AB5">
          <w:rPr>
            <w:noProof/>
            <w:webHidden/>
          </w:rPr>
          <w:t>27</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09" w:history="1">
        <w:r w:rsidR="00617D79" w:rsidRPr="001D1E39">
          <w:rPr>
            <w:rStyle w:val="Hyperlink"/>
            <w:rFonts w:asciiTheme="majorBidi" w:hAnsiTheme="majorBidi" w:cstheme="majorBidi"/>
            <w:noProof/>
          </w:rPr>
          <w:t>2. Terms of Trade, Durability, and Small Open Economies Business Cycles</w:t>
        </w:r>
        <w:r w:rsidR="00617D79">
          <w:rPr>
            <w:noProof/>
            <w:webHidden/>
          </w:rPr>
          <w:tab/>
        </w:r>
        <w:r>
          <w:rPr>
            <w:noProof/>
            <w:webHidden/>
          </w:rPr>
          <w:fldChar w:fldCharType="begin"/>
        </w:r>
        <w:r w:rsidR="00617D79">
          <w:rPr>
            <w:noProof/>
            <w:webHidden/>
          </w:rPr>
          <w:instrText xml:space="preserve"> PAGEREF _Toc285478009 \h </w:instrText>
        </w:r>
        <w:r>
          <w:rPr>
            <w:noProof/>
            <w:webHidden/>
          </w:rPr>
        </w:r>
        <w:r>
          <w:rPr>
            <w:noProof/>
            <w:webHidden/>
          </w:rPr>
          <w:fldChar w:fldCharType="separate"/>
        </w:r>
        <w:r w:rsidR="00531AB5">
          <w:rPr>
            <w:noProof/>
            <w:webHidden/>
          </w:rPr>
          <w:t>29</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0" w:history="1">
        <w:r w:rsidR="00617D79" w:rsidRPr="001D1E39">
          <w:rPr>
            <w:rStyle w:val="Hyperlink"/>
            <w:noProof/>
          </w:rPr>
          <w:t>2.1</w:t>
        </w:r>
        <w:r w:rsidR="00617D79">
          <w:rPr>
            <w:rFonts w:asciiTheme="minorHAnsi" w:eastAsiaTheme="minorEastAsia" w:hAnsiTheme="minorHAnsi" w:cstheme="minorBidi"/>
            <w:noProof/>
            <w:sz w:val="22"/>
            <w:szCs w:val="22"/>
          </w:rPr>
          <w:tab/>
        </w:r>
        <w:r w:rsidR="00617D79" w:rsidRPr="001D1E39">
          <w:rPr>
            <w:rStyle w:val="Hyperlink"/>
            <w:noProof/>
          </w:rPr>
          <w:t>Introduction</w:t>
        </w:r>
        <w:r w:rsidR="00617D79">
          <w:rPr>
            <w:noProof/>
            <w:webHidden/>
          </w:rPr>
          <w:tab/>
        </w:r>
        <w:r>
          <w:rPr>
            <w:noProof/>
            <w:webHidden/>
          </w:rPr>
          <w:fldChar w:fldCharType="begin"/>
        </w:r>
        <w:r w:rsidR="00617D79">
          <w:rPr>
            <w:noProof/>
            <w:webHidden/>
          </w:rPr>
          <w:instrText xml:space="preserve"> PAGEREF _Toc285478010 \h </w:instrText>
        </w:r>
        <w:r>
          <w:rPr>
            <w:noProof/>
            <w:webHidden/>
          </w:rPr>
        </w:r>
        <w:r>
          <w:rPr>
            <w:noProof/>
            <w:webHidden/>
          </w:rPr>
          <w:fldChar w:fldCharType="separate"/>
        </w:r>
        <w:r w:rsidR="00531AB5">
          <w:rPr>
            <w:noProof/>
            <w:webHidden/>
          </w:rPr>
          <w:t>29</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1" w:history="1">
        <w:r w:rsidR="00617D79" w:rsidRPr="001D1E39">
          <w:rPr>
            <w:rStyle w:val="Hyperlink"/>
            <w:noProof/>
          </w:rPr>
          <w:t>2.2</w:t>
        </w:r>
        <w:r w:rsidR="00617D79">
          <w:rPr>
            <w:rFonts w:asciiTheme="minorHAnsi" w:eastAsiaTheme="minorEastAsia" w:hAnsiTheme="minorHAnsi" w:cstheme="minorBidi"/>
            <w:noProof/>
            <w:sz w:val="22"/>
            <w:szCs w:val="22"/>
          </w:rPr>
          <w:tab/>
        </w:r>
        <w:r w:rsidR="00617D79" w:rsidRPr="001D1E39">
          <w:rPr>
            <w:rStyle w:val="Hyperlink"/>
            <w:noProof/>
          </w:rPr>
          <w:t>Empirical Regularities</w:t>
        </w:r>
        <w:r w:rsidR="00617D79">
          <w:rPr>
            <w:noProof/>
            <w:webHidden/>
          </w:rPr>
          <w:tab/>
        </w:r>
        <w:r>
          <w:rPr>
            <w:noProof/>
            <w:webHidden/>
          </w:rPr>
          <w:fldChar w:fldCharType="begin"/>
        </w:r>
        <w:r w:rsidR="00617D79">
          <w:rPr>
            <w:noProof/>
            <w:webHidden/>
          </w:rPr>
          <w:instrText xml:space="preserve"> PAGEREF _Toc285478011 \h </w:instrText>
        </w:r>
        <w:r>
          <w:rPr>
            <w:noProof/>
            <w:webHidden/>
          </w:rPr>
        </w:r>
        <w:r>
          <w:rPr>
            <w:noProof/>
            <w:webHidden/>
          </w:rPr>
          <w:fldChar w:fldCharType="separate"/>
        </w:r>
        <w:r w:rsidR="00531AB5">
          <w:rPr>
            <w:noProof/>
            <w:webHidden/>
          </w:rPr>
          <w:t>37</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2" w:history="1">
        <w:r w:rsidR="00617D79" w:rsidRPr="001D1E39">
          <w:rPr>
            <w:rStyle w:val="Hyperlink"/>
            <w:noProof/>
          </w:rPr>
          <w:t>2.3</w:t>
        </w:r>
        <w:r w:rsidR="00617D79">
          <w:rPr>
            <w:rFonts w:asciiTheme="minorHAnsi" w:eastAsiaTheme="minorEastAsia" w:hAnsiTheme="minorHAnsi" w:cstheme="minorBidi"/>
            <w:noProof/>
            <w:sz w:val="22"/>
            <w:szCs w:val="22"/>
          </w:rPr>
          <w:tab/>
        </w:r>
        <w:r w:rsidR="00617D79" w:rsidRPr="001D1E39">
          <w:rPr>
            <w:rStyle w:val="Hyperlink"/>
            <w:noProof/>
          </w:rPr>
          <w:t>The Model</w:t>
        </w:r>
        <w:r w:rsidR="00617D79">
          <w:rPr>
            <w:noProof/>
            <w:webHidden/>
          </w:rPr>
          <w:tab/>
        </w:r>
        <w:r>
          <w:rPr>
            <w:noProof/>
            <w:webHidden/>
          </w:rPr>
          <w:fldChar w:fldCharType="begin"/>
        </w:r>
        <w:r w:rsidR="00617D79">
          <w:rPr>
            <w:noProof/>
            <w:webHidden/>
          </w:rPr>
          <w:instrText xml:space="preserve"> PAGEREF _Toc285478012 \h </w:instrText>
        </w:r>
        <w:r>
          <w:rPr>
            <w:noProof/>
            <w:webHidden/>
          </w:rPr>
        </w:r>
        <w:r>
          <w:rPr>
            <w:noProof/>
            <w:webHidden/>
          </w:rPr>
          <w:fldChar w:fldCharType="separate"/>
        </w:r>
        <w:r w:rsidR="00531AB5">
          <w:rPr>
            <w:noProof/>
            <w:webHidden/>
          </w:rPr>
          <w:t>38</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3" w:history="1">
        <w:r w:rsidR="00617D79" w:rsidRPr="001D1E39">
          <w:rPr>
            <w:rStyle w:val="Hyperlink"/>
            <w:noProof/>
          </w:rPr>
          <w:t>2.4</w:t>
        </w:r>
        <w:r w:rsidR="00617D79">
          <w:rPr>
            <w:rFonts w:asciiTheme="minorHAnsi" w:eastAsiaTheme="minorEastAsia" w:hAnsiTheme="minorHAnsi" w:cstheme="minorBidi"/>
            <w:noProof/>
            <w:sz w:val="22"/>
            <w:szCs w:val="22"/>
          </w:rPr>
          <w:tab/>
        </w:r>
        <w:r w:rsidR="00617D79" w:rsidRPr="001D1E39">
          <w:rPr>
            <w:rStyle w:val="Hyperlink"/>
            <w:noProof/>
          </w:rPr>
          <w:t>Calibration</w:t>
        </w:r>
        <w:r w:rsidR="00617D79">
          <w:rPr>
            <w:noProof/>
            <w:webHidden/>
          </w:rPr>
          <w:tab/>
        </w:r>
        <w:r>
          <w:rPr>
            <w:noProof/>
            <w:webHidden/>
          </w:rPr>
          <w:fldChar w:fldCharType="begin"/>
        </w:r>
        <w:r w:rsidR="00617D79">
          <w:rPr>
            <w:noProof/>
            <w:webHidden/>
          </w:rPr>
          <w:instrText xml:space="preserve"> PAGEREF _Toc285478013 \h </w:instrText>
        </w:r>
        <w:r>
          <w:rPr>
            <w:noProof/>
            <w:webHidden/>
          </w:rPr>
        </w:r>
        <w:r>
          <w:rPr>
            <w:noProof/>
            <w:webHidden/>
          </w:rPr>
          <w:fldChar w:fldCharType="separate"/>
        </w:r>
        <w:r w:rsidR="00531AB5">
          <w:rPr>
            <w:noProof/>
            <w:webHidden/>
          </w:rPr>
          <w:t>45</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4" w:history="1">
        <w:r w:rsidR="00617D79" w:rsidRPr="001D1E39">
          <w:rPr>
            <w:rStyle w:val="Hyperlink"/>
            <w:noProof/>
          </w:rPr>
          <w:t>2.5</w:t>
        </w:r>
        <w:r w:rsidR="00617D79">
          <w:rPr>
            <w:rFonts w:asciiTheme="minorHAnsi" w:eastAsiaTheme="minorEastAsia" w:hAnsiTheme="minorHAnsi" w:cstheme="minorBidi"/>
            <w:noProof/>
            <w:sz w:val="22"/>
            <w:szCs w:val="22"/>
          </w:rPr>
          <w:tab/>
        </w:r>
        <w:r w:rsidR="00617D79" w:rsidRPr="001D1E39">
          <w:rPr>
            <w:rStyle w:val="Hyperlink"/>
            <w:noProof/>
          </w:rPr>
          <w:t>The Model Fit With the Canadian Economy</w:t>
        </w:r>
        <w:r w:rsidR="00617D79">
          <w:rPr>
            <w:noProof/>
            <w:webHidden/>
          </w:rPr>
          <w:tab/>
        </w:r>
        <w:r>
          <w:rPr>
            <w:noProof/>
            <w:webHidden/>
          </w:rPr>
          <w:fldChar w:fldCharType="begin"/>
        </w:r>
        <w:r w:rsidR="00617D79">
          <w:rPr>
            <w:noProof/>
            <w:webHidden/>
          </w:rPr>
          <w:instrText xml:space="preserve"> PAGEREF _Toc285478014 \h </w:instrText>
        </w:r>
        <w:r>
          <w:rPr>
            <w:noProof/>
            <w:webHidden/>
          </w:rPr>
        </w:r>
        <w:r>
          <w:rPr>
            <w:noProof/>
            <w:webHidden/>
          </w:rPr>
          <w:fldChar w:fldCharType="separate"/>
        </w:r>
        <w:r w:rsidR="00531AB5">
          <w:rPr>
            <w:noProof/>
            <w:webHidden/>
          </w:rPr>
          <w:t>47</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5" w:history="1">
        <w:r w:rsidR="00617D79" w:rsidRPr="001D1E39">
          <w:rPr>
            <w:rStyle w:val="Hyperlink"/>
            <w:noProof/>
          </w:rPr>
          <w:t>2.6</w:t>
        </w:r>
        <w:r w:rsidR="00617D79">
          <w:rPr>
            <w:rFonts w:asciiTheme="minorHAnsi" w:eastAsiaTheme="minorEastAsia" w:hAnsiTheme="minorHAnsi" w:cstheme="minorBidi"/>
            <w:noProof/>
            <w:sz w:val="22"/>
            <w:szCs w:val="22"/>
          </w:rPr>
          <w:tab/>
        </w:r>
        <w:r w:rsidR="00617D79" w:rsidRPr="001D1E39">
          <w:rPr>
            <w:rStyle w:val="Hyperlink"/>
            <w:noProof/>
          </w:rPr>
          <w:t>How Important Are the ToT Shocks?</w:t>
        </w:r>
        <w:r w:rsidR="00617D79">
          <w:rPr>
            <w:noProof/>
            <w:webHidden/>
          </w:rPr>
          <w:tab/>
        </w:r>
        <w:r>
          <w:rPr>
            <w:noProof/>
            <w:webHidden/>
          </w:rPr>
          <w:fldChar w:fldCharType="begin"/>
        </w:r>
        <w:r w:rsidR="00617D79">
          <w:rPr>
            <w:noProof/>
            <w:webHidden/>
          </w:rPr>
          <w:instrText xml:space="preserve"> PAGEREF _Toc285478015 \h </w:instrText>
        </w:r>
        <w:r>
          <w:rPr>
            <w:noProof/>
            <w:webHidden/>
          </w:rPr>
        </w:r>
        <w:r>
          <w:rPr>
            <w:noProof/>
            <w:webHidden/>
          </w:rPr>
          <w:fldChar w:fldCharType="separate"/>
        </w:r>
        <w:r w:rsidR="00531AB5">
          <w:rPr>
            <w:noProof/>
            <w:webHidden/>
          </w:rPr>
          <w:t>48</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6" w:history="1">
        <w:r w:rsidR="00617D79" w:rsidRPr="001D1E39">
          <w:rPr>
            <w:rStyle w:val="Hyperlink"/>
            <w:noProof/>
          </w:rPr>
          <w:t>2.7</w:t>
        </w:r>
        <w:r w:rsidR="00617D79">
          <w:rPr>
            <w:rFonts w:asciiTheme="minorHAnsi" w:eastAsiaTheme="minorEastAsia" w:hAnsiTheme="minorHAnsi" w:cstheme="minorBidi"/>
            <w:noProof/>
            <w:sz w:val="22"/>
            <w:szCs w:val="22"/>
          </w:rPr>
          <w:tab/>
        </w:r>
        <w:r w:rsidR="00617D79" w:rsidRPr="001D1E39">
          <w:rPr>
            <w:rStyle w:val="Hyperlink"/>
            <w:noProof/>
          </w:rPr>
          <w:t>The Role of Durability</w:t>
        </w:r>
        <w:r w:rsidR="00617D79">
          <w:rPr>
            <w:noProof/>
            <w:webHidden/>
          </w:rPr>
          <w:tab/>
        </w:r>
        <w:r>
          <w:rPr>
            <w:noProof/>
            <w:webHidden/>
          </w:rPr>
          <w:fldChar w:fldCharType="begin"/>
        </w:r>
        <w:r w:rsidR="00617D79">
          <w:rPr>
            <w:noProof/>
            <w:webHidden/>
          </w:rPr>
          <w:instrText xml:space="preserve"> PAGEREF _Toc285478016 \h </w:instrText>
        </w:r>
        <w:r>
          <w:rPr>
            <w:noProof/>
            <w:webHidden/>
          </w:rPr>
        </w:r>
        <w:r>
          <w:rPr>
            <w:noProof/>
            <w:webHidden/>
          </w:rPr>
          <w:fldChar w:fldCharType="separate"/>
        </w:r>
        <w:r w:rsidR="00531AB5">
          <w:rPr>
            <w:noProof/>
            <w:webHidden/>
          </w:rPr>
          <w:t>49</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7" w:history="1">
        <w:r w:rsidR="00617D79" w:rsidRPr="001D1E39">
          <w:rPr>
            <w:rStyle w:val="Hyperlink"/>
            <w:noProof/>
          </w:rPr>
          <w:t>2.8</w:t>
        </w:r>
        <w:r w:rsidR="00617D79">
          <w:rPr>
            <w:rFonts w:asciiTheme="minorHAnsi" w:eastAsiaTheme="minorEastAsia" w:hAnsiTheme="minorHAnsi" w:cstheme="minorBidi"/>
            <w:noProof/>
            <w:sz w:val="22"/>
            <w:szCs w:val="22"/>
          </w:rPr>
          <w:tab/>
        </w:r>
        <w:r w:rsidR="00617D79" w:rsidRPr="001D1E39">
          <w:rPr>
            <w:rStyle w:val="Hyperlink"/>
            <w:noProof/>
          </w:rPr>
          <w:t>The Role of Interest Rates</w:t>
        </w:r>
        <w:r w:rsidR="00617D79">
          <w:rPr>
            <w:noProof/>
            <w:webHidden/>
          </w:rPr>
          <w:tab/>
        </w:r>
        <w:r>
          <w:rPr>
            <w:noProof/>
            <w:webHidden/>
          </w:rPr>
          <w:fldChar w:fldCharType="begin"/>
        </w:r>
        <w:r w:rsidR="00617D79">
          <w:rPr>
            <w:noProof/>
            <w:webHidden/>
          </w:rPr>
          <w:instrText xml:space="preserve"> PAGEREF _Toc285478017 \h </w:instrText>
        </w:r>
        <w:r>
          <w:rPr>
            <w:noProof/>
            <w:webHidden/>
          </w:rPr>
        </w:r>
        <w:r>
          <w:rPr>
            <w:noProof/>
            <w:webHidden/>
          </w:rPr>
          <w:fldChar w:fldCharType="separate"/>
        </w:r>
        <w:r w:rsidR="00531AB5">
          <w:rPr>
            <w:noProof/>
            <w:webHidden/>
          </w:rPr>
          <w:t>51</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18" w:history="1">
        <w:r w:rsidR="00617D79" w:rsidRPr="001D1E39">
          <w:rPr>
            <w:rStyle w:val="Hyperlink"/>
            <w:noProof/>
          </w:rPr>
          <w:t>2.9</w:t>
        </w:r>
        <w:r w:rsidR="00617D79">
          <w:rPr>
            <w:rFonts w:asciiTheme="minorHAnsi" w:eastAsiaTheme="minorEastAsia" w:hAnsiTheme="minorHAnsi" w:cstheme="minorBidi"/>
            <w:noProof/>
            <w:sz w:val="22"/>
            <w:szCs w:val="22"/>
          </w:rPr>
          <w:tab/>
        </w:r>
        <w:r w:rsidR="00617D79" w:rsidRPr="001D1E39">
          <w:rPr>
            <w:rStyle w:val="Hyperlink"/>
            <w:noProof/>
          </w:rPr>
          <w:t>Implications of the Persistence of the ToT</w:t>
        </w:r>
        <w:r w:rsidR="00617D79">
          <w:rPr>
            <w:noProof/>
            <w:webHidden/>
          </w:rPr>
          <w:tab/>
        </w:r>
        <w:r>
          <w:rPr>
            <w:noProof/>
            <w:webHidden/>
          </w:rPr>
          <w:fldChar w:fldCharType="begin"/>
        </w:r>
        <w:r w:rsidR="00617D79">
          <w:rPr>
            <w:noProof/>
            <w:webHidden/>
          </w:rPr>
          <w:instrText xml:space="preserve"> PAGEREF _Toc285478018 \h </w:instrText>
        </w:r>
        <w:r>
          <w:rPr>
            <w:noProof/>
            <w:webHidden/>
          </w:rPr>
        </w:r>
        <w:r>
          <w:rPr>
            <w:noProof/>
            <w:webHidden/>
          </w:rPr>
          <w:fldChar w:fldCharType="separate"/>
        </w:r>
        <w:r w:rsidR="00531AB5">
          <w:rPr>
            <w:noProof/>
            <w:webHidden/>
          </w:rPr>
          <w:t>53</w:t>
        </w:r>
        <w:r>
          <w:rPr>
            <w:noProof/>
            <w:webHidden/>
          </w:rPr>
          <w:fldChar w:fldCharType="end"/>
        </w:r>
      </w:hyperlink>
    </w:p>
    <w:p w:rsidR="00617D79" w:rsidRDefault="00AB7C8D" w:rsidP="00617D79">
      <w:pPr>
        <w:pStyle w:val="TOC2"/>
        <w:tabs>
          <w:tab w:val="left" w:pos="1100"/>
          <w:tab w:val="right" w:leader="dot" w:pos="9350"/>
        </w:tabs>
        <w:spacing w:line="480" w:lineRule="auto"/>
        <w:rPr>
          <w:rFonts w:asciiTheme="minorHAnsi" w:eastAsiaTheme="minorEastAsia" w:hAnsiTheme="minorHAnsi" w:cstheme="minorBidi"/>
          <w:noProof/>
          <w:sz w:val="22"/>
          <w:szCs w:val="22"/>
        </w:rPr>
      </w:pPr>
      <w:hyperlink w:anchor="_Toc285478019" w:history="1">
        <w:r w:rsidR="00617D79" w:rsidRPr="001D1E39">
          <w:rPr>
            <w:rStyle w:val="Hyperlink"/>
            <w:noProof/>
          </w:rPr>
          <w:t>2.9.1</w:t>
        </w:r>
        <w:r w:rsidR="00617D79">
          <w:rPr>
            <w:rFonts w:asciiTheme="minorHAnsi" w:eastAsiaTheme="minorEastAsia" w:hAnsiTheme="minorHAnsi" w:cstheme="minorBidi"/>
            <w:noProof/>
            <w:sz w:val="22"/>
            <w:szCs w:val="22"/>
          </w:rPr>
          <w:tab/>
        </w:r>
        <w:r w:rsidR="00617D79" w:rsidRPr="001D1E39">
          <w:rPr>
            <w:rStyle w:val="Hyperlink"/>
            <w:noProof/>
          </w:rPr>
          <w:t>HLM versus OSR in the Model Economy</w:t>
        </w:r>
        <w:r w:rsidR="00617D79">
          <w:rPr>
            <w:noProof/>
            <w:webHidden/>
          </w:rPr>
          <w:tab/>
        </w:r>
        <w:r>
          <w:rPr>
            <w:noProof/>
            <w:webHidden/>
          </w:rPr>
          <w:fldChar w:fldCharType="begin"/>
        </w:r>
        <w:r w:rsidR="00617D79">
          <w:rPr>
            <w:noProof/>
            <w:webHidden/>
          </w:rPr>
          <w:instrText xml:space="preserve"> PAGEREF _Toc285478019 \h </w:instrText>
        </w:r>
        <w:r>
          <w:rPr>
            <w:noProof/>
            <w:webHidden/>
          </w:rPr>
        </w:r>
        <w:r>
          <w:rPr>
            <w:noProof/>
            <w:webHidden/>
          </w:rPr>
          <w:fldChar w:fldCharType="separate"/>
        </w:r>
        <w:r w:rsidR="00531AB5">
          <w:rPr>
            <w:noProof/>
            <w:webHidden/>
          </w:rPr>
          <w:t>53</w:t>
        </w:r>
        <w:r>
          <w:rPr>
            <w:noProof/>
            <w:webHidden/>
          </w:rPr>
          <w:fldChar w:fldCharType="end"/>
        </w:r>
      </w:hyperlink>
    </w:p>
    <w:p w:rsidR="00617D79" w:rsidRDefault="00AB7C8D" w:rsidP="00617D79">
      <w:pPr>
        <w:pStyle w:val="TOC2"/>
        <w:tabs>
          <w:tab w:val="left" w:pos="1100"/>
          <w:tab w:val="right" w:leader="dot" w:pos="9350"/>
        </w:tabs>
        <w:spacing w:line="480" w:lineRule="auto"/>
        <w:rPr>
          <w:rFonts w:asciiTheme="minorHAnsi" w:eastAsiaTheme="minorEastAsia" w:hAnsiTheme="minorHAnsi" w:cstheme="minorBidi"/>
          <w:noProof/>
          <w:sz w:val="22"/>
          <w:szCs w:val="22"/>
        </w:rPr>
      </w:pPr>
      <w:hyperlink w:anchor="_Toc285478020" w:history="1">
        <w:r w:rsidR="00617D79" w:rsidRPr="001D1E39">
          <w:rPr>
            <w:rStyle w:val="Hyperlink"/>
            <w:noProof/>
          </w:rPr>
          <w:t>2.9.2</w:t>
        </w:r>
        <w:r w:rsidR="00617D79">
          <w:rPr>
            <w:rFonts w:asciiTheme="minorHAnsi" w:eastAsiaTheme="minorEastAsia" w:hAnsiTheme="minorHAnsi" w:cstheme="minorBidi"/>
            <w:noProof/>
            <w:sz w:val="22"/>
            <w:szCs w:val="22"/>
          </w:rPr>
          <w:tab/>
        </w:r>
        <w:r w:rsidR="00617D79" w:rsidRPr="001D1E39">
          <w:rPr>
            <w:rStyle w:val="Hyperlink"/>
            <w:noProof/>
          </w:rPr>
          <w:t>Persistence of the ToT and the Business Cycle</w:t>
        </w:r>
        <w:r w:rsidR="00617D79">
          <w:rPr>
            <w:noProof/>
            <w:webHidden/>
          </w:rPr>
          <w:tab/>
        </w:r>
        <w:r>
          <w:rPr>
            <w:noProof/>
            <w:webHidden/>
          </w:rPr>
          <w:fldChar w:fldCharType="begin"/>
        </w:r>
        <w:r w:rsidR="00617D79">
          <w:rPr>
            <w:noProof/>
            <w:webHidden/>
          </w:rPr>
          <w:instrText xml:space="preserve"> PAGEREF _Toc285478020 \h </w:instrText>
        </w:r>
        <w:r>
          <w:rPr>
            <w:noProof/>
            <w:webHidden/>
          </w:rPr>
        </w:r>
        <w:r>
          <w:rPr>
            <w:noProof/>
            <w:webHidden/>
          </w:rPr>
          <w:fldChar w:fldCharType="separate"/>
        </w:r>
        <w:r w:rsidR="00531AB5">
          <w:rPr>
            <w:noProof/>
            <w:webHidden/>
          </w:rPr>
          <w:t>55</w:t>
        </w:r>
        <w:r>
          <w:rPr>
            <w:noProof/>
            <w:webHidden/>
          </w:rPr>
          <w:fldChar w:fldCharType="end"/>
        </w:r>
      </w:hyperlink>
    </w:p>
    <w:p w:rsidR="00617D79" w:rsidRDefault="00AB7C8D" w:rsidP="00617D79">
      <w:pPr>
        <w:pStyle w:val="TOC2"/>
        <w:tabs>
          <w:tab w:val="left" w:pos="1100"/>
          <w:tab w:val="right" w:leader="dot" w:pos="9350"/>
        </w:tabs>
        <w:spacing w:line="480" w:lineRule="auto"/>
        <w:rPr>
          <w:rFonts w:asciiTheme="minorHAnsi" w:eastAsiaTheme="minorEastAsia" w:hAnsiTheme="minorHAnsi" w:cstheme="minorBidi"/>
          <w:noProof/>
          <w:sz w:val="22"/>
          <w:szCs w:val="22"/>
        </w:rPr>
      </w:pPr>
      <w:hyperlink w:anchor="_Toc285478021" w:history="1">
        <w:r w:rsidR="00617D79" w:rsidRPr="001D1E39">
          <w:rPr>
            <w:rStyle w:val="Hyperlink"/>
            <w:noProof/>
          </w:rPr>
          <w:t>2.10</w:t>
        </w:r>
        <w:r w:rsidR="00617D79">
          <w:rPr>
            <w:rFonts w:asciiTheme="minorHAnsi" w:eastAsiaTheme="minorEastAsia" w:hAnsiTheme="minorHAnsi" w:cstheme="minorBidi"/>
            <w:noProof/>
            <w:sz w:val="22"/>
            <w:szCs w:val="22"/>
          </w:rPr>
          <w:tab/>
        </w:r>
        <w:r w:rsidR="00617D79" w:rsidRPr="001D1E39">
          <w:rPr>
            <w:rStyle w:val="Hyperlink"/>
            <w:noProof/>
          </w:rPr>
          <w:t>Conclusion</w:t>
        </w:r>
        <w:r w:rsidR="00617D79">
          <w:rPr>
            <w:noProof/>
            <w:webHidden/>
          </w:rPr>
          <w:tab/>
        </w:r>
        <w:r>
          <w:rPr>
            <w:noProof/>
            <w:webHidden/>
          </w:rPr>
          <w:fldChar w:fldCharType="begin"/>
        </w:r>
        <w:r w:rsidR="00617D79">
          <w:rPr>
            <w:noProof/>
            <w:webHidden/>
          </w:rPr>
          <w:instrText xml:space="preserve"> PAGEREF _Toc285478021 \h </w:instrText>
        </w:r>
        <w:r>
          <w:rPr>
            <w:noProof/>
            <w:webHidden/>
          </w:rPr>
        </w:r>
        <w:r>
          <w:rPr>
            <w:noProof/>
            <w:webHidden/>
          </w:rPr>
          <w:fldChar w:fldCharType="separate"/>
        </w:r>
        <w:r w:rsidR="00531AB5">
          <w:rPr>
            <w:noProof/>
            <w:webHidden/>
          </w:rPr>
          <w:t>55</w:t>
        </w:r>
        <w:r>
          <w:rPr>
            <w:noProof/>
            <w:webHidden/>
          </w:rPr>
          <w:fldChar w:fldCharType="end"/>
        </w:r>
      </w:hyperlink>
    </w:p>
    <w:p w:rsidR="00617D79" w:rsidRDefault="00AB7C8D" w:rsidP="00617D79">
      <w:pPr>
        <w:pStyle w:val="TOC2"/>
        <w:tabs>
          <w:tab w:val="left" w:pos="1100"/>
          <w:tab w:val="right" w:leader="dot" w:pos="9350"/>
        </w:tabs>
        <w:spacing w:line="480" w:lineRule="auto"/>
        <w:rPr>
          <w:rFonts w:asciiTheme="minorHAnsi" w:eastAsiaTheme="minorEastAsia" w:hAnsiTheme="minorHAnsi" w:cstheme="minorBidi"/>
          <w:noProof/>
          <w:sz w:val="22"/>
          <w:szCs w:val="22"/>
        </w:rPr>
      </w:pPr>
      <w:hyperlink w:anchor="_Toc285478022" w:history="1">
        <w:r w:rsidR="00617D79" w:rsidRPr="001D1E39">
          <w:rPr>
            <w:rStyle w:val="Hyperlink"/>
            <w:noProof/>
          </w:rPr>
          <w:t>2.11</w:t>
        </w:r>
        <w:r w:rsidR="00617D79">
          <w:rPr>
            <w:rFonts w:asciiTheme="minorHAnsi" w:eastAsiaTheme="minorEastAsia" w:hAnsiTheme="minorHAnsi" w:cstheme="minorBidi"/>
            <w:noProof/>
            <w:sz w:val="22"/>
            <w:szCs w:val="22"/>
          </w:rPr>
          <w:tab/>
        </w:r>
        <w:r w:rsidR="00617D79" w:rsidRPr="001D1E39">
          <w:rPr>
            <w:rStyle w:val="Hyperlink"/>
            <w:noProof/>
          </w:rPr>
          <w:t>Data Sources</w:t>
        </w:r>
        <w:r w:rsidR="00617D79">
          <w:rPr>
            <w:noProof/>
            <w:webHidden/>
          </w:rPr>
          <w:tab/>
        </w:r>
        <w:r>
          <w:rPr>
            <w:noProof/>
            <w:webHidden/>
          </w:rPr>
          <w:fldChar w:fldCharType="begin"/>
        </w:r>
        <w:r w:rsidR="00617D79">
          <w:rPr>
            <w:noProof/>
            <w:webHidden/>
          </w:rPr>
          <w:instrText xml:space="preserve"> PAGEREF _Toc285478022 \h </w:instrText>
        </w:r>
        <w:r>
          <w:rPr>
            <w:noProof/>
            <w:webHidden/>
          </w:rPr>
        </w:r>
        <w:r>
          <w:rPr>
            <w:noProof/>
            <w:webHidden/>
          </w:rPr>
          <w:fldChar w:fldCharType="separate"/>
        </w:r>
        <w:r w:rsidR="00531AB5">
          <w:rPr>
            <w:noProof/>
            <w:webHidden/>
          </w:rPr>
          <w:t>57</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23" w:history="1">
        <w:r w:rsidR="00617D79" w:rsidRPr="001D1E39">
          <w:rPr>
            <w:rStyle w:val="Hyperlink"/>
            <w:rFonts w:asciiTheme="majorBidi" w:hAnsiTheme="majorBidi"/>
            <w:caps/>
            <w:noProof/>
          </w:rPr>
          <w:t xml:space="preserve">3.  </w:t>
        </w:r>
        <w:r w:rsidR="00617D79" w:rsidRPr="001D1E39">
          <w:rPr>
            <w:rStyle w:val="Hyperlink"/>
            <w:rFonts w:asciiTheme="majorBidi" w:hAnsiTheme="majorBidi"/>
            <w:noProof/>
          </w:rPr>
          <w:t xml:space="preserve"> Optimal Budget Stabilization Funds, State Budgets and the Business Cycle</w:t>
        </w:r>
        <w:r w:rsidR="00617D79">
          <w:rPr>
            <w:noProof/>
            <w:webHidden/>
          </w:rPr>
          <w:tab/>
        </w:r>
        <w:r>
          <w:rPr>
            <w:noProof/>
            <w:webHidden/>
          </w:rPr>
          <w:fldChar w:fldCharType="begin"/>
        </w:r>
        <w:r w:rsidR="00617D79">
          <w:rPr>
            <w:noProof/>
            <w:webHidden/>
          </w:rPr>
          <w:instrText xml:space="preserve"> PAGEREF _Toc285478023 \h </w:instrText>
        </w:r>
        <w:r>
          <w:rPr>
            <w:noProof/>
            <w:webHidden/>
          </w:rPr>
        </w:r>
        <w:r>
          <w:rPr>
            <w:noProof/>
            <w:webHidden/>
          </w:rPr>
          <w:fldChar w:fldCharType="separate"/>
        </w:r>
        <w:r w:rsidR="00531AB5">
          <w:rPr>
            <w:noProof/>
            <w:webHidden/>
          </w:rPr>
          <w:t>58</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24" w:history="1">
        <w:r w:rsidR="00617D79" w:rsidRPr="001D1E39">
          <w:rPr>
            <w:rStyle w:val="Hyperlink"/>
            <w:noProof/>
          </w:rPr>
          <w:t>3.1</w:t>
        </w:r>
        <w:r w:rsidR="00617D79">
          <w:rPr>
            <w:rFonts w:asciiTheme="minorHAnsi" w:eastAsiaTheme="minorEastAsia" w:hAnsiTheme="minorHAnsi" w:cstheme="minorBidi"/>
            <w:noProof/>
            <w:sz w:val="22"/>
            <w:szCs w:val="22"/>
          </w:rPr>
          <w:tab/>
        </w:r>
        <w:r w:rsidR="00617D79" w:rsidRPr="001D1E39">
          <w:rPr>
            <w:rStyle w:val="Hyperlink"/>
            <w:noProof/>
          </w:rPr>
          <w:t>Introduction</w:t>
        </w:r>
        <w:r w:rsidR="00617D79">
          <w:rPr>
            <w:noProof/>
            <w:webHidden/>
          </w:rPr>
          <w:tab/>
        </w:r>
        <w:r>
          <w:rPr>
            <w:noProof/>
            <w:webHidden/>
          </w:rPr>
          <w:fldChar w:fldCharType="begin"/>
        </w:r>
        <w:r w:rsidR="00617D79">
          <w:rPr>
            <w:noProof/>
            <w:webHidden/>
          </w:rPr>
          <w:instrText xml:space="preserve"> PAGEREF _Toc285478024 \h </w:instrText>
        </w:r>
        <w:r>
          <w:rPr>
            <w:noProof/>
            <w:webHidden/>
          </w:rPr>
        </w:r>
        <w:r>
          <w:rPr>
            <w:noProof/>
            <w:webHidden/>
          </w:rPr>
          <w:fldChar w:fldCharType="separate"/>
        </w:r>
        <w:r w:rsidR="00531AB5">
          <w:rPr>
            <w:noProof/>
            <w:webHidden/>
          </w:rPr>
          <w:t>58</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25" w:history="1">
        <w:r w:rsidR="00617D79" w:rsidRPr="001D1E39">
          <w:rPr>
            <w:rStyle w:val="Hyperlink"/>
            <w:noProof/>
          </w:rPr>
          <w:t>3.2</w:t>
        </w:r>
        <w:r w:rsidR="00617D79">
          <w:rPr>
            <w:rFonts w:asciiTheme="minorHAnsi" w:eastAsiaTheme="minorEastAsia" w:hAnsiTheme="minorHAnsi" w:cstheme="minorBidi"/>
            <w:noProof/>
            <w:sz w:val="22"/>
            <w:szCs w:val="22"/>
          </w:rPr>
          <w:tab/>
        </w:r>
        <w:r w:rsidR="00617D79" w:rsidRPr="001D1E39">
          <w:rPr>
            <w:rStyle w:val="Hyperlink"/>
            <w:noProof/>
          </w:rPr>
          <w:t>Background</w:t>
        </w:r>
        <w:r w:rsidR="00617D79">
          <w:rPr>
            <w:noProof/>
            <w:webHidden/>
          </w:rPr>
          <w:tab/>
        </w:r>
        <w:r>
          <w:rPr>
            <w:noProof/>
            <w:webHidden/>
          </w:rPr>
          <w:fldChar w:fldCharType="begin"/>
        </w:r>
        <w:r w:rsidR="00617D79">
          <w:rPr>
            <w:noProof/>
            <w:webHidden/>
          </w:rPr>
          <w:instrText xml:space="preserve"> PAGEREF _Toc285478025 \h </w:instrText>
        </w:r>
        <w:r>
          <w:rPr>
            <w:noProof/>
            <w:webHidden/>
          </w:rPr>
        </w:r>
        <w:r>
          <w:rPr>
            <w:noProof/>
            <w:webHidden/>
          </w:rPr>
          <w:fldChar w:fldCharType="separate"/>
        </w:r>
        <w:r w:rsidR="00531AB5">
          <w:rPr>
            <w:noProof/>
            <w:webHidden/>
          </w:rPr>
          <w:t>62</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26" w:history="1">
        <w:r w:rsidR="00617D79" w:rsidRPr="001D1E39">
          <w:rPr>
            <w:rStyle w:val="Hyperlink"/>
            <w:noProof/>
          </w:rPr>
          <w:t>3.3</w:t>
        </w:r>
        <w:r w:rsidR="00617D79">
          <w:rPr>
            <w:rFonts w:asciiTheme="minorHAnsi" w:eastAsiaTheme="minorEastAsia" w:hAnsiTheme="minorHAnsi" w:cstheme="minorBidi"/>
            <w:noProof/>
            <w:sz w:val="22"/>
            <w:szCs w:val="22"/>
          </w:rPr>
          <w:tab/>
        </w:r>
        <w:r w:rsidR="00617D79" w:rsidRPr="001D1E39">
          <w:rPr>
            <w:rStyle w:val="Hyperlink"/>
            <w:noProof/>
          </w:rPr>
          <w:t>The Model</w:t>
        </w:r>
        <w:r w:rsidR="00617D79">
          <w:rPr>
            <w:noProof/>
            <w:webHidden/>
          </w:rPr>
          <w:tab/>
        </w:r>
        <w:r>
          <w:rPr>
            <w:noProof/>
            <w:webHidden/>
          </w:rPr>
          <w:fldChar w:fldCharType="begin"/>
        </w:r>
        <w:r w:rsidR="00617D79">
          <w:rPr>
            <w:noProof/>
            <w:webHidden/>
          </w:rPr>
          <w:instrText xml:space="preserve"> PAGEREF _Toc285478026 \h </w:instrText>
        </w:r>
        <w:r>
          <w:rPr>
            <w:noProof/>
            <w:webHidden/>
          </w:rPr>
        </w:r>
        <w:r>
          <w:rPr>
            <w:noProof/>
            <w:webHidden/>
          </w:rPr>
          <w:fldChar w:fldCharType="separate"/>
        </w:r>
        <w:r w:rsidR="00531AB5">
          <w:rPr>
            <w:noProof/>
            <w:webHidden/>
          </w:rPr>
          <w:t>64</w:t>
        </w:r>
        <w:r>
          <w:rPr>
            <w:noProof/>
            <w:webHidden/>
          </w:rPr>
          <w:fldChar w:fldCharType="end"/>
        </w:r>
      </w:hyperlink>
    </w:p>
    <w:p w:rsidR="00617D79" w:rsidRDefault="00AB7C8D" w:rsidP="00617D79">
      <w:pPr>
        <w:pStyle w:val="TOC2"/>
        <w:tabs>
          <w:tab w:val="left" w:pos="1100"/>
          <w:tab w:val="right" w:leader="dot" w:pos="9350"/>
        </w:tabs>
        <w:spacing w:line="480" w:lineRule="auto"/>
        <w:rPr>
          <w:rFonts w:asciiTheme="minorHAnsi" w:eastAsiaTheme="minorEastAsia" w:hAnsiTheme="minorHAnsi" w:cstheme="minorBidi"/>
          <w:noProof/>
          <w:sz w:val="22"/>
          <w:szCs w:val="22"/>
        </w:rPr>
      </w:pPr>
      <w:hyperlink w:anchor="_Toc285478027" w:history="1">
        <w:r w:rsidR="00617D79" w:rsidRPr="001D1E39">
          <w:rPr>
            <w:rStyle w:val="Hyperlink"/>
            <w:noProof/>
          </w:rPr>
          <w:t>3.3.1</w:t>
        </w:r>
        <w:r w:rsidR="00617D79">
          <w:rPr>
            <w:rFonts w:asciiTheme="minorHAnsi" w:eastAsiaTheme="minorEastAsia" w:hAnsiTheme="minorHAnsi" w:cstheme="minorBidi"/>
            <w:noProof/>
            <w:sz w:val="22"/>
            <w:szCs w:val="22"/>
          </w:rPr>
          <w:tab/>
        </w:r>
        <w:r w:rsidR="00617D79" w:rsidRPr="001D1E39">
          <w:rPr>
            <w:rStyle w:val="Hyperlink"/>
            <w:noProof/>
          </w:rPr>
          <w:t>The Model Economy without BSF (Baseline Economy)</w:t>
        </w:r>
        <w:r w:rsidR="00617D79">
          <w:rPr>
            <w:noProof/>
            <w:webHidden/>
          </w:rPr>
          <w:tab/>
        </w:r>
        <w:r>
          <w:rPr>
            <w:noProof/>
            <w:webHidden/>
          </w:rPr>
          <w:fldChar w:fldCharType="begin"/>
        </w:r>
        <w:r w:rsidR="00617D79">
          <w:rPr>
            <w:noProof/>
            <w:webHidden/>
          </w:rPr>
          <w:instrText xml:space="preserve"> PAGEREF _Toc285478027 \h </w:instrText>
        </w:r>
        <w:r>
          <w:rPr>
            <w:noProof/>
            <w:webHidden/>
          </w:rPr>
        </w:r>
        <w:r>
          <w:rPr>
            <w:noProof/>
            <w:webHidden/>
          </w:rPr>
          <w:fldChar w:fldCharType="separate"/>
        </w:r>
        <w:r w:rsidR="00531AB5">
          <w:rPr>
            <w:noProof/>
            <w:webHidden/>
          </w:rPr>
          <w:t>65</w:t>
        </w:r>
        <w:r>
          <w:rPr>
            <w:noProof/>
            <w:webHidden/>
          </w:rPr>
          <w:fldChar w:fldCharType="end"/>
        </w:r>
      </w:hyperlink>
    </w:p>
    <w:p w:rsidR="00617D79" w:rsidRDefault="00AB7C8D" w:rsidP="00617D79">
      <w:pPr>
        <w:pStyle w:val="TOC2"/>
        <w:tabs>
          <w:tab w:val="left" w:pos="1320"/>
          <w:tab w:val="right" w:leader="dot" w:pos="9350"/>
        </w:tabs>
        <w:spacing w:line="480" w:lineRule="auto"/>
        <w:rPr>
          <w:rFonts w:asciiTheme="minorHAnsi" w:eastAsiaTheme="minorEastAsia" w:hAnsiTheme="minorHAnsi" w:cstheme="minorBidi"/>
          <w:noProof/>
          <w:sz w:val="22"/>
          <w:szCs w:val="22"/>
        </w:rPr>
      </w:pPr>
      <w:hyperlink w:anchor="_Toc285478028" w:history="1">
        <w:r w:rsidR="00617D79" w:rsidRPr="001D1E39">
          <w:rPr>
            <w:rStyle w:val="Hyperlink"/>
            <w:noProof/>
          </w:rPr>
          <w:t>3.3.1.1</w:t>
        </w:r>
        <w:r w:rsidR="00617D79">
          <w:rPr>
            <w:rFonts w:asciiTheme="minorHAnsi" w:eastAsiaTheme="minorEastAsia" w:hAnsiTheme="minorHAnsi" w:cstheme="minorBidi"/>
            <w:noProof/>
            <w:sz w:val="22"/>
            <w:szCs w:val="22"/>
          </w:rPr>
          <w:tab/>
        </w:r>
        <w:r w:rsidR="00617D79" w:rsidRPr="001D1E39">
          <w:rPr>
            <w:rStyle w:val="Hyperlink"/>
            <w:noProof/>
          </w:rPr>
          <w:t>Households</w:t>
        </w:r>
        <w:r w:rsidR="00617D79">
          <w:rPr>
            <w:noProof/>
            <w:webHidden/>
          </w:rPr>
          <w:tab/>
        </w:r>
        <w:r>
          <w:rPr>
            <w:noProof/>
            <w:webHidden/>
          </w:rPr>
          <w:fldChar w:fldCharType="begin"/>
        </w:r>
        <w:r w:rsidR="00617D79">
          <w:rPr>
            <w:noProof/>
            <w:webHidden/>
          </w:rPr>
          <w:instrText xml:space="preserve"> PAGEREF _Toc285478028 \h </w:instrText>
        </w:r>
        <w:r>
          <w:rPr>
            <w:noProof/>
            <w:webHidden/>
          </w:rPr>
        </w:r>
        <w:r>
          <w:rPr>
            <w:noProof/>
            <w:webHidden/>
          </w:rPr>
          <w:fldChar w:fldCharType="separate"/>
        </w:r>
        <w:r w:rsidR="00531AB5">
          <w:rPr>
            <w:noProof/>
            <w:webHidden/>
          </w:rPr>
          <w:t>66</w:t>
        </w:r>
        <w:r>
          <w:rPr>
            <w:noProof/>
            <w:webHidden/>
          </w:rPr>
          <w:fldChar w:fldCharType="end"/>
        </w:r>
      </w:hyperlink>
    </w:p>
    <w:p w:rsidR="00617D79" w:rsidRDefault="00AB7C8D" w:rsidP="00617D79">
      <w:pPr>
        <w:pStyle w:val="TOC2"/>
        <w:tabs>
          <w:tab w:val="left" w:pos="1320"/>
          <w:tab w:val="right" w:leader="dot" w:pos="9350"/>
        </w:tabs>
        <w:spacing w:line="480" w:lineRule="auto"/>
        <w:rPr>
          <w:rFonts w:asciiTheme="minorHAnsi" w:eastAsiaTheme="minorEastAsia" w:hAnsiTheme="minorHAnsi" w:cstheme="minorBidi"/>
          <w:noProof/>
          <w:sz w:val="22"/>
          <w:szCs w:val="22"/>
        </w:rPr>
      </w:pPr>
      <w:hyperlink w:anchor="_Toc285478029" w:history="1">
        <w:r w:rsidR="00617D79" w:rsidRPr="001D1E39">
          <w:rPr>
            <w:rStyle w:val="Hyperlink"/>
            <w:noProof/>
          </w:rPr>
          <w:t>3.3.1.2</w:t>
        </w:r>
        <w:r w:rsidR="00617D79">
          <w:rPr>
            <w:rFonts w:asciiTheme="minorHAnsi" w:eastAsiaTheme="minorEastAsia" w:hAnsiTheme="minorHAnsi" w:cstheme="minorBidi"/>
            <w:noProof/>
            <w:sz w:val="22"/>
            <w:szCs w:val="22"/>
          </w:rPr>
          <w:tab/>
        </w:r>
        <w:r w:rsidR="00617D79" w:rsidRPr="001D1E39">
          <w:rPr>
            <w:rStyle w:val="Hyperlink"/>
            <w:noProof/>
          </w:rPr>
          <w:t>Government</w:t>
        </w:r>
        <w:r w:rsidR="00617D79">
          <w:rPr>
            <w:noProof/>
            <w:webHidden/>
          </w:rPr>
          <w:tab/>
        </w:r>
        <w:r>
          <w:rPr>
            <w:noProof/>
            <w:webHidden/>
          </w:rPr>
          <w:fldChar w:fldCharType="begin"/>
        </w:r>
        <w:r w:rsidR="00617D79">
          <w:rPr>
            <w:noProof/>
            <w:webHidden/>
          </w:rPr>
          <w:instrText xml:space="preserve"> PAGEREF _Toc285478029 \h </w:instrText>
        </w:r>
        <w:r>
          <w:rPr>
            <w:noProof/>
            <w:webHidden/>
          </w:rPr>
        </w:r>
        <w:r>
          <w:rPr>
            <w:noProof/>
            <w:webHidden/>
          </w:rPr>
          <w:fldChar w:fldCharType="separate"/>
        </w:r>
        <w:r w:rsidR="00531AB5">
          <w:rPr>
            <w:noProof/>
            <w:webHidden/>
          </w:rPr>
          <w:t>70</w:t>
        </w:r>
        <w:r>
          <w:rPr>
            <w:noProof/>
            <w:webHidden/>
          </w:rPr>
          <w:fldChar w:fldCharType="end"/>
        </w:r>
      </w:hyperlink>
    </w:p>
    <w:p w:rsidR="00617D79" w:rsidRDefault="00AB7C8D" w:rsidP="00617D79">
      <w:pPr>
        <w:pStyle w:val="TOC2"/>
        <w:tabs>
          <w:tab w:val="left" w:pos="1320"/>
          <w:tab w:val="right" w:leader="dot" w:pos="9350"/>
        </w:tabs>
        <w:spacing w:line="480" w:lineRule="auto"/>
        <w:rPr>
          <w:rFonts w:asciiTheme="minorHAnsi" w:eastAsiaTheme="minorEastAsia" w:hAnsiTheme="minorHAnsi" w:cstheme="minorBidi"/>
          <w:noProof/>
          <w:sz w:val="22"/>
          <w:szCs w:val="22"/>
        </w:rPr>
      </w:pPr>
      <w:hyperlink w:anchor="_Toc285478030" w:history="1">
        <w:r w:rsidR="00617D79" w:rsidRPr="001D1E39">
          <w:rPr>
            <w:rStyle w:val="Hyperlink"/>
            <w:noProof/>
          </w:rPr>
          <w:t>3.3.1.3</w:t>
        </w:r>
        <w:r w:rsidR="00617D79">
          <w:rPr>
            <w:rFonts w:asciiTheme="minorHAnsi" w:eastAsiaTheme="minorEastAsia" w:hAnsiTheme="minorHAnsi" w:cstheme="minorBidi"/>
            <w:noProof/>
            <w:sz w:val="22"/>
            <w:szCs w:val="22"/>
          </w:rPr>
          <w:tab/>
        </w:r>
        <w:r w:rsidR="00617D79" w:rsidRPr="001D1E39">
          <w:rPr>
            <w:rStyle w:val="Hyperlink"/>
            <w:noProof/>
          </w:rPr>
          <w:t>The Optimal Conditions</w:t>
        </w:r>
        <w:r w:rsidR="00617D79">
          <w:rPr>
            <w:noProof/>
            <w:webHidden/>
          </w:rPr>
          <w:tab/>
        </w:r>
        <w:r>
          <w:rPr>
            <w:noProof/>
            <w:webHidden/>
          </w:rPr>
          <w:fldChar w:fldCharType="begin"/>
        </w:r>
        <w:r w:rsidR="00617D79">
          <w:rPr>
            <w:noProof/>
            <w:webHidden/>
          </w:rPr>
          <w:instrText xml:space="preserve"> PAGEREF _Toc285478030 \h </w:instrText>
        </w:r>
        <w:r>
          <w:rPr>
            <w:noProof/>
            <w:webHidden/>
          </w:rPr>
        </w:r>
        <w:r>
          <w:rPr>
            <w:noProof/>
            <w:webHidden/>
          </w:rPr>
          <w:fldChar w:fldCharType="separate"/>
        </w:r>
        <w:r w:rsidR="00531AB5">
          <w:rPr>
            <w:noProof/>
            <w:webHidden/>
          </w:rPr>
          <w:t>72</w:t>
        </w:r>
        <w:r>
          <w:rPr>
            <w:noProof/>
            <w:webHidden/>
          </w:rPr>
          <w:fldChar w:fldCharType="end"/>
        </w:r>
      </w:hyperlink>
    </w:p>
    <w:p w:rsidR="00617D79" w:rsidRDefault="00AB7C8D" w:rsidP="00617D79">
      <w:pPr>
        <w:pStyle w:val="TOC2"/>
        <w:tabs>
          <w:tab w:val="left" w:pos="1100"/>
          <w:tab w:val="right" w:leader="dot" w:pos="9350"/>
        </w:tabs>
        <w:spacing w:line="480" w:lineRule="auto"/>
        <w:rPr>
          <w:rFonts w:asciiTheme="minorHAnsi" w:eastAsiaTheme="minorEastAsia" w:hAnsiTheme="minorHAnsi" w:cstheme="minorBidi"/>
          <w:noProof/>
          <w:sz w:val="22"/>
          <w:szCs w:val="22"/>
        </w:rPr>
      </w:pPr>
      <w:hyperlink w:anchor="_Toc285478031" w:history="1">
        <w:r w:rsidR="00617D79" w:rsidRPr="001D1E39">
          <w:rPr>
            <w:rStyle w:val="Hyperlink"/>
            <w:noProof/>
          </w:rPr>
          <w:t>3.3.2</w:t>
        </w:r>
        <w:r w:rsidR="00617D79">
          <w:rPr>
            <w:rFonts w:asciiTheme="minorHAnsi" w:eastAsiaTheme="minorEastAsia" w:hAnsiTheme="minorHAnsi" w:cstheme="minorBidi"/>
            <w:noProof/>
            <w:sz w:val="22"/>
            <w:szCs w:val="22"/>
          </w:rPr>
          <w:tab/>
        </w:r>
        <w:r w:rsidR="00617D79" w:rsidRPr="001D1E39">
          <w:rPr>
            <w:rStyle w:val="Hyperlink"/>
            <w:noProof/>
          </w:rPr>
          <w:t>The Model Economy with BSF</w:t>
        </w:r>
        <w:r w:rsidR="00617D79">
          <w:rPr>
            <w:noProof/>
            <w:webHidden/>
          </w:rPr>
          <w:tab/>
        </w:r>
        <w:r>
          <w:rPr>
            <w:noProof/>
            <w:webHidden/>
          </w:rPr>
          <w:fldChar w:fldCharType="begin"/>
        </w:r>
        <w:r w:rsidR="00617D79">
          <w:rPr>
            <w:noProof/>
            <w:webHidden/>
          </w:rPr>
          <w:instrText xml:space="preserve"> PAGEREF _Toc285478031 \h </w:instrText>
        </w:r>
        <w:r>
          <w:rPr>
            <w:noProof/>
            <w:webHidden/>
          </w:rPr>
        </w:r>
        <w:r>
          <w:rPr>
            <w:noProof/>
            <w:webHidden/>
          </w:rPr>
          <w:fldChar w:fldCharType="separate"/>
        </w:r>
        <w:r w:rsidR="00531AB5">
          <w:rPr>
            <w:noProof/>
            <w:webHidden/>
          </w:rPr>
          <w:t>72</w:t>
        </w:r>
        <w:r>
          <w:rPr>
            <w:noProof/>
            <w:webHidden/>
          </w:rPr>
          <w:fldChar w:fldCharType="end"/>
        </w:r>
      </w:hyperlink>
    </w:p>
    <w:p w:rsidR="00617D79" w:rsidRDefault="00AB7C8D" w:rsidP="00617D79">
      <w:pPr>
        <w:pStyle w:val="TOC2"/>
        <w:tabs>
          <w:tab w:val="left" w:pos="1320"/>
          <w:tab w:val="right" w:leader="dot" w:pos="9350"/>
        </w:tabs>
        <w:spacing w:line="480" w:lineRule="auto"/>
        <w:rPr>
          <w:rFonts w:asciiTheme="minorHAnsi" w:eastAsiaTheme="minorEastAsia" w:hAnsiTheme="minorHAnsi" w:cstheme="minorBidi"/>
          <w:noProof/>
          <w:sz w:val="22"/>
          <w:szCs w:val="22"/>
        </w:rPr>
      </w:pPr>
      <w:hyperlink w:anchor="_Toc285478032" w:history="1">
        <w:r w:rsidR="00617D79" w:rsidRPr="001D1E39">
          <w:rPr>
            <w:rStyle w:val="Hyperlink"/>
            <w:noProof/>
          </w:rPr>
          <w:t>3.3.2.1</w:t>
        </w:r>
        <w:r w:rsidR="00617D79">
          <w:rPr>
            <w:rFonts w:asciiTheme="minorHAnsi" w:eastAsiaTheme="minorEastAsia" w:hAnsiTheme="minorHAnsi" w:cstheme="minorBidi"/>
            <w:noProof/>
            <w:sz w:val="22"/>
            <w:szCs w:val="22"/>
          </w:rPr>
          <w:tab/>
        </w:r>
        <w:r w:rsidR="00617D79" w:rsidRPr="001D1E39">
          <w:rPr>
            <w:rStyle w:val="Hyperlink"/>
            <w:noProof/>
          </w:rPr>
          <w:t>Optimal BSF Rule</w:t>
        </w:r>
        <w:r w:rsidR="00617D79">
          <w:rPr>
            <w:noProof/>
            <w:webHidden/>
          </w:rPr>
          <w:tab/>
        </w:r>
        <w:r>
          <w:rPr>
            <w:noProof/>
            <w:webHidden/>
          </w:rPr>
          <w:fldChar w:fldCharType="begin"/>
        </w:r>
        <w:r w:rsidR="00617D79">
          <w:rPr>
            <w:noProof/>
            <w:webHidden/>
          </w:rPr>
          <w:instrText xml:space="preserve"> PAGEREF _Toc285478032 \h </w:instrText>
        </w:r>
        <w:r>
          <w:rPr>
            <w:noProof/>
            <w:webHidden/>
          </w:rPr>
        </w:r>
        <w:r>
          <w:rPr>
            <w:noProof/>
            <w:webHidden/>
          </w:rPr>
          <w:fldChar w:fldCharType="separate"/>
        </w:r>
        <w:r w:rsidR="00531AB5">
          <w:rPr>
            <w:noProof/>
            <w:webHidden/>
          </w:rPr>
          <w:t>73</w:t>
        </w:r>
        <w:r>
          <w:rPr>
            <w:noProof/>
            <w:webHidden/>
          </w:rPr>
          <w:fldChar w:fldCharType="end"/>
        </w:r>
      </w:hyperlink>
    </w:p>
    <w:p w:rsidR="00617D79" w:rsidRDefault="00AB7C8D" w:rsidP="00617D79">
      <w:pPr>
        <w:pStyle w:val="TOC2"/>
        <w:tabs>
          <w:tab w:val="left" w:pos="1320"/>
          <w:tab w:val="right" w:leader="dot" w:pos="9350"/>
        </w:tabs>
        <w:spacing w:line="480" w:lineRule="auto"/>
        <w:rPr>
          <w:rFonts w:asciiTheme="minorHAnsi" w:eastAsiaTheme="minorEastAsia" w:hAnsiTheme="minorHAnsi" w:cstheme="minorBidi"/>
          <w:noProof/>
          <w:sz w:val="22"/>
          <w:szCs w:val="22"/>
        </w:rPr>
      </w:pPr>
      <w:hyperlink w:anchor="_Toc285478033" w:history="1">
        <w:r w:rsidR="00617D79" w:rsidRPr="001D1E39">
          <w:rPr>
            <w:rStyle w:val="Hyperlink"/>
            <w:noProof/>
          </w:rPr>
          <w:t>3.3.2.2</w:t>
        </w:r>
        <w:r w:rsidR="00617D79">
          <w:rPr>
            <w:rFonts w:asciiTheme="minorHAnsi" w:eastAsiaTheme="minorEastAsia" w:hAnsiTheme="minorHAnsi" w:cstheme="minorBidi"/>
            <w:noProof/>
            <w:sz w:val="22"/>
            <w:szCs w:val="22"/>
          </w:rPr>
          <w:tab/>
        </w:r>
        <w:r w:rsidR="00617D79" w:rsidRPr="001D1E39">
          <w:rPr>
            <w:rStyle w:val="Hyperlink"/>
            <w:noProof/>
          </w:rPr>
          <w:t>Government Current and Capital Spending</w:t>
        </w:r>
        <w:r w:rsidR="00617D79">
          <w:rPr>
            <w:noProof/>
            <w:webHidden/>
          </w:rPr>
          <w:tab/>
        </w:r>
        <w:r>
          <w:rPr>
            <w:noProof/>
            <w:webHidden/>
          </w:rPr>
          <w:fldChar w:fldCharType="begin"/>
        </w:r>
        <w:r w:rsidR="00617D79">
          <w:rPr>
            <w:noProof/>
            <w:webHidden/>
          </w:rPr>
          <w:instrText xml:space="preserve"> PAGEREF _Toc285478033 \h </w:instrText>
        </w:r>
        <w:r>
          <w:rPr>
            <w:noProof/>
            <w:webHidden/>
          </w:rPr>
        </w:r>
        <w:r>
          <w:rPr>
            <w:noProof/>
            <w:webHidden/>
          </w:rPr>
          <w:fldChar w:fldCharType="separate"/>
        </w:r>
        <w:r w:rsidR="00531AB5">
          <w:rPr>
            <w:noProof/>
            <w:webHidden/>
          </w:rPr>
          <w:t>74</w:t>
        </w:r>
        <w:r>
          <w:rPr>
            <w:noProof/>
            <w:webHidden/>
          </w:rPr>
          <w:fldChar w:fldCharType="end"/>
        </w:r>
      </w:hyperlink>
    </w:p>
    <w:p w:rsidR="00617D79" w:rsidRDefault="00AB7C8D" w:rsidP="00617D79">
      <w:pPr>
        <w:pStyle w:val="TOC2"/>
        <w:tabs>
          <w:tab w:val="left" w:pos="1320"/>
          <w:tab w:val="right" w:leader="dot" w:pos="9350"/>
        </w:tabs>
        <w:spacing w:line="480" w:lineRule="auto"/>
        <w:rPr>
          <w:rFonts w:asciiTheme="minorHAnsi" w:eastAsiaTheme="minorEastAsia" w:hAnsiTheme="minorHAnsi" w:cstheme="minorBidi"/>
          <w:noProof/>
          <w:sz w:val="22"/>
          <w:szCs w:val="22"/>
        </w:rPr>
      </w:pPr>
      <w:hyperlink w:anchor="_Toc285478034" w:history="1">
        <w:r w:rsidR="00617D79" w:rsidRPr="001D1E39">
          <w:rPr>
            <w:rStyle w:val="Hyperlink"/>
            <w:noProof/>
          </w:rPr>
          <w:t>3.3.2.3</w:t>
        </w:r>
        <w:r w:rsidR="00617D79">
          <w:rPr>
            <w:rFonts w:asciiTheme="minorHAnsi" w:eastAsiaTheme="minorEastAsia" w:hAnsiTheme="minorHAnsi" w:cstheme="minorBidi"/>
            <w:noProof/>
            <w:sz w:val="22"/>
            <w:szCs w:val="22"/>
          </w:rPr>
          <w:tab/>
        </w:r>
        <w:r w:rsidR="00617D79" w:rsidRPr="001D1E39">
          <w:rPr>
            <w:rStyle w:val="Hyperlink"/>
            <w:noProof/>
          </w:rPr>
          <w:t>Aggregate Resource Constraint</w:t>
        </w:r>
        <w:r w:rsidR="00617D79">
          <w:rPr>
            <w:noProof/>
            <w:webHidden/>
          </w:rPr>
          <w:tab/>
        </w:r>
        <w:r>
          <w:rPr>
            <w:noProof/>
            <w:webHidden/>
          </w:rPr>
          <w:fldChar w:fldCharType="begin"/>
        </w:r>
        <w:r w:rsidR="00617D79">
          <w:rPr>
            <w:noProof/>
            <w:webHidden/>
          </w:rPr>
          <w:instrText xml:space="preserve"> PAGEREF _Toc285478034 \h </w:instrText>
        </w:r>
        <w:r>
          <w:rPr>
            <w:noProof/>
            <w:webHidden/>
          </w:rPr>
        </w:r>
        <w:r>
          <w:rPr>
            <w:noProof/>
            <w:webHidden/>
          </w:rPr>
          <w:fldChar w:fldCharType="separate"/>
        </w:r>
        <w:r w:rsidR="00531AB5">
          <w:rPr>
            <w:noProof/>
            <w:webHidden/>
          </w:rPr>
          <w:t>75</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35" w:history="1">
        <w:r w:rsidR="00617D79" w:rsidRPr="001D1E39">
          <w:rPr>
            <w:rStyle w:val="Hyperlink"/>
            <w:noProof/>
          </w:rPr>
          <w:t>3.4</w:t>
        </w:r>
        <w:r w:rsidR="00617D79">
          <w:rPr>
            <w:rFonts w:asciiTheme="minorHAnsi" w:eastAsiaTheme="minorEastAsia" w:hAnsiTheme="minorHAnsi" w:cstheme="minorBidi"/>
            <w:noProof/>
            <w:sz w:val="22"/>
            <w:szCs w:val="22"/>
          </w:rPr>
          <w:tab/>
        </w:r>
        <w:r w:rsidR="00617D79" w:rsidRPr="001D1E39">
          <w:rPr>
            <w:rStyle w:val="Hyperlink"/>
            <w:noProof/>
          </w:rPr>
          <w:t>Calibration and Solutions</w:t>
        </w:r>
        <w:r w:rsidR="00617D79">
          <w:rPr>
            <w:noProof/>
            <w:webHidden/>
          </w:rPr>
          <w:tab/>
        </w:r>
        <w:r>
          <w:rPr>
            <w:noProof/>
            <w:webHidden/>
          </w:rPr>
          <w:fldChar w:fldCharType="begin"/>
        </w:r>
        <w:r w:rsidR="00617D79">
          <w:rPr>
            <w:noProof/>
            <w:webHidden/>
          </w:rPr>
          <w:instrText xml:space="preserve"> PAGEREF _Toc285478035 \h </w:instrText>
        </w:r>
        <w:r>
          <w:rPr>
            <w:noProof/>
            <w:webHidden/>
          </w:rPr>
        </w:r>
        <w:r>
          <w:rPr>
            <w:noProof/>
            <w:webHidden/>
          </w:rPr>
          <w:fldChar w:fldCharType="separate"/>
        </w:r>
        <w:r w:rsidR="00531AB5">
          <w:rPr>
            <w:noProof/>
            <w:webHidden/>
          </w:rPr>
          <w:t>75</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36" w:history="1">
        <w:r w:rsidR="00617D79" w:rsidRPr="001D1E39">
          <w:rPr>
            <w:rStyle w:val="Hyperlink"/>
            <w:noProof/>
          </w:rPr>
          <w:t>3.5</w:t>
        </w:r>
        <w:r w:rsidR="00617D79">
          <w:rPr>
            <w:rFonts w:asciiTheme="minorHAnsi" w:eastAsiaTheme="minorEastAsia" w:hAnsiTheme="minorHAnsi" w:cstheme="minorBidi"/>
            <w:noProof/>
            <w:sz w:val="22"/>
            <w:szCs w:val="22"/>
          </w:rPr>
          <w:tab/>
        </w:r>
        <w:r w:rsidR="00617D79" w:rsidRPr="001D1E39">
          <w:rPr>
            <w:rStyle w:val="Hyperlink"/>
            <w:noProof/>
          </w:rPr>
          <w:t>Results</w:t>
        </w:r>
        <w:r w:rsidR="00617D79">
          <w:rPr>
            <w:noProof/>
            <w:webHidden/>
          </w:rPr>
          <w:tab/>
        </w:r>
        <w:r>
          <w:rPr>
            <w:noProof/>
            <w:webHidden/>
          </w:rPr>
          <w:fldChar w:fldCharType="begin"/>
        </w:r>
        <w:r w:rsidR="00617D79">
          <w:rPr>
            <w:noProof/>
            <w:webHidden/>
          </w:rPr>
          <w:instrText xml:space="preserve"> PAGEREF _Toc285478036 \h </w:instrText>
        </w:r>
        <w:r>
          <w:rPr>
            <w:noProof/>
            <w:webHidden/>
          </w:rPr>
        </w:r>
        <w:r>
          <w:rPr>
            <w:noProof/>
            <w:webHidden/>
          </w:rPr>
          <w:fldChar w:fldCharType="separate"/>
        </w:r>
        <w:r w:rsidR="00531AB5">
          <w:rPr>
            <w:noProof/>
            <w:webHidden/>
          </w:rPr>
          <w:t>79</w:t>
        </w:r>
        <w:r>
          <w:rPr>
            <w:noProof/>
            <w:webHidden/>
          </w:rPr>
          <w:fldChar w:fldCharType="end"/>
        </w:r>
      </w:hyperlink>
    </w:p>
    <w:p w:rsidR="00617D79" w:rsidRDefault="00AB7C8D" w:rsidP="00617D79">
      <w:pPr>
        <w:pStyle w:val="TOC2"/>
        <w:tabs>
          <w:tab w:val="left" w:pos="880"/>
          <w:tab w:val="right" w:leader="dot" w:pos="9350"/>
        </w:tabs>
        <w:spacing w:line="480" w:lineRule="auto"/>
        <w:rPr>
          <w:rFonts w:asciiTheme="minorHAnsi" w:eastAsiaTheme="minorEastAsia" w:hAnsiTheme="minorHAnsi" w:cstheme="minorBidi"/>
          <w:noProof/>
          <w:sz w:val="22"/>
          <w:szCs w:val="22"/>
        </w:rPr>
      </w:pPr>
      <w:hyperlink w:anchor="_Toc285478037" w:history="1">
        <w:r w:rsidR="00617D79" w:rsidRPr="001D1E39">
          <w:rPr>
            <w:rStyle w:val="Hyperlink"/>
            <w:noProof/>
          </w:rPr>
          <w:t>3.6</w:t>
        </w:r>
        <w:r w:rsidR="00617D79">
          <w:rPr>
            <w:rFonts w:asciiTheme="minorHAnsi" w:eastAsiaTheme="minorEastAsia" w:hAnsiTheme="minorHAnsi" w:cstheme="minorBidi"/>
            <w:noProof/>
            <w:sz w:val="22"/>
            <w:szCs w:val="22"/>
          </w:rPr>
          <w:tab/>
        </w:r>
        <w:r w:rsidR="00617D79" w:rsidRPr="001D1E39">
          <w:rPr>
            <w:rStyle w:val="Hyperlink"/>
            <w:noProof/>
          </w:rPr>
          <w:t>Conclusion</w:t>
        </w:r>
        <w:r w:rsidR="00617D79">
          <w:rPr>
            <w:noProof/>
            <w:webHidden/>
          </w:rPr>
          <w:tab/>
        </w:r>
        <w:r>
          <w:rPr>
            <w:noProof/>
            <w:webHidden/>
          </w:rPr>
          <w:fldChar w:fldCharType="begin"/>
        </w:r>
        <w:r w:rsidR="00617D79">
          <w:rPr>
            <w:noProof/>
            <w:webHidden/>
          </w:rPr>
          <w:instrText xml:space="preserve"> PAGEREF _Toc285478037 \h </w:instrText>
        </w:r>
        <w:r>
          <w:rPr>
            <w:noProof/>
            <w:webHidden/>
          </w:rPr>
        </w:r>
        <w:r>
          <w:rPr>
            <w:noProof/>
            <w:webHidden/>
          </w:rPr>
          <w:fldChar w:fldCharType="separate"/>
        </w:r>
        <w:r w:rsidR="00531AB5">
          <w:rPr>
            <w:noProof/>
            <w:webHidden/>
          </w:rPr>
          <w:t>82</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38" w:history="1">
        <w:r w:rsidR="00617D79" w:rsidRPr="001D1E39">
          <w:rPr>
            <w:rStyle w:val="Hyperlink"/>
            <w:rFonts w:asciiTheme="majorBidi" w:hAnsiTheme="majorBidi"/>
            <w:noProof/>
          </w:rPr>
          <w:t>Bibliography</w:t>
        </w:r>
        <w:r w:rsidR="00617D79">
          <w:rPr>
            <w:noProof/>
            <w:webHidden/>
          </w:rPr>
          <w:tab/>
        </w:r>
        <w:r>
          <w:rPr>
            <w:noProof/>
            <w:webHidden/>
          </w:rPr>
          <w:fldChar w:fldCharType="begin"/>
        </w:r>
        <w:r w:rsidR="00617D79">
          <w:rPr>
            <w:noProof/>
            <w:webHidden/>
          </w:rPr>
          <w:instrText xml:space="preserve"> PAGEREF _Toc285478038 \h </w:instrText>
        </w:r>
        <w:r>
          <w:rPr>
            <w:noProof/>
            <w:webHidden/>
          </w:rPr>
        </w:r>
        <w:r>
          <w:rPr>
            <w:noProof/>
            <w:webHidden/>
          </w:rPr>
          <w:fldChar w:fldCharType="separate"/>
        </w:r>
        <w:r w:rsidR="00531AB5">
          <w:rPr>
            <w:noProof/>
            <w:webHidden/>
          </w:rPr>
          <w:t>84</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39" w:history="1">
        <w:r w:rsidR="00617D79" w:rsidRPr="001D1E39">
          <w:rPr>
            <w:rStyle w:val="Hyperlink"/>
            <w:rFonts w:asciiTheme="majorBidi" w:hAnsiTheme="majorBidi"/>
            <w:noProof/>
          </w:rPr>
          <w:t>Appendices</w:t>
        </w:r>
        <w:r w:rsidR="00617D79">
          <w:rPr>
            <w:noProof/>
            <w:webHidden/>
          </w:rPr>
          <w:tab/>
        </w:r>
        <w:r>
          <w:rPr>
            <w:noProof/>
            <w:webHidden/>
          </w:rPr>
          <w:fldChar w:fldCharType="begin"/>
        </w:r>
        <w:r w:rsidR="00617D79">
          <w:rPr>
            <w:noProof/>
            <w:webHidden/>
          </w:rPr>
          <w:instrText xml:space="preserve"> PAGEREF _Toc285478039 \h </w:instrText>
        </w:r>
        <w:r>
          <w:rPr>
            <w:noProof/>
            <w:webHidden/>
          </w:rPr>
        </w:r>
        <w:r>
          <w:rPr>
            <w:noProof/>
            <w:webHidden/>
          </w:rPr>
          <w:fldChar w:fldCharType="separate"/>
        </w:r>
        <w:r w:rsidR="00531AB5">
          <w:rPr>
            <w:noProof/>
            <w:webHidden/>
          </w:rPr>
          <w:t>90</w:t>
        </w:r>
        <w:r>
          <w:rPr>
            <w:noProof/>
            <w:webHidden/>
          </w:rPr>
          <w:fldChar w:fldCharType="end"/>
        </w:r>
      </w:hyperlink>
    </w:p>
    <w:p w:rsidR="00617D79" w:rsidRDefault="00AB7C8D" w:rsidP="00617D79">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285478040" w:history="1">
        <w:r w:rsidR="00617D79" w:rsidRPr="001D1E39">
          <w:rPr>
            <w:rStyle w:val="Hyperlink"/>
            <w:rFonts w:asciiTheme="majorBidi" w:hAnsiTheme="majorBidi"/>
            <w:noProof/>
          </w:rPr>
          <w:t>A.</w:t>
        </w:r>
        <w:r w:rsidR="00617D79">
          <w:rPr>
            <w:rFonts w:asciiTheme="minorHAnsi" w:eastAsiaTheme="minorEastAsia" w:hAnsiTheme="minorHAnsi" w:cstheme="minorBidi"/>
            <w:noProof/>
            <w:sz w:val="22"/>
            <w:szCs w:val="22"/>
          </w:rPr>
          <w:tab/>
        </w:r>
        <w:r w:rsidR="00617D79" w:rsidRPr="001D1E39">
          <w:rPr>
            <w:rStyle w:val="Hyperlink"/>
            <w:rFonts w:asciiTheme="majorBidi" w:hAnsiTheme="majorBidi"/>
            <w:noProof/>
          </w:rPr>
          <w:t>Tables</w:t>
        </w:r>
        <w:r w:rsidR="00617D79">
          <w:rPr>
            <w:noProof/>
            <w:webHidden/>
          </w:rPr>
          <w:tab/>
        </w:r>
        <w:r>
          <w:rPr>
            <w:noProof/>
            <w:webHidden/>
          </w:rPr>
          <w:fldChar w:fldCharType="begin"/>
        </w:r>
        <w:r w:rsidR="00617D79">
          <w:rPr>
            <w:noProof/>
            <w:webHidden/>
          </w:rPr>
          <w:instrText xml:space="preserve"> PAGEREF _Toc285478040 \h </w:instrText>
        </w:r>
        <w:r>
          <w:rPr>
            <w:noProof/>
            <w:webHidden/>
          </w:rPr>
        </w:r>
        <w:r>
          <w:rPr>
            <w:noProof/>
            <w:webHidden/>
          </w:rPr>
          <w:fldChar w:fldCharType="separate"/>
        </w:r>
        <w:r w:rsidR="00531AB5">
          <w:rPr>
            <w:noProof/>
            <w:webHidden/>
          </w:rPr>
          <w:t>91</w:t>
        </w:r>
        <w:r>
          <w:rPr>
            <w:noProof/>
            <w:webHidden/>
          </w:rPr>
          <w:fldChar w:fldCharType="end"/>
        </w:r>
      </w:hyperlink>
    </w:p>
    <w:p w:rsidR="00617D79" w:rsidRDefault="00AB7C8D" w:rsidP="00617D79">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285478041" w:history="1">
        <w:r w:rsidR="00617D79" w:rsidRPr="001D1E39">
          <w:rPr>
            <w:rStyle w:val="Hyperlink"/>
            <w:rFonts w:asciiTheme="majorBidi" w:hAnsiTheme="majorBidi"/>
            <w:noProof/>
          </w:rPr>
          <w:t>B.</w:t>
        </w:r>
        <w:r w:rsidR="00617D79">
          <w:rPr>
            <w:rFonts w:asciiTheme="minorHAnsi" w:eastAsiaTheme="minorEastAsia" w:hAnsiTheme="minorHAnsi" w:cstheme="minorBidi"/>
            <w:noProof/>
            <w:sz w:val="22"/>
            <w:szCs w:val="22"/>
          </w:rPr>
          <w:tab/>
        </w:r>
        <w:r w:rsidR="00617D79" w:rsidRPr="001D1E39">
          <w:rPr>
            <w:rStyle w:val="Hyperlink"/>
            <w:rFonts w:asciiTheme="majorBidi" w:hAnsiTheme="majorBidi"/>
            <w:noProof/>
          </w:rPr>
          <w:t>Figures</w:t>
        </w:r>
        <w:r w:rsidR="00617D79">
          <w:rPr>
            <w:noProof/>
            <w:webHidden/>
          </w:rPr>
          <w:tab/>
        </w:r>
        <w:r>
          <w:rPr>
            <w:noProof/>
            <w:webHidden/>
          </w:rPr>
          <w:fldChar w:fldCharType="begin"/>
        </w:r>
        <w:r w:rsidR="00617D79">
          <w:rPr>
            <w:noProof/>
            <w:webHidden/>
          </w:rPr>
          <w:instrText xml:space="preserve"> PAGEREF _Toc285478041 \h </w:instrText>
        </w:r>
        <w:r>
          <w:rPr>
            <w:noProof/>
            <w:webHidden/>
          </w:rPr>
        </w:r>
        <w:r>
          <w:rPr>
            <w:noProof/>
            <w:webHidden/>
          </w:rPr>
          <w:fldChar w:fldCharType="separate"/>
        </w:r>
        <w:r w:rsidR="00531AB5">
          <w:rPr>
            <w:noProof/>
            <w:webHidden/>
          </w:rPr>
          <w:t>104</w:t>
        </w:r>
        <w:r>
          <w:rPr>
            <w:noProof/>
            <w:webHidden/>
          </w:rPr>
          <w:fldChar w:fldCharType="end"/>
        </w:r>
      </w:hyperlink>
    </w:p>
    <w:p w:rsidR="00617D79" w:rsidRDefault="00AB7C8D" w:rsidP="00617D79">
      <w:pPr>
        <w:pStyle w:val="TOC1"/>
        <w:tabs>
          <w:tab w:val="left" w:pos="480"/>
          <w:tab w:val="right" w:leader="dot" w:pos="9350"/>
        </w:tabs>
        <w:spacing w:line="480" w:lineRule="auto"/>
        <w:rPr>
          <w:rFonts w:asciiTheme="minorHAnsi" w:eastAsiaTheme="minorEastAsia" w:hAnsiTheme="minorHAnsi" w:cstheme="minorBidi"/>
          <w:noProof/>
          <w:sz w:val="22"/>
          <w:szCs w:val="22"/>
        </w:rPr>
      </w:pPr>
      <w:hyperlink w:anchor="_Toc285478042" w:history="1">
        <w:r w:rsidR="00617D79" w:rsidRPr="001D1E39">
          <w:rPr>
            <w:rStyle w:val="Hyperlink"/>
            <w:rFonts w:asciiTheme="majorBidi" w:hAnsiTheme="majorBidi"/>
            <w:noProof/>
          </w:rPr>
          <w:t>C.</w:t>
        </w:r>
        <w:r w:rsidR="00617D79">
          <w:rPr>
            <w:rFonts w:asciiTheme="minorHAnsi" w:eastAsiaTheme="minorEastAsia" w:hAnsiTheme="minorHAnsi" w:cstheme="minorBidi"/>
            <w:noProof/>
            <w:sz w:val="22"/>
            <w:szCs w:val="22"/>
          </w:rPr>
          <w:tab/>
        </w:r>
        <w:r w:rsidR="00617D79" w:rsidRPr="001D1E39">
          <w:rPr>
            <w:rStyle w:val="Hyperlink"/>
            <w:rFonts w:asciiTheme="majorBidi" w:hAnsiTheme="majorBidi"/>
            <w:noProof/>
          </w:rPr>
          <w:t>Technical Notes</w:t>
        </w:r>
        <w:r w:rsidR="00617D79">
          <w:rPr>
            <w:noProof/>
            <w:webHidden/>
          </w:rPr>
          <w:tab/>
        </w:r>
        <w:r>
          <w:rPr>
            <w:noProof/>
            <w:webHidden/>
          </w:rPr>
          <w:fldChar w:fldCharType="begin"/>
        </w:r>
        <w:r w:rsidR="00617D79">
          <w:rPr>
            <w:noProof/>
            <w:webHidden/>
          </w:rPr>
          <w:instrText xml:space="preserve"> PAGEREF _Toc285478042 \h </w:instrText>
        </w:r>
        <w:r>
          <w:rPr>
            <w:noProof/>
            <w:webHidden/>
          </w:rPr>
        </w:r>
        <w:r>
          <w:rPr>
            <w:noProof/>
            <w:webHidden/>
          </w:rPr>
          <w:fldChar w:fldCharType="separate"/>
        </w:r>
        <w:r w:rsidR="00531AB5">
          <w:rPr>
            <w:noProof/>
            <w:webHidden/>
          </w:rPr>
          <w:t>115</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43" w:history="1">
        <w:r w:rsidR="00617D79" w:rsidRPr="001D1E39">
          <w:rPr>
            <w:rStyle w:val="Hyperlink"/>
            <w:rFonts w:asciiTheme="majorBidi" w:hAnsiTheme="majorBidi"/>
            <w:noProof/>
          </w:rPr>
          <w:t>C.1 Solutions of the Dynamic Model in Essay 1</w:t>
        </w:r>
        <w:r w:rsidR="00617D79">
          <w:rPr>
            <w:noProof/>
            <w:webHidden/>
          </w:rPr>
          <w:tab/>
        </w:r>
        <w:r>
          <w:rPr>
            <w:noProof/>
            <w:webHidden/>
          </w:rPr>
          <w:fldChar w:fldCharType="begin"/>
        </w:r>
        <w:r w:rsidR="00617D79">
          <w:rPr>
            <w:noProof/>
            <w:webHidden/>
          </w:rPr>
          <w:instrText xml:space="preserve"> PAGEREF _Toc285478043 \h </w:instrText>
        </w:r>
        <w:r>
          <w:rPr>
            <w:noProof/>
            <w:webHidden/>
          </w:rPr>
        </w:r>
        <w:r>
          <w:rPr>
            <w:noProof/>
            <w:webHidden/>
          </w:rPr>
          <w:fldChar w:fldCharType="separate"/>
        </w:r>
        <w:r w:rsidR="00531AB5">
          <w:rPr>
            <w:noProof/>
            <w:webHidden/>
          </w:rPr>
          <w:t>116</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44" w:history="1">
        <w:r w:rsidR="00617D79" w:rsidRPr="001D1E39">
          <w:rPr>
            <w:rStyle w:val="Hyperlink"/>
            <w:rFonts w:asciiTheme="majorBidi" w:hAnsiTheme="majorBidi"/>
            <w:noProof/>
          </w:rPr>
          <w:t>C.2: Solutions of the Dynamic Model in Essay 2</w:t>
        </w:r>
        <w:r w:rsidR="00617D79">
          <w:rPr>
            <w:noProof/>
            <w:webHidden/>
          </w:rPr>
          <w:tab/>
        </w:r>
        <w:r>
          <w:rPr>
            <w:noProof/>
            <w:webHidden/>
          </w:rPr>
          <w:fldChar w:fldCharType="begin"/>
        </w:r>
        <w:r w:rsidR="00617D79">
          <w:rPr>
            <w:noProof/>
            <w:webHidden/>
          </w:rPr>
          <w:instrText xml:space="preserve"> PAGEREF _Toc285478044 \h </w:instrText>
        </w:r>
        <w:r>
          <w:rPr>
            <w:noProof/>
            <w:webHidden/>
          </w:rPr>
        </w:r>
        <w:r>
          <w:rPr>
            <w:noProof/>
            <w:webHidden/>
          </w:rPr>
          <w:fldChar w:fldCharType="separate"/>
        </w:r>
        <w:r w:rsidR="00531AB5">
          <w:rPr>
            <w:noProof/>
            <w:webHidden/>
          </w:rPr>
          <w:t>124</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45" w:history="1">
        <w:r w:rsidR="00617D79" w:rsidRPr="001D1E39">
          <w:rPr>
            <w:rStyle w:val="Hyperlink"/>
            <w:rFonts w:asciiTheme="majorBidi" w:hAnsiTheme="majorBidi"/>
            <w:noProof/>
          </w:rPr>
          <w:t>C.3 Solutions of the Dynamic Model in Essay 3</w:t>
        </w:r>
        <w:r w:rsidR="00617D79">
          <w:rPr>
            <w:noProof/>
            <w:webHidden/>
          </w:rPr>
          <w:tab/>
        </w:r>
        <w:r>
          <w:rPr>
            <w:noProof/>
            <w:webHidden/>
          </w:rPr>
          <w:fldChar w:fldCharType="begin"/>
        </w:r>
        <w:r w:rsidR="00617D79">
          <w:rPr>
            <w:noProof/>
            <w:webHidden/>
          </w:rPr>
          <w:instrText xml:space="preserve"> PAGEREF _Toc285478045 \h </w:instrText>
        </w:r>
        <w:r>
          <w:rPr>
            <w:noProof/>
            <w:webHidden/>
          </w:rPr>
        </w:r>
        <w:r>
          <w:rPr>
            <w:noProof/>
            <w:webHidden/>
          </w:rPr>
          <w:fldChar w:fldCharType="separate"/>
        </w:r>
        <w:r w:rsidR="00531AB5">
          <w:rPr>
            <w:noProof/>
            <w:webHidden/>
          </w:rPr>
          <w:t>132</w:t>
        </w:r>
        <w:r>
          <w:rPr>
            <w:noProof/>
            <w:webHidden/>
          </w:rPr>
          <w:fldChar w:fldCharType="end"/>
        </w:r>
      </w:hyperlink>
    </w:p>
    <w:p w:rsidR="00617D79" w:rsidRDefault="00AB7C8D" w:rsidP="00617D79">
      <w:pPr>
        <w:pStyle w:val="TOC1"/>
        <w:tabs>
          <w:tab w:val="right" w:leader="dot" w:pos="9350"/>
        </w:tabs>
        <w:spacing w:line="480" w:lineRule="auto"/>
        <w:rPr>
          <w:rFonts w:asciiTheme="minorHAnsi" w:eastAsiaTheme="minorEastAsia" w:hAnsiTheme="minorHAnsi" w:cstheme="minorBidi"/>
          <w:noProof/>
          <w:sz w:val="22"/>
          <w:szCs w:val="22"/>
        </w:rPr>
      </w:pPr>
      <w:hyperlink w:anchor="_Toc285478046" w:history="1">
        <w:r w:rsidR="00617D79" w:rsidRPr="001D1E39">
          <w:rPr>
            <w:rStyle w:val="Hyperlink"/>
            <w:rFonts w:asciiTheme="majorBidi" w:hAnsiTheme="majorBidi" w:cstheme="majorBidi"/>
            <w:noProof/>
          </w:rPr>
          <w:t>Vita</w:t>
        </w:r>
        <w:r w:rsidR="00617D79">
          <w:rPr>
            <w:noProof/>
            <w:webHidden/>
          </w:rPr>
          <w:tab/>
        </w:r>
        <w:r>
          <w:rPr>
            <w:noProof/>
            <w:webHidden/>
          </w:rPr>
          <w:fldChar w:fldCharType="begin"/>
        </w:r>
        <w:r w:rsidR="00617D79">
          <w:rPr>
            <w:noProof/>
            <w:webHidden/>
          </w:rPr>
          <w:instrText xml:space="preserve"> PAGEREF _Toc285478046 \h </w:instrText>
        </w:r>
        <w:r>
          <w:rPr>
            <w:noProof/>
            <w:webHidden/>
          </w:rPr>
        </w:r>
        <w:r>
          <w:rPr>
            <w:noProof/>
            <w:webHidden/>
          </w:rPr>
          <w:fldChar w:fldCharType="separate"/>
        </w:r>
        <w:r w:rsidR="00531AB5">
          <w:rPr>
            <w:noProof/>
            <w:webHidden/>
          </w:rPr>
          <w:t>140</w:t>
        </w:r>
        <w:r>
          <w:rPr>
            <w:noProof/>
            <w:webHidden/>
          </w:rPr>
          <w:fldChar w:fldCharType="end"/>
        </w:r>
      </w:hyperlink>
    </w:p>
    <w:p w:rsidR="00DC5BC8" w:rsidRPr="00A55804" w:rsidRDefault="00AB7C8D" w:rsidP="00617D79">
      <w:pPr>
        <w:numPr>
          <w:ilvl w:val="12"/>
          <w:numId w:val="0"/>
        </w:numPr>
        <w:spacing w:after="100" w:afterAutospacing="1" w:line="480" w:lineRule="auto"/>
        <w:jc w:val="center"/>
        <w:rPr>
          <w:rFonts w:asciiTheme="majorBidi" w:hAnsiTheme="majorBidi" w:cstheme="majorBidi"/>
        </w:rPr>
      </w:pPr>
      <w:r w:rsidRPr="00A55804">
        <w:rPr>
          <w:rFonts w:asciiTheme="majorBidi" w:hAnsiTheme="majorBidi" w:cstheme="majorBidi"/>
        </w:rPr>
        <w:fldChar w:fldCharType="end"/>
      </w: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Pr="00A55804" w:rsidRDefault="00A55804" w:rsidP="00DC5BC8">
      <w:pPr>
        <w:numPr>
          <w:ilvl w:val="12"/>
          <w:numId w:val="0"/>
        </w:numPr>
        <w:jc w:val="center"/>
        <w:rPr>
          <w:rFonts w:asciiTheme="majorBidi" w:hAnsiTheme="majorBidi" w:cstheme="majorBidi"/>
        </w:rPr>
      </w:pPr>
    </w:p>
    <w:p w:rsidR="00A55804" w:rsidRDefault="00A55804" w:rsidP="00DC5BC8">
      <w:pPr>
        <w:numPr>
          <w:ilvl w:val="12"/>
          <w:numId w:val="0"/>
        </w:numPr>
        <w:jc w:val="center"/>
        <w:rPr>
          <w:rFonts w:asciiTheme="majorBidi" w:hAnsiTheme="majorBidi" w:cstheme="majorBidi"/>
        </w:rPr>
      </w:pPr>
    </w:p>
    <w:p w:rsidR="00AD4525" w:rsidRDefault="00AD4525" w:rsidP="00DC5BC8">
      <w:pPr>
        <w:numPr>
          <w:ilvl w:val="12"/>
          <w:numId w:val="0"/>
        </w:numPr>
        <w:jc w:val="center"/>
        <w:rPr>
          <w:rFonts w:asciiTheme="majorBidi" w:hAnsiTheme="majorBidi" w:cstheme="majorBidi"/>
        </w:rPr>
      </w:pPr>
    </w:p>
    <w:p w:rsidR="00AD4525" w:rsidRDefault="00AD4525" w:rsidP="00DC5BC8">
      <w:pPr>
        <w:numPr>
          <w:ilvl w:val="12"/>
          <w:numId w:val="0"/>
        </w:numPr>
        <w:jc w:val="center"/>
        <w:rPr>
          <w:rFonts w:asciiTheme="majorBidi" w:hAnsiTheme="majorBidi" w:cstheme="majorBidi"/>
        </w:rPr>
      </w:pPr>
    </w:p>
    <w:p w:rsidR="00DC5BC8" w:rsidRPr="00A55804" w:rsidRDefault="00C3767B" w:rsidP="00A11D76">
      <w:pPr>
        <w:numPr>
          <w:ilvl w:val="12"/>
          <w:numId w:val="0"/>
        </w:numPr>
        <w:rPr>
          <w:rFonts w:asciiTheme="majorBidi" w:hAnsiTheme="majorBidi" w:cstheme="majorBidi"/>
          <w:sz w:val="48"/>
          <w:szCs w:val="48"/>
        </w:rPr>
      </w:pPr>
      <w:r>
        <w:rPr>
          <w:rFonts w:asciiTheme="majorBidi" w:hAnsiTheme="majorBidi" w:cstheme="majorBidi"/>
          <w:sz w:val="48"/>
          <w:szCs w:val="48"/>
        </w:rPr>
        <w:t xml:space="preserve">List of </w:t>
      </w:r>
      <w:r w:rsidR="00A11D76" w:rsidRPr="00A55804">
        <w:rPr>
          <w:rFonts w:asciiTheme="majorBidi" w:hAnsiTheme="majorBidi" w:cstheme="majorBidi"/>
          <w:sz w:val="48"/>
          <w:szCs w:val="48"/>
        </w:rPr>
        <w:t>Tables</w:t>
      </w:r>
    </w:p>
    <w:p w:rsidR="00DC5BC8" w:rsidRPr="00A55804" w:rsidRDefault="00DC5BC8" w:rsidP="00DC5BC8">
      <w:pPr>
        <w:numPr>
          <w:ilvl w:val="12"/>
          <w:numId w:val="0"/>
        </w:numPr>
        <w:jc w:val="center"/>
        <w:rPr>
          <w:rFonts w:asciiTheme="majorBidi" w:hAnsiTheme="majorBidi" w:cstheme="majorBidi"/>
        </w:rPr>
      </w:pPr>
    </w:p>
    <w:p w:rsidR="00DC5BC8" w:rsidRPr="00A55804" w:rsidRDefault="00DC5BC8" w:rsidP="00A11D76">
      <w:pPr>
        <w:pStyle w:val="TOC3"/>
        <w:tabs>
          <w:tab w:val="right" w:leader="dot" w:pos="9350"/>
        </w:tabs>
        <w:rPr>
          <w:rStyle w:val="Hyperlink"/>
          <w:rFonts w:asciiTheme="majorBidi" w:hAnsiTheme="majorBidi" w:cstheme="majorBidi"/>
          <w:noProof/>
        </w:rPr>
      </w:pPr>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r w:rsidRPr="00A55804">
        <w:rPr>
          <w:rStyle w:val="Hyperlink"/>
          <w:rFonts w:asciiTheme="majorBidi" w:hAnsiTheme="majorBidi" w:cstheme="majorBidi"/>
          <w:noProof/>
        </w:rPr>
        <w:fldChar w:fldCharType="begin"/>
      </w:r>
      <w:r w:rsidR="00DC5BC8" w:rsidRPr="00A55804">
        <w:rPr>
          <w:rStyle w:val="Hyperlink"/>
          <w:rFonts w:asciiTheme="majorBidi" w:hAnsiTheme="majorBidi" w:cstheme="majorBidi"/>
          <w:noProof/>
        </w:rPr>
        <w:instrText xml:space="preserve"> TOC \h \z \c "Table" </w:instrText>
      </w:r>
      <w:r w:rsidRPr="00A55804">
        <w:rPr>
          <w:rStyle w:val="Hyperlink"/>
          <w:rFonts w:asciiTheme="majorBidi" w:hAnsiTheme="majorBidi" w:cstheme="majorBidi"/>
          <w:noProof/>
        </w:rPr>
        <w:fldChar w:fldCharType="separate"/>
      </w:r>
      <w:hyperlink w:anchor="_Toc285392582" w:history="1">
        <w:r w:rsidR="00D20F59" w:rsidRPr="00A57DE8">
          <w:rPr>
            <w:rStyle w:val="Hyperlink"/>
            <w:noProof/>
          </w:rPr>
          <w:t>Table A.1: Pairwise Correlation Coefficients</w:t>
        </w:r>
        <w:r w:rsidR="00D20F59">
          <w:rPr>
            <w:noProof/>
            <w:webHidden/>
          </w:rPr>
          <w:tab/>
        </w:r>
        <w:r>
          <w:rPr>
            <w:noProof/>
            <w:webHidden/>
          </w:rPr>
          <w:fldChar w:fldCharType="begin"/>
        </w:r>
        <w:r w:rsidR="00D20F59">
          <w:rPr>
            <w:noProof/>
            <w:webHidden/>
          </w:rPr>
          <w:instrText xml:space="preserve"> PAGEREF _Toc285392582 \h </w:instrText>
        </w:r>
        <w:r>
          <w:rPr>
            <w:noProof/>
            <w:webHidden/>
          </w:rPr>
        </w:r>
        <w:r>
          <w:rPr>
            <w:noProof/>
            <w:webHidden/>
          </w:rPr>
          <w:fldChar w:fldCharType="separate"/>
        </w:r>
        <w:r w:rsidR="00531AB5">
          <w:rPr>
            <w:noProof/>
            <w:webHidden/>
          </w:rPr>
          <w:t>92</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83" w:history="1">
        <w:r w:rsidR="00D20F59" w:rsidRPr="00A57DE8">
          <w:rPr>
            <w:rStyle w:val="Hyperlink"/>
            <w:noProof/>
          </w:rPr>
          <w:t>Table A.2: Parameters Values in the Baseline Model</w:t>
        </w:r>
        <w:r w:rsidR="00D20F59">
          <w:rPr>
            <w:noProof/>
            <w:webHidden/>
          </w:rPr>
          <w:tab/>
        </w:r>
        <w:r>
          <w:rPr>
            <w:noProof/>
            <w:webHidden/>
          </w:rPr>
          <w:fldChar w:fldCharType="begin"/>
        </w:r>
        <w:r w:rsidR="00D20F59">
          <w:rPr>
            <w:noProof/>
            <w:webHidden/>
          </w:rPr>
          <w:instrText xml:space="preserve"> PAGEREF _Toc285392583 \h </w:instrText>
        </w:r>
        <w:r>
          <w:rPr>
            <w:noProof/>
            <w:webHidden/>
          </w:rPr>
        </w:r>
        <w:r>
          <w:rPr>
            <w:noProof/>
            <w:webHidden/>
          </w:rPr>
          <w:fldChar w:fldCharType="separate"/>
        </w:r>
        <w:r w:rsidR="00531AB5">
          <w:rPr>
            <w:noProof/>
            <w:webHidden/>
          </w:rPr>
          <w:t>93</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84" w:history="1">
        <w:r w:rsidR="00D20F59" w:rsidRPr="00A57DE8">
          <w:rPr>
            <w:rStyle w:val="Hyperlink"/>
            <w:noProof/>
          </w:rPr>
          <w:t>Table A.3: Moments (Canadian Data and the Baseline Model)</w:t>
        </w:r>
        <w:r w:rsidR="00D20F59">
          <w:rPr>
            <w:noProof/>
            <w:webHidden/>
          </w:rPr>
          <w:tab/>
        </w:r>
        <w:r>
          <w:rPr>
            <w:noProof/>
            <w:webHidden/>
          </w:rPr>
          <w:fldChar w:fldCharType="begin"/>
        </w:r>
        <w:r w:rsidR="00D20F59">
          <w:rPr>
            <w:noProof/>
            <w:webHidden/>
          </w:rPr>
          <w:instrText xml:space="preserve"> PAGEREF _Toc285392584 \h </w:instrText>
        </w:r>
        <w:r>
          <w:rPr>
            <w:noProof/>
            <w:webHidden/>
          </w:rPr>
        </w:r>
        <w:r>
          <w:rPr>
            <w:noProof/>
            <w:webHidden/>
          </w:rPr>
          <w:fldChar w:fldCharType="separate"/>
        </w:r>
        <w:r w:rsidR="00531AB5">
          <w:rPr>
            <w:noProof/>
            <w:webHidden/>
          </w:rPr>
          <w:t>94</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85" w:history="1">
        <w:r w:rsidR="00D20F59" w:rsidRPr="00A57DE8">
          <w:rPr>
            <w:rStyle w:val="Hyperlink"/>
            <w:noProof/>
          </w:rPr>
          <w:t>Table A.4: Moments (Model with Different Specifications)</w:t>
        </w:r>
        <w:r w:rsidR="00D20F59">
          <w:rPr>
            <w:noProof/>
            <w:webHidden/>
          </w:rPr>
          <w:tab/>
        </w:r>
        <w:r>
          <w:rPr>
            <w:noProof/>
            <w:webHidden/>
          </w:rPr>
          <w:fldChar w:fldCharType="begin"/>
        </w:r>
        <w:r w:rsidR="00D20F59">
          <w:rPr>
            <w:noProof/>
            <w:webHidden/>
          </w:rPr>
          <w:instrText xml:space="preserve"> PAGEREF _Toc285392585 \h </w:instrText>
        </w:r>
        <w:r>
          <w:rPr>
            <w:noProof/>
            <w:webHidden/>
          </w:rPr>
        </w:r>
        <w:r>
          <w:rPr>
            <w:noProof/>
            <w:webHidden/>
          </w:rPr>
          <w:fldChar w:fldCharType="separate"/>
        </w:r>
        <w:r w:rsidR="00531AB5">
          <w:rPr>
            <w:noProof/>
            <w:webHidden/>
          </w:rPr>
          <w:t>95</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86" w:history="1">
        <w:r w:rsidR="00D20F59" w:rsidRPr="00A57DE8">
          <w:rPr>
            <w:rStyle w:val="Hyperlink"/>
            <w:noProof/>
          </w:rPr>
          <w:t>Table A.5: Contemporaneous Correlation between ToT and Macro Variables</w:t>
        </w:r>
        <w:r w:rsidR="00D20F59">
          <w:rPr>
            <w:noProof/>
            <w:webHidden/>
          </w:rPr>
          <w:tab/>
        </w:r>
        <w:r>
          <w:rPr>
            <w:noProof/>
            <w:webHidden/>
          </w:rPr>
          <w:fldChar w:fldCharType="begin"/>
        </w:r>
        <w:r w:rsidR="00D20F59">
          <w:rPr>
            <w:noProof/>
            <w:webHidden/>
          </w:rPr>
          <w:instrText xml:space="preserve"> PAGEREF _Toc285392586 \h </w:instrText>
        </w:r>
        <w:r>
          <w:rPr>
            <w:noProof/>
            <w:webHidden/>
          </w:rPr>
        </w:r>
        <w:r>
          <w:rPr>
            <w:noProof/>
            <w:webHidden/>
          </w:rPr>
          <w:fldChar w:fldCharType="separate"/>
        </w:r>
        <w:r w:rsidR="00531AB5">
          <w:rPr>
            <w:noProof/>
            <w:webHidden/>
          </w:rPr>
          <w:t>96</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87" w:history="1">
        <w:r w:rsidR="00D20F59" w:rsidRPr="00A57DE8">
          <w:rPr>
            <w:rStyle w:val="Hyperlink"/>
            <w:noProof/>
          </w:rPr>
          <w:t>Table A.6: The Parameter Values Used in the Baseline Model</w:t>
        </w:r>
        <w:r w:rsidR="00D20F59">
          <w:rPr>
            <w:noProof/>
            <w:webHidden/>
          </w:rPr>
          <w:tab/>
        </w:r>
        <w:r>
          <w:rPr>
            <w:noProof/>
            <w:webHidden/>
          </w:rPr>
          <w:fldChar w:fldCharType="begin"/>
        </w:r>
        <w:r w:rsidR="00D20F59">
          <w:rPr>
            <w:noProof/>
            <w:webHidden/>
          </w:rPr>
          <w:instrText xml:space="preserve"> PAGEREF _Toc285392587 \h </w:instrText>
        </w:r>
        <w:r>
          <w:rPr>
            <w:noProof/>
            <w:webHidden/>
          </w:rPr>
        </w:r>
        <w:r>
          <w:rPr>
            <w:noProof/>
            <w:webHidden/>
          </w:rPr>
          <w:fldChar w:fldCharType="separate"/>
        </w:r>
        <w:r w:rsidR="00531AB5">
          <w:rPr>
            <w:noProof/>
            <w:webHidden/>
          </w:rPr>
          <w:t>97</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88" w:history="1">
        <w:r w:rsidR="00D20F59" w:rsidRPr="00A57DE8">
          <w:rPr>
            <w:rStyle w:val="Hyperlink"/>
            <w:noProof/>
          </w:rPr>
          <w:t>Table A.7: Canadian Economy versus the Model Economy</w:t>
        </w:r>
        <w:r w:rsidR="00D20F59">
          <w:rPr>
            <w:noProof/>
            <w:webHidden/>
          </w:rPr>
          <w:tab/>
        </w:r>
        <w:r>
          <w:rPr>
            <w:noProof/>
            <w:webHidden/>
          </w:rPr>
          <w:fldChar w:fldCharType="begin"/>
        </w:r>
        <w:r w:rsidR="00D20F59">
          <w:rPr>
            <w:noProof/>
            <w:webHidden/>
          </w:rPr>
          <w:instrText xml:space="preserve"> PAGEREF _Toc285392588 \h </w:instrText>
        </w:r>
        <w:r>
          <w:rPr>
            <w:noProof/>
            <w:webHidden/>
          </w:rPr>
        </w:r>
        <w:r>
          <w:rPr>
            <w:noProof/>
            <w:webHidden/>
          </w:rPr>
          <w:fldChar w:fldCharType="separate"/>
        </w:r>
        <w:r w:rsidR="00531AB5">
          <w:rPr>
            <w:noProof/>
            <w:webHidden/>
          </w:rPr>
          <w:t>98</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89" w:history="1">
        <w:r w:rsidR="00D20F59" w:rsidRPr="00A57DE8">
          <w:rPr>
            <w:rStyle w:val="Hyperlink"/>
            <w:noProof/>
          </w:rPr>
          <w:t>Table A.8: The Role of ToT Uncertainty</w:t>
        </w:r>
        <w:r w:rsidR="00D20F59">
          <w:rPr>
            <w:noProof/>
            <w:webHidden/>
          </w:rPr>
          <w:tab/>
        </w:r>
        <w:r>
          <w:rPr>
            <w:noProof/>
            <w:webHidden/>
          </w:rPr>
          <w:fldChar w:fldCharType="begin"/>
        </w:r>
        <w:r w:rsidR="00D20F59">
          <w:rPr>
            <w:noProof/>
            <w:webHidden/>
          </w:rPr>
          <w:instrText xml:space="preserve"> PAGEREF _Toc285392589 \h </w:instrText>
        </w:r>
        <w:r>
          <w:rPr>
            <w:noProof/>
            <w:webHidden/>
          </w:rPr>
        </w:r>
        <w:r>
          <w:rPr>
            <w:noProof/>
            <w:webHidden/>
          </w:rPr>
          <w:fldChar w:fldCharType="separate"/>
        </w:r>
        <w:r w:rsidR="00531AB5">
          <w:rPr>
            <w:noProof/>
            <w:webHidden/>
          </w:rPr>
          <w:t>99</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90" w:history="1">
        <w:r w:rsidR="00D20F59" w:rsidRPr="00A57DE8">
          <w:rPr>
            <w:rStyle w:val="Hyperlink"/>
            <w:noProof/>
          </w:rPr>
          <w:t>Table A.9: The Role of Durability</w:t>
        </w:r>
        <w:r w:rsidR="00D20F59">
          <w:rPr>
            <w:noProof/>
            <w:webHidden/>
          </w:rPr>
          <w:tab/>
        </w:r>
        <w:r>
          <w:rPr>
            <w:noProof/>
            <w:webHidden/>
          </w:rPr>
          <w:fldChar w:fldCharType="begin"/>
        </w:r>
        <w:r w:rsidR="00D20F59">
          <w:rPr>
            <w:noProof/>
            <w:webHidden/>
          </w:rPr>
          <w:instrText xml:space="preserve"> PAGEREF _Toc285392590 \h </w:instrText>
        </w:r>
        <w:r>
          <w:rPr>
            <w:noProof/>
            <w:webHidden/>
          </w:rPr>
        </w:r>
        <w:r>
          <w:rPr>
            <w:noProof/>
            <w:webHidden/>
          </w:rPr>
          <w:fldChar w:fldCharType="separate"/>
        </w:r>
        <w:r w:rsidR="00531AB5">
          <w:rPr>
            <w:noProof/>
            <w:webHidden/>
          </w:rPr>
          <w:t>100</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91" w:history="1">
        <w:r w:rsidR="00D20F59" w:rsidRPr="00A57DE8">
          <w:rPr>
            <w:rStyle w:val="Hyperlink"/>
            <w:noProof/>
          </w:rPr>
          <w:t>Table A.10: Persistence of the ToT and the Business Cycle*</w:t>
        </w:r>
        <w:r w:rsidR="00D20F59">
          <w:rPr>
            <w:noProof/>
            <w:webHidden/>
          </w:rPr>
          <w:tab/>
        </w:r>
        <w:r>
          <w:rPr>
            <w:noProof/>
            <w:webHidden/>
          </w:rPr>
          <w:fldChar w:fldCharType="begin"/>
        </w:r>
        <w:r w:rsidR="00D20F59">
          <w:rPr>
            <w:noProof/>
            <w:webHidden/>
          </w:rPr>
          <w:instrText xml:space="preserve"> PAGEREF _Toc285392591 \h </w:instrText>
        </w:r>
        <w:r>
          <w:rPr>
            <w:noProof/>
            <w:webHidden/>
          </w:rPr>
        </w:r>
        <w:r>
          <w:rPr>
            <w:noProof/>
            <w:webHidden/>
          </w:rPr>
          <w:fldChar w:fldCharType="separate"/>
        </w:r>
        <w:r w:rsidR="00531AB5">
          <w:rPr>
            <w:noProof/>
            <w:webHidden/>
          </w:rPr>
          <w:t>101</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92" w:history="1">
        <w:r w:rsidR="00D20F59" w:rsidRPr="00A57DE8">
          <w:rPr>
            <w:rStyle w:val="Hyperlink"/>
            <w:noProof/>
          </w:rPr>
          <w:t>Table A.11: Parameters Values in the Baseline Model</w:t>
        </w:r>
        <w:r w:rsidR="00D20F59">
          <w:rPr>
            <w:noProof/>
            <w:webHidden/>
          </w:rPr>
          <w:tab/>
        </w:r>
        <w:r>
          <w:rPr>
            <w:noProof/>
            <w:webHidden/>
          </w:rPr>
          <w:fldChar w:fldCharType="begin"/>
        </w:r>
        <w:r w:rsidR="00D20F59">
          <w:rPr>
            <w:noProof/>
            <w:webHidden/>
          </w:rPr>
          <w:instrText xml:space="preserve"> PAGEREF _Toc285392592 \h </w:instrText>
        </w:r>
        <w:r>
          <w:rPr>
            <w:noProof/>
            <w:webHidden/>
          </w:rPr>
        </w:r>
        <w:r>
          <w:rPr>
            <w:noProof/>
            <w:webHidden/>
          </w:rPr>
          <w:fldChar w:fldCharType="separate"/>
        </w:r>
        <w:r w:rsidR="00531AB5">
          <w:rPr>
            <w:noProof/>
            <w:webHidden/>
          </w:rPr>
          <w:t>102</w:t>
        </w:r>
        <w:r>
          <w:rPr>
            <w:noProof/>
            <w:webHidden/>
          </w:rPr>
          <w:fldChar w:fldCharType="end"/>
        </w:r>
      </w:hyperlink>
    </w:p>
    <w:p w:rsidR="00D20F5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392593" w:history="1">
        <w:r w:rsidR="00D20F59" w:rsidRPr="00A57DE8">
          <w:rPr>
            <w:rStyle w:val="Hyperlink"/>
            <w:noProof/>
          </w:rPr>
          <w:t>Table A.12: Moments Comparison (With and Without BSF)</w:t>
        </w:r>
        <w:r w:rsidR="00D20F59">
          <w:rPr>
            <w:noProof/>
            <w:webHidden/>
          </w:rPr>
          <w:tab/>
        </w:r>
        <w:r>
          <w:rPr>
            <w:noProof/>
            <w:webHidden/>
          </w:rPr>
          <w:fldChar w:fldCharType="begin"/>
        </w:r>
        <w:r w:rsidR="00D20F59">
          <w:rPr>
            <w:noProof/>
            <w:webHidden/>
          </w:rPr>
          <w:instrText xml:space="preserve"> PAGEREF _Toc285392593 \h </w:instrText>
        </w:r>
        <w:r>
          <w:rPr>
            <w:noProof/>
            <w:webHidden/>
          </w:rPr>
        </w:r>
        <w:r>
          <w:rPr>
            <w:noProof/>
            <w:webHidden/>
          </w:rPr>
          <w:fldChar w:fldCharType="separate"/>
        </w:r>
        <w:r w:rsidR="00531AB5">
          <w:rPr>
            <w:noProof/>
            <w:webHidden/>
          </w:rPr>
          <w:t>103</w:t>
        </w:r>
        <w:r>
          <w:rPr>
            <w:noProof/>
            <w:webHidden/>
          </w:rPr>
          <w:fldChar w:fldCharType="end"/>
        </w:r>
      </w:hyperlink>
    </w:p>
    <w:p w:rsidR="00EA2FAB" w:rsidRDefault="00AB7C8D" w:rsidP="00617D79">
      <w:pPr>
        <w:pStyle w:val="TOC3"/>
        <w:tabs>
          <w:tab w:val="right" w:leader="dot" w:pos="9350"/>
        </w:tabs>
        <w:spacing w:line="480" w:lineRule="auto"/>
        <w:ind w:left="475"/>
        <w:rPr>
          <w:rStyle w:val="Hyperlink"/>
          <w:rFonts w:asciiTheme="majorBidi" w:hAnsiTheme="majorBidi" w:cstheme="majorBidi"/>
          <w:noProof/>
        </w:rPr>
      </w:pPr>
      <w:r w:rsidRPr="00A55804">
        <w:rPr>
          <w:rStyle w:val="Hyperlink"/>
          <w:rFonts w:asciiTheme="majorBidi" w:hAnsiTheme="majorBidi" w:cstheme="majorBidi"/>
          <w:noProof/>
        </w:rPr>
        <w:fldChar w:fldCharType="end"/>
      </w:r>
    </w:p>
    <w:p w:rsidR="002A62F9" w:rsidRDefault="002A62F9" w:rsidP="002A62F9"/>
    <w:p w:rsidR="002A62F9" w:rsidRDefault="002A62F9" w:rsidP="002A62F9"/>
    <w:p w:rsidR="002A62F9" w:rsidRDefault="002A62F9" w:rsidP="002A62F9"/>
    <w:p w:rsidR="002A62F9" w:rsidRDefault="002A62F9" w:rsidP="002A62F9"/>
    <w:p w:rsidR="002A62F9" w:rsidRDefault="002A62F9" w:rsidP="002A62F9"/>
    <w:p w:rsidR="002F3F46" w:rsidRDefault="002F3F46" w:rsidP="002A62F9"/>
    <w:p w:rsidR="002F3F46" w:rsidRDefault="002F3F46" w:rsidP="002A62F9"/>
    <w:p w:rsidR="002F3F46" w:rsidRDefault="002F3F46" w:rsidP="002A62F9"/>
    <w:p w:rsidR="002F3F46" w:rsidRDefault="002F3F46" w:rsidP="002A62F9"/>
    <w:p w:rsidR="002F3F46" w:rsidRDefault="002F3F46" w:rsidP="002A62F9"/>
    <w:p w:rsidR="002F3F46" w:rsidRDefault="002F3F46" w:rsidP="002A62F9"/>
    <w:p w:rsidR="002F3F46" w:rsidRDefault="002F3F46" w:rsidP="002A62F9"/>
    <w:p w:rsidR="002F3F46" w:rsidRDefault="002F3F46" w:rsidP="002A62F9"/>
    <w:p w:rsidR="002F3F46" w:rsidRDefault="002F3F46" w:rsidP="002A62F9"/>
    <w:p w:rsidR="002F3F46" w:rsidRDefault="002F3F46" w:rsidP="002A62F9"/>
    <w:p w:rsidR="002F3F46" w:rsidRDefault="002F3F46" w:rsidP="002A62F9"/>
    <w:p w:rsidR="00C3767B" w:rsidRDefault="00C3767B" w:rsidP="00617D79">
      <w:pPr>
        <w:numPr>
          <w:ilvl w:val="12"/>
          <w:numId w:val="0"/>
        </w:numPr>
        <w:spacing w:line="480" w:lineRule="auto"/>
        <w:rPr>
          <w:rFonts w:asciiTheme="majorBidi" w:hAnsiTheme="majorBidi" w:cstheme="majorBidi"/>
        </w:rPr>
      </w:pPr>
      <w:r>
        <w:rPr>
          <w:rFonts w:asciiTheme="majorBidi" w:hAnsiTheme="majorBidi" w:cstheme="majorBidi"/>
          <w:sz w:val="48"/>
          <w:szCs w:val="48"/>
        </w:rPr>
        <w:t xml:space="preserve">List of </w:t>
      </w:r>
      <w:r w:rsidR="00385F19" w:rsidRPr="00385F19">
        <w:rPr>
          <w:rFonts w:asciiTheme="majorBidi" w:hAnsiTheme="majorBidi" w:cstheme="majorBidi"/>
          <w:sz w:val="48"/>
          <w:szCs w:val="48"/>
        </w:rPr>
        <w:t>Figures</w:t>
      </w:r>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r w:rsidRPr="00EE218F">
        <w:rPr>
          <w:rFonts w:asciiTheme="majorBidi" w:hAnsiTheme="majorBidi" w:cstheme="majorBidi"/>
        </w:rPr>
        <w:fldChar w:fldCharType="begin"/>
      </w:r>
      <w:r w:rsidR="00DC5BC8" w:rsidRPr="00EE218F">
        <w:rPr>
          <w:rFonts w:asciiTheme="majorBidi" w:hAnsiTheme="majorBidi" w:cstheme="majorBidi"/>
        </w:rPr>
        <w:instrText xml:space="preserve"> TOC \h \z \c "Figure" </w:instrText>
      </w:r>
      <w:r w:rsidRPr="00EE218F">
        <w:rPr>
          <w:rFonts w:asciiTheme="majorBidi" w:hAnsiTheme="majorBidi" w:cstheme="majorBidi"/>
        </w:rPr>
        <w:fldChar w:fldCharType="separate"/>
      </w:r>
      <w:hyperlink w:anchor="_Toc285478071" w:history="1">
        <w:r w:rsidR="00617D79" w:rsidRPr="000009A7">
          <w:rPr>
            <w:rStyle w:val="Hyperlink"/>
            <w:rFonts w:eastAsia="+mn-ea"/>
            <w:noProof/>
          </w:rPr>
          <w:t>Figure B.1: Comovement between durable spending and national accounts (actual data)</w:t>
        </w:r>
        <w:r w:rsidR="00617D79">
          <w:rPr>
            <w:noProof/>
            <w:webHidden/>
          </w:rPr>
          <w:tab/>
        </w:r>
        <w:r>
          <w:rPr>
            <w:noProof/>
            <w:webHidden/>
          </w:rPr>
          <w:fldChar w:fldCharType="begin"/>
        </w:r>
        <w:r w:rsidR="00617D79">
          <w:rPr>
            <w:noProof/>
            <w:webHidden/>
          </w:rPr>
          <w:instrText xml:space="preserve"> PAGEREF _Toc285478071 \h </w:instrText>
        </w:r>
        <w:r>
          <w:rPr>
            <w:noProof/>
            <w:webHidden/>
          </w:rPr>
        </w:r>
        <w:r>
          <w:rPr>
            <w:noProof/>
            <w:webHidden/>
          </w:rPr>
          <w:fldChar w:fldCharType="separate"/>
        </w:r>
        <w:r w:rsidR="00531AB5">
          <w:rPr>
            <w:noProof/>
            <w:webHidden/>
          </w:rPr>
          <w:t>106</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2" w:history="1">
        <w:r w:rsidR="00617D79" w:rsidRPr="000009A7">
          <w:rPr>
            <w:rStyle w:val="Hyperlink"/>
            <w:rFonts w:eastAsia="+mn-ea"/>
            <w:noProof/>
          </w:rPr>
          <w:t>Figure B.2: Cross correlation between GDP and durable spending</w:t>
        </w:r>
        <w:r w:rsidR="00617D79">
          <w:rPr>
            <w:noProof/>
            <w:webHidden/>
          </w:rPr>
          <w:tab/>
        </w:r>
        <w:r>
          <w:rPr>
            <w:noProof/>
            <w:webHidden/>
          </w:rPr>
          <w:fldChar w:fldCharType="begin"/>
        </w:r>
        <w:r w:rsidR="00617D79">
          <w:rPr>
            <w:noProof/>
            <w:webHidden/>
          </w:rPr>
          <w:instrText xml:space="preserve"> PAGEREF _Toc285478072 \h </w:instrText>
        </w:r>
        <w:r>
          <w:rPr>
            <w:noProof/>
            <w:webHidden/>
          </w:rPr>
        </w:r>
        <w:r>
          <w:rPr>
            <w:noProof/>
            <w:webHidden/>
          </w:rPr>
          <w:fldChar w:fldCharType="separate"/>
        </w:r>
        <w:r w:rsidR="00531AB5">
          <w:rPr>
            <w:noProof/>
            <w:webHidden/>
          </w:rPr>
          <w:t>106</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3" w:history="1">
        <w:r w:rsidR="00617D79" w:rsidRPr="000009A7">
          <w:rPr>
            <w:rStyle w:val="Hyperlink"/>
            <w:rFonts w:eastAsia="+mn-ea"/>
            <w:noProof/>
          </w:rPr>
          <w:t>Figure B.3: Impulse responses of national accounts to an interest rate shock (baseline model)</w:t>
        </w:r>
        <w:r w:rsidR="00617D79">
          <w:rPr>
            <w:noProof/>
            <w:webHidden/>
          </w:rPr>
          <w:tab/>
        </w:r>
        <w:r>
          <w:rPr>
            <w:noProof/>
            <w:webHidden/>
          </w:rPr>
          <w:fldChar w:fldCharType="begin"/>
        </w:r>
        <w:r w:rsidR="00617D79">
          <w:rPr>
            <w:noProof/>
            <w:webHidden/>
          </w:rPr>
          <w:instrText xml:space="preserve"> PAGEREF _Toc285478073 \h </w:instrText>
        </w:r>
        <w:r>
          <w:rPr>
            <w:noProof/>
            <w:webHidden/>
          </w:rPr>
        </w:r>
        <w:r>
          <w:rPr>
            <w:noProof/>
            <w:webHidden/>
          </w:rPr>
          <w:fldChar w:fldCharType="separate"/>
        </w:r>
        <w:r w:rsidR="00531AB5">
          <w:rPr>
            <w:noProof/>
            <w:webHidden/>
          </w:rPr>
          <w:t>106</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4" w:history="1">
        <w:r w:rsidR="00617D79" w:rsidRPr="000009A7">
          <w:rPr>
            <w:rStyle w:val="Hyperlink"/>
            <w:rFonts w:eastAsia="+mn-ea"/>
            <w:noProof/>
          </w:rPr>
          <w:t>Figure B.4</w:t>
        </w:r>
        <w:r w:rsidR="00617D79" w:rsidRPr="000009A7">
          <w:rPr>
            <w:rStyle w:val="Hyperlink"/>
            <w:noProof/>
          </w:rPr>
          <w:t>: Impulse responces of national accounts to an interest rate shock (alternative scenarios)</w:t>
        </w:r>
        <w:r w:rsidR="00617D79">
          <w:rPr>
            <w:noProof/>
            <w:webHidden/>
          </w:rPr>
          <w:tab/>
        </w:r>
        <w:r>
          <w:rPr>
            <w:noProof/>
            <w:webHidden/>
          </w:rPr>
          <w:fldChar w:fldCharType="begin"/>
        </w:r>
        <w:r w:rsidR="00617D79">
          <w:rPr>
            <w:noProof/>
            <w:webHidden/>
          </w:rPr>
          <w:instrText xml:space="preserve"> PAGEREF _Toc285478074 \h </w:instrText>
        </w:r>
        <w:r>
          <w:rPr>
            <w:noProof/>
            <w:webHidden/>
          </w:rPr>
        </w:r>
        <w:r>
          <w:rPr>
            <w:noProof/>
            <w:webHidden/>
          </w:rPr>
          <w:fldChar w:fldCharType="separate"/>
        </w:r>
        <w:r w:rsidR="00531AB5">
          <w:rPr>
            <w:noProof/>
            <w:webHidden/>
          </w:rPr>
          <w:t>107</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5" w:history="1">
        <w:r w:rsidR="00617D79" w:rsidRPr="000009A7">
          <w:rPr>
            <w:rStyle w:val="Hyperlink"/>
            <w:rFonts w:eastAsia="+mn-ea"/>
            <w:noProof/>
          </w:rPr>
          <w:t>Figure B.5: Comovement between terms of trade and national accounts (actual data)</w:t>
        </w:r>
        <w:r w:rsidR="00617D79">
          <w:rPr>
            <w:noProof/>
            <w:webHidden/>
          </w:rPr>
          <w:tab/>
        </w:r>
        <w:r>
          <w:rPr>
            <w:noProof/>
            <w:webHidden/>
          </w:rPr>
          <w:fldChar w:fldCharType="begin"/>
        </w:r>
        <w:r w:rsidR="00617D79">
          <w:rPr>
            <w:noProof/>
            <w:webHidden/>
          </w:rPr>
          <w:instrText xml:space="preserve"> PAGEREF _Toc285478075 \h </w:instrText>
        </w:r>
        <w:r>
          <w:rPr>
            <w:noProof/>
            <w:webHidden/>
          </w:rPr>
        </w:r>
        <w:r>
          <w:rPr>
            <w:noProof/>
            <w:webHidden/>
          </w:rPr>
          <w:fldChar w:fldCharType="separate"/>
        </w:r>
        <w:r w:rsidR="00531AB5">
          <w:rPr>
            <w:noProof/>
            <w:webHidden/>
          </w:rPr>
          <w:t>108</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6" w:history="1">
        <w:r w:rsidR="00617D79" w:rsidRPr="000009A7">
          <w:rPr>
            <w:rStyle w:val="Hyperlink"/>
            <w:rFonts w:eastAsia="+mn-ea"/>
            <w:noProof/>
          </w:rPr>
          <w:t>Figure B.6:</w:t>
        </w:r>
        <w:r w:rsidR="00617D79" w:rsidRPr="000009A7">
          <w:rPr>
            <w:rStyle w:val="Hyperlink"/>
            <w:noProof/>
          </w:rPr>
          <w:t xml:space="preserve"> Impulse responses due to a ToT Shock with constant interest rate (ψ = ϛ = 0)</w:t>
        </w:r>
        <w:r w:rsidR="00617D79">
          <w:rPr>
            <w:noProof/>
            <w:webHidden/>
          </w:rPr>
          <w:tab/>
        </w:r>
        <w:r>
          <w:rPr>
            <w:noProof/>
            <w:webHidden/>
          </w:rPr>
          <w:fldChar w:fldCharType="begin"/>
        </w:r>
        <w:r w:rsidR="00617D79">
          <w:rPr>
            <w:noProof/>
            <w:webHidden/>
          </w:rPr>
          <w:instrText xml:space="preserve"> PAGEREF _Toc285478076 \h </w:instrText>
        </w:r>
        <w:r>
          <w:rPr>
            <w:noProof/>
            <w:webHidden/>
          </w:rPr>
        </w:r>
        <w:r>
          <w:rPr>
            <w:noProof/>
            <w:webHidden/>
          </w:rPr>
          <w:fldChar w:fldCharType="separate"/>
        </w:r>
        <w:r w:rsidR="00531AB5">
          <w:rPr>
            <w:noProof/>
            <w:webHidden/>
          </w:rPr>
          <w:t>109</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7" w:history="1">
        <w:r w:rsidR="00617D79" w:rsidRPr="000009A7">
          <w:rPr>
            <w:rStyle w:val="Hyperlink"/>
            <w:rFonts w:eastAsia="+mn-ea"/>
            <w:noProof/>
          </w:rPr>
          <w:t xml:space="preserve">Figure B.7: </w:t>
        </w:r>
        <w:r w:rsidR="00617D79" w:rsidRPr="000009A7">
          <w:rPr>
            <w:rStyle w:val="Hyperlink"/>
            <w:noProof/>
          </w:rPr>
          <w:t>Impulse responses due to a ToT shock (Baseline Model)</w:t>
        </w:r>
        <w:r w:rsidR="00617D79">
          <w:rPr>
            <w:noProof/>
            <w:webHidden/>
          </w:rPr>
          <w:tab/>
        </w:r>
        <w:r>
          <w:rPr>
            <w:noProof/>
            <w:webHidden/>
          </w:rPr>
          <w:fldChar w:fldCharType="begin"/>
        </w:r>
        <w:r w:rsidR="00617D79">
          <w:rPr>
            <w:noProof/>
            <w:webHidden/>
          </w:rPr>
          <w:instrText xml:space="preserve"> PAGEREF _Toc285478077 \h </w:instrText>
        </w:r>
        <w:r>
          <w:rPr>
            <w:noProof/>
            <w:webHidden/>
          </w:rPr>
        </w:r>
        <w:r>
          <w:rPr>
            <w:noProof/>
            <w:webHidden/>
          </w:rPr>
          <w:fldChar w:fldCharType="separate"/>
        </w:r>
        <w:r w:rsidR="00531AB5">
          <w:rPr>
            <w:noProof/>
            <w:webHidden/>
          </w:rPr>
          <w:t>109</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8" w:history="1">
        <w:r w:rsidR="00617D79" w:rsidRPr="000009A7">
          <w:rPr>
            <w:rStyle w:val="Hyperlink"/>
            <w:rFonts w:eastAsia="+mn-ea"/>
            <w:noProof/>
          </w:rPr>
          <w:t xml:space="preserve">Figure B.8: </w:t>
        </w:r>
        <w:r w:rsidR="00617D79" w:rsidRPr="000009A7">
          <w:rPr>
            <w:rStyle w:val="Hyperlink"/>
            <w:noProof/>
          </w:rPr>
          <w:t>Impulse responses due to a high-persistent ToT Shock (</w:t>
        </w:r>
        <w:r w:rsidR="00617D79" w:rsidRPr="000009A7">
          <w:rPr>
            <w:rStyle w:val="Hyperlink"/>
            <w:i/>
            <w:iCs/>
            <w:noProof/>
          </w:rPr>
          <w:t>ρ</w:t>
        </w:r>
        <w:r w:rsidR="00617D79" w:rsidRPr="000009A7">
          <w:rPr>
            <w:rStyle w:val="Hyperlink"/>
            <w:noProof/>
          </w:rPr>
          <w:t>p=0.98)</w:t>
        </w:r>
        <w:r w:rsidR="00617D79">
          <w:rPr>
            <w:noProof/>
            <w:webHidden/>
          </w:rPr>
          <w:tab/>
        </w:r>
        <w:r>
          <w:rPr>
            <w:noProof/>
            <w:webHidden/>
          </w:rPr>
          <w:fldChar w:fldCharType="begin"/>
        </w:r>
        <w:r w:rsidR="00617D79">
          <w:rPr>
            <w:noProof/>
            <w:webHidden/>
          </w:rPr>
          <w:instrText xml:space="preserve"> PAGEREF _Toc285478078 \h </w:instrText>
        </w:r>
        <w:r>
          <w:rPr>
            <w:noProof/>
            <w:webHidden/>
          </w:rPr>
        </w:r>
        <w:r>
          <w:rPr>
            <w:noProof/>
            <w:webHidden/>
          </w:rPr>
          <w:fldChar w:fldCharType="separate"/>
        </w:r>
        <w:r w:rsidR="00531AB5">
          <w:rPr>
            <w:noProof/>
            <w:webHidden/>
          </w:rPr>
          <w:t>110</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79" w:history="1">
        <w:r w:rsidR="00617D79" w:rsidRPr="000009A7">
          <w:rPr>
            <w:rStyle w:val="Hyperlink"/>
            <w:rFonts w:eastAsia="+mn-ea"/>
            <w:noProof/>
          </w:rPr>
          <w:t xml:space="preserve">Figure B.9: </w:t>
        </w:r>
        <w:r w:rsidR="00617D79" w:rsidRPr="000009A7">
          <w:rPr>
            <w:rStyle w:val="Hyperlink"/>
            <w:noProof/>
          </w:rPr>
          <w:t>Impulse responses due to a moderately-persistent ToT Shock (</w:t>
        </w:r>
        <w:r w:rsidR="00617D79" w:rsidRPr="000009A7">
          <w:rPr>
            <w:rStyle w:val="Hyperlink"/>
            <w:i/>
            <w:iCs/>
            <w:noProof/>
          </w:rPr>
          <w:t>ρ</w:t>
        </w:r>
        <w:r w:rsidR="00617D79" w:rsidRPr="000009A7">
          <w:rPr>
            <w:rStyle w:val="Hyperlink"/>
            <w:noProof/>
          </w:rPr>
          <w:t>p=0.90)</w:t>
        </w:r>
        <w:r w:rsidR="00617D79">
          <w:rPr>
            <w:noProof/>
            <w:webHidden/>
          </w:rPr>
          <w:tab/>
        </w:r>
        <w:r>
          <w:rPr>
            <w:noProof/>
            <w:webHidden/>
          </w:rPr>
          <w:fldChar w:fldCharType="begin"/>
        </w:r>
        <w:r w:rsidR="00617D79">
          <w:rPr>
            <w:noProof/>
            <w:webHidden/>
          </w:rPr>
          <w:instrText xml:space="preserve"> PAGEREF _Toc285478079 \h </w:instrText>
        </w:r>
        <w:r>
          <w:rPr>
            <w:noProof/>
            <w:webHidden/>
          </w:rPr>
        </w:r>
        <w:r>
          <w:rPr>
            <w:noProof/>
            <w:webHidden/>
          </w:rPr>
          <w:fldChar w:fldCharType="separate"/>
        </w:r>
        <w:r w:rsidR="00531AB5">
          <w:rPr>
            <w:noProof/>
            <w:webHidden/>
          </w:rPr>
          <w:t>110</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80" w:history="1">
        <w:r w:rsidR="00617D79" w:rsidRPr="000009A7">
          <w:rPr>
            <w:rStyle w:val="Hyperlink"/>
            <w:rFonts w:eastAsia="+mn-ea"/>
            <w:noProof/>
          </w:rPr>
          <w:t xml:space="preserve">Figure B.9: </w:t>
        </w:r>
        <w:r w:rsidR="00617D79" w:rsidRPr="000009A7">
          <w:rPr>
            <w:rStyle w:val="Hyperlink"/>
            <w:noProof/>
          </w:rPr>
          <w:t>Impulse responses of total government expenditure to a technology shock</w:t>
        </w:r>
        <w:r w:rsidR="00617D79">
          <w:rPr>
            <w:noProof/>
            <w:webHidden/>
          </w:rPr>
          <w:tab/>
        </w:r>
        <w:r>
          <w:rPr>
            <w:noProof/>
            <w:webHidden/>
          </w:rPr>
          <w:fldChar w:fldCharType="begin"/>
        </w:r>
        <w:r w:rsidR="00617D79">
          <w:rPr>
            <w:noProof/>
            <w:webHidden/>
          </w:rPr>
          <w:instrText xml:space="preserve"> PAGEREF _Toc285478080 \h </w:instrText>
        </w:r>
        <w:r>
          <w:rPr>
            <w:noProof/>
            <w:webHidden/>
          </w:rPr>
        </w:r>
        <w:r>
          <w:rPr>
            <w:noProof/>
            <w:webHidden/>
          </w:rPr>
          <w:fldChar w:fldCharType="separate"/>
        </w:r>
        <w:r w:rsidR="00531AB5">
          <w:rPr>
            <w:noProof/>
            <w:webHidden/>
          </w:rPr>
          <w:t>111</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81" w:history="1">
        <w:r w:rsidR="00617D79" w:rsidRPr="000009A7">
          <w:rPr>
            <w:rStyle w:val="Hyperlink"/>
            <w:rFonts w:eastAsia="+mn-ea"/>
            <w:noProof/>
          </w:rPr>
          <w:t xml:space="preserve">Figure B.10: </w:t>
        </w:r>
        <w:r w:rsidR="00617D79" w:rsidRPr="000009A7">
          <w:rPr>
            <w:rStyle w:val="Hyperlink"/>
            <w:noProof/>
          </w:rPr>
          <w:t>Impulse responses of current government expenditure to a technology shock</w:t>
        </w:r>
        <w:r w:rsidR="00617D79">
          <w:rPr>
            <w:noProof/>
            <w:webHidden/>
          </w:rPr>
          <w:tab/>
        </w:r>
        <w:r>
          <w:rPr>
            <w:noProof/>
            <w:webHidden/>
          </w:rPr>
          <w:fldChar w:fldCharType="begin"/>
        </w:r>
        <w:r w:rsidR="00617D79">
          <w:rPr>
            <w:noProof/>
            <w:webHidden/>
          </w:rPr>
          <w:instrText xml:space="preserve"> PAGEREF _Toc285478081 \h </w:instrText>
        </w:r>
        <w:r>
          <w:rPr>
            <w:noProof/>
            <w:webHidden/>
          </w:rPr>
        </w:r>
        <w:r>
          <w:rPr>
            <w:noProof/>
            <w:webHidden/>
          </w:rPr>
          <w:fldChar w:fldCharType="separate"/>
        </w:r>
        <w:r w:rsidR="00531AB5">
          <w:rPr>
            <w:noProof/>
            <w:webHidden/>
          </w:rPr>
          <w:t>111</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82" w:history="1">
        <w:r w:rsidR="00617D79" w:rsidRPr="000009A7">
          <w:rPr>
            <w:rStyle w:val="Hyperlink"/>
            <w:rFonts w:eastAsia="+mn-ea"/>
            <w:noProof/>
          </w:rPr>
          <w:t xml:space="preserve">Figure B.11: </w:t>
        </w:r>
        <w:r w:rsidR="00617D79" w:rsidRPr="000009A7">
          <w:rPr>
            <w:rStyle w:val="Hyperlink"/>
            <w:noProof/>
          </w:rPr>
          <w:t>Impulse responses of output to a technology shock</w:t>
        </w:r>
        <w:r w:rsidR="00617D79">
          <w:rPr>
            <w:noProof/>
            <w:webHidden/>
          </w:rPr>
          <w:tab/>
        </w:r>
        <w:r>
          <w:rPr>
            <w:noProof/>
            <w:webHidden/>
          </w:rPr>
          <w:fldChar w:fldCharType="begin"/>
        </w:r>
        <w:r w:rsidR="00617D79">
          <w:rPr>
            <w:noProof/>
            <w:webHidden/>
          </w:rPr>
          <w:instrText xml:space="preserve"> PAGEREF _Toc285478082 \h </w:instrText>
        </w:r>
        <w:r>
          <w:rPr>
            <w:noProof/>
            <w:webHidden/>
          </w:rPr>
        </w:r>
        <w:r>
          <w:rPr>
            <w:noProof/>
            <w:webHidden/>
          </w:rPr>
          <w:fldChar w:fldCharType="separate"/>
        </w:r>
        <w:r w:rsidR="00531AB5">
          <w:rPr>
            <w:noProof/>
            <w:webHidden/>
          </w:rPr>
          <w:t>112</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83" w:history="1">
        <w:r w:rsidR="00617D79" w:rsidRPr="000009A7">
          <w:rPr>
            <w:rStyle w:val="Hyperlink"/>
            <w:rFonts w:eastAsia="+mn-ea"/>
            <w:noProof/>
          </w:rPr>
          <w:t xml:space="preserve">Figure B.12: </w:t>
        </w:r>
        <w:r w:rsidR="00617D79" w:rsidRPr="000009A7">
          <w:rPr>
            <w:rStyle w:val="Hyperlink"/>
            <w:noProof/>
          </w:rPr>
          <w:t>Impulse responses of private consumption to a technology shock</w:t>
        </w:r>
        <w:r w:rsidR="00617D79">
          <w:rPr>
            <w:noProof/>
            <w:webHidden/>
          </w:rPr>
          <w:tab/>
        </w:r>
        <w:r>
          <w:rPr>
            <w:noProof/>
            <w:webHidden/>
          </w:rPr>
          <w:fldChar w:fldCharType="begin"/>
        </w:r>
        <w:r w:rsidR="00617D79">
          <w:rPr>
            <w:noProof/>
            <w:webHidden/>
          </w:rPr>
          <w:instrText xml:space="preserve"> PAGEREF _Toc285478083 \h </w:instrText>
        </w:r>
        <w:r>
          <w:rPr>
            <w:noProof/>
            <w:webHidden/>
          </w:rPr>
        </w:r>
        <w:r>
          <w:rPr>
            <w:noProof/>
            <w:webHidden/>
          </w:rPr>
          <w:fldChar w:fldCharType="separate"/>
        </w:r>
        <w:r w:rsidR="00531AB5">
          <w:rPr>
            <w:noProof/>
            <w:webHidden/>
          </w:rPr>
          <w:t>112</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84" w:history="1">
        <w:r w:rsidR="00617D79" w:rsidRPr="000009A7">
          <w:rPr>
            <w:rStyle w:val="Hyperlink"/>
            <w:rFonts w:eastAsia="+mn-ea"/>
            <w:noProof/>
          </w:rPr>
          <w:t xml:space="preserve">Figure B.13: </w:t>
        </w:r>
        <w:r w:rsidR="00617D79" w:rsidRPr="000009A7">
          <w:rPr>
            <w:rStyle w:val="Hyperlink"/>
            <w:noProof/>
          </w:rPr>
          <w:t>Impulse responses of employment to technology shock</w:t>
        </w:r>
        <w:r w:rsidR="00617D79">
          <w:rPr>
            <w:noProof/>
            <w:webHidden/>
          </w:rPr>
          <w:tab/>
        </w:r>
        <w:r>
          <w:rPr>
            <w:noProof/>
            <w:webHidden/>
          </w:rPr>
          <w:fldChar w:fldCharType="begin"/>
        </w:r>
        <w:r w:rsidR="00617D79">
          <w:rPr>
            <w:noProof/>
            <w:webHidden/>
          </w:rPr>
          <w:instrText xml:space="preserve"> PAGEREF _Toc285478084 \h </w:instrText>
        </w:r>
        <w:r>
          <w:rPr>
            <w:noProof/>
            <w:webHidden/>
          </w:rPr>
        </w:r>
        <w:r>
          <w:rPr>
            <w:noProof/>
            <w:webHidden/>
          </w:rPr>
          <w:fldChar w:fldCharType="separate"/>
        </w:r>
        <w:r w:rsidR="00531AB5">
          <w:rPr>
            <w:noProof/>
            <w:webHidden/>
          </w:rPr>
          <w:t>113</w:t>
        </w:r>
        <w:r>
          <w:rPr>
            <w:noProof/>
            <w:webHidden/>
          </w:rPr>
          <w:fldChar w:fldCharType="end"/>
        </w:r>
      </w:hyperlink>
    </w:p>
    <w:p w:rsidR="00617D79" w:rsidRDefault="00AB7C8D" w:rsidP="00617D79">
      <w:pPr>
        <w:pStyle w:val="TableofFigures"/>
        <w:tabs>
          <w:tab w:val="right" w:leader="dot" w:pos="9350"/>
        </w:tabs>
        <w:spacing w:line="480" w:lineRule="auto"/>
        <w:rPr>
          <w:rFonts w:asciiTheme="minorHAnsi" w:eastAsiaTheme="minorEastAsia" w:hAnsiTheme="minorHAnsi" w:cstheme="minorBidi"/>
          <w:noProof/>
          <w:sz w:val="22"/>
          <w:szCs w:val="22"/>
        </w:rPr>
      </w:pPr>
      <w:hyperlink w:anchor="_Toc285478085" w:history="1">
        <w:r w:rsidR="00617D79" w:rsidRPr="000009A7">
          <w:rPr>
            <w:rStyle w:val="Hyperlink"/>
            <w:rFonts w:eastAsia="+mn-ea"/>
            <w:noProof/>
          </w:rPr>
          <w:t xml:space="preserve">Figure B.14: </w:t>
        </w:r>
        <w:r w:rsidR="00617D79" w:rsidRPr="000009A7">
          <w:rPr>
            <w:rStyle w:val="Hyperlink"/>
            <w:noProof/>
          </w:rPr>
          <w:t>Impulse responses of private investment to a technology shock</w:t>
        </w:r>
        <w:r w:rsidR="00617D79">
          <w:rPr>
            <w:noProof/>
            <w:webHidden/>
          </w:rPr>
          <w:tab/>
        </w:r>
        <w:r>
          <w:rPr>
            <w:noProof/>
            <w:webHidden/>
          </w:rPr>
          <w:fldChar w:fldCharType="begin"/>
        </w:r>
        <w:r w:rsidR="00617D79">
          <w:rPr>
            <w:noProof/>
            <w:webHidden/>
          </w:rPr>
          <w:instrText xml:space="preserve"> PAGEREF _Toc285478085 \h </w:instrText>
        </w:r>
        <w:r>
          <w:rPr>
            <w:noProof/>
            <w:webHidden/>
          </w:rPr>
        </w:r>
        <w:r>
          <w:rPr>
            <w:noProof/>
            <w:webHidden/>
          </w:rPr>
          <w:fldChar w:fldCharType="separate"/>
        </w:r>
        <w:r w:rsidR="00531AB5">
          <w:rPr>
            <w:noProof/>
            <w:webHidden/>
          </w:rPr>
          <w:t>113</w:t>
        </w:r>
        <w:r>
          <w:rPr>
            <w:noProof/>
            <w:webHidden/>
          </w:rPr>
          <w:fldChar w:fldCharType="end"/>
        </w:r>
      </w:hyperlink>
    </w:p>
    <w:p w:rsidR="00D20F59" w:rsidRDefault="00AB7C8D" w:rsidP="00617D79">
      <w:pPr>
        <w:pStyle w:val="TableofFigures"/>
        <w:tabs>
          <w:tab w:val="right" w:leader="dot" w:pos="9350"/>
        </w:tabs>
        <w:spacing w:line="480" w:lineRule="auto"/>
      </w:pPr>
      <w:hyperlink w:anchor="_Toc285478086" w:history="1">
        <w:r w:rsidR="00617D79" w:rsidRPr="000009A7">
          <w:rPr>
            <w:rStyle w:val="Hyperlink"/>
            <w:rFonts w:eastAsia="+mn-ea"/>
            <w:noProof/>
          </w:rPr>
          <w:t xml:space="preserve">Figure B.15: </w:t>
        </w:r>
        <w:r w:rsidR="00617D79" w:rsidRPr="000009A7">
          <w:rPr>
            <w:rStyle w:val="Hyperlink"/>
            <w:noProof/>
          </w:rPr>
          <w:t>Impulse responses of household welfare to a technology shock</w:t>
        </w:r>
        <w:r w:rsidR="00617D79">
          <w:rPr>
            <w:noProof/>
            <w:webHidden/>
          </w:rPr>
          <w:tab/>
        </w:r>
        <w:r>
          <w:rPr>
            <w:noProof/>
            <w:webHidden/>
          </w:rPr>
          <w:fldChar w:fldCharType="begin"/>
        </w:r>
        <w:r w:rsidR="00617D79">
          <w:rPr>
            <w:noProof/>
            <w:webHidden/>
          </w:rPr>
          <w:instrText xml:space="preserve"> PAGEREF _Toc285478086 \h </w:instrText>
        </w:r>
        <w:r>
          <w:rPr>
            <w:noProof/>
            <w:webHidden/>
          </w:rPr>
        </w:r>
        <w:r>
          <w:rPr>
            <w:noProof/>
            <w:webHidden/>
          </w:rPr>
          <w:fldChar w:fldCharType="separate"/>
        </w:r>
        <w:r w:rsidR="00531AB5">
          <w:rPr>
            <w:noProof/>
            <w:webHidden/>
          </w:rPr>
          <w:t>114</w:t>
        </w:r>
        <w:r>
          <w:rPr>
            <w:noProof/>
            <w:webHidden/>
          </w:rPr>
          <w:fldChar w:fldCharType="end"/>
        </w:r>
      </w:hyperlink>
      <w:r w:rsidRPr="00EE218F">
        <w:rPr>
          <w:rFonts w:asciiTheme="majorBidi" w:hAnsiTheme="majorBidi" w:cstheme="majorBidi"/>
        </w:rPr>
        <w:fldChar w:fldCharType="end"/>
      </w:r>
      <w:bookmarkStart w:id="0" w:name="_Toc280161878"/>
    </w:p>
    <w:p w:rsidR="00824A50" w:rsidRDefault="00824A50" w:rsidP="007363DD">
      <w:pPr>
        <w:sectPr w:rsidR="00824A50" w:rsidSect="00617D79">
          <w:footerReference w:type="default" r:id="rId11"/>
          <w:footerReference w:type="first" r:id="rId12"/>
          <w:pgSz w:w="12240" w:h="15840" w:code="1"/>
          <w:pgMar w:top="1440" w:right="1440" w:bottom="1872" w:left="1440" w:header="720" w:footer="1440" w:gutter="0"/>
          <w:pgNumType w:fmt="lowerRoman" w:start="1"/>
          <w:cols w:space="720"/>
          <w:titlePg/>
          <w:docGrid w:linePitch="360"/>
        </w:sectPr>
      </w:pPr>
    </w:p>
    <w:p w:rsidR="00D20F59" w:rsidRDefault="00D20F59" w:rsidP="007363DD"/>
    <w:p w:rsidR="00D20F59" w:rsidRDefault="00D20F59" w:rsidP="007363DD"/>
    <w:p w:rsidR="003048B1" w:rsidRDefault="003048B1" w:rsidP="007363DD"/>
    <w:p w:rsidR="003966E8" w:rsidRPr="00327463" w:rsidRDefault="0007385D" w:rsidP="00327463">
      <w:pPr>
        <w:rPr>
          <w:b/>
          <w:bCs/>
          <w:sz w:val="48"/>
          <w:szCs w:val="48"/>
        </w:rPr>
      </w:pPr>
      <w:bookmarkStart w:id="1" w:name="_Toc280164118"/>
      <w:bookmarkStart w:id="2" w:name="_Toc280164614"/>
      <w:bookmarkStart w:id="3" w:name="_Toc280174525"/>
      <w:r w:rsidRPr="00327463">
        <w:rPr>
          <w:sz w:val="48"/>
          <w:szCs w:val="48"/>
        </w:rPr>
        <w:t>Essay</w:t>
      </w:r>
      <w:r w:rsidR="003966E8" w:rsidRPr="00327463">
        <w:rPr>
          <w:sz w:val="48"/>
          <w:szCs w:val="48"/>
        </w:rPr>
        <w:t xml:space="preserve"> 1</w:t>
      </w:r>
      <w:bookmarkEnd w:id="0"/>
      <w:bookmarkEnd w:id="1"/>
      <w:bookmarkEnd w:id="2"/>
      <w:bookmarkEnd w:id="3"/>
    </w:p>
    <w:p w:rsidR="00DC5BC8" w:rsidRPr="00A55804" w:rsidRDefault="00DC5BC8" w:rsidP="003966E8">
      <w:pPr>
        <w:pStyle w:val="StyleHeading1Centered"/>
        <w:jc w:val="left"/>
        <w:rPr>
          <w:rFonts w:asciiTheme="majorBidi" w:hAnsiTheme="majorBidi" w:cstheme="majorBidi"/>
        </w:rPr>
      </w:pPr>
    </w:p>
    <w:p w:rsidR="003966E8" w:rsidRPr="00A55804" w:rsidRDefault="003966E8" w:rsidP="003966E8">
      <w:pPr>
        <w:pStyle w:val="StyleHeading1Centered"/>
        <w:jc w:val="left"/>
        <w:rPr>
          <w:rFonts w:asciiTheme="majorBidi" w:hAnsiTheme="majorBidi" w:cstheme="majorBidi"/>
        </w:rPr>
      </w:pPr>
    </w:p>
    <w:p w:rsidR="003966E8" w:rsidRPr="00A55804" w:rsidRDefault="003966E8" w:rsidP="003966E8">
      <w:pPr>
        <w:pStyle w:val="StyleHeading1Centered"/>
        <w:jc w:val="left"/>
        <w:rPr>
          <w:rFonts w:asciiTheme="majorBidi" w:hAnsiTheme="majorBidi" w:cstheme="majorBidi"/>
        </w:rPr>
      </w:pPr>
    </w:p>
    <w:p w:rsidR="003966E8" w:rsidRPr="00A55804" w:rsidRDefault="003966E8" w:rsidP="003966E8">
      <w:pPr>
        <w:pStyle w:val="StyleHeading1Centered"/>
        <w:jc w:val="left"/>
        <w:rPr>
          <w:rFonts w:asciiTheme="majorBidi" w:hAnsiTheme="majorBidi" w:cstheme="majorBidi"/>
        </w:rPr>
      </w:pPr>
    </w:p>
    <w:p w:rsidR="003966E8" w:rsidRPr="00A55804" w:rsidRDefault="003F1429" w:rsidP="003F1429">
      <w:pPr>
        <w:pStyle w:val="StyleHeading1Centered"/>
        <w:tabs>
          <w:tab w:val="left" w:pos="360"/>
        </w:tabs>
        <w:ind w:hanging="360"/>
        <w:jc w:val="left"/>
        <w:rPr>
          <w:rFonts w:asciiTheme="majorBidi" w:hAnsiTheme="majorBidi" w:cstheme="majorBidi"/>
          <w:b w:val="0"/>
          <w:caps w:val="0"/>
          <w:sz w:val="40"/>
          <w:szCs w:val="40"/>
        </w:rPr>
      </w:pPr>
      <w:bookmarkStart w:id="4" w:name="_Toc285477999"/>
      <w:r w:rsidRPr="00A55804">
        <w:rPr>
          <w:rFonts w:asciiTheme="majorBidi" w:hAnsiTheme="majorBidi" w:cstheme="majorBidi"/>
          <w:b w:val="0"/>
          <w:caps w:val="0"/>
          <w:color w:val="FFFFFF" w:themeColor="background1"/>
          <w:sz w:val="40"/>
          <w:szCs w:val="40"/>
        </w:rPr>
        <w:t>1</w:t>
      </w:r>
      <w:r w:rsidRPr="00EE6912">
        <w:rPr>
          <w:rFonts w:asciiTheme="majorBidi" w:hAnsiTheme="majorBidi" w:cstheme="majorBidi"/>
          <w:b w:val="0"/>
          <w:caps w:val="0"/>
          <w:color w:val="FFFFFF" w:themeColor="background1"/>
          <w:sz w:val="36"/>
          <w:szCs w:val="36"/>
        </w:rPr>
        <w:t>.</w:t>
      </w:r>
      <w:r w:rsidRPr="00EE6912">
        <w:rPr>
          <w:rFonts w:asciiTheme="majorBidi" w:hAnsiTheme="majorBidi" w:cstheme="majorBidi"/>
          <w:b w:val="0"/>
          <w:caps w:val="0"/>
          <w:sz w:val="36"/>
          <w:szCs w:val="36"/>
        </w:rPr>
        <w:t xml:space="preserve"> </w:t>
      </w:r>
      <w:r w:rsidRPr="00327463">
        <w:rPr>
          <w:rFonts w:asciiTheme="majorBidi" w:hAnsiTheme="majorBidi" w:cstheme="majorBidi"/>
          <w:b w:val="0"/>
          <w:caps w:val="0"/>
          <w:sz w:val="36"/>
          <w:szCs w:val="36"/>
        </w:rPr>
        <w:t>Durable</w:t>
      </w:r>
      <w:r w:rsidR="003966E8" w:rsidRPr="00327463">
        <w:rPr>
          <w:rFonts w:asciiTheme="majorBidi" w:hAnsiTheme="majorBidi" w:cstheme="majorBidi"/>
          <w:b w:val="0"/>
          <w:caps w:val="0"/>
          <w:sz w:val="36"/>
          <w:szCs w:val="36"/>
        </w:rPr>
        <w:t xml:space="preserve"> Goods, Interest Rates and </w:t>
      </w:r>
      <w:r w:rsidR="000E01F4" w:rsidRPr="00327463">
        <w:rPr>
          <w:rFonts w:asciiTheme="majorBidi" w:hAnsiTheme="majorBidi" w:cstheme="majorBidi"/>
          <w:b w:val="0"/>
          <w:caps w:val="0"/>
          <w:sz w:val="36"/>
          <w:szCs w:val="36"/>
        </w:rPr>
        <w:t xml:space="preserve">the </w:t>
      </w:r>
      <w:r w:rsidR="003966E8" w:rsidRPr="00327463">
        <w:rPr>
          <w:rFonts w:asciiTheme="majorBidi" w:hAnsiTheme="majorBidi" w:cstheme="majorBidi"/>
          <w:b w:val="0"/>
          <w:caps w:val="0"/>
          <w:sz w:val="36"/>
          <w:szCs w:val="36"/>
        </w:rPr>
        <w:t>Small</w:t>
      </w:r>
      <w:r w:rsidRPr="00327463">
        <w:rPr>
          <w:rFonts w:asciiTheme="majorBidi" w:hAnsiTheme="majorBidi" w:cstheme="majorBidi"/>
          <w:b w:val="0"/>
          <w:caps w:val="0"/>
          <w:sz w:val="36"/>
          <w:szCs w:val="36"/>
        </w:rPr>
        <w:t xml:space="preserve"> </w:t>
      </w:r>
      <w:r w:rsidR="003966E8" w:rsidRPr="00327463">
        <w:rPr>
          <w:rFonts w:asciiTheme="majorBidi" w:hAnsiTheme="majorBidi" w:cstheme="majorBidi"/>
          <w:b w:val="0"/>
          <w:caps w:val="0"/>
          <w:sz w:val="36"/>
          <w:szCs w:val="36"/>
        </w:rPr>
        <w:t>Open Economy Business Cycle</w:t>
      </w:r>
      <w:bookmarkEnd w:id="4"/>
      <w:r w:rsidR="003966E8" w:rsidRPr="00A55804">
        <w:rPr>
          <w:rFonts w:asciiTheme="majorBidi" w:hAnsiTheme="majorBidi" w:cstheme="majorBidi"/>
          <w:b w:val="0"/>
          <w:caps w:val="0"/>
          <w:sz w:val="40"/>
          <w:szCs w:val="40"/>
        </w:rPr>
        <w:t xml:space="preserve"> </w:t>
      </w:r>
    </w:p>
    <w:p w:rsidR="00DC5BC8" w:rsidRPr="00A55804" w:rsidRDefault="00DC5BC8" w:rsidP="00DC5BC8">
      <w:pPr>
        <w:numPr>
          <w:ilvl w:val="12"/>
          <w:numId w:val="0"/>
        </w:numPr>
        <w:jc w:val="center"/>
        <w:rPr>
          <w:rFonts w:asciiTheme="majorBidi" w:hAnsiTheme="majorBidi" w:cstheme="majorBidi"/>
        </w:rPr>
      </w:pPr>
    </w:p>
    <w:p w:rsidR="00DC5BC8" w:rsidRPr="00A55804" w:rsidRDefault="00DC5BC8" w:rsidP="00DC5BC8">
      <w:pPr>
        <w:numPr>
          <w:ilvl w:val="12"/>
          <w:numId w:val="0"/>
        </w:numPr>
        <w:jc w:val="center"/>
        <w:rPr>
          <w:rFonts w:asciiTheme="majorBidi" w:hAnsiTheme="majorBidi" w:cstheme="majorBidi"/>
        </w:rPr>
      </w:pPr>
    </w:p>
    <w:p w:rsidR="005518C7" w:rsidRPr="00A55804" w:rsidRDefault="005518C7" w:rsidP="00DC5BC8">
      <w:pPr>
        <w:numPr>
          <w:ilvl w:val="12"/>
          <w:numId w:val="0"/>
        </w:numPr>
        <w:jc w:val="center"/>
        <w:rPr>
          <w:rFonts w:asciiTheme="majorBidi" w:hAnsiTheme="majorBidi" w:cstheme="majorBidi"/>
        </w:rPr>
      </w:pPr>
    </w:p>
    <w:p w:rsidR="005518C7" w:rsidRPr="00EE6912" w:rsidRDefault="003966E8" w:rsidP="00D7460A">
      <w:pPr>
        <w:pStyle w:val="Heading2"/>
        <w:numPr>
          <w:ilvl w:val="1"/>
          <w:numId w:val="2"/>
        </w:numPr>
        <w:spacing w:after="240"/>
        <w:jc w:val="left"/>
        <w:rPr>
          <w:b w:val="0"/>
          <w:bCs w:val="0"/>
        </w:rPr>
      </w:pPr>
      <w:bookmarkStart w:id="5" w:name="_Toc285478000"/>
      <w:r w:rsidRPr="00EE6912">
        <w:rPr>
          <w:b w:val="0"/>
          <w:bCs w:val="0"/>
        </w:rPr>
        <w:t>Introduction</w:t>
      </w:r>
      <w:bookmarkEnd w:id="5"/>
    </w:p>
    <w:p w:rsidR="002C7859" w:rsidRPr="002C7859" w:rsidRDefault="002C7859" w:rsidP="002C7859"/>
    <w:p w:rsidR="000414F6" w:rsidRPr="00CC066A" w:rsidRDefault="000414F6" w:rsidP="00DC394E">
      <w:pPr>
        <w:autoSpaceDE w:val="0"/>
        <w:autoSpaceDN w:val="0"/>
        <w:adjustRightInd w:val="0"/>
        <w:spacing w:before="240" w:after="240" w:line="480" w:lineRule="auto"/>
        <w:ind w:firstLine="720"/>
        <w:jc w:val="both"/>
      </w:pPr>
      <w:r w:rsidRPr="00CC066A">
        <w:t xml:space="preserve">Households’ spending on consumption of durable goods in a typical advanced small open economy like Canada constitutes almost 15 percent of GDP. Their spending on durables is strongly procyclical, highly correlated with trade balance, sensitive to interest rates and leads the business cycle. Motivated by these facts, we constructed a real business cycle model (RBC) with durable and nondurable consumption and stochastic country premium. Additional features of our model include habit persistence in durable and nondurable consumption so as well in labor supply which mainly helps to match with the degree of persistence in the actual business cycle data. The model also relies on variable capital utilization as an additional channel to control over the aggregate volatility of the theoretical model .It is subjected to two sources of uncertainty related to technology and county risk premium. </w:t>
      </w:r>
    </w:p>
    <w:p w:rsidR="000414F6" w:rsidRPr="00CC066A" w:rsidRDefault="000414F6" w:rsidP="00DC394E">
      <w:pPr>
        <w:autoSpaceDE w:val="0"/>
        <w:autoSpaceDN w:val="0"/>
        <w:adjustRightInd w:val="0"/>
        <w:spacing w:before="240" w:after="240" w:line="480" w:lineRule="auto"/>
        <w:ind w:firstLine="720"/>
        <w:jc w:val="both"/>
      </w:pPr>
      <w:r w:rsidRPr="00CC066A">
        <w:t>We calibrate our model to Canadian data (1980:Q1-2009:Q4) and find that the model economy is closely matches the observed business cycle and replicates well the comovement between durable spending and the rest of the national accounts. Further, we find country premium plays an important role in explaining the dynamic of external debt and investment and helps explaining the observed comovement between durable spending and national accounts.  This result is intuitive since the stock of durables constitutes an important share of the aggregate portfolio of the advanced open economy. Our model is also consistent with the empirical observation that durable spending leads the business cycle. In a counterfactual version of the model, without interest rate uncertainty, the model predicts durable spending to lag the business cycle, which we consider as an additional argument on the validity of our model. However, RBC models of small open economies have been challenged in the recent literature in terms of their ability to predict various features of actual business cycles. Many authors have crafted different modifications to these models to improve their prediction. We highlight these limitations and the main models that could partially overcome these limitations, and then we highlight the main features of our alternate model.</w:t>
      </w:r>
    </w:p>
    <w:p w:rsidR="000414F6" w:rsidRPr="00CC066A" w:rsidRDefault="000414F6" w:rsidP="00DC394E">
      <w:pPr>
        <w:autoSpaceDE w:val="0"/>
        <w:autoSpaceDN w:val="0"/>
        <w:adjustRightInd w:val="0"/>
        <w:spacing w:before="240" w:after="240" w:line="480" w:lineRule="auto"/>
        <w:ind w:firstLine="720"/>
        <w:jc w:val="both"/>
      </w:pPr>
      <w:r w:rsidRPr="00CC066A">
        <w:t>It is well known that most of the difficulties in matching a theoretical RBC model with actual data have initial raised in the initial work of Mendoza (1991).  In his first small open economy RBC model, Mendoza (1991) successfully explains main stylized facts particular to these economies.</w:t>
      </w:r>
      <w:r w:rsidRPr="00CC066A">
        <w:rPr>
          <w:rStyle w:val="FootnoteReference"/>
        </w:rPr>
        <w:footnoteReference w:id="1"/>
      </w:r>
      <w:r w:rsidRPr="00CC066A">
        <w:t xml:space="preserve"> His model ignited a series of important research papers. However, these models have carried many limitations that exist in the work of Mendoza</w:t>
      </w:r>
      <w:r>
        <w:t xml:space="preserve"> </w:t>
      </w:r>
      <w:r w:rsidRPr="00CC066A">
        <w:t>(1991). Investigating on sources for these short outcomes of the open economy RBC models one can sort them in three categories (</w:t>
      </w:r>
      <w:proofErr w:type="spellStart"/>
      <w:r w:rsidRPr="00CC066A">
        <w:t>i</w:t>
      </w:r>
      <w:proofErr w:type="spellEnd"/>
      <w:r w:rsidRPr="00CC066A">
        <w:t>) the vulnerability of these models to technological progress estimators and (ii) the choice of the specific preference of hous</w:t>
      </w:r>
      <w:r>
        <w:t>e</w:t>
      </w:r>
      <w:r w:rsidRPr="00CC066A">
        <w:t xml:space="preserve">holds, and (iii) the inability of these models to capture effects of the fluctuations in the international interest rates which constitute an important dilemma in these models. </w:t>
      </w:r>
    </w:p>
    <w:p w:rsidR="000414F6" w:rsidRPr="00CC066A" w:rsidRDefault="000414F6" w:rsidP="00DC394E">
      <w:pPr>
        <w:autoSpaceDE w:val="0"/>
        <w:autoSpaceDN w:val="0"/>
        <w:adjustRightInd w:val="0"/>
        <w:spacing w:before="240" w:after="240" w:line="480" w:lineRule="auto"/>
        <w:ind w:firstLine="720"/>
        <w:jc w:val="both"/>
      </w:pPr>
      <w:r w:rsidRPr="00CC066A">
        <w:t>Mendoza (1991) fined that when technical progress estimators are derived from Solow residuals, his model overstates the observed volatility and the persistence of annual frequency business cycle data. To circumvent this problem, he departed away from the conventional wisdom of the RBC literature. Instead of using Solow residuals to obtain the estimators of the technical progress driving force estimators, he instead calibrated these impotent estimators just to bring the simulated volatility and persistence in the aggregate output fluctuations closer to the actual data.</w:t>
      </w:r>
      <w:r w:rsidRPr="00CC066A">
        <w:rPr>
          <w:rStyle w:val="FootnoteReference"/>
        </w:rPr>
        <w:footnoteReference w:id="2"/>
      </w:r>
      <w:r w:rsidRPr="00CC066A">
        <w:t xml:space="preserve"> Unlike Mendoza, Baxter and Farr (2001) argue that variable capital utilization is an appealing assumption when it comes to open economies. Their new approach for the open economy model indeed improved the performance of the international RBC model. The same approach is also adopted by Letendre (2004) and </w:t>
      </w:r>
      <w:proofErr w:type="spellStart"/>
      <w:r w:rsidRPr="00CC066A">
        <w:t>Guo</w:t>
      </w:r>
      <w:proofErr w:type="spellEnd"/>
      <w:r w:rsidRPr="00CC066A">
        <w:t xml:space="preserve"> and </w:t>
      </w:r>
      <w:proofErr w:type="spellStart"/>
      <w:r w:rsidRPr="00CC066A">
        <w:t>Janko</w:t>
      </w:r>
      <w:proofErr w:type="spellEnd"/>
      <w:r w:rsidRPr="00CC066A">
        <w:t xml:space="preserve"> (2009) in their open economy RBC analysis. </w:t>
      </w:r>
      <w:proofErr w:type="spellStart"/>
      <w:r w:rsidRPr="00CC066A">
        <w:t>Aguiar</w:t>
      </w:r>
      <w:proofErr w:type="spellEnd"/>
      <w:r w:rsidRPr="00CC066A">
        <w:t xml:space="preserve"> and </w:t>
      </w:r>
      <w:proofErr w:type="spellStart"/>
      <w:r w:rsidRPr="00CC066A">
        <w:t>Gopinath</w:t>
      </w:r>
      <w:proofErr w:type="spellEnd"/>
      <w:r w:rsidRPr="00CC066A">
        <w:t xml:space="preserve"> (2007) alternatively decompose the Solow residuals into two components: a transitory productivity shock and a random walk or trend shock. The later component is parameterized with GMM method to minimize the difference between observed business cycle moments and its parallel moments obtained from the model. Of particular interest, their model predicts that emerging countries are driven mainly by shocks to the trend while developed economies are driven mainly by transitory shocks to technology. They interpret the stochasticity of the trend as evidence to unobserved regime switching, friction and/or domestic policies shifts.  In this context, Garcia-</w:t>
      </w:r>
      <w:proofErr w:type="spellStart"/>
      <w:r w:rsidRPr="00CC066A">
        <w:t>Cicco</w:t>
      </w:r>
      <w:proofErr w:type="spellEnd"/>
      <w:r w:rsidRPr="00CC066A">
        <w:t xml:space="preserve">, </w:t>
      </w:r>
      <w:proofErr w:type="spellStart"/>
      <w:r w:rsidRPr="00CC066A">
        <w:t>Pancrazi</w:t>
      </w:r>
      <w:proofErr w:type="spellEnd"/>
      <w:r w:rsidRPr="00CC066A">
        <w:t>, and Uribe (2010) argue that the trend estimators of the trend process should steam directly from data. By so doing, they find that the standard open economy model with stochastic trend is incapable of predicting the main stylized facts of the business cycle of emerging economies. Otherwise Garcia-</w:t>
      </w:r>
      <w:proofErr w:type="spellStart"/>
      <w:r w:rsidRPr="00CC066A">
        <w:t>Cicco</w:t>
      </w:r>
      <w:proofErr w:type="spellEnd"/>
      <w:r w:rsidRPr="00CC066A">
        <w:t xml:space="preserve"> et al find that a model with financial friction combined with exogenous preference and domestic spending shocks performs better in explaining the </w:t>
      </w:r>
      <w:proofErr w:type="spellStart"/>
      <w:r w:rsidRPr="00CC066A">
        <w:t>Argentinian</w:t>
      </w:r>
      <w:proofErr w:type="spellEnd"/>
      <w:r w:rsidRPr="00CC066A">
        <w:t xml:space="preserve"> economic business cycle. </w:t>
      </w:r>
    </w:p>
    <w:p w:rsidR="000414F6" w:rsidRPr="00CC066A" w:rsidRDefault="000414F6" w:rsidP="00DC394E">
      <w:pPr>
        <w:autoSpaceDE w:val="0"/>
        <w:autoSpaceDN w:val="0"/>
        <w:adjustRightInd w:val="0"/>
        <w:spacing w:before="240" w:after="240" w:line="480" w:lineRule="auto"/>
        <w:ind w:firstLine="720"/>
        <w:jc w:val="both"/>
      </w:pPr>
      <w:r w:rsidRPr="00CC066A">
        <w:t xml:space="preserve">Additional limitations arise from the choice of the household preference, commonly known as GHH preferences according to Greenwood, </w:t>
      </w:r>
      <w:proofErr w:type="spellStart"/>
      <w:r w:rsidRPr="00CC066A">
        <w:t>Hercowitz</w:t>
      </w:r>
      <w:proofErr w:type="spellEnd"/>
      <w:r w:rsidRPr="00CC066A">
        <w:t>, and Huffman (1988).</w:t>
      </w:r>
      <w:r w:rsidRPr="00CC066A">
        <w:rPr>
          <w:rStyle w:val="FootnoteReference"/>
        </w:rPr>
        <w:footnoteReference w:id="3"/>
      </w:r>
      <w:r w:rsidRPr="00CC066A">
        <w:t xml:space="preserve"> Although this class of preference is performing better comparing to other common specifications, it yields high correlations between output and other national accounts, particularly employment and consumption in addition it yields very low persistence in the generated macro data comparing to the actual business cycles. To overcome these problems, many authors augment this preference with habit formation. For example Uribe</w:t>
      </w:r>
      <w:r w:rsidR="0056737C">
        <w:t xml:space="preserve"> </w:t>
      </w:r>
      <w:r w:rsidRPr="00CC066A">
        <w:t xml:space="preserve">(2002), Letendre (2004) and Uribe and </w:t>
      </w:r>
      <w:proofErr w:type="spellStart"/>
      <w:r w:rsidRPr="00CC066A">
        <w:t>Yue</w:t>
      </w:r>
      <w:proofErr w:type="spellEnd"/>
      <w:r w:rsidR="0056737C">
        <w:t xml:space="preserve"> </w:t>
      </w:r>
      <w:r w:rsidRPr="00CC066A">
        <w:t xml:space="preserve">(2006) among others use habit formation in consumption to improve the outcomes of the model with GHH preference. Interestingly, </w:t>
      </w:r>
      <w:proofErr w:type="spellStart"/>
      <w:r w:rsidRPr="00CC066A">
        <w:t>Guo</w:t>
      </w:r>
      <w:proofErr w:type="spellEnd"/>
      <w:r w:rsidRPr="00CC066A">
        <w:t xml:space="preserve"> and </w:t>
      </w:r>
      <w:proofErr w:type="spellStart"/>
      <w:r w:rsidRPr="00CC066A">
        <w:t>Janko</w:t>
      </w:r>
      <w:proofErr w:type="spellEnd"/>
      <w:r w:rsidRPr="00CC066A">
        <w:t xml:space="preserve"> (2009) introduced habit formation in labor supply and improved additional characteristics of the model. Additional critic on the performance of the small open economy RBC models is due to the inability of these models to serve as platform in explaining the dynamics of the small open economies in response to international interest rate fluctuations. Neumeyer and Perri (2005) argue that emerging economies are more </w:t>
      </w:r>
      <w:r w:rsidR="002F5DEC" w:rsidRPr="00CC066A">
        <w:t>sensitive</w:t>
      </w:r>
      <w:r w:rsidR="002F5DEC">
        <w:t xml:space="preserve"> to international capital flows and</w:t>
      </w:r>
      <w:r w:rsidRPr="00CC066A">
        <w:t xml:space="preserve"> interest rates. To model these</w:t>
      </w:r>
      <w:r w:rsidR="002F5DEC">
        <w:t xml:space="preserve"> phenomena</w:t>
      </w:r>
      <w:r w:rsidRPr="00CC066A">
        <w:t>, they introduced a working capital constraint as an additional channel for interest rates. With these modifications, their model produced countercyclical interest rates as observed in emerging economies. In addition their model also replicates various stylized facts specific to these economies.</w:t>
      </w:r>
      <w:r w:rsidRPr="00CC066A">
        <w:rPr>
          <w:rStyle w:val="FootnoteReference"/>
        </w:rPr>
        <w:footnoteReference w:id="4"/>
      </w:r>
      <w:r w:rsidRPr="00CC066A">
        <w:t xml:space="preserve"> But unfortunately, their business cycle model is limited to emerging economies only. Neumeyer and Perri, Garcia-</w:t>
      </w:r>
      <w:proofErr w:type="spellStart"/>
      <w:r w:rsidRPr="00CC066A">
        <w:t>Cicco</w:t>
      </w:r>
      <w:proofErr w:type="spellEnd"/>
      <w:r w:rsidRPr="00CC066A">
        <w:t xml:space="preserve"> et al, and </w:t>
      </w:r>
      <w:proofErr w:type="spellStart"/>
      <w:r w:rsidRPr="00CC066A">
        <w:t>Aguiar</w:t>
      </w:r>
      <w:proofErr w:type="spellEnd"/>
      <w:r w:rsidRPr="00CC066A">
        <w:t xml:space="preserve"> and </w:t>
      </w:r>
      <w:proofErr w:type="spellStart"/>
      <w:r w:rsidRPr="00CC066A">
        <w:t>Gopinath</w:t>
      </w:r>
      <w:proofErr w:type="spellEnd"/>
      <w:r w:rsidRPr="00CC066A">
        <w:t xml:space="preserve"> all realize that small open economies are distinct in many structural structures issues and for a RBC models must account for distinguished characteristics of the underlining.  </w:t>
      </w:r>
    </w:p>
    <w:p w:rsidR="000414F6" w:rsidRPr="00CC066A" w:rsidRDefault="000414F6" w:rsidP="00DC394E">
      <w:pPr>
        <w:autoSpaceDE w:val="0"/>
        <w:autoSpaceDN w:val="0"/>
        <w:adjustRightInd w:val="0"/>
        <w:spacing w:before="240" w:after="240" w:line="480" w:lineRule="auto"/>
        <w:ind w:firstLine="720"/>
        <w:jc w:val="both"/>
      </w:pPr>
      <w:r w:rsidRPr="00CC066A">
        <w:t>We note that adjustments of durables stock are particularly important for advanced small open economies. Spending on durables is not only constitutes a larger share of households’ income in advanced small with two goods but it closely commove with all national accounts and it also consider as a natural channel for interest rates. Hence we postulate with two goods model (durable and nondurable) and incorporate interest rates uncertainty into the model in the form of a stochastic country specific risk premium, Garcia-</w:t>
      </w:r>
      <w:proofErr w:type="spellStart"/>
      <w:r w:rsidRPr="00CC066A">
        <w:t>Cicco</w:t>
      </w:r>
      <w:proofErr w:type="spellEnd"/>
      <w:r w:rsidRPr="00CC066A">
        <w:t xml:space="preserve"> </w:t>
      </w:r>
      <w:proofErr w:type="gramStart"/>
      <w:r w:rsidRPr="00CC066A">
        <w:t>et</w:t>
      </w:r>
      <w:proofErr w:type="gramEnd"/>
      <w:r w:rsidRPr="00CC066A">
        <w:t>. Including durable goods in a small open economy RBC model significantly improves their ability to capturing the effect of interest rates and better our understanding of the distinct features of macroeconomic dynamics in the small open economies. In a typical two-goods economy, the substitution between durables and nondurables arises from changes in real interest rates, given the nonseparability of preferences in durable and nondurable goods. As pointed by Ogaki and Reinhart (1998), excluding durables from a RBC model, understates the estimated intertemporal elasticity of substitution, unless the two goods are completely independent.</w:t>
      </w:r>
      <w:r w:rsidRPr="00CC066A">
        <w:rPr>
          <w:rStyle w:val="FootnoteReference"/>
        </w:rPr>
        <w:t xml:space="preserve"> </w:t>
      </w:r>
      <w:r w:rsidRPr="00CC066A">
        <w:t xml:space="preserve">Since durable goods constitute a natural channel for interest rates, one can conclude that the absence of durable may also affect the macroeconomic response to changes in interest rates. Bernanke (1985), for example, shows that durable stock adjustments may substantially affect the time series properties of durable and nondurable consumption. </w:t>
      </w:r>
      <w:proofErr w:type="spellStart"/>
      <w:r w:rsidRPr="00CC066A">
        <w:t>Iscan</w:t>
      </w:r>
      <w:proofErr w:type="spellEnd"/>
      <w:r w:rsidRPr="00CC066A">
        <w:t xml:space="preserve"> (2002) finds empirical evidence that the Canadian current account reflects to some extent adjustments in the stock of durables.  Uribe (2002) recommends time nonseparablity in preference (with durability in consumption or habit persistence) to improve the prediction </w:t>
      </w:r>
      <w:proofErr w:type="gramStart"/>
      <w:r w:rsidRPr="00CC066A">
        <w:t>of  the</w:t>
      </w:r>
      <w:proofErr w:type="gramEnd"/>
      <w:r w:rsidRPr="00CC066A">
        <w:t xml:space="preserve"> international RBC model in terms of the observed “Price-Consumption Puzzle of Currency Pegs.” Engel and Wang (2010) show that a standard international business cycle model with durability in traded goods can explain the behavior of imports and exports over the business cycle. However we find that a two goods model needs further modifications to be able to overcome the traditional limitations of the small open economy RBC models and be able to mimic various features of the observed advanced economies business cycles.  Hence, we add additional features to our model including: habit persistence, variable capital utilization. </w:t>
      </w:r>
    </w:p>
    <w:p w:rsidR="000414F6" w:rsidRPr="00CC066A" w:rsidRDefault="000414F6" w:rsidP="00DC394E">
      <w:pPr>
        <w:autoSpaceDE w:val="0"/>
        <w:autoSpaceDN w:val="0"/>
        <w:adjustRightInd w:val="0"/>
        <w:spacing w:before="240" w:after="240" w:line="480" w:lineRule="auto"/>
        <w:ind w:firstLine="720"/>
        <w:jc w:val="both"/>
      </w:pPr>
      <w:r w:rsidRPr="00CC066A">
        <w:t>The combination of both durability in consumption and habit formation intensifies the time nonseparability of households preference and the combination of these two sources for time nonseparability enrich the performance of a model in many aspects, particularly with respect to the aggregate portfolio adjustments.  Habit forming household requires a higher premium to forsake consumption for holding risky assets than a household with time-separable preferences.</w:t>
      </w:r>
      <w:r w:rsidRPr="00CC066A">
        <w:rPr>
          <w:vertAlign w:val="superscript"/>
        </w:rPr>
        <w:footnoteReference w:id="5"/>
      </w:r>
      <w:r w:rsidRPr="00CC066A">
        <w:t xml:space="preserve">  Accordingly, habit persistence in consumption plays an important role in saving dynamics. It is imperative to take this into consideration where saving dynamics in response to interest rates and other shocks play a crucial role. Our model accounts for habit formation in the consumption of both durable and nondurable goods. Further, we introduce habit in labor supply to improve the persistence of employment and output data. Interestingly, labor habit helps to adjust other features in the labor market outcomes.</w:t>
      </w:r>
    </w:p>
    <w:p w:rsidR="000414F6" w:rsidRPr="00CC066A" w:rsidRDefault="000414F6" w:rsidP="00DC394E">
      <w:pPr>
        <w:autoSpaceDE w:val="0"/>
        <w:autoSpaceDN w:val="0"/>
        <w:adjustRightInd w:val="0"/>
        <w:spacing w:before="240" w:after="240" w:line="480" w:lineRule="auto"/>
        <w:ind w:firstLine="720"/>
        <w:jc w:val="both"/>
      </w:pPr>
      <w:r w:rsidRPr="00CC066A">
        <w:t xml:space="preserve">Burnside, </w:t>
      </w:r>
      <w:proofErr w:type="spellStart"/>
      <w:r w:rsidRPr="00CC066A">
        <w:t>Eichenbaum</w:t>
      </w:r>
      <w:proofErr w:type="spellEnd"/>
      <w:r w:rsidRPr="00CC066A">
        <w:t xml:space="preserve"> and </w:t>
      </w:r>
      <w:proofErr w:type="spellStart"/>
      <w:r w:rsidRPr="00CC066A">
        <w:t>Rebelo</w:t>
      </w:r>
      <w:proofErr w:type="spellEnd"/>
      <w:r w:rsidRPr="00CC066A">
        <w:t xml:space="preserve"> (1993), Burnside and </w:t>
      </w:r>
      <w:proofErr w:type="spellStart"/>
      <w:r w:rsidRPr="00CC066A">
        <w:t>Eichenbaum</w:t>
      </w:r>
      <w:proofErr w:type="spellEnd"/>
      <w:r w:rsidRPr="00CC066A">
        <w:t xml:space="preserve"> (1996), and King and </w:t>
      </w:r>
      <w:proofErr w:type="spellStart"/>
      <w:r w:rsidRPr="00CC066A">
        <w:t>Rebelo</w:t>
      </w:r>
      <w:proofErr w:type="spellEnd"/>
      <w:r w:rsidRPr="00CC066A">
        <w:t xml:space="preserve"> (1999), find that factory utilization reduces the variance of the innovation in productivity shocks necessary to match the observed volatility of output, and reduces the likelihood of a technological regress. Baxter and Farr, Letendre, and </w:t>
      </w:r>
      <w:proofErr w:type="spellStart"/>
      <w:r w:rsidRPr="00CC066A">
        <w:t>Gau</w:t>
      </w:r>
      <w:proofErr w:type="spellEnd"/>
      <w:r w:rsidRPr="00CC066A">
        <w:t xml:space="preserve"> and </w:t>
      </w:r>
      <w:proofErr w:type="spellStart"/>
      <w:r w:rsidRPr="00CC066A">
        <w:t>Janko</w:t>
      </w:r>
      <w:proofErr w:type="spellEnd"/>
      <w:r w:rsidRPr="00CC066A">
        <w:t xml:space="preserve"> utilize the variable capital utilization to improve the predictions in their open economy RBC models as we intend to do in our model.   </w:t>
      </w:r>
    </w:p>
    <w:p w:rsidR="000414F6" w:rsidRPr="00CC066A" w:rsidRDefault="000414F6" w:rsidP="00DC394E">
      <w:pPr>
        <w:autoSpaceDE w:val="0"/>
        <w:autoSpaceDN w:val="0"/>
        <w:adjustRightInd w:val="0"/>
        <w:spacing w:before="240" w:after="240" w:line="480" w:lineRule="auto"/>
        <w:ind w:firstLine="720"/>
        <w:jc w:val="both"/>
      </w:pPr>
      <w:r w:rsidRPr="00CC066A">
        <w:t>The performance of the model, in terms of the second moments, provides a remarkable match with the various features of the Canadian quarterly business cycle.  The model closely predicts both the volatility and the persistence of all national accounts and their cyclical behavior. Nondurable consumption, durable consumption and employment are strongly procyclical with high persistence levels.  Trade balance is moderately countercyclical and persistent. Spending on durable consumption is more volatile than output, moderately persistent, highly procyclical, and leading the business cycle.</w:t>
      </w:r>
      <w:r>
        <w:t xml:space="preserve"> </w:t>
      </w:r>
      <w:r w:rsidRPr="00CC066A">
        <w:t>We find that interest rate uncertainty explains about 1.3 percent of the aggregate output fluctuations. It also plays an important role in improving the model’s predictions, particularly in terms of the volatility of the trade balance to output ratio and the procyclicality of durables and investment. Interest rates uncertainty also explains why durable spending leads the business cycle in small open economies.  While recent literature explains the countercyclicality of interest rates in emerging economies, it does not address the procyclicality of interest rates in advanced open economies, as we do in this paper.  We show that the sensitivity of the open economies to interest rates depends on the degree of the intraperiod elasticity of substitution between durables nondurables and the degree of elasticity of the labor supply.</w:t>
      </w:r>
      <w:r>
        <w:t xml:space="preserve"> </w:t>
      </w:r>
      <w:r w:rsidRPr="00CC066A">
        <w:t xml:space="preserve">The rest of the paper is organized as follows. In Section 2 we provide some empirics involving consumer durables and business cycles. The detailed structure of the model is outlined in Section 3. Parameter values used in our calibration are provided in Section 4. Section 5 provides a detailed outcome of our calibration exercise. In Section 6 we capture the role of durable spending and interest rates. The importance of habit formation and capacity utilization are evaluated in Section 7, followed by some concluding remarks in Section 8.  </w:t>
      </w:r>
    </w:p>
    <w:p w:rsidR="002C7859" w:rsidRPr="00EE6912" w:rsidRDefault="00786F2D" w:rsidP="00FC0096">
      <w:pPr>
        <w:pStyle w:val="Heading2"/>
        <w:numPr>
          <w:ilvl w:val="1"/>
          <w:numId w:val="2"/>
        </w:numPr>
        <w:spacing w:after="240" w:line="480" w:lineRule="auto"/>
        <w:jc w:val="both"/>
        <w:rPr>
          <w:b w:val="0"/>
          <w:bCs w:val="0"/>
        </w:rPr>
      </w:pPr>
      <w:bookmarkStart w:id="6" w:name="_Toc285478001"/>
      <w:r w:rsidRPr="00EE6912">
        <w:rPr>
          <w:b w:val="0"/>
          <w:bCs w:val="0"/>
        </w:rPr>
        <w:t>Consumer Durables: Empirics</w:t>
      </w:r>
      <w:bookmarkEnd w:id="6"/>
    </w:p>
    <w:p w:rsidR="00EE66B9" w:rsidRPr="00CC066A" w:rsidRDefault="00EE66B9" w:rsidP="00DC394E">
      <w:pPr>
        <w:autoSpaceDE w:val="0"/>
        <w:autoSpaceDN w:val="0"/>
        <w:adjustRightInd w:val="0"/>
        <w:spacing w:before="240" w:after="240" w:line="480" w:lineRule="auto"/>
        <w:ind w:firstLine="720"/>
        <w:jc w:val="both"/>
      </w:pPr>
      <w:r w:rsidRPr="00CC066A">
        <w:t>In 2009 Canadian spending on durable consumption constitutes 24.1 percent of total consumption spending on goods and services or equivalently 15.4 percent of GDP. These shares are relatively consistent in many advanced small open economies and significantly higher compared to a larger economy like the USA.</w:t>
      </w:r>
      <w:r w:rsidRPr="00CC066A">
        <w:rPr>
          <w:rStyle w:val="FootnoteReference"/>
        </w:rPr>
        <w:footnoteReference w:id="6"/>
      </w:r>
      <w:r w:rsidRPr="00CC066A">
        <w:t xml:space="preserve">  In addition to constituting a large share of total income, spending on durable goods significantly influences every aspect of the national accounts in the small open economies.</w:t>
      </w:r>
      <w:r w:rsidRPr="00CC066A">
        <w:rPr>
          <w:rStyle w:val="FootnoteReference"/>
        </w:rPr>
        <w:t xml:space="preserve"> </w:t>
      </w:r>
      <w:r w:rsidRPr="00CC066A">
        <w:t xml:space="preserve">Table </w:t>
      </w:r>
      <w:r w:rsidR="00E60AF7">
        <w:t>A.</w:t>
      </w:r>
      <w:r w:rsidRPr="00CC066A">
        <w:t>1 reports the pairwise correlation coefficients of different national accounts using Canadian quarterly data spanning 1981:Q1 to 2009:Q4. We observe that durable spending</w:t>
      </w:r>
      <w:r w:rsidR="00E60AF7" w:rsidRPr="00CC066A">
        <w:rPr>
          <w:position w:val="-6"/>
        </w:rPr>
        <w:object w:dxaOrig="2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0.9pt" o:ole="">
            <v:imagedata r:id="rId13" o:title=""/>
          </v:shape>
          <o:OLEObject Type="Embed" ProgID="Equation.DSMT4" ShapeID="_x0000_i1025" DrawAspect="Content" ObjectID="_1359266948" r:id="rId14"/>
        </w:object>
      </w:r>
      <w:r w:rsidRPr="00CC066A">
        <w:t>is positively correlated with output</w:t>
      </w:r>
      <w:r w:rsidR="00E60AF7" w:rsidRPr="00CC066A">
        <w:rPr>
          <w:position w:val="-10"/>
        </w:rPr>
        <w:object w:dxaOrig="200" w:dyaOrig="240">
          <v:shape id="_x0000_i1026" type="#_x0000_t75" style="width:9.2pt;height:13.4pt" o:ole="">
            <v:imagedata r:id="rId15" o:title=""/>
          </v:shape>
          <o:OLEObject Type="Embed" ProgID="Equation.DSMT4" ShapeID="_x0000_i1026" DrawAspect="Content" ObjectID="_1359266949" r:id="rId16"/>
        </w:object>
      </w:r>
      <w:r w:rsidRPr="00CC066A">
        <w:t>, employment</w:t>
      </w:r>
      <w:r w:rsidR="00E60AF7" w:rsidRPr="00CC066A">
        <w:rPr>
          <w:position w:val="-6"/>
        </w:rPr>
        <w:object w:dxaOrig="200" w:dyaOrig="279">
          <v:shape id="_x0000_i1027" type="#_x0000_t75" style="width:9.2pt;height:10.9pt" o:ole="">
            <v:imagedata r:id="rId17" o:title=""/>
          </v:shape>
          <o:OLEObject Type="Embed" ProgID="Equation.DSMT4" ShapeID="_x0000_i1027" DrawAspect="Content" ObjectID="_1359266950" r:id="rId18"/>
        </w:object>
      </w:r>
      <w:r w:rsidRPr="00CC066A">
        <w:t xml:space="preserve">, and investment </w:t>
      </w:r>
      <w:r w:rsidR="00E60AF7" w:rsidRPr="00CC066A">
        <w:rPr>
          <w:position w:val="-6"/>
        </w:rPr>
        <w:object w:dxaOrig="139" w:dyaOrig="260">
          <v:shape id="_x0000_i1028" type="#_x0000_t75" style="width:9.2pt;height:10.9pt" o:ole="">
            <v:imagedata r:id="rId19" o:title=""/>
          </v:shape>
          <o:OLEObject Type="Embed" ProgID="Equation.DSMT4" ShapeID="_x0000_i1028" DrawAspect="Content" ObjectID="_1359266951" r:id="rId20"/>
        </w:object>
      </w:r>
      <w:r w:rsidRPr="00CC066A">
        <w:t xml:space="preserve"> but negatively correlated with trade balance-output ratio </w:t>
      </w:r>
      <w:r w:rsidRPr="00CC066A">
        <w:rPr>
          <w:position w:val="-10"/>
        </w:rPr>
        <w:object w:dxaOrig="340" w:dyaOrig="300">
          <v:shape id="_x0000_i1029" type="#_x0000_t75" style="width:17.6pt;height:15.9pt" o:ole="">
            <v:imagedata r:id="rId21" o:title=""/>
          </v:shape>
          <o:OLEObject Type="Embed" ProgID="Equation.DSMT4" ShapeID="_x0000_i1029" DrawAspect="Content" ObjectID="_1359266952" r:id="rId22"/>
        </w:object>
      </w:r>
      <w:r w:rsidRPr="00CC066A">
        <w:t xml:space="preserve"> and current account-output ratio</w:t>
      </w:r>
      <w:r w:rsidR="00E60AF7" w:rsidRPr="00CC066A">
        <w:rPr>
          <w:position w:val="-10"/>
        </w:rPr>
        <w:object w:dxaOrig="420" w:dyaOrig="260">
          <v:shape id="_x0000_i1030" type="#_x0000_t75" style="width:14.25pt;height:15.9pt" o:ole="">
            <v:imagedata r:id="rId23" o:title=""/>
          </v:shape>
          <o:OLEObject Type="Embed" ProgID="Equation.DSMT4" ShapeID="_x0000_i1030" DrawAspect="Content" ObjectID="_1359266953" r:id="rId24"/>
        </w:object>
      </w:r>
      <w:r w:rsidRPr="00CC066A">
        <w:t xml:space="preserve">.  Figures </w:t>
      </w:r>
      <w:r w:rsidR="00E60AF7">
        <w:t>B.</w:t>
      </w:r>
      <w:r w:rsidRPr="00CC066A">
        <w:t xml:space="preserve">1.a through </w:t>
      </w:r>
      <w:r w:rsidR="00E60AF7">
        <w:t>B.</w:t>
      </w:r>
      <w:r w:rsidRPr="00CC066A">
        <w:t xml:space="preserve">1.c display a strong comovement over the business cycle between spending on durable goods and other macro aggregates in the national accounts. Figure </w:t>
      </w:r>
      <w:r w:rsidR="00E60AF7">
        <w:t>B.</w:t>
      </w:r>
      <w:r w:rsidRPr="00CC066A">
        <w:t>2 plots the dynamic crosscorrelation between durables spending and output. The she shape of the cross correlation between of durable spending and output, in the actual data, indicates that durable spending is positively leading the cycle for almost four quarters</w:t>
      </w:r>
    </w:p>
    <w:p w:rsidR="00EE66B9" w:rsidRPr="00CC066A" w:rsidRDefault="00EE66B9" w:rsidP="00DC394E">
      <w:pPr>
        <w:autoSpaceDE w:val="0"/>
        <w:autoSpaceDN w:val="0"/>
        <w:adjustRightInd w:val="0"/>
        <w:spacing w:before="240" w:after="240" w:line="480" w:lineRule="auto"/>
        <w:ind w:firstLine="720"/>
        <w:jc w:val="both"/>
      </w:pPr>
      <w:r w:rsidRPr="00CC066A">
        <w:t>The strong comovement between durable spending and employment indicates that durable spending has a strong effect on labor market outcomes by influencing the households’ labor supply decision.  Given that, one could reasonably argue that households’ demand for durables should be an important factor in any macro model that attempts to explain the observed business cycle. Another important observed characteristic is the negative comovement between trade balance and durable spending. We interpret this comovement as part of the economy wide portfolio adjustment. Durable spending reflects adjustments of durable stock while trade balance reflects adjustments in the external debt. Hence, any change in the expected cost of borrowing (interest rates changes) will be associated with aggregate portfolio adjustments. This naturally leads one to expect interest rate, i.e. the holding cost of foreign assets, to play an important role in the business cycle fluctuations of the open economy through its effect on the aggregate portfolio of the open economy.</w:t>
      </w:r>
    </w:p>
    <w:p w:rsidR="00EE66B9" w:rsidRPr="00CC066A" w:rsidRDefault="00EE66B9" w:rsidP="00DC394E">
      <w:pPr>
        <w:autoSpaceDE w:val="0"/>
        <w:autoSpaceDN w:val="0"/>
        <w:adjustRightInd w:val="0"/>
        <w:spacing w:before="240" w:after="240" w:line="480" w:lineRule="auto"/>
        <w:ind w:firstLine="720"/>
        <w:jc w:val="both"/>
      </w:pPr>
      <w:r w:rsidRPr="00CC066A">
        <w:t>The strong comovement between spending on durable and nondurable goods indicates that households in these countries are using durable services as substitute for nondurable consumption. The strong comovement between durable spending and employment on the other hand is indicating that both labor and consumption of durables are in separable decisions in the households’ preference. Another important observed characteristic is the negative comovement between trade balance and durable spending. We interpret this comovement as part of the economy wide portfolio adjustment. Durable spending reflects adjustments of durable stock while trade balance reflects adjustments in the external debt. Hence, any change in the expected cost of borrowing (interest rates changes) will be associated with aggregate portfolio adjustments. This naturally leads one to expect interest rate, i.e. the holding cost of foreign assets, to play an important role in the business cycle fluctuations of the open economy through its effect on the aggregate portfolio of the open economy</w:t>
      </w:r>
    </w:p>
    <w:p w:rsidR="005518C7" w:rsidRPr="00EE6912" w:rsidRDefault="00786F2D" w:rsidP="00FC0096">
      <w:pPr>
        <w:pStyle w:val="Heading2"/>
        <w:numPr>
          <w:ilvl w:val="1"/>
          <w:numId w:val="2"/>
        </w:numPr>
        <w:spacing w:after="240" w:line="480" w:lineRule="auto"/>
        <w:jc w:val="both"/>
        <w:rPr>
          <w:b w:val="0"/>
          <w:bCs w:val="0"/>
        </w:rPr>
      </w:pPr>
      <w:bookmarkStart w:id="7" w:name="_Toc285478002"/>
      <w:r w:rsidRPr="00EE6912">
        <w:rPr>
          <w:b w:val="0"/>
          <w:bCs w:val="0"/>
        </w:rPr>
        <w:t>The Model</w:t>
      </w:r>
      <w:bookmarkEnd w:id="7"/>
    </w:p>
    <w:p w:rsidR="00EE66B9" w:rsidRPr="00CC066A" w:rsidRDefault="00EE66B9" w:rsidP="00DC394E">
      <w:pPr>
        <w:pStyle w:val="ListParagraph"/>
        <w:spacing w:before="240" w:after="240" w:line="480" w:lineRule="auto"/>
        <w:ind w:left="0" w:firstLine="720"/>
        <w:contextualSpacing w:val="0"/>
        <w:jc w:val="both"/>
        <w:rPr>
          <w:rFonts w:ascii="Times New Roman" w:hAnsi="Times New Roman"/>
          <w:sz w:val="24"/>
          <w:szCs w:val="24"/>
        </w:rPr>
      </w:pPr>
      <w:r w:rsidRPr="00CC066A">
        <w:rPr>
          <w:rFonts w:ascii="Times New Roman" w:hAnsi="Times New Roman"/>
          <w:bCs/>
          <w:sz w:val="24"/>
          <w:szCs w:val="24"/>
        </w:rPr>
        <w:t xml:space="preserve">We consider a small open economy populated by infinitely lived households. Each household is endowed with one unit of time and </w:t>
      </w:r>
      <w:r w:rsidRPr="00CC066A">
        <w:rPr>
          <w:rFonts w:ascii="Times New Roman" w:hAnsi="Times New Roman"/>
          <w:sz w:val="24"/>
          <w:szCs w:val="24"/>
        </w:rPr>
        <w:t>has identical preference over an index of composite good and working hours. The representative household maximizes its expected lifetime utility:</w:t>
      </w:r>
    </w:p>
    <w:p w:rsidR="00EE66B9" w:rsidRPr="00CC066A" w:rsidRDefault="00EE66B9" w:rsidP="00D57DAF">
      <w:pPr>
        <w:spacing w:before="120" w:after="120" w:line="480" w:lineRule="auto"/>
        <w:jc w:val="right"/>
      </w:pPr>
      <w:r w:rsidRPr="00CC066A">
        <w:rPr>
          <w:position w:val="-26"/>
        </w:rPr>
        <w:object w:dxaOrig="2340" w:dyaOrig="620">
          <v:shape id="_x0000_i1031" type="#_x0000_t75" style="width:119.7pt;height:30.15pt" o:ole="">
            <v:imagedata r:id="rId25" o:title=""/>
          </v:shape>
          <o:OLEObject Type="Embed" ProgID="Equation.DSMT4" ShapeID="_x0000_i1031" DrawAspect="Content" ObjectID="_1359266954" r:id="rId26"/>
        </w:object>
      </w:r>
      <w:r w:rsidR="00FC0096">
        <w:t xml:space="preserve">  </w:t>
      </w:r>
      <w:r w:rsidRPr="00CC066A">
        <w:t xml:space="preserve">                                                  (</w:t>
      </w:r>
      <w:r w:rsidR="00C50296">
        <w:t>1.</w:t>
      </w:r>
      <w:r w:rsidRPr="00CC066A">
        <w:t>1)</w:t>
      </w:r>
    </w:p>
    <w:p w:rsidR="00E15A53" w:rsidRDefault="00EE66B9" w:rsidP="00DC394E">
      <w:pPr>
        <w:spacing w:before="240" w:after="240" w:line="480" w:lineRule="auto"/>
        <w:jc w:val="both"/>
      </w:pPr>
      <w:proofErr w:type="gramStart"/>
      <w:r w:rsidRPr="00CC066A">
        <w:t>the</w:t>
      </w:r>
      <w:proofErr w:type="gramEnd"/>
      <w:r w:rsidRPr="00CC066A">
        <w:t xml:space="preserve"> expectation operator</w:t>
      </w:r>
      <w:r w:rsidRPr="00CC066A">
        <w:rPr>
          <w:position w:val="-10"/>
        </w:rPr>
        <w:object w:dxaOrig="260" w:dyaOrig="320">
          <v:shape id="_x0000_i1032" type="#_x0000_t75" style="width:13.4pt;height:13.4pt" o:ole="">
            <v:imagedata r:id="rId27" o:title=""/>
          </v:shape>
          <o:OLEObject Type="Embed" ProgID="Equation.DSMT4" ShapeID="_x0000_i1032" DrawAspect="Content" ObjectID="_1359266955" r:id="rId28"/>
        </w:object>
      </w:r>
      <w:r w:rsidRPr="00CC066A">
        <w:t xml:space="preserve">is conditional on the information available at time t; </w:t>
      </w:r>
      <w:r w:rsidRPr="00CC066A">
        <w:rPr>
          <w:position w:val="-12"/>
        </w:rPr>
        <w:object w:dxaOrig="859" w:dyaOrig="360">
          <v:shape id="_x0000_i1033" type="#_x0000_t75" style="width:38.5pt;height:16.75pt" o:ole="">
            <v:imagedata r:id="rId29" o:title=""/>
          </v:shape>
          <o:OLEObject Type="Embed" ProgID="Equation.DSMT4" ShapeID="_x0000_i1033" DrawAspect="Content" ObjectID="_1359266956" r:id="rId30"/>
        </w:object>
      </w:r>
      <w:r w:rsidRPr="00CC066A">
        <w:t xml:space="preserve"> is the subjective discount factor; </w:t>
      </w:r>
      <w:r w:rsidRPr="00CC066A">
        <w:rPr>
          <w:position w:val="-10"/>
        </w:rPr>
        <w:object w:dxaOrig="260" w:dyaOrig="320">
          <v:shape id="_x0000_i1034" type="#_x0000_t75" style="width:13.4pt;height:13.4pt" o:ole="">
            <v:imagedata r:id="rId31" o:title=""/>
          </v:shape>
          <o:OLEObject Type="Embed" ProgID="Equation.DSMT4" ShapeID="_x0000_i1034" DrawAspect="Content" ObjectID="_1359266957" r:id="rId32"/>
        </w:object>
      </w:r>
      <w:r w:rsidRPr="00CC066A">
        <w:t>represents a CES consumption index in nondurable consumption</w:t>
      </w:r>
      <w:r w:rsidRPr="00CC066A">
        <w:rPr>
          <w:position w:val="-10"/>
        </w:rPr>
        <w:object w:dxaOrig="220" w:dyaOrig="320">
          <v:shape id="_x0000_i1035" type="#_x0000_t75" style="width:13.4pt;height:16.75pt" o:ole="">
            <v:imagedata r:id="rId33" o:title=""/>
          </v:shape>
          <o:OLEObject Type="Embed" ProgID="Equation.DSMT4" ShapeID="_x0000_i1035" DrawAspect="Content" ObjectID="_1359266958" r:id="rId34"/>
        </w:object>
      </w:r>
      <w:r w:rsidRPr="00CC066A">
        <w:t xml:space="preserve">and durable service, proportional to the stock of durables </w:t>
      </w:r>
      <w:r w:rsidRPr="00CC066A">
        <w:rPr>
          <w:position w:val="-10"/>
        </w:rPr>
        <w:object w:dxaOrig="279" w:dyaOrig="320">
          <v:shape id="_x0000_i1036" type="#_x0000_t75" style="width:13.4pt;height:16.75pt" o:ole="">
            <v:imagedata r:id="rId35" o:title=""/>
          </v:shape>
          <o:OLEObject Type="Embed" ProgID="Equation.DSMT4" ShapeID="_x0000_i1036" DrawAspect="Content" ObjectID="_1359266959" r:id="rId36"/>
        </w:object>
      </w:r>
      <w:r w:rsidRPr="00CC066A">
        <w:t>. We denote the fraction of time devoted to work at time</w:t>
      </w:r>
      <w:r w:rsidRPr="00CC066A">
        <w:rPr>
          <w:position w:val="-6"/>
        </w:rPr>
        <w:object w:dxaOrig="139" w:dyaOrig="240">
          <v:shape id="_x0000_i1037" type="#_x0000_t75" style="width:5pt;height:13.4pt" o:ole="">
            <v:imagedata r:id="rId37" o:title=""/>
          </v:shape>
          <o:OLEObject Type="Embed" ProgID="Equation.DSMT4" ShapeID="_x0000_i1037" DrawAspect="Content" ObjectID="_1359266960" r:id="rId38"/>
        </w:object>
      </w:r>
      <w:r w:rsidRPr="00CC066A">
        <w:t xml:space="preserve">  by </w:t>
      </w:r>
      <w:r w:rsidRPr="00CC066A">
        <w:rPr>
          <w:position w:val="-10"/>
        </w:rPr>
        <w:object w:dxaOrig="220" w:dyaOrig="320">
          <v:shape id="_x0000_i1038" type="#_x0000_t75" style="width:8.35pt;height:17.6pt" o:ole="">
            <v:imagedata r:id="rId39" o:title=""/>
          </v:shape>
          <o:OLEObject Type="Embed" ProgID="Equation.DSMT4" ShapeID="_x0000_i1038" DrawAspect="Content" ObjectID="_1359266961" r:id="rId40"/>
        </w:object>
      </w:r>
      <w:r w:rsidRPr="00CC066A">
        <w:rPr>
          <w:position w:val="-10"/>
        </w:rPr>
        <w:t xml:space="preserve"> </w:t>
      </w:r>
      <w:r w:rsidRPr="00CC066A">
        <w:t>and measure the habit intensity in labor supply by</w:t>
      </w:r>
      <w:r w:rsidRPr="00CC066A">
        <w:rPr>
          <w:position w:val="-14"/>
        </w:rPr>
        <w:object w:dxaOrig="999" w:dyaOrig="400">
          <v:shape id="_x0000_i1039" type="#_x0000_t75" style="width:41.85pt;height:17.6pt" o:ole="">
            <v:imagedata r:id="rId41" o:title=""/>
          </v:shape>
          <o:OLEObject Type="Embed" ProgID="Equation.DSMT4" ShapeID="_x0000_i1039" DrawAspect="Content" ObjectID="_1359266962" r:id="rId42"/>
        </w:object>
      </w:r>
      <w:r w:rsidRPr="00CC066A">
        <w:t>.</w:t>
      </w:r>
    </w:p>
    <w:p w:rsidR="00EE66B9" w:rsidRPr="00CC066A" w:rsidRDefault="00EE66B9" w:rsidP="00E15A53">
      <w:pPr>
        <w:spacing w:before="240" w:after="240" w:line="480" w:lineRule="auto"/>
        <w:ind w:firstLine="720"/>
        <w:jc w:val="both"/>
      </w:pPr>
      <w:r w:rsidRPr="00CC066A">
        <w:t>We assume deep habits in both consumption goods, thus the CES utility index, take the following form:</w:t>
      </w:r>
    </w:p>
    <w:p w:rsidR="00EE66B9" w:rsidRPr="00CC066A" w:rsidRDefault="00EE66B9" w:rsidP="00D57DAF">
      <w:pPr>
        <w:spacing w:before="120" w:after="120" w:line="480" w:lineRule="auto"/>
        <w:jc w:val="right"/>
      </w:pPr>
      <w:r w:rsidRPr="00CC066A">
        <w:rPr>
          <w:b/>
          <w:position w:val="-26"/>
        </w:rPr>
        <w:object w:dxaOrig="4239" w:dyaOrig="760">
          <v:shape id="_x0000_i1040" type="#_x0000_t75" style="width:213.5pt;height:38.5pt" o:ole="">
            <v:imagedata r:id="rId43" o:title=""/>
          </v:shape>
          <o:OLEObject Type="Embed" ProgID="Equation.DSMT4" ShapeID="_x0000_i1040" DrawAspect="Content" ObjectID="_1359266963" r:id="rId44"/>
        </w:object>
      </w:r>
      <w:r w:rsidR="00FC0096">
        <w:t xml:space="preserve">.     </w:t>
      </w:r>
      <w:r w:rsidR="002A62F9">
        <w:t xml:space="preserve">    </w:t>
      </w:r>
      <w:r w:rsidRPr="00CC066A">
        <w:t xml:space="preserve">                     (</w:t>
      </w:r>
      <w:r w:rsidR="00C50296">
        <w:t>1.</w:t>
      </w:r>
      <w:r w:rsidRPr="00CC066A">
        <w:t>2)</w:t>
      </w:r>
    </w:p>
    <w:p w:rsidR="00EE66B9" w:rsidRPr="00CC066A" w:rsidRDefault="00EE66B9" w:rsidP="00E15A53">
      <w:pPr>
        <w:spacing w:before="240" w:after="240" w:line="480" w:lineRule="auto"/>
        <w:ind w:firstLine="720"/>
        <w:jc w:val="both"/>
      </w:pPr>
      <w:r w:rsidRPr="00CC066A">
        <w:t>The share parameter</w:t>
      </w:r>
      <w:r w:rsidRPr="00CC066A">
        <w:rPr>
          <w:position w:val="-12"/>
        </w:rPr>
        <w:object w:dxaOrig="820" w:dyaOrig="360">
          <v:shape id="_x0000_i1041" type="#_x0000_t75" style="width:41.85pt;height:17.6pt" o:ole="">
            <v:imagedata r:id="rId45" o:title=""/>
          </v:shape>
          <o:OLEObject Type="Embed" ProgID="Equation.DSMT4" ShapeID="_x0000_i1041" DrawAspect="Content" ObjectID="_1359266964" r:id="rId46"/>
        </w:object>
      </w:r>
      <w:r w:rsidRPr="00CC066A">
        <w:t xml:space="preserve">  determines the weight attached to the nondurable consumption in the period utility. The intraperiod elasticity of substitution between the two goods </w:t>
      </w:r>
      <w:r w:rsidRPr="00CC066A">
        <w:rPr>
          <w:position w:val="-12"/>
        </w:rPr>
        <w:object w:dxaOrig="720" w:dyaOrig="360">
          <v:shape id="_x0000_i1042" type="#_x0000_t75" style="width:38.5pt;height:17.6pt" o:ole="">
            <v:imagedata r:id="rId47" o:title=""/>
          </v:shape>
          <o:OLEObject Type="Embed" ProgID="Equation.DSMT4" ShapeID="_x0000_i1042" DrawAspect="Content" ObjectID="_1359266965" r:id="rId48"/>
        </w:object>
      </w:r>
      <w:r w:rsidRPr="00CC066A">
        <w:rPr>
          <w:position w:val="-10"/>
        </w:rPr>
        <w:t xml:space="preserve"> </w:t>
      </w:r>
      <w:r w:rsidRPr="00CC066A">
        <w:t xml:space="preserve">reflects the households taste for diversity. The habit intensity in nondurable consumption is </w:t>
      </w:r>
      <w:r w:rsidRPr="00CC066A">
        <w:rPr>
          <w:position w:val="-12"/>
        </w:rPr>
        <w:object w:dxaOrig="900" w:dyaOrig="360">
          <v:shape id="_x0000_i1043" type="#_x0000_t75" style="width:41.85pt;height:17.6pt" o:ole="">
            <v:imagedata r:id="rId49" o:title=""/>
          </v:shape>
          <o:OLEObject Type="Embed" ProgID="Equation.DSMT4" ShapeID="_x0000_i1043" DrawAspect="Content" ObjectID="_1359266966" r:id="rId50"/>
        </w:object>
      </w:r>
      <w:r w:rsidRPr="00CC066A">
        <w:t>and the habit intensity durable service is</w:t>
      </w:r>
      <w:r w:rsidRPr="00CC066A">
        <w:rPr>
          <w:position w:val="-12"/>
        </w:rPr>
        <w:object w:dxaOrig="940" w:dyaOrig="360">
          <v:shape id="_x0000_i1044" type="#_x0000_t75" style="width:46.9pt;height:17.6pt" o:ole="">
            <v:imagedata r:id="rId51" o:title=""/>
          </v:shape>
          <o:OLEObject Type="Embed" ProgID="Equation.DSMT4" ShapeID="_x0000_i1044" DrawAspect="Content" ObjectID="_1359266967" r:id="rId52"/>
        </w:object>
      </w:r>
      <w:r w:rsidRPr="00CC066A">
        <w:t>. A larger habit intensity parameter implies a stronger internal habit formation, in each specific good. The specific period utility takes the following form:</w:t>
      </w:r>
    </w:p>
    <w:p w:rsidR="00EE66B9" w:rsidRPr="00CC066A" w:rsidRDefault="00EE66B9" w:rsidP="00D57DAF">
      <w:pPr>
        <w:spacing w:before="120" w:after="120" w:line="480" w:lineRule="auto"/>
        <w:jc w:val="right"/>
      </w:pPr>
      <w:r w:rsidRPr="00CC066A">
        <w:t xml:space="preserve">    </w:t>
      </w:r>
      <w:r w:rsidRPr="00CC066A">
        <w:rPr>
          <w:position w:val="-22"/>
        </w:rPr>
        <w:object w:dxaOrig="3300" w:dyaOrig="780">
          <v:shape id="_x0000_i1045" type="#_x0000_t75" style="width:168.3pt;height:41.85pt" o:ole="">
            <v:imagedata r:id="rId53" o:title=""/>
          </v:shape>
          <o:OLEObject Type="Embed" ProgID="Equation.DSMT4" ShapeID="_x0000_i1045" DrawAspect="Content" ObjectID="_1359266968" r:id="rId54"/>
        </w:object>
      </w:r>
      <w:r w:rsidRPr="00CC066A">
        <w:t xml:space="preserve">          </w:t>
      </w:r>
      <w:r w:rsidR="0056737C">
        <w:t xml:space="preserve">  </w:t>
      </w:r>
      <w:r w:rsidRPr="00CC066A">
        <w:t xml:space="preserve">                                  (</w:t>
      </w:r>
      <w:r w:rsidR="00C50296">
        <w:t>1.</w:t>
      </w:r>
      <w:r w:rsidRPr="00CC066A">
        <w:t>3)</w:t>
      </w:r>
    </w:p>
    <w:p w:rsidR="00EE66B9" w:rsidRPr="00CC066A" w:rsidRDefault="00EE66B9" w:rsidP="00E15A53">
      <w:pPr>
        <w:autoSpaceDE w:val="0"/>
        <w:autoSpaceDN w:val="0"/>
        <w:adjustRightInd w:val="0"/>
        <w:spacing w:before="240" w:after="240" w:line="480" w:lineRule="auto"/>
        <w:ind w:firstLine="720"/>
        <w:jc w:val="both"/>
      </w:pPr>
      <w:r w:rsidRPr="00CC066A">
        <w:t xml:space="preserve">The parameter </w:t>
      </w:r>
      <w:r w:rsidRPr="00CC066A">
        <w:rPr>
          <w:position w:val="-6"/>
        </w:rPr>
        <w:object w:dxaOrig="540" w:dyaOrig="260">
          <v:shape id="_x0000_i1046" type="#_x0000_t75" style="width:25.1pt;height:8.35pt" o:ole="">
            <v:imagedata r:id="rId55" o:title=""/>
          </v:shape>
          <o:OLEObject Type="Embed" ProgID="Equation.DSMT4" ShapeID="_x0000_i1046" DrawAspect="Content" ObjectID="_1359266969" r:id="rId56"/>
        </w:object>
      </w:r>
      <w:r w:rsidRPr="00CC066A">
        <w:t>is the intratemporal elasticity of substitution between the two goods.</w:t>
      </w:r>
      <w:r w:rsidR="00E15A53" w:rsidRPr="00CC066A">
        <w:rPr>
          <w:rStyle w:val="FootnoteReference"/>
        </w:rPr>
        <w:t xml:space="preserve"> </w:t>
      </w:r>
      <w:r w:rsidR="00E15A53" w:rsidRPr="00CC066A">
        <w:rPr>
          <w:rStyle w:val="FootnoteReference"/>
        </w:rPr>
        <w:footnoteReference w:id="7"/>
      </w:r>
      <w:r w:rsidR="00E15A53" w:rsidRPr="00CC066A">
        <w:t xml:space="preserve"> </w:t>
      </w:r>
      <w:r w:rsidRPr="00CC066A">
        <w:t>The labor supply elasticity parameter is assumed to be positive (</w:t>
      </w:r>
      <w:r w:rsidRPr="00CC066A">
        <w:rPr>
          <w:position w:val="-6"/>
        </w:rPr>
        <w:object w:dxaOrig="540" w:dyaOrig="260">
          <v:shape id="_x0000_i1047" type="#_x0000_t75" style="width:25.1pt;height:8.35pt" o:ole="">
            <v:imagedata r:id="rId57" o:title=""/>
          </v:shape>
          <o:OLEObject Type="Embed" ProgID="Equation.DSMT4" ShapeID="_x0000_i1047" DrawAspect="Content" ObjectID="_1359266970" r:id="rId58"/>
        </w:object>
      </w:r>
      <w:r w:rsidRPr="00CC066A">
        <w:t xml:space="preserve">) and </w:t>
      </w:r>
      <w:r w:rsidRPr="00CC066A">
        <w:rPr>
          <w:position w:val="-10"/>
        </w:rPr>
        <w:object w:dxaOrig="200" w:dyaOrig="300">
          <v:shape id="_x0000_i1048" type="#_x0000_t75" style="width:9.2pt;height:15.9pt" o:ole="">
            <v:imagedata r:id="rId59" o:title=""/>
          </v:shape>
          <o:OLEObject Type="Embed" ProgID="Equation.DSMT4" ShapeID="_x0000_i1048" DrawAspect="Content" ObjectID="_1359266971" r:id="rId60"/>
        </w:object>
      </w:r>
      <w:r w:rsidRPr="00CC066A">
        <w:t>is a scaling parameter. The utility function is assumed to be increasing in the current period consumption of nondurables, and durables but decreasing in current period labor supply. At the same time, the utility is decreasing in previous period consumption of nondurables, durables and increasing in previous period labor supply. Our model differs from the existing one good RBC models in that the labor supply depends on the substitution between durable and nondurable consumption, which is supported by the actual data. In one-good model interest rates affect dynamics of the model through its effect on the cost of international borrowing only. In our model interest rates has additional channel through its direct effect on the user cost of durables which has direct effect on the substitution between durable and nondurable consumption.  The household portfolio includes three types of assets: non-traded capital, non-traded durable stock and internationally traded bond. The dynamic budget constraint household's is given by:</w:t>
      </w:r>
    </w:p>
    <w:p w:rsidR="00EE66B9" w:rsidRPr="00CC066A" w:rsidRDefault="00EE66B9" w:rsidP="00D57DAF">
      <w:pPr>
        <w:spacing w:before="120" w:after="120" w:line="480" w:lineRule="auto"/>
        <w:jc w:val="right"/>
      </w:pPr>
      <w:r w:rsidRPr="00CC066A">
        <w:rPr>
          <w:position w:val="-12"/>
        </w:rPr>
        <w:object w:dxaOrig="2920" w:dyaOrig="360">
          <v:shape id="_x0000_i1049" type="#_x0000_t75" style="width:144.85pt;height:17.6pt" o:ole="">
            <v:imagedata r:id="rId61" o:title=""/>
          </v:shape>
          <o:OLEObject Type="Embed" ProgID="Equation.DSMT4" ShapeID="_x0000_i1049" DrawAspect="Content" ObjectID="_1359266972" r:id="rId62"/>
        </w:object>
      </w:r>
      <w:r w:rsidRPr="00CC066A">
        <w:t xml:space="preserve">                                                (</w:t>
      </w:r>
      <w:r w:rsidR="00C50296">
        <w:t>1.</w:t>
      </w:r>
      <w:r w:rsidRPr="00CC066A">
        <w:t>4)</w:t>
      </w:r>
    </w:p>
    <w:p w:rsidR="00EE66B9" w:rsidRPr="00CC066A" w:rsidRDefault="00EE66B9" w:rsidP="00C30B64">
      <w:pPr>
        <w:pStyle w:val="FootnoteText"/>
        <w:autoSpaceDE w:val="0"/>
        <w:autoSpaceDN w:val="0"/>
        <w:adjustRightInd w:val="0"/>
        <w:spacing w:before="240" w:after="240" w:line="480" w:lineRule="auto"/>
        <w:jc w:val="both"/>
        <w:rPr>
          <w:rFonts w:ascii="Times New Roman" w:hAnsi="Times New Roman"/>
          <w:sz w:val="24"/>
          <w:szCs w:val="24"/>
        </w:rPr>
      </w:pPr>
      <w:r w:rsidRPr="00CC066A">
        <w:rPr>
          <w:rFonts w:ascii="Times New Roman" w:hAnsi="Times New Roman"/>
          <w:sz w:val="24"/>
          <w:szCs w:val="24"/>
        </w:rPr>
        <w:t xml:space="preserve">where </w:t>
      </w:r>
      <w:r w:rsidRPr="00CC066A">
        <w:rPr>
          <w:rFonts w:ascii="Times New Roman" w:hAnsi="Times New Roman"/>
          <w:position w:val="-10"/>
          <w:sz w:val="24"/>
          <w:szCs w:val="24"/>
        </w:rPr>
        <w:object w:dxaOrig="220" w:dyaOrig="320">
          <v:shape id="_x0000_i1050" type="#_x0000_t75" style="width:8.35pt;height:17.6pt" o:ole="">
            <v:imagedata r:id="rId63" o:title=""/>
          </v:shape>
          <o:OLEObject Type="Embed" ProgID="Equation.DSMT4" ShapeID="_x0000_i1050" DrawAspect="Content" ObjectID="_1359266973" r:id="rId64"/>
        </w:object>
      </w:r>
      <w:r w:rsidRPr="00CC066A">
        <w:rPr>
          <w:rFonts w:ascii="Times New Roman" w:hAnsi="Times New Roman"/>
          <w:sz w:val="24"/>
          <w:szCs w:val="24"/>
        </w:rPr>
        <w:t>denotes the household’s debt position at the beginning of the period t while the gross interest rate at which the domestic residents can borrow in period</w:t>
      </w:r>
      <w:r w:rsidRPr="00CC066A">
        <w:rPr>
          <w:rFonts w:ascii="Times New Roman" w:hAnsi="Times New Roman"/>
          <w:position w:val="-6"/>
          <w:sz w:val="24"/>
          <w:szCs w:val="24"/>
        </w:rPr>
        <w:object w:dxaOrig="139" w:dyaOrig="240">
          <v:shape id="_x0000_i1051" type="#_x0000_t75" style="width:7.55pt;height:9.2pt" o:ole="">
            <v:imagedata r:id="rId65" o:title=""/>
          </v:shape>
          <o:OLEObject Type="Embed" ProgID="Equation.DSMT4" ShapeID="_x0000_i1051" DrawAspect="Content" ObjectID="_1359266974" r:id="rId66"/>
        </w:object>
      </w:r>
      <w:r w:rsidRPr="00CC066A">
        <w:rPr>
          <w:rFonts w:ascii="Times New Roman" w:hAnsi="Times New Roman"/>
          <w:sz w:val="24"/>
          <w:szCs w:val="24"/>
        </w:rPr>
        <w:t>is represented by</w:t>
      </w:r>
      <w:r w:rsidRPr="00CC066A">
        <w:rPr>
          <w:rFonts w:ascii="Times New Roman" w:hAnsi="Times New Roman"/>
          <w:position w:val="-10"/>
          <w:sz w:val="24"/>
          <w:szCs w:val="24"/>
        </w:rPr>
        <w:object w:dxaOrig="260" w:dyaOrig="320">
          <v:shape id="_x0000_i1052" type="#_x0000_t75" style="width:13.4pt;height:17.6pt" o:ole="">
            <v:imagedata r:id="rId67" o:title=""/>
          </v:shape>
          <o:OLEObject Type="Embed" ProgID="Equation.DSMT4" ShapeID="_x0000_i1052" DrawAspect="Content" ObjectID="_1359266975" r:id="rId68"/>
        </w:object>
      </w:r>
      <w:r w:rsidRPr="00CC066A">
        <w:rPr>
          <w:rFonts w:ascii="Times New Roman" w:hAnsi="Times New Roman"/>
          <w:sz w:val="24"/>
          <w:szCs w:val="24"/>
        </w:rPr>
        <w:t xml:space="preserve"> . Domestic output is represents by</w:t>
      </w:r>
      <w:r w:rsidRPr="00CC066A">
        <w:rPr>
          <w:rFonts w:ascii="Times New Roman" w:hAnsi="Times New Roman"/>
          <w:position w:val="-10"/>
          <w:sz w:val="24"/>
          <w:szCs w:val="24"/>
        </w:rPr>
        <w:object w:dxaOrig="240" w:dyaOrig="320">
          <v:shape id="_x0000_i1053" type="#_x0000_t75" style="width:9.2pt;height:15.9pt" o:ole="">
            <v:imagedata r:id="rId69" o:title=""/>
          </v:shape>
          <o:OLEObject Type="Embed" ProgID="Equation.DSMT4" ShapeID="_x0000_i1053" DrawAspect="Content" ObjectID="_1359266976" r:id="rId70"/>
        </w:object>
      </w:r>
      <w:r w:rsidRPr="00CC066A">
        <w:rPr>
          <w:rFonts w:ascii="Times New Roman" w:hAnsi="Times New Roman"/>
          <w:sz w:val="24"/>
          <w:szCs w:val="24"/>
        </w:rPr>
        <w:t>, expenditure on nondurable consumption by</w:t>
      </w:r>
      <w:r w:rsidRPr="00CC066A">
        <w:rPr>
          <w:rFonts w:ascii="Times New Roman" w:hAnsi="Times New Roman"/>
          <w:position w:val="-10"/>
          <w:sz w:val="24"/>
          <w:szCs w:val="24"/>
        </w:rPr>
        <w:object w:dxaOrig="220" w:dyaOrig="320">
          <v:shape id="_x0000_i1054" type="#_x0000_t75" style="width:8.35pt;height:17.6pt" o:ole="">
            <v:imagedata r:id="rId71" o:title=""/>
          </v:shape>
          <o:OLEObject Type="Embed" ProgID="Equation.DSMT4" ShapeID="_x0000_i1054" DrawAspect="Content" ObjectID="_1359266977" r:id="rId72"/>
        </w:object>
      </w:r>
      <w:r w:rsidRPr="00CC066A">
        <w:rPr>
          <w:rFonts w:ascii="Times New Roman" w:hAnsi="Times New Roman"/>
          <w:sz w:val="24"/>
          <w:szCs w:val="24"/>
        </w:rPr>
        <w:t>. Household’s expenditure on durables is represented by</w:t>
      </w:r>
      <w:r w:rsidRPr="00CC066A">
        <w:rPr>
          <w:rFonts w:ascii="Times New Roman" w:hAnsi="Times New Roman"/>
          <w:position w:val="-10"/>
          <w:sz w:val="24"/>
          <w:szCs w:val="24"/>
        </w:rPr>
        <w:object w:dxaOrig="420" w:dyaOrig="320">
          <v:shape id="_x0000_i1055" type="#_x0000_t75" style="width:16.75pt;height:15.9pt" o:ole="">
            <v:imagedata r:id="rId73" o:title=""/>
          </v:shape>
          <o:OLEObject Type="Embed" ProgID="Equation.DSMT4" ShapeID="_x0000_i1055" DrawAspect="Content" ObjectID="_1359266978" r:id="rId74"/>
        </w:object>
      </w:r>
      <w:r w:rsidRPr="00CC066A">
        <w:rPr>
          <w:rFonts w:ascii="Times New Roman" w:hAnsi="Times New Roman"/>
          <w:sz w:val="24"/>
          <w:szCs w:val="24"/>
        </w:rPr>
        <w:t xml:space="preserve">. We take the nondurable </w:t>
      </w:r>
      <w:proofErr w:type="spellStart"/>
      <w:r w:rsidRPr="00CC066A">
        <w:rPr>
          <w:rFonts w:ascii="Times New Roman" w:hAnsi="Times New Roman"/>
          <w:sz w:val="24"/>
          <w:szCs w:val="24"/>
        </w:rPr>
        <w:t>good</w:t>
      </w:r>
      <w:proofErr w:type="spellEnd"/>
      <w:r w:rsidRPr="00CC066A">
        <w:rPr>
          <w:rFonts w:ascii="Times New Roman" w:hAnsi="Times New Roman"/>
          <w:sz w:val="24"/>
          <w:szCs w:val="24"/>
        </w:rPr>
        <w:t xml:space="preserve"> as a numeraire for each period, thus </w:t>
      </w:r>
      <w:r w:rsidRPr="00CC066A">
        <w:rPr>
          <w:rFonts w:ascii="Times New Roman" w:hAnsi="Times New Roman"/>
          <w:position w:val="-10"/>
          <w:sz w:val="24"/>
          <w:szCs w:val="24"/>
        </w:rPr>
        <w:object w:dxaOrig="260" w:dyaOrig="320">
          <v:shape id="_x0000_i1056" type="#_x0000_t75" style="width:13.4pt;height:16.75pt" o:ole="">
            <v:imagedata r:id="rId75" o:title=""/>
          </v:shape>
          <o:OLEObject Type="Embed" ProgID="Equation.DSMT4" ShapeID="_x0000_i1056" DrawAspect="Content" ObjectID="_1359266979" r:id="rId76"/>
        </w:object>
      </w:r>
      <w:r w:rsidRPr="00CC066A">
        <w:rPr>
          <w:rFonts w:ascii="Times New Roman" w:hAnsi="Times New Roman"/>
          <w:sz w:val="24"/>
          <w:szCs w:val="24"/>
        </w:rPr>
        <w:t xml:space="preserve">is defined as the relative price of the durable </w:t>
      </w:r>
      <w:proofErr w:type="spellStart"/>
      <w:r w:rsidRPr="00CC066A">
        <w:rPr>
          <w:rFonts w:ascii="Times New Roman" w:hAnsi="Times New Roman"/>
          <w:sz w:val="24"/>
          <w:szCs w:val="24"/>
        </w:rPr>
        <w:t>good</w:t>
      </w:r>
      <w:proofErr w:type="spellEnd"/>
      <w:r w:rsidRPr="00CC066A">
        <w:rPr>
          <w:rFonts w:ascii="Times New Roman" w:hAnsi="Times New Roman"/>
          <w:sz w:val="24"/>
          <w:szCs w:val="24"/>
        </w:rPr>
        <w:t xml:space="preserve"> in terms of the nondurable </w:t>
      </w:r>
      <w:proofErr w:type="spellStart"/>
      <w:r w:rsidRPr="00CC066A">
        <w:rPr>
          <w:rFonts w:ascii="Times New Roman" w:hAnsi="Times New Roman"/>
          <w:sz w:val="24"/>
          <w:szCs w:val="24"/>
        </w:rPr>
        <w:t>good</w:t>
      </w:r>
      <w:proofErr w:type="spellEnd"/>
      <w:r w:rsidRPr="00CC066A">
        <w:rPr>
          <w:rFonts w:ascii="Times New Roman" w:hAnsi="Times New Roman"/>
          <w:sz w:val="24"/>
          <w:szCs w:val="24"/>
        </w:rPr>
        <w:t>, for simplicity we normalize the relative price to one</w:t>
      </w:r>
      <w:r w:rsidRPr="00CC066A">
        <w:rPr>
          <w:rFonts w:ascii="Times New Roman" w:hAnsi="Times New Roman"/>
          <w:position w:val="-12"/>
          <w:sz w:val="24"/>
          <w:szCs w:val="24"/>
        </w:rPr>
        <w:object w:dxaOrig="740" w:dyaOrig="360">
          <v:shape id="_x0000_i1057" type="#_x0000_t75" style="width:37.65pt;height:17.6pt" o:ole="">
            <v:imagedata r:id="rId77" o:title=""/>
          </v:shape>
          <o:OLEObject Type="Embed" ProgID="Equation.DSMT4" ShapeID="_x0000_i1057" DrawAspect="Content" ObjectID="_1359266980" r:id="rId78"/>
        </w:object>
      </w:r>
      <w:r w:rsidRPr="00CC066A">
        <w:rPr>
          <w:rFonts w:ascii="Times New Roman" w:hAnsi="Times New Roman"/>
          <w:sz w:val="24"/>
          <w:szCs w:val="24"/>
        </w:rPr>
        <w:t>. Expenditure on domestic investment is denoted</w:t>
      </w:r>
      <w:r w:rsidRPr="00CC066A">
        <w:rPr>
          <w:rFonts w:ascii="Times New Roman" w:hAnsi="Times New Roman"/>
          <w:position w:val="-10"/>
          <w:sz w:val="24"/>
          <w:szCs w:val="24"/>
        </w:rPr>
        <w:object w:dxaOrig="180" w:dyaOrig="320">
          <v:shape id="_x0000_i1058" type="#_x0000_t75" style="width:9.2pt;height:17.6pt" o:ole="">
            <v:imagedata r:id="rId79" o:title=""/>
          </v:shape>
          <o:OLEObject Type="Embed" ProgID="Equation.DSMT4" ShapeID="_x0000_i1058" DrawAspect="Content" ObjectID="_1359266981" r:id="rId80"/>
        </w:object>
      </w:r>
      <w:r w:rsidRPr="00CC066A">
        <w:rPr>
          <w:rFonts w:ascii="Times New Roman" w:hAnsi="Times New Roman"/>
          <w:sz w:val="24"/>
          <w:szCs w:val="24"/>
        </w:rPr>
        <w:t xml:space="preserve">. The trade surplus is defined as the difference between domestic production and domestic absorption, is used entirely to reduce the outstanding stock of external debt plus the interest cost on that debt, trade deficit is financed by issuing more debt. Thus, the trade balance is given by </w:t>
      </w:r>
      <w:r w:rsidRPr="00CC066A">
        <w:rPr>
          <w:rFonts w:ascii="Times New Roman" w:hAnsi="Times New Roman"/>
          <w:position w:val="-12"/>
          <w:sz w:val="24"/>
          <w:szCs w:val="24"/>
        </w:rPr>
        <w:object w:dxaOrig="1640" w:dyaOrig="360">
          <v:shape id="_x0000_i1059" type="#_x0000_t75" style="width:81.2pt;height:17.6pt" o:ole="">
            <v:imagedata r:id="rId81" o:title=""/>
          </v:shape>
          <o:OLEObject Type="Embed" ProgID="Equation.DSMT4" ShapeID="_x0000_i1059" DrawAspect="Content" ObjectID="_1359266982" r:id="rId82"/>
        </w:object>
      </w:r>
      <w:r w:rsidRPr="00CC066A">
        <w:rPr>
          <w:rFonts w:ascii="Times New Roman" w:hAnsi="Times New Roman"/>
          <w:sz w:val="24"/>
          <w:szCs w:val="24"/>
        </w:rPr>
        <w:t xml:space="preserve"> where </w:t>
      </w:r>
      <w:r w:rsidRPr="00CC066A">
        <w:rPr>
          <w:rFonts w:ascii="Times New Roman" w:hAnsi="Times New Roman"/>
          <w:position w:val="-10"/>
          <w:sz w:val="24"/>
          <w:szCs w:val="24"/>
        </w:rPr>
        <w:object w:dxaOrig="859" w:dyaOrig="320">
          <v:shape id="_x0000_i1060" type="#_x0000_t75" style="width:41.85pt;height:15.9pt" o:ole="">
            <v:imagedata r:id="rId83" o:title=""/>
          </v:shape>
          <o:OLEObject Type="Embed" ProgID="Equation.DSMT4" ShapeID="_x0000_i1060" DrawAspect="Content" ObjectID="_1359266983" r:id="rId84"/>
        </w:object>
      </w:r>
      <w:r w:rsidRPr="00CC066A">
        <w:rPr>
          <w:rFonts w:ascii="Times New Roman" w:hAnsi="Times New Roman"/>
          <w:sz w:val="24"/>
          <w:szCs w:val="24"/>
        </w:rPr>
        <w:t>is the price of one unit of international bond and the current account.</w:t>
      </w:r>
      <w:r w:rsidRPr="00CC066A">
        <w:rPr>
          <w:rFonts w:ascii="Times New Roman" w:hAnsi="Times New Roman"/>
          <w:position w:val="-12"/>
          <w:sz w:val="24"/>
          <w:szCs w:val="24"/>
        </w:rPr>
        <w:t xml:space="preserve"> </w:t>
      </w:r>
      <w:r w:rsidRPr="00CC066A">
        <w:rPr>
          <w:rFonts w:ascii="Times New Roman" w:hAnsi="Times New Roman"/>
          <w:sz w:val="24"/>
          <w:szCs w:val="24"/>
        </w:rPr>
        <w:t>The current account in tern measures the changes in the international investment position</w:t>
      </w:r>
      <w:r w:rsidRPr="00CC066A">
        <w:rPr>
          <w:rFonts w:ascii="Times New Roman" w:hAnsi="Times New Roman"/>
          <w:position w:val="-12"/>
          <w:sz w:val="24"/>
          <w:szCs w:val="24"/>
        </w:rPr>
        <w:object w:dxaOrig="1520" w:dyaOrig="360">
          <v:shape id="_x0000_i1061" type="#_x0000_t75" style="width:72.85pt;height:17.6pt" o:ole="">
            <v:imagedata r:id="rId85" o:title=""/>
          </v:shape>
          <o:OLEObject Type="Embed" ProgID="Equation.DSMT4" ShapeID="_x0000_i1061" DrawAspect="Content" ObjectID="_1359266984" r:id="rId86"/>
        </w:object>
      </w:r>
      <w:r w:rsidRPr="00CC066A">
        <w:rPr>
          <w:rFonts w:ascii="Times New Roman" w:hAnsi="Times New Roman"/>
          <w:sz w:val="24"/>
          <w:szCs w:val="24"/>
        </w:rPr>
        <w:t>.</w:t>
      </w:r>
      <w:r w:rsidRPr="00CC066A">
        <w:rPr>
          <w:rFonts w:ascii="Times New Roman" w:hAnsi="Times New Roman"/>
          <w:position w:val="-14"/>
          <w:sz w:val="24"/>
          <w:szCs w:val="24"/>
        </w:rPr>
        <w:t xml:space="preserve"> </w:t>
      </w:r>
      <w:r w:rsidRPr="00CC066A">
        <w:rPr>
          <w:rFonts w:ascii="Times New Roman" w:hAnsi="Times New Roman"/>
          <w:sz w:val="24"/>
          <w:szCs w:val="24"/>
        </w:rPr>
        <w:t xml:space="preserve">Since spending on durables is also considers as investment in consumption goods from the household perspective. The forward looking nature of </w:t>
      </w:r>
      <w:proofErr w:type="spellStart"/>
      <w:r w:rsidRPr="00CC066A">
        <w:rPr>
          <w:rFonts w:ascii="Times New Roman" w:hAnsi="Times New Roman"/>
          <w:sz w:val="24"/>
          <w:szCs w:val="24"/>
        </w:rPr>
        <w:t>of</w:t>
      </w:r>
      <w:proofErr w:type="spellEnd"/>
      <w:r w:rsidRPr="00CC066A">
        <w:rPr>
          <w:rFonts w:ascii="Times New Roman" w:hAnsi="Times New Roman"/>
          <w:sz w:val="24"/>
          <w:szCs w:val="24"/>
        </w:rPr>
        <w:t xml:space="preserve"> the consumption decision should be controlled to avoid the excess volatility in consumption of such goods. Hence it is common to incorporate adjustment cost on durable stock. Accordingly, the transition equation for the durable stock is given by</w:t>
      </w:r>
    </w:p>
    <w:p w:rsidR="00EE66B9" w:rsidRPr="00CC066A" w:rsidRDefault="00EE66B9" w:rsidP="00D57DAF">
      <w:pPr>
        <w:spacing w:before="120" w:after="120" w:line="480" w:lineRule="auto"/>
        <w:jc w:val="right"/>
      </w:pPr>
      <w:r w:rsidRPr="00CC066A">
        <w:rPr>
          <w:position w:val="-30"/>
        </w:rPr>
        <w:object w:dxaOrig="3600" w:dyaOrig="760">
          <v:shape id="_x0000_i1062" type="#_x0000_t75" style="width:185pt;height:41pt" o:ole="">
            <v:imagedata r:id="rId87" o:title=""/>
          </v:shape>
          <o:OLEObject Type="Embed" ProgID="Equation.DSMT4" ShapeID="_x0000_i1062" DrawAspect="Content" ObjectID="_1359266985" r:id="rId88"/>
        </w:object>
      </w:r>
      <w:r w:rsidRPr="00CC066A">
        <w:t xml:space="preserve"> ,         </w:t>
      </w:r>
      <w:r w:rsidR="00FC0096">
        <w:t xml:space="preserve">  </w:t>
      </w:r>
      <w:r w:rsidRPr="00CC066A">
        <w:t xml:space="preserve">                          (</w:t>
      </w:r>
      <w:r w:rsidR="00C50296">
        <w:t>1.</w:t>
      </w:r>
      <w:r w:rsidRPr="00CC066A">
        <w:t>5)</w:t>
      </w:r>
    </w:p>
    <w:p w:rsidR="00EE66B9" w:rsidRPr="00CC066A" w:rsidRDefault="00EE66B9" w:rsidP="00C30B64">
      <w:pPr>
        <w:autoSpaceDE w:val="0"/>
        <w:autoSpaceDN w:val="0"/>
        <w:adjustRightInd w:val="0"/>
        <w:spacing w:before="240" w:after="240" w:line="480" w:lineRule="auto"/>
        <w:jc w:val="both"/>
      </w:pPr>
      <w:proofErr w:type="gramStart"/>
      <w:r w:rsidRPr="00CC066A">
        <w:t>where</w:t>
      </w:r>
      <w:proofErr w:type="gramEnd"/>
      <w:r w:rsidR="00AB7C8D" w:rsidRPr="00CC066A">
        <w:fldChar w:fldCharType="begin"/>
      </w:r>
      <w:r w:rsidR="00AB7C8D" w:rsidRPr="00CC066A">
        <w:fldChar w:fldCharType="end"/>
      </w:r>
      <w:r w:rsidRPr="00CC066A">
        <w:t xml:space="preserve"> </w:t>
      </w:r>
      <m:oMath>
        <m:r>
          <w:rPr>
            <w:rFonts w:ascii="Cambria Math" w:hAnsi="Cambria Math"/>
          </w:rPr>
          <m:t>τ</m:t>
        </m:r>
        <m:r>
          <w:rPr>
            <w:rFonts w:ascii="Cambria Math"/>
          </w:rPr>
          <m:t xml:space="preserve"> </m:t>
        </m:r>
      </m:oMath>
      <w:r w:rsidRPr="00CC066A">
        <w:t xml:space="preserve">represents the rate of depreciation of durables and </w:t>
      </w:r>
      <w:r w:rsidRPr="00CC066A">
        <w:rPr>
          <w:position w:val="-10"/>
        </w:rPr>
        <w:object w:dxaOrig="279" w:dyaOrig="320">
          <v:shape id="_x0000_i1063" type="#_x0000_t75" style="width:14.25pt;height:15.9pt" o:ole="">
            <v:imagedata r:id="rId89" o:title=""/>
          </v:shape>
          <o:OLEObject Type="Embed" ProgID="Equation.DSMT4" ShapeID="_x0000_i1063" DrawAspect="Content" ObjectID="_1359266986" r:id="rId90"/>
        </w:object>
      </w:r>
      <w:r w:rsidRPr="00CC066A">
        <w:t xml:space="preserve">controls the speed of adjustments in the stock of durables. As in Uribe and </w:t>
      </w:r>
      <w:proofErr w:type="spellStart"/>
      <w:r w:rsidRPr="00CC066A">
        <w:t>Yue</w:t>
      </w:r>
      <w:proofErr w:type="spellEnd"/>
      <w:r w:rsidRPr="00CC066A">
        <w:t xml:space="preserve"> (2006), the gross interest rate faced by the small open economy consists of the long run average gross interest rate </w:t>
      </w:r>
      <w:r w:rsidRPr="00CC066A">
        <w:rPr>
          <w:position w:val="-4"/>
        </w:rPr>
        <w:object w:dxaOrig="279" w:dyaOrig="279">
          <v:shape id="_x0000_i1064" type="#_x0000_t75" style="width:14.25pt;height:14.25pt" o:ole="">
            <v:imagedata r:id="rId91" o:title=""/>
          </v:shape>
          <o:OLEObject Type="Embed" ProgID="Equation.DSMT4" ShapeID="_x0000_i1064" DrawAspect="Content" ObjectID="_1359266987" r:id="rId92"/>
        </w:object>
      </w:r>
      <w:r w:rsidRPr="00CC066A">
        <w:t>plus a country specific premium. The premium in our model is assumed to reflect the domestic fundamentals of the open economy as indicated by its external percapita debt and income.</w:t>
      </w:r>
      <w:r w:rsidRPr="00CC066A">
        <w:rPr>
          <w:vertAlign w:val="superscript"/>
        </w:rPr>
        <w:footnoteReference w:id="8"/>
      </w:r>
      <w:r w:rsidRPr="00CC066A">
        <w:t xml:space="preserve"> We assume that the country’s premium is positively driven by the percapita debt and negative on the percapita output. Specifically:</w:t>
      </w:r>
    </w:p>
    <w:p w:rsidR="00EE66B9" w:rsidRPr="00CC066A" w:rsidRDefault="00C50296" w:rsidP="00D57DAF">
      <w:pPr>
        <w:spacing w:before="120" w:after="120" w:line="480" w:lineRule="auto"/>
        <w:jc w:val="right"/>
      </w:pPr>
      <w:r w:rsidRPr="00CC066A">
        <w:rPr>
          <w:position w:val="-18"/>
        </w:rPr>
        <w:object w:dxaOrig="4440" w:dyaOrig="480">
          <v:shape id="_x0000_i1065" type="#_x0000_t75" style="width:221.85pt;height:24.3pt" o:ole="">
            <v:imagedata r:id="rId93" o:title=""/>
          </v:shape>
          <o:OLEObject Type="Embed" ProgID="Equation.DSMT4" ShapeID="_x0000_i1065" DrawAspect="Content" ObjectID="_1359266988" r:id="rId94"/>
        </w:object>
      </w:r>
      <w:r w:rsidR="00EE66B9" w:rsidRPr="00CC066A">
        <w:t xml:space="preserve">,           </w:t>
      </w:r>
      <w:r w:rsidR="00FC0096">
        <w:t xml:space="preserve">  </w:t>
      </w:r>
      <w:r w:rsidR="00EE66B9" w:rsidRPr="00CC066A">
        <w:t xml:space="preserve">                        (</w:t>
      </w:r>
      <w:r>
        <w:t>1.</w:t>
      </w:r>
      <w:r w:rsidR="00EE66B9" w:rsidRPr="00CC066A">
        <w:t>6)</w:t>
      </w:r>
    </w:p>
    <w:p w:rsidR="00EE66B9" w:rsidRPr="00CC066A" w:rsidRDefault="00EE66B9" w:rsidP="00C30B64">
      <w:pPr>
        <w:spacing w:before="240" w:after="240" w:line="480" w:lineRule="auto"/>
        <w:ind w:right="475" w:firstLine="720"/>
        <w:jc w:val="both"/>
      </w:pPr>
      <w:proofErr w:type="gramStart"/>
      <w:r w:rsidRPr="00CC066A">
        <w:t>where</w:t>
      </w:r>
      <w:proofErr w:type="gramEnd"/>
      <w:r w:rsidRPr="00CC066A">
        <w:t xml:space="preserve"> </w:t>
      </w:r>
      <w:r w:rsidRPr="00CC066A">
        <w:rPr>
          <w:position w:val="-16"/>
        </w:rPr>
        <w:object w:dxaOrig="880" w:dyaOrig="420">
          <v:shape id="_x0000_i1066" type="#_x0000_t75" style="width:46.9pt;height:22.6pt" o:ole="">
            <v:imagedata r:id="rId95" o:title=""/>
          </v:shape>
          <o:OLEObject Type="Embed" ProgID="Equation.DSMT4" ShapeID="_x0000_i1066" DrawAspect="Content" ObjectID="_1359266989" r:id="rId96"/>
        </w:object>
      </w:r>
      <w:r w:rsidRPr="00CC066A">
        <w:t xml:space="preserve"> is the country risk premium and</w:t>
      </w:r>
      <w:r w:rsidRPr="00CC066A">
        <w:rPr>
          <w:position w:val="-12"/>
        </w:rPr>
        <w:t xml:space="preserve"> </w:t>
      </w:r>
      <w:r w:rsidRPr="00CC066A">
        <w:rPr>
          <w:position w:val="-12"/>
        </w:rPr>
        <w:object w:dxaOrig="360" w:dyaOrig="380">
          <v:shape id="_x0000_i1067" type="#_x0000_t75" style="width:17.6pt;height:16.75pt" o:ole="">
            <v:imagedata r:id="rId97" o:title=""/>
          </v:shape>
          <o:OLEObject Type="Embed" ProgID="Equation.DSMT4" ShapeID="_x0000_i1067" DrawAspect="Content" ObjectID="_1359266990" r:id="rId98"/>
        </w:object>
      </w:r>
      <w:r w:rsidRPr="00CC066A">
        <w:t xml:space="preserve">is the debt outstanding of the open economy measured at the end of the period </w:t>
      </w:r>
      <w:r w:rsidRPr="00CC066A">
        <w:rPr>
          <w:position w:val="-6"/>
        </w:rPr>
        <w:object w:dxaOrig="139" w:dyaOrig="240">
          <v:shape id="_x0000_i1068" type="#_x0000_t75" style="width:5.85pt;height:13.4pt" o:ole="">
            <v:imagedata r:id="rId99" o:title=""/>
          </v:shape>
          <o:OLEObject Type="Embed" ProgID="Equation.DSMT4" ShapeID="_x0000_i1068" DrawAspect="Content" ObjectID="_1359266991" r:id="rId100"/>
        </w:object>
      </w:r>
      <w:r w:rsidRPr="00CC066A">
        <w:t xml:space="preserve"> (beginning of the period  </w:t>
      </w:r>
      <w:r w:rsidRPr="00CC066A">
        <w:rPr>
          <w:position w:val="-6"/>
        </w:rPr>
        <w:object w:dxaOrig="440" w:dyaOrig="279">
          <v:shape id="_x0000_i1069" type="#_x0000_t75" style="width:22.6pt;height:13.4pt" o:ole="">
            <v:imagedata r:id="rId101" o:title=""/>
          </v:shape>
          <o:OLEObject Type="Embed" ProgID="Equation.DSMT4" ShapeID="_x0000_i1069" DrawAspect="Content" ObjectID="_1359266992" r:id="rId102"/>
        </w:object>
      </w:r>
      <w:r w:rsidRPr="00CC066A">
        <w:t>). The percapita output is</w:t>
      </w:r>
      <w:r w:rsidRPr="00CC066A">
        <w:rPr>
          <w:position w:val="-12"/>
        </w:rPr>
        <w:object w:dxaOrig="260" w:dyaOrig="360">
          <v:shape id="_x0000_i1070" type="#_x0000_t75" style="width:8.35pt;height:17.6pt" o:ole="">
            <v:imagedata r:id="rId103" o:title=""/>
          </v:shape>
          <o:OLEObject Type="Embed" ProgID="Equation.DSMT4" ShapeID="_x0000_i1070" DrawAspect="Content" ObjectID="_1359266993" r:id="rId104"/>
        </w:object>
      </w:r>
      <w:r w:rsidRPr="00CC066A">
        <w:t xml:space="preserve"> while</w:t>
      </w:r>
      <w:r w:rsidRPr="00CC066A">
        <w:rPr>
          <w:position w:val="-6"/>
        </w:rPr>
        <w:object w:dxaOrig="200" w:dyaOrig="279">
          <v:shape id="_x0000_i1071" type="#_x0000_t75" style="width:5.85pt;height:13.4pt" o:ole="">
            <v:imagedata r:id="rId105" o:title=""/>
          </v:shape>
          <o:OLEObject Type="Embed" ProgID="Equation.DSMT4" ShapeID="_x0000_i1071" DrawAspect="Content" ObjectID="_1359266994" r:id="rId106"/>
        </w:object>
      </w:r>
      <w:r w:rsidRPr="00CC066A">
        <w:t xml:space="preserve"> and </w:t>
      </w:r>
      <w:r w:rsidRPr="00CC066A">
        <w:rPr>
          <w:position w:val="-10"/>
        </w:rPr>
        <w:object w:dxaOrig="220" w:dyaOrig="260">
          <v:shape id="_x0000_i1072" type="#_x0000_t75" style="width:7.55pt;height:13.4pt" o:ole="">
            <v:imagedata r:id="rId107" o:title=""/>
          </v:shape>
          <o:OLEObject Type="Embed" ProgID="Equation.DSMT4" ShapeID="_x0000_i1072" DrawAspect="Content" ObjectID="_1359266995" r:id="rId108"/>
        </w:object>
      </w:r>
      <w:r w:rsidRPr="00CC066A">
        <w:t xml:space="preserve"> representing the percapita steady state levels of output and debt respectively. The elasticity of the premium to debt is </w:t>
      </w:r>
      <w:r w:rsidRPr="00CC066A">
        <w:rPr>
          <w:position w:val="-10"/>
        </w:rPr>
        <w:object w:dxaOrig="560" w:dyaOrig="300">
          <v:shape id="_x0000_i1073" type="#_x0000_t75" style="width:30.15pt;height:15.9pt" o:ole="">
            <v:imagedata r:id="rId109" o:title=""/>
          </v:shape>
          <o:OLEObject Type="Embed" ProgID="Equation.DSMT4" ShapeID="_x0000_i1073" DrawAspect="Content" ObjectID="_1359266996" r:id="rId110"/>
        </w:object>
      </w:r>
      <w:r w:rsidRPr="00CC066A">
        <w:t xml:space="preserve"> and to output is</w:t>
      </w:r>
      <w:r w:rsidRPr="00CC066A">
        <w:rPr>
          <w:position w:val="-10"/>
        </w:rPr>
        <w:object w:dxaOrig="540" w:dyaOrig="300">
          <v:shape id="_x0000_i1074" type="#_x0000_t75" style="width:25.1pt;height:15.9pt" o:ole="">
            <v:imagedata r:id="rId111" o:title=""/>
          </v:shape>
          <o:OLEObject Type="Embed" ProgID="Equation.DSMT4" ShapeID="_x0000_i1074" DrawAspect="Content" ObjectID="_1359266997" r:id="rId112"/>
        </w:object>
      </w:r>
      <w:r w:rsidRPr="00CC066A">
        <w:t>.</w:t>
      </w:r>
      <w:r w:rsidRPr="00CC066A">
        <w:rPr>
          <w:rStyle w:val="FootnoteReference"/>
        </w:rPr>
        <w:footnoteReference w:id="9"/>
      </w:r>
      <w:r w:rsidRPr="00CC066A">
        <w:t xml:space="preserve"> The exogenous country premium is denoted by</w:t>
      </w:r>
      <w:r w:rsidRPr="00CC066A">
        <w:rPr>
          <w:position w:val="-12"/>
        </w:rPr>
        <w:object w:dxaOrig="240" w:dyaOrig="360">
          <v:shape id="_x0000_i1075" type="#_x0000_t75" style="width:9.2pt;height:17.6pt" o:ole="">
            <v:imagedata r:id="rId113" o:title=""/>
          </v:shape>
          <o:OLEObject Type="Embed" ProgID="Equation.DSMT4" ShapeID="_x0000_i1075" DrawAspect="Content" ObjectID="_1359266998" r:id="rId114"/>
        </w:object>
      </w:r>
      <w:r w:rsidRPr="00CC066A">
        <w:t xml:space="preserve"> , assumed to reflect the exogenous fluctuations in the international capital markets. Hence we express these fluctuations in the international cost of borrowing in the following AR (1) process: </w:t>
      </w:r>
    </w:p>
    <w:p w:rsidR="00EE66B9" w:rsidRPr="00CC066A" w:rsidRDefault="00EE66B9" w:rsidP="00D57DAF">
      <w:pPr>
        <w:spacing w:before="120" w:after="120" w:line="480" w:lineRule="auto"/>
        <w:jc w:val="right"/>
      </w:pPr>
      <w:r w:rsidRPr="00CC066A">
        <w:rPr>
          <w:position w:val="-16"/>
        </w:rPr>
        <w:object w:dxaOrig="4239" w:dyaOrig="440">
          <v:shape id="_x0000_i1076" type="#_x0000_t75" style="width:213.5pt;height:22.6pt" o:ole="">
            <v:imagedata r:id="rId115" o:title=""/>
          </v:shape>
          <o:OLEObject Type="Embed" ProgID="Equation.DSMT4" ShapeID="_x0000_i1076" DrawAspect="Content" ObjectID="_1359266999" r:id="rId116"/>
        </w:object>
      </w:r>
      <w:r w:rsidRPr="00CC066A">
        <w:t xml:space="preserve"> .         </w:t>
      </w:r>
      <w:r w:rsidR="00FC0096">
        <w:t xml:space="preserve">    </w:t>
      </w:r>
      <w:r w:rsidRPr="00CC066A">
        <w:t xml:space="preserve">                     (</w:t>
      </w:r>
      <w:r w:rsidR="00C50296">
        <w:t>1.</w:t>
      </w:r>
      <w:r w:rsidRPr="00CC066A">
        <w:t>7)</w:t>
      </w:r>
    </w:p>
    <w:p w:rsidR="00EE66B9" w:rsidRPr="00CC066A" w:rsidRDefault="00EE66B9" w:rsidP="00C30B64">
      <w:pPr>
        <w:spacing w:before="240" w:after="240" w:line="480" w:lineRule="auto"/>
        <w:ind w:right="475" w:firstLine="720"/>
        <w:jc w:val="both"/>
      </w:pPr>
      <w:r w:rsidRPr="00CC066A">
        <w:t>It is also common in the literature to incorporate a convex adjustment cost function to control for the speed of capital adjustment. Hence, the transition equation for capital stock is</w:t>
      </w:r>
    </w:p>
    <w:p w:rsidR="00EE66B9" w:rsidRPr="00CC066A" w:rsidRDefault="00C50296" w:rsidP="00D57DAF">
      <w:pPr>
        <w:spacing w:before="120" w:after="100" w:afterAutospacing="1" w:line="480" w:lineRule="auto"/>
        <w:jc w:val="right"/>
      </w:pPr>
      <w:r w:rsidRPr="00C50296">
        <w:rPr>
          <w:position w:val="-32"/>
        </w:rPr>
        <w:object w:dxaOrig="3440" w:dyaOrig="800">
          <v:shape id="_x0000_i1077" type="#_x0000_t75" style="width:174.15pt;height:41.85pt" o:ole="">
            <v:imagedata r:id="rId117" o:title=""/>
          </v:shape>
          <o:OLEObject Type="Embed" ProgID="Equation.DSMT4" ShapeID="_x0000_i1077" DrawAspect="Content" ObjectID="_1359267000" r:id="rId118"/>
        </w:object>
      </w:r>
      <w:r w:rsidR="00EE66B9" w:rsidRPr="00CC066A">
        <w:t>,                                             (</w:t>
      </w:r>
      <w:r>
        <w:t>1.</w:t>
      </w:r>
      <w:r w:rsidR="00EE66B9" w:rsidRPr="00CC066A">
        <w:t>8)</w:t>
      </w:r>
    </w:p>
    <w:p w:rsidR="00EE66B9" w:rsidRPr="00CC066A" w:rsidRDefault="00EE66B9" w:rsidP="00C30B64">
      <w:pPr>
        <w:spacing w:before="240" w:after="240" w:line="480" w:lineRule="auto"/>
        <w:jc w:val="both"/>
      </w:pPr>
      <w:proofErr w:type="gramStart"/>
      <w:r w:rsidRPr="00CC066A">
        <w:t>where</w:t>
      </w:r>
      <w:proofErr w:type="gramEnd"/>
      <w:r w:rsidRPr="00CC066A">
        <w:t xml:space="preserve"> the parameter </w:t>
      </w:r>
      <w:r w:rsidRPr="00CC066A">
        <w:rPr>
          <w:position w:val="-12"/>
        </w:rPr>
        <w:object w:dxaOrig="260" w:dyaOrig="360">
          <v:shape id="_x0000_i1078" type="#_x0000_t75" style="width:8.35pt;height:17.6pt" o:ole="">
            <v:imagedata r:id="rId119" o:title=""/>
          </v:shape>
          <o:OLEObject Type="Embed" ProgID="Equation.DSMT4" ShapeID="_x0000_i1078" DrawAspect="Content" ObjectID="_1359267001" r:id="rId120"/>
        </w:object>
      </w:r>
      <w:r w:rsidRPr="00CC066A">
        <w:t xml:space="preserve"> controls the speed of adjustment in capital stock. The time varying depreciation rate </w:t>
      </w:r>
      <w:r w:rsidRPr="00CC066A">
        <w:rPr>
          <w:position w:val="-14"/>
        </w:rPr>
        <w:object w:dxaOrig="920" w:dyaOrig="400">
          <v:shape id="_x0000_i1079" type="#_x0000_t75" style="width:46.9pt;height:22.6pt" o:ole="">
            <v:imagedata r:id="rId121" o:title=""/>
          </v:shape>
          <o:OLEObject Type="Embed" ProgID="Equation.DSMT4" ShapeID="_x0000_i1079" DrawAspect="Content" ObjectID="_1359267002" r:id="rId122"/>
        </w:object>
      </w:r>
      <w:r w:rsidRPr="00CC066A">
        <w:t xml:space="preserve"> is assumed to be increasing function in the utilization rate, specifically: </w:t>
      </w:r>
    </w:p>
    <w:p w:rsidR="00EE66B9" w:rsidRPr="00CC066A" w:rsidRDefault="00C50296" w:rsidP="00D57DAF">
      <w:pPr>
        <w:spacing w:before="120" w:after="120" w:line="480" w:lineRule="auto"/>
        <w:ind w:left="2160" w:firstLine="720"/>
        <w:jc w:val="right"/>
      </w:pPr>
      <w:r w:rsidRPr="00C50296">
        <w:rPr>
          <w:position w:val="-12"/>
        </w:rPr>
        <w:object w:dxaOrig="960" w:dyaOrig="380">
          <v:shape id="_x0000_i1080" type="#_x0000_t75" style="width:46.9pt;height:19.25pt" o:ole="">
            <v:imagedata r:id="rId123" o:title=""/>
          </v:shape>
          <o:OLEObject Type="Embed" ProgID="Equation.DSMT4" ShapeID="_x0000_i1080" DrawAspect="Content" ObjectID="_1359267003" r:id="rId124"/>
        </w:object>
      </w:r>
      <w:r w:rsidR="00EE66B9" w:rsidRPr="00CC066A">
        <w:t xml:space="preserve">                                                                            (</w:t>
      </w:r>
      <w:r>
        <w:t>1.</w:t>
      </w:r>
      <w:r w:rsidR="00EE66B9" w:rsidRPr="00CC066A">
        <w:t>9)</w:t>
      </w:r>
    </w:p>
    <w:p w:rsidR="00EE66B9" w:rsidRPr="00CC066A" w:rsidRDefault="00EE66B9" w:rsidP="00C30B64">
      <w:pPr>
        <w:spacing w:before="240" w:after="240" w:line="480" w:lineRule="auto"/>
        <w:jc w:val="both"/>
      </w:pPr>
      <w:r w:rsidRPr="00CC066A">
        <w:t xml:space="preserve">where </w:t>
      </w:r>
      <w:r w:rsidRPr="00CC066A">
        <w:rPr>
          <w:position w:val="-12"/>
        </w:rPr>
        <w:object w:dxaOrig="859" w:dyaOrig="360">
          <v:shape id="_x0000_i1081" type="#_x0000_t75" style="width:46.9pt;height:17.6pt" o:ole="">
            <v:imagedata r:id="rId125" o:title=""/>
          </v:shape>
          <o:OLEObject Type="Embed" ProgID="Equation.DSMT4" ShapeID="_x0000_i1081" DrawAspect="Content" ObjectID="_1359267004" r:id="rId126"/>
        </w:object>
      </w:r>
      <w:r w:rsidRPr="00CC066A">
        <w:t>is the utilization rate at time</w:t>
      </w:r>
      <w:r w:rsidRPr="00CC066A">
        <w:rPr>
          <w:position w:val="-6"/>
        </w:rPr>
        <w:object w:dxaOrig="139" w:dyaOrig="240">
          <v:shape id="_x0000_i1082" type="#_x0000_t75" style="width:7.55pt;height:13.4pt" o:ole="">
            <v:imagedata r:id="rId127" o:title=""/>
          </v:shape>
          <o:OLEObject Type="Embed" ProgID="Equation.DSMT4" ShapeID="_x0000_i1082" DrawAspect="Content" ObjectID="_1359267005" r:id="rId128"/>
        </w:object>
      </w:r>
      <w:r w:rsidRPr="00CC066A">
        <w:t xml:space="preserve">; </w:t>
      </w:r>
      <w:r w:rsidRPr="00CC066A">
        <w:rPr>
          <w:position w:val="-6"/>
        </w:rPr>
        <w:object w:dxaOrig="520" w:dyaOrig="260">
          <v:shape id="_x0000_i1083" type="#_x0000_t75" style="width:25.1pt;height:8.35pt" o:ole="">
            <v:imagedata r:id="rId129" o:title=""/>
          </v:shape>
          <o:OLEObject Type="Embed" ProgID="Equation.DSMT4" ShapeID="_x0000_i1083" DrawAspect="Content" ObjectID="_1359267006" r:id="rId130"/>
        </w:object>
      </w:r>
      <w:r w:rsidRPr="00CC066A">
        <w:t xml:space="preserve"> is a scaling parameter to ensure that the depreciation rate</w:t>
      </w:r>
      <w:r w:rsidRPr="00CC066A">
        <w:rPr>
          <w:position w:val="-12"/>
        </w:rPr>
        <w:object w:dxaOrig="240" w:dyaOrig="360">
          <v:shape id="_x0000_i1084" type="#_x0000_t75" style="width:9.2pt;height:17.6pt" o:ole="">
            <v:imagedata r:id="rId131" o:title=""/>
          </v:shape>
          <o:OLEObject Type="Embed" ProgID="Equation.DSMT4" ShapeID="_x0000_i1084" DrawAspect="Content" ObjectID="_1359267007" r:id="rId132"/>
        </w:object>
      </w:r>
      <w:r w:rsidRPr="00CC066A">
        <w:t xml:space="preserve"> in equilibrium will equal its steady state value </w:t>
      </w:r>
      <w:r w:rsidRPr="00CC066A">
        <w:rPr>
          <w:position w:val="-14"/>
        </w:rPr>
        <w:object w:dxaOrig="400" w:dyaOrig="400">
          <v:shape id="_x0000_i1085" type="#_x0000_t75" style="width:16.75pt;height:13.4pt" o:ole="">
            <v:imagedata r:id="rId133" o:title=""/>
          </v:shape>
          <o:OLEObject Type="Embed" ProgID="Equation.DSMT4" ShapeID="_x0000_i1085" DrawAspect="Content" ObjectID="_1359267008" r:id="rId134"/>
        </w:object>
      </w:r>
      <w:r w:rsidRPr="00CC066A">
        <w:t>.The  elasticity of the marginal depreciation of capital with respect to the utilization rate is defined by</w:t>
      </w:r>
      <w:r w:rsidRPr="00CC066A">
        <w:rPr>
          <w:position w:val="-12"/>
        </w:rPr>
        <w:object w:dxaOrig="1120" w:dyaOrig="360">
          <v:shape id="_x0000_i1086" type="#_x0000_t75" style="width:57.75pt;height:17.6pt" o:ole="">
            <v:imagedata r:id="rId135" o:title=""/>
          </v:shape>
          <o:OLEObject Type="Embed" ProgID="Equation.DSMT4" ShapeID="_x0000_i1086" DrawAspect="Content" ObjectID="_1359267009" r:id="rId136"/>
        </w:object>
      </w:r>
      <w:r w:rsidRPr="00CC066A">
        <w:t>.  As intensive capital utilization accelerates the depreciation rate, firms select the optimal rate of utilization by weighing the benefits of greater output against the costs of greater depreciation.  The production function is assumed to be a Cobb-Douglas of the following form:</w:t>
      </w:r>
    </w:p>
    <w:p w:rsidR="00EE66B9" w:rsidRPr="00CC066A" w:rsidRDefault="00EE66B9" w:rsidP="00D57DAF">
      <w:pPr>
        <w:spacing w:before="120" w:after="120" w:line="480" w:lineRule="auto"/>
        <w:jc w:val="right"/>
      </w:pPr>
      <w:r w:rsidRPr="00CC066A">
        <w:rPr>
          <w:position w:val="-12"/>
        </w:rPr>
        <w:object w:dxaOrig="1680" w:dyaOrig="400">
          <v:shape id="_x0000_i1087" type="#_x0000_t75" style="width:80.35pt;height:22.6pt" o:ole="">
            <v:imagedata r:id="rId137" o:title=""/>
          </v:shape>
          <o:OLEObject Type="Embed" ProgID="Equation.DSMT4" ShapeID="_x0000_i1087" DrawAspect="Content" ObjectID="_1359267010" r:id="rId138"/>
        </w:object>
      </w:r>
      <w:r w:rsidRPr="00CC066A">
        <w:t>,                                                                (</w:t>
      </w:r>
      <w:r w:rsidR="00C50296">
        <w:t>1.</w:t>
      </w:r>
      <w:r w:rsidRPr="00CC066A">
        <w:t>10)</w:t>
      </w:r>
    </w:p>
    <w:p w:rsidR="00EE66B9" w:rsidRPr="00CC066A" w:rsidRDefault="00EE66B9" w:rsidP="00C30B64">
      <w:pPr>
        <w:spacing w:before="240" w:after="240" w:line="480" w:lineRule="auto"/>
        <w:jc w:val="both"/>
      </w:pPr>
      <w:proofErr w:type="gramStart"/>
      <w:r w:rsidRPr="00CC066A">
        <w:t>where</w:t>
      </w:r>
      <w:proofErr w:type="gramEnd"/>
      <w:r w:rsidRPr="00CC066A">
        <w:t xml:space="preserve"> </w:t>
      </w:r>
      <w:r w:rsidRPr="00CC066A">
        <w:rPr>
          <w:position w:val="-12"/>
        </w:rPr>
        <w:object w:dxaOrig="240" w:dyaOrig="360">
          <v:shape id="_x0000_i1088" type="#_x0000_t75" style="width:9.2pt;height:17.6pt" o:ole="">
            <v:imagedata r:id="rId139" o:title=""/>
          </v:shape>
          <o:OLEObject Type="Embed" ProgID="Equation.DSMT4" ShapeID="_x0000_i1088" DrawAspect="Content" ObjectID="_1359267011" r:id="rId140"/>
        </w:object>
      </w:r>
      <w:r w:rsidRPr="00CC066A">
        <w:t xml:space="preserve">is the technological progress and assumed to follow a stationary AR(1) process   </w:t>
      </w:r>
    </w:p>
    <w:p w:rsidR="00EE66B9" w:rsidRPr="00CC066A" w:rsidRDefault="00EE66B9" w:rsidP="00D57DAF">
      <w:pPr>
        <w:spacing w:before="120" w:after="120" w:line="480" w:lineRule="auto"/>
        <w:jc w:val="right"/>
      </w:pPr>
      <w:r w:rsidRPr="00CC066A">
        <w:rPr>
          <w:position w:val="-16"/>
        </w:rPr>
        <w:object w:dxaOrig="3379" w:dyaOrig="420">
          <v:shape id="_x0000_i1089" type="#_x0000_t75" style="width:169.1pt;height:22.6pt" o:ole="">
            <v:imagedata r:id="rId141" o:title=""/>
          </v:shape>
          <o:OLEObject Type="Embed" ProgID="Equation.DSMT4" ShapeID="_x0000_i1089" DrawAspect="Content" ObjectID="_1359267012" r:id="rId142"/>
        </w:object>
      </w:r>
      <w:r w:rsidRPr="00CC066A">
        <w:t>.                                               (</w:t>
      </w:r>
      <w:r w:rsidR="00C50296">
        <w:t>1.</w:t>
      </w:r>
      <w:r w:rsidRPr="00CC066A">
        <w:t>11)</w:t>
      </w:r>
    </w:p>
    <w:p w:rsidR="00EE66B9" w:rsidRPr="00CC066A" w:rsidRDefault="00EE66B9" w:rsidP="00C30B64">
      <w:pPr>
        <w:spacing w:before="240" w:after="240" w:line="480" w:lineRule="auto"/>
        <w:ind w:firstLine="720"/>
        <w:jc w:val="both"/>
      </w:pPr>
      <w:r w:rsidRPr="00CC066A">
        <w:t>The representative household is subject to no-Ponzi constraints of the form</w:t>
      </w:r>
    </w:p>
    <w:p w:rsidR="00EE66B9" w:rsidRPr="00CC066A" w:rsidRDefault="00EE66B9" w:rsidP="00D57DAF">
      <w:pPr>
        <w:spacing w:before="120" w:after="120" w:line="480" w:lineRule="auto"/>
        <w:jc w:val="right"/>
      </w:pPr>
      <w:r w:rsidRPr="00CC066A">
        <w:rPr>
          <w:position w:val="-58"/>
        </w:rPr>
        <w:object w:dxaOrig="1900" w:dyaOrig="960">
          <v:shape id="_x0000_i1090" type="#_x0000_t75" style="width:94.6pt;height:46.9pt" o:ole="">
            <v:imagedata r:id="rId143" o:title=""/>
          </v:shape>
          <o:OLEObject Type="Embed" ProgID="Equation.DSMT4" ShapeID="_x0000_i1090" DrawAspect="Content" ObjectID="_1359267013" r:id="rId144"/>
        </w:object>
      </w:r>
      <w:r w:rsidRPr="00CC066A">
        <w:t xml:space="preserve">                                                                        (</w:t>
      </w:r>
      <w:r w:rsidR="00C50296">
        <w:t>1.</w:t>
      </w:r>
      <w:r w:rsidRPr="00CC066A">
        <w:t>12)</w:t>
      </w:r>
    </w:p>
    <w:p w:rsidR="00EE66B9" w:rsidRPr="00CC066A" w:rsidRDefault="00EE66B9" w:rsidP="00C30B64">
      <w:pPr>
        <w:spacing w:before="240" w:after="240" w:line="480" w:lineRule="auto"/>
        <w:jc w:val="both"/>
      </w:pPr>
      <w:r w:rsidRPr="00CC066A">
        <w:t>Household’s objective is to maximize the its life time expected utility (3) subject to the budget constraint (4), the transition equation for durable stock (5), the transition equation for capital stock (8), and the no-Ponzi-scheme (12). The first-order conditions are</w:t>
      </w:r>
    </w:p>
    <w:p w:rsidR="00EE66B9" w:rsidRPr="00CC066A" w:rsidRDefault="00EE66B9" w:rsidP="00C86268">
      <w:pPr>
        <w:ind w:left="-720"/>
        <w:jc w:val="both"/>
        <w:rPr>
          <w:b/>
        </w:rPr>
      </w:pPr>
    </w:p>
    <w:p w:rsidR="00EE66B9" w:rsidRPr="00CC066A" w:rsidRDefault="00EE66B9" w:rsidP="00D57DAF">
      <w:pPr>
        <w:spacing w:before="120" w:after="120" w:line="480" w:lineRule="auto"/>
        <w:jc w:val="right"/>
        <w:rPr>
          <w:position w:val="-62"/>
        </w:rPr>
      </w:pPr>
      <w:r w:rsidRPr="00CC066A">
        <w:rPr>
          <w:b/>
        </w:rPr>
        <w:t xml:space="preserve">  </w:t>
      </w:r>
      <w:r w:rsidRPr="00CC066A">
        <w:rPr>
          <w:position w:val="-48"/>
        </w:rPr>
        <w:object w:dxaOrig="7280" w:dyaOrig="1200">
          <v:shape id="_x0000_i1091" type="#_x0000_t75" style="width:365pt;height:63.65pt" o:ole="">
            <v:imagedata r:id="rId145" o:title=""/>
          </v:shape>
          <o:OLEObject Type="Embed" ProgID="Equation.DSMT4" ShapeID="_x0000_i1091" DrawAspect="Content" ObjectID="_1359267014" r:id="rId146"/>
        </w:object>
      </w:r>
      <w:r w:rsidRPr="00CC066A">
        <w:rPr>
          <w:position w:val="-36"/>
        </w:rPr>
        <w:t xml:space="preserve">             (</w:t>
      </w:r>
      <w:r w:rsidR="00C50296">
        <w:rPr>
          <w:position w:val="-36"/>
        </w:rPr>
        <w:t>1.</w:t>
      </w:r>
      <w:r w:rsidRPr="00CC066A">
        <w:rPr>
          <w:position w:val="-36"/>
        </w:rPr>
        <w:t>13)</w:t>
      </w:r>
    </w:p>
    <w:p w:rsidR="00EE66B9" w:rsidRPr="00CC066A" w:rsidRDefault="00EE66B9" w:rsidP="00FC0096">
      <w:pPr>
        <w:tabs>
          <w:tab w:val="left" w:pos="9360"/>
        </w:tabs>
        <w:jc w:val="right"/>
      </w:pPr>
    </w:p>
    <w:p w:rsidR="00EE66B9" w:rsidRPr="00CC066A" w:rsidRDefault="00EE66B9" w:rsidP="00D57DAF">
      <w:pPr>
        <w:spacing w:before="120" w:after="120" w:line="480" w:lineRule="auto"/>
        <w:jc w:val="right"/>
        <w:rPr>
          <w:position w:val="-36"/>
        </w:rPr>
      </w:pPr>
      <w:r w:rsidRPr="00CC066A">
        <w:rPr>
          <w:position w:val="-64"/>
        </w:rPr>
        <w:object w:dxaOrig="7020" w:dyaOrig="1520">
          <v:shape id="_x0000_i1092" type="#_x0000_t75" style="width:352.45pt;height:77.85pt" o:ole="">
            <v:imagedata r:id="rId147" o:title=""/>
          </v:shape>
          <o:OLEObject Type="Embed" ProgID="Equation.DSMT4" ShapeID="_x0000_i1092" DrawAspect="Content" ObjectID="_1359267015" r:id="rId148"/>
        </w:object>
      </w:r>
      <w:r w:rsidRPr="00CC066A">
        <w:rPr>
          <w:position w:val="-36"/>
        </w:rPr>
        <w:t xml:space="preserve">                 (</w:t>
      </w:r>
      <w:r w:rsidR="00C50296">
        <w:rPr>
          <w:position w:val="-36"/>
        </w:rPr>
        <w:t>1.</w:t>
      </w:r>
      <w:r w:rsidRPr="00CC066A">
        <w:rPr>
          <w:position w:val="-36"/>
        </w:rPr>
        <w:t>14)</w:t>
      </w:r>
    </w:p>
    <w:p w:rsidR="00EE66B9" w:rsidRPr="00CC066A" w:rsidRDefault="00EE66B9" w:rsidP="00FC0096">
      <w:pPr>
        <w:tabs>
          <w:tab w:val="left" w:pos="9360"/>
        </w:tabs>
        <w:jc w:val="right"/>
      </w:pPr>
      <w:r w:rsidRPr="00CC066A">
        <w:t xml:space="preserve"> </w:t>
      </w:r>
    </w:p>
    <w:p w:rsidR="00EE66B9" w:rsidRPr="00CC066A" w:rsidRDefault="00C50296" w:rsidP="00D57DAF">
      <w:pPr>
        <w:spacing w:before="120" w:after="120" w:line="480" w:lineRule="auto"/>
        <w:jc w:val="right"/>
        <w:rPr>
          <w:position w:val="-36"/>
        </w:rPr>
      </w:pPr>
      <w:r w:rsidRPr="00CC066A">
        <w:rPr>
          <w:position w:val="-64"/>
        </w:rPr>
        <w:object w:dxaOrig="8900" w:dyaOrig="1579">
          <v:shape id="_x0000_i1093" type="#_x0000_t75" style="width:436.2pt;height:79.55pt" o:ole="">
            <v:imagedata r:id="rId149" o:title=""/>
          </v:shape>
          <o:OLEObject Type="Embed" ProgID="Equation.DSMT4" ShapeID="_x0000_i1093" DrawAspect="Content" ObjectID="_1359267016" r:id="rId150"/>
        </w:object>
      </w:r>
      <w:r w:rsidR="00EE66B9" w:rsidRPr="00CC066A">
        <w:rPr>
          <w:position w:val="-36"/>
        </w:rPr>
        <w:t>(1</w:t>
      </w:r>
      <w:r>
        <w:rPr>
          <w:position w:val="-36"/>
        </w:rPr>
        <w:t>.1</w:t>
      </w:r>
      <w:r w:rsidR="00EE66B9" w:rsidRPr="00CC066A">
        <w:rPr>
          <w:position w:val="-36"/>
        </w:rPr>
        <w:t>5)</w:t>
      </w:r>
    </w:p>
    <w:p w:rsidR="00EE66B9" w:rsidRPr="00CC066A" w:rsidRDefault="00EE66B9" w:rsidP="00FC0096">
      <w:pPr>
        <w:tabs>
          <w:tab w:val="left" w:pos="9360"/>
        </w:tabs>
        <w:jc w:val="right"/>
      </w:pPr>
    </w:p>
    <w:p w:rsidR="00EE66B9" w:rsidRPr="00CC066A" w:rsidRDefault="00C50296" w:rsidP="00D57DAF">
      <w:pPr>
        <w:spacing w:before="120" w:after="120" w:line="480" w:lineRule="auto"/>
        <w:jc w:val="right"/>
      </w:pPr>
      <w:r w:rsidRPr="00CC066A">
        <w:rPr>
          <w:position w:val="-36"/>
        </w:rPr>
        <w:object w:dxaOrig="6020" w:dyaOrig="820">
          <v:shape id="_x0000_i1094" type="#_x0000_t75" style="width:301.4pt;height:41.85pt" o:ole="">
            <v:imagedata r:id="rId151" o:title=""/>
          </v:shape>
          <o:OLEObject Type="Embed" ProgID="Equation.DSMT4" ShapeID="_x0000_i1094" DrawAspect="Content" ObjectID="_1359267017" r:id="rId152"/>
        </w:object>
      </w:r>
      <w:r w:rsidR="00EE66B9" w:rsidRPr="00CC066A">
        <w:t xml:space="preserve">                       (</w:t>
      </w:r>
      <w:r>
        <w:t>1.</w:t>
      </w:r>
      <w:r w:rsidR="00EE66B9" w:rsidRPr="00CC066A">
        <w:t>16)</w:t>
      </w:r>
    </w:p>
    <w:p w:rsidR="00EE66B9" w:rsidRPr="00CC066A" w:rsidRDefault="00EE66B9" w:rsidP="00FC0096">
      <w:pPr>
        <w:jc w:val="right"/>
      </w:pPr>
    </w:p>
    <w:p w:rsidR="00EE66B9" w:rsidRPr="00CC066A" w:rsidRDefault="00EE66B9" w:rsidP="00D57DAF">
      <w:pPr>
        <w:spacing w:before="120" w:after="120" w:line="480" w:lineRule="auto"/>
        <w:jc w:val="right"/>
      </w:pPr>
      <w:r w:rsidRPr="00CC066A">
        <w:rPr>
          <w:position w:val="-12"/>
        </w:rPr>
        <w:object w:dxaOrig="1840" w:dyaOrig="360">
          <v:shape id="_x0000_i1095" type="#_x0000_t75" style="width:88.75pt;height:17.6pt" o:ole="">
            <v:imagedata r:id="rId153" o:title=""/>
          </v:shape>
          <o:OLEObject Type="Embed" ProgID="Equation.DSMT4" ShapeID="_x0000_i1095" DrawAspect="Content" ObjectID="_1359267018" r:id="rId154"/>
        </w:object>
      </w:r>
      <w:r w:rsidRPr="00CC066A">
        <w:t xml:space="preserve">                   </w:t>
      </w:r>
      <w:r w:rsidR="001712BA">
        <w:t xml:space="preserve"> </w:t>
      </w:r>
      <w:r w:rsidRPr="00CC066A">
        <w:t xml:space="preserve">                                        (</w:t>
      </w:r>
      <w:r w:rsidR="00C50296">
        <w:t>1.</w:t>
      </w:r>
      <w:r w:rsidRPr="00CC066A">
        <w:t>17)</w:t>
      </w:r>
    </w:p>
    <w:p w:rsidR="00EE66B9" w:rsidRPr="00CC066A" w:rsidRDefault="00EE66B9" w:rsidP="00FC0096">
      <w:pPr>
        <w:jc w:val="right"/>
      </w:pPr>
    </w:p>
    <w:bookmarkStart w:id="8" w:name="_GoBack"/>
    <w:bookmarkEnd w:id="8"/>
    <w:p w:rsidR="00EE66B9" w:rsidRPr="00CC066A" w:rsidRDefault="00EE66B9" w:rsidP="00D57DAF">
      <w:pPr>
        <w:spacing w:before="120" w:after="120" w:line="480" w:lineRule="auto"/>
        <w:jc w:val="right"/>
        <w:rPr>
          <w:b/>
        </w:rPr>
      </w:pPr>
      <w:r w:rsidRPr="00CC066A">
        <w:rPr>
          <w:position w:val="-28"/>
        </w:rPr>
        <w:object w:dxaOrig="1040" w:dyaOrig="639">
          <v:shape id="_x0000_i1096" type="#_x0000_t75" style="width:54.4pt;height:33.5pt" o:ole="">
            <v:imagedata r:id="rId155" o:title=""/>
          </v:shape>
          <o:OLEObject Type="Embed" ProgID="Equation.DSMT4" ShapeID="_x0000_i1096" DrawAspect="Content" ObjectID="_1359267019" r:id="rId156"/>
        </w:object>
      </w:r>
      <w:r w:rsidRPr="00CC066A">
        <w:t xml:space="preserve">                                                                     (</w:t>
      </w:r>
      <w:r w:rsidR="001712BA">
        <w:t>1.</w:t>
      </w:r>
      <w:r w:rsidRPr="00CC066A">
        <w:t>18)</w:t>
      </w:r>
      <w:r w:rsidRPr="00CC066A">
        <w:rPr>
          <w:b/>
        </w:rPr>
        <w:t xml:space="preserve">     </w:t>
      </w:r>
    </w:p>
    <w:p w:rsidR="00EE66B9" w:rsidRPr="00CC066A" w:rsidRDefault="00EE66B9" w:rsidP="00C86268">
      <w:pPr>
        <w:jc w:val="both"/>
        <w:rPr>
          <w:b/>
        </w:rPr>
      </w:pPr>
    </w:p>
    <w:p w:rsidR="00EE66B9" w:rsidRPr="00CC066A" w:rsidRDefault="00EE66B9" w:rsidP="00C86268">
      <w:pPr>
        <w:jc w:val="both"/>
      </w:pPr>
      <w:r w:rsidRPr="00CC066A">
        <w:t xml:space="preserve"> </w:t>
      </w:r>
    </w:p>
    <w:p w:rsidR="00245D5E" w:rsidRDefault="00EE66B9" w:rsidP="000E42D7">
      <w:pPr>
        <w:spacing w:before="240" w:after="240" w:line="480" w:lineRule="auto"/>
        <w:jc w:val="both"/>
      </w:pPr>
      <w:proofErr w:type="gramStart"/>
      <w:r w:rsidRPr="00CC066A">
        <w:t>where</w:t>
      </w:r>
      <w:proofErr w:type="gramEnd"/>
      <w:r w:rsidRPr="00CC066A">
        <w:t xml:space="preserve"> </w:t>
      </w:r>
      <w:r w:rsidRPr="00CC066A">
        <w:rPr>
          <w:position w:val="-10"/>
        </w:rPr>
        <w:object w:dxaOrig="320" w:dyaOrig="320">
          <v:shape id="_x0000_i1097" type="#_x0000_t75" style="width:17.6pt;height:17.6pt" o:ole="">
            <v:imagedata r:id="rId157" o:title=""/>
          </v:shape>
          <o:OLEObject Type="Embed" ProgID="Equation.DSMT4" ShapeID="_x0000_i1097" DrawAspect="Content" ObjectID="_1359267020" r:id="rId158"/>
        </w:object>
      </w:r>
      <w:r w:rsidRPr="00CC066A">
        <w:t xml:space="preserve">denotes the Lagrangian multipliers associated with the budget constraint. The solution to the model is a set of stochastic processes for the endogenous variables that satisfies the budget constraint (4), equation (5), and the first-order conditions (13)–(18), and the consistency conditions (that values of individual per capita debt and output equal are equal to its cross sectional levels </w:t>
      </w:r>
      <w:r w:rsidRPr="00CC066A">
        <w:rPr>
          <w:position w:val="-16"/>
        </w:rPr>
        <w:object w:dxaOrig="1420" w:dyaOrig="420">
          <v:shape id="_x0000_i1098" type="#_x0000_t75" style="width:1in;height:22.6pt" o:ole="">
            <v:imagedata r:id="rId159" o:title=""/>
          </v:shape>
          <o:OLEObject Type="Embed" ProgID="Equation.DSMT4" ShapeID="_x0000_i1098" DrawAspect="Content" ObjectID="_1359267021" r:id="rId160"/>
        </w:object>
      </w:r>
      <w:r w:rsidRPr="00CC066A">
        <w:t>and the no-Ponzi-scheme (12) given the initial conditions</w:t>
      </w:r>
      <w:r w:rsidRPr="00CC066A">
        <w:rPr>
          <w:position w:val="-12"/>
        </w:rPr>
        <w:object w:dxaOrig="1719" w:dyaOrig="360">
          <v:shape id="_x0000_i1099" type="#_x0000_t75" style="width:85.4pt;height:17.6pt" o:ole="">
            <v:imagedata r:id="rId161" o:title=""/>
          </v:shape>
          <o:OLEObject Type="Embed" ProgID="Equation.DSMT4" ShapeID="_x0000_i1099" DrawAspect="Content" ObjectID="_1359267022" r:id="rId162"/>
        </w:object>
      </w:r>
      <w:r w:rsidRPr="00CC066A">
        <w:t xml:space="preserve">. The model is solved for the long run steady state values around which the log linearized version of the model is approximated, as in Campbell (1994). The approximated log-linearized system, consisting of rational difference equations, is solved by using the method of the undetermined coefficient as in </w:t>
      </w:r>
      <w:proofErr w:type="spellStart"/>
      <w:r w:rsidRPr="00CC066A">
        <w:t>Uhlig</w:t>
      </w:r>
      <w:proofErr w:type="spellEnd"/>
      <w:r w:rsidRPr="00CC066A">
        <w:t xml:space="preserve"> (1999)</w:t>
      </w:r>
      <w:r>
        <w:t xml:space="preserve">. </w:t>
      </w:r>
      <w:r w:rsidR="00245D5E" w:rsidRPr="00292728">
        <w:t xml:space="preserve">The </w:t>
      </w:r>
      <w:r w:rsidR="00245D5E">
        <w:t xml:space="preserve">detailed </w:t>
      </w:r>
      <w:r w:rsidR="00245D5E" w:rsidRPr="00292728">
        <w:t>linearized form of the model and its solution</w:t>
      </w:r>
      <w:r w:rsidR="00245D5E">
        <w:t>s</w:t>
      </w:r>
      <w:r w:rsidR="00245D5E" w:rsidRPr="00292728">
        <w:t xml:space="preserve"> are</w:t>
      </w:r>
      <w:r w:rsidR="00245D5E">
        <w:t xml:space="preserve"> </w:t>
      </w:r>
      <w:r w:rsidR="00245D5E" w:rsidRPr="00292728">
        <w:t xml:space="preserve">appended </w:t>
      </w:r>
      <w:r w:rsidR="000E42D7">
        <w:t>the Technical Note C1.</w:t>
      </w:r>
    </w:p>
    <w:p w:rsidR="0007385D" w:rsidRPr="00EE6912" w:rsidRDefault="00786F2D" w:rsidP="001712BA">
      <w:pPr>
        <w:pStyle w:val="Heading2"/>
        <w:numPr>
          <w:ilvl w:val="1"/>
          <w:numId w:val="2"/>
        </w:numPr>
        <w:spacing w:after="240" w:line="480" w:lineRule="auto"/>
        <w:jc w:val="both"/>
        <w:rPr>
          <w:b w:val="0"/>
          <w:bCs w:val="0"/>
        </w:rPr>
      </w:pPr>
      <w:bookmarkStart w:id="9" w:name="_Toc285478003"/>
      <w:r w:rsidRPr="00EE6912">
        <w:rPr>
          <w:b w:val="0"/>
          <w:bCs w:val="0"/>
        </w:rPr>
        <w:t>Calibration</w:t>
      </w:r>
      <w:bookmarkEnd w:id="9"/>
      <w:r w:rsidRPr="00EE6912">
        <w:rPr>
          <w:b w:val="0"/>
          <w:bCs w:val="0"/>
        </w:rPr>
        <w:t xml:space="preserve"> </w:t>
      </w:r>
    </w:p>
    <w:p w:rsidR="001712BA" w:rsidRPr="001712BA" w:rsidRDefault="001712BA" w:rsidP="001712BA"/>
    <w:p w:rsidR="00EE66B9" w:rsidRPr="00CC066A" w:rsidRDefault="00EE66B9" w:rsidP="00C30B64">
      <w:pPr>
        <w:pStyle w:val="FootnoteText"/>
        <w:spacing w:before="240" w:after="240" w:line="480" w:lineRule="auto"/>
        <w:ind w:firstLine="720"/>
        <w:jc w:val="both"/>
        <w:rPr>
          <w:rFonts w:ascii="Times New Roman" w:hAnsi="Times New Roman"/>
          <w:sz w:val="24"/>
          <w:szCs w:val="24"/>
        </w:rPr>
      </w:pPr>
      <w:r w:rsidRPr="00CC066A">
        <w:rPr>
          <w:rFonts w:ascii="Times New Roman" w:hAnsi="Times New Roman"/>
          <w:sz w:val="24"/>
          <w:szCs w:val="24"/>
        </w:rPr>
        <w:t>We calibrate our model to the Canadian economy. Each period is taken to be a quarter. The capital share</w:t>
      </w:r>
      <w:r w:rsidR="00DF69DD" w:rsidRPr="00CC066A">
        <w:rPr>
          <w:rFonts w:ascii="Times New Roman" w:hAnsi="Times New Roman"/>
          <w:position w:val="-6"/>
          <w:sz w:val="24"/>
          <w:szCs w:val="24"/>
        </w:rPr>
        <w:object w:dxaOrig="220" w:dyaOrig="220">
          <v:shape id="_x0000_i1100" type="#_x0000_t75" style="width:14.25pt;height:10.05pt" o:ole="">
            <v:imagedata r:id="rId163" o:title=""/>
          </v:shape>
          <o:OLEObject Type="Embed" ProgID="Equation.DSMT4" ShapeID="_x0000_i1100" DrawAspect="Content" ObjectID="_1359267023" r:id="rId164"/>
        </w:object>
      </w:r>
      <w:r w:rsidRPr="00CC066A">
        <w:rPr>
          <w:rFonts w:ascii="Times New Roman" w:hAnsi="Times New Roman"/>
          <w:sz w:val="24"/>
          <w:szCs w:val="24"/>
        </w:rPr>
        <w:t xml:space="preserve"> is set to</w:t>
      </w:r>
      <w:r w:rsidR="00DF69DD" w:rsidRPr="00CC066A">
        <w:rPr>
          <w:rFonts w:ascii="Times New Roman" w:hAnsi="Times New Roman"/>
          <w:position w:val="-6"/>
          <w:sz w:val="24"/>
          <w:szCs w:val="24"/>
        </w:rPr>
        <w:object w:dxaOrig="460" w:dyaOrig="260">
          <v:shape id="_x0000_i1101" type="#_x0000_t75" style="width:30.15pt;height:11.7pt" o:ole="">
            <v:imagedata r:id="rId165" o:title=""/>
          </v:shape>
          <o:OLEObject Type="Embed" ProgID="Equation.DSMT4" ShapeID="_x0000_i1101" DrawAspect="Content" ObjectID="_1359267024" r:id="rId166"/>
        </w:object>
      </w:r>
      <w:r w:rsidRPr="00CC066A">
        <w:rPr>
          <w:rFonts w:ascii="Times New Roman" w:hAnsi="Times New Roman"/>
          <w:sz w:val="24"/>
          <w:szCs w:val="24"/>
        </w:rPr>
        <w:t xml:space="preserve">and the steady state depreciation rate of capital </w:t>
      </w:r>
      <w:r w:rsidR="00DF69DD" w:rsidRPr="00CC066A">
        <w:rPr>
          <w:rFonts w:ascii="Times New Roman" w:hAnsi="Times New Roman"/>
          <w:position w:val="-6"/>
          <w:sz w:val="24"/>
          <w:szCs w:val="24"/>
        </w:rPr>
        <w:object w:dxaOrig="220" w:dyaOrig="279">
          <v:shape id="_x0000_i1102" type="#_x0000_t75" style="width:17.6pt;height:15.05pt" o:ole="">
            <v:imagedata r:id="rId167" o:title=""/>
          </v:shape>
          <o:OLEObject Type="Embed" ProgID="Equation.DSMT4" ShapeID="_x0000_i1102" DrawAspect="Content" ObjectID="_1359267025" r:id="rId168"/>
        </w:object>
      </w:r>
      <w:r w:rsidRPr="00CC066A">
        <w:rPr>
          <w:rFonts w:ascii="Times New Roman" w:hAnsi="Times New Roman"/>
          <w:sz w:val="24"/>
          <w:szCs w:val="24"/>
        </w:rPr>
        <w:t xml:space="preserve">is set to 0.02.  The steady state employment </w:t>
      </w:r>
      <w:r w:rsidR="00DF69DD" w:rsidRPr="00CC066A">
        <w:rPr>
          <w:rFonts w:ascii="Times New Roman" w:hAnsi="Times New Roman"/>
          <w:position w:val="-6"/>
          <w:sz w:val="24"/>
          <w:szCs w:val="24"/>
        </w:rPr>
        <w:object w:dxaOrig="200" w:dyaOrig="279">
          <v:shape id="_x0000_i1103" type="#_x0000_t75" style="width:15.9pt;height:14.25pt" o:ole="">
            <v:imagedata r:id="rId169" o:title=""/>
          </v:shape>
          <o:OLEObject Type="Embed" ProgID="Equation.DSMT4" ShapeID="_x0000_i1103" DrawAspect="Content" ObjectID="_1359267026" r:id="rId170"/>
        </w:object>
      </w:r>
      <w:r w:rsidRPr="00CC066A">
        <w:rPr>
          <w:rFonts w:ascii="Times New Roman" w:hAnsi="Times New Roman"/>
          <w:sz w:val="24"/>
          <w:szCs w:val="24"/>
        </w:rPr>
        <w:t xml:space="preserve">is normalized to 20 percent of the total time endowment. Since there is no specific estimate for the elasticity of the intratemporal substitution between durables and nondurables </w:t>
      </w:r>
      <w:r w:rsidRPr="00CC066A">
        <w:rPr>
          <w:rFonts w:ascii="Times New Roman" w:hAnsi="Times New Roman"/>
          <w:position w:val="-12"/>
          <w:sz w:val="24"/>
          <w:szCs w:val="24"/>
        </w:rPr>
        <w:object w:dxaOrig="400" w:dyaOrig="360">
          <v:shape id="_x0000_i1104" type="#_x0000_t75" style="width:17.6pt;height:17.6pt" o:ole="">
            <v:imagedata r:id="rId171" o:title=""/>
          </v:shape>
          <o:OLEObject Type="Embed" ProgID="Equation.DSMT4" ShapeID="_x0000_i1104" DrawAspect="Content" ObjectID="_1359267027" r:id="rId172"/>
        </w:object>
      </w:r>
      <w:r w:rsidRPr="00CC066A">
        <w:rPr>
          <w:rFonts w:ascii="Times New Roman" w:hAnsi="Times New Roman"/>
          <w:sz w:val="24"/>
          <w:szCs w:val="24"/>
        </w:rPr>
        <w:t xml:space="preserve">for the Canadian economy, we borrow the value of this parameter (1.1) from Engel and Wang. We set the risk aversion parameter </w:t>
      </w:r>
      <w:r w:rsidRPr="00CC066A">
        <w:rPr>
          <w:rFonts w:ascii="Times New Roman" w:hAnsi="Times New Roman"/>
          <w:position w:val="-6"/>
          <w:sz w:val="24"/>
          <w:szCs w:val="24"/>
        </w:rPr>
        <w:object w:dxaOrig="720" w:dyaOrig="260">
          <v:shape id="_x0000_i1105" type="#_x0000_t75" style="width:38.5pt;height:13.4pt" o:ole="">
            <v:imagedata r:id="rId173" o:title=""/>
          </v:shape>
          <o:OLEObject Type="Embed" ProgID="Equation.DSMT4" ShapeID="_x0000_i1105" DrawAspect="Content" ObjectID="_1359267028" r:id="rId174"/>
        </w:object>
      </w:r>
      <w:r w:rsidRPr="00CC066A">
        <w:rPr>
          <w:rFonts w:ascii="Times New Roman" w:hAnsi="Times New Roman"/>
          <w:sz w:val="24"/>
          <w:szCs w:val="24"/>
        </w:rPr>
        <w:t xml:space="preserve"> as in Neumeyer and Perri among others.</w:t>
      </w:r>
    </w:p>
    <w:p w:rsidR="00EE66B9" w:rsidRPr="00CC066A" w:rsidRDefault="00EE66B9" w:rsidP="00C30B64">
      <w:pPr>
        <w:pStyle w:val="FootnoteText"/>
        <w:spacing w:before="240" w:after="240" w:line="480" w:lineRule="auto"/>
        <w:ind w:firstLine="720"/>
        <w:jc w:val="both"/>
        <w:rPr>
          <w:rFonts w:ascii="Times New Roman" w:hAnsi="Times New Roman"/>
          <w:sz w:val="24"/>
          <w:szCs w:val="24"/>
        </w:rPr>
      </w:pPr>
      <w:r w:rsidRPr="00CC066A">
        <w:rPr>
          <w:rFonts w:ascii="Times New Roman" w:hAnsi="Times New Roman"/>
          <w:sz w:val="24"/>
          <w:szCs w:val="24"/>
        </w:rPr>
        <w:t xml:space="preserve">We assign low value for labor elasticity </w:t>
      </w:r>
      <w:r w:rsidRPr="00CC066A">
        <w:rPr>
          <w:rFonts w:ascii="Times New Roman" w:hAnsi="Times New Roman"/>
          <w:position w:val="-6"/>
          <w:sz w:val="24"/>
          <w:szCs w:val="24"/>
        </w:rPr>
        <w:object w:dxaOrig="700" w:dyaOrig="260">
          <v:shape id="_x0000_i1106" type="#_x0000_t75" style="width:38.5pt;height:15.9pt" o:ole="">
            <v:imagedata r:id="rId175" o:title=""/>
          </v:shape>
          <o:OLEObject Type="Embed" ProgID="Equation.DSMT4" ShapeID="_x0000_i1106" DrawAspect="Content" ObjectID="_1359267029" r:id="rId176"/>
        </w:object>
      </w:r>
      <w:r w:rsidRPr="00CC066A">
        <w:rPr>
          <w:rFonts w:ascii="Times New Roman" w:hAnsi="Times New Roman"/>
          <w:position w:val="-6"/>
          <w:sz w:val="24"/>
          <w:szCs w:val="24"/>
        </w:rPr>
        <w:t xml:space="preserve"> </w:t>
      </w:r>
      <w:r w:rsidRPr="00CC066A">
        <w:rPr>
          <w:rFonts w:ascii="Times New Roman" w:hAnsi="Times New Roman"/>
          <w:sz w:val="24"/>
          <w:szCs w:val="24"/>
        </w:rPr>
        <w:t>comparing to the similar parameter value in Mendoza (1991) and many others. We find that this level of employment elasticity improves the predictions of the model given interest rate uncertainty.</w:t>
      </w:r>
      <w:r w:rsidRPr="00CC066A">
        <w:rPr>
          <w:rFonts w:ascii="Times New Roman" w:hAnsi="Times New Roman"/>
          <w:sz w:val="24"/>
          <w:szCs w:val="24"/>
          <w:vertAlign w:val="superscript"/>
        </w:rPr>
        <w:footnoteReference w:id="10"/>
      </w:r>
      <w:r w:rsidRPr="00CC066A">
        <w:rPr>
          <w:rFonts w:ascii="Times New Roman" w:hAnsi="Times New Roman"/>
          <w:sz w:val="24"/>
          <w:szCs w:val="24"/>
        </w:rPr>
        <w:t xml:space="preserve">  The value of the labor parameter </w:t>
      </w:r>
      <w:r w:rsidRPr="00CC066A">
        <w:rPr>
          <w:rFonts w:ascii="Times New Roman" w:hAnsi="Times New Roman"/>
          <w:position w:val="-10"/>
          <w:sz w:val="24"/>
          <w:szCs w:val="24"/>
        </w:rPr>
        <w:object w:dxaOrig="200" w:dyaOrig="300">
          <v:shape id="_x0000_i1107" type="#_x0000_t75" style="width:9.2pt;height:15.9pt" o:ole="">
            <v:imagedata r:id="rId177" o:title=""/>
          </v:shape>
          <o:OLEObject Type="Embed" ProgID="Equation.DSMT4" ShapeID="_x0000_i1107" DrawAspect="Content" ObjectID="_1359267030" r:id="rId178"/>
        </w:object>
      </w:r>
      <w:r w:rsidRPr="00CC066A">
        <w:rPr>
          <w:rFonts w:ascii="Times New Roman" w:hAnsi="Times New Roman"/>
          <w:sz w:val="24"/>
          <w:szCs w:val="24"/>
        </w:rPr>
        <w:t xml:space="preserve"> is set at </w:t>
      </w:r>
      <w:r w:rsidRPr="00CC066A">
        <w:rPr>
          <w:rFonts w:ascii="Times New Roman" w:hAnsi="Times New Roman"/>
          <w:position w:val="-6"/>
          <w:sz w:val="24"/>
          <w:szCs w:val="24"/>
        </w:rPr>
        <w:object w:dxaOrig="440" w:dyaOrig="260">
          <v:shape id="_x0000_i1108" type="#_x0000_t75" style="width:22.6pt;height:13.4pt" o:ole="">
            <v:imagedata r:id="rId179" o:title=""/>
          </v:shape>
          <o:OLEObject Type="Embed" ProgID="Equation.DSMT4" ShapeID="_x0000_i1108" DrawAspect="Content" ObjectID="_1359267031" r:id="rId180"/>
        </w:object>
      </w:r>
      <w:r w:rsidRPr="00CC066A">
        <w:rPr>
          <w:rFonts w:ascii="Times New Roman" w:hAnsi="Times New Roman"/>
          <w:sz w:val="24"/>
          <w:szCs w:val="24"/>
        </w:rPr>
        <w:t xml:space="preserve">to ensure that the steady state level of employment is </w:t>
      </w:r>
      <w:r w:rsidRPr="00CC066A">
        <w:rPr>
          <w:rFonts w:ascii="Times New Roman" w:hAnsi="Times New Roman"/>
          <w:position w:val="-6"/>
          <w:sz w:val="24"/>
          <w:szCs w:val="24"/>
        </w:rPr>
        <w:object w:dxaOrig="520" w:dyaOrig="279">
          <v:shape id="_x0000_i1109" type="#_x0000_t75" style="width:25.1pt;height:13.4pt" o:ole="">
            <v:imagedata r:id="rId181" o:title=""/>
          </v:shape>
          <o:OLEObject Type="Embed" ProgID="Equation.DSMT4" ShapeID="_x0000_i1109" DrawAspect="Content" ObjectID="_1359267032" r:id="rId182"/>
        </w:object>
      </w:r>
      <w:r w:rsidRPr="00CC066A">
        <w:rPr>
          <w:rFonts w:ascii="Times New Roman" w:hAnsi="Times New Roman"/>
          <w:sz w:val="24"/>
          <w:szCs w:val="24"/>
        </w:rPr>
        <w:t>of the time endowment, given other parameters’ values. The long run real interest rate is</w:t>
      </w:r>
      <w:r w:rsidRPr="00CC066A">
        <w:rPr>
          <w:rFonts w:ascii="Times New Roman" w:hAnsi="Times New Roman"/>
          <w:position w:val="-12"/>
          <w:sz w:val="24"/>
          <w:szCs w:val="24"/>
        </w:rPr>
        <w:object w:dxaOrig="1240" w:dyaOrig="400">
          <v:shape id="_x0000_i1110" type="#_x0000_t75" style="width:62.8pt;height:17.6pt" o:ole="">
            <v:imagedata r:id="rId183" o:title=""/>
          </v:shape>
          <o:OLEObject Type="Embed" ProgID="Equation.DSMT4" ShapeID="_x0000_i1110" DrawAspect="Content" ObjectID="_1359267033" r:id="rId184"/>
        </w:object>
      </w:r>
      <w:r w:rsidRPr="00CC066A">
        <w:rPr>
          <w:rFonts w:ascii="Times New Roman" w:hAnsi="Times New Roman"/>
          <w:sz w:val="24"/>
          <w:szCs w:val="24"/>
        </w:rPr>
        <w:t xml:space="preserve">.  Given this interest rate and the assumption of a zero long run growth rates, the consistent value of the subjective discount factor </w:t>
      </w:r>
      <w:r w:rsidRPr="00CC066A">
        <w:rPr>
          <w:rFonts w:ascii="Times New Roman" w:hAnsi="Times New Roman"/>
          <w:position w:val="-10"/>
          <w:sz w:val="24"/>
          <w:szCs w:val="24"/>
        </w:rPr>
        <w:object w:dxaOrig="240" w:dyaOrig="300">
          <v:shape id="_x0000_i1111" type="#_x0000_t75" style="width:9.2pt;height:15.9pt" o:ole="">
            <v:imagedata r:id="rId185" o:title=""/>
          </v:shape>
          <o:OLEObject Type="Embed" ProgID="Equation.DSMT4" ShapeID="_x0000_i1111" DrawAspect="Content" ObjectID="_1359267034" r:id="rId186"/>
        </w:object>
      </w:r>
      <w:r w:rsidRPr="00CC066A">
        <w:rPr>
          <w:rFonts w:ascii="Times New Roman" w:hAnsi="Times New Roman"/>
          <w:sz w:val="24"/>
          <w:szCs w:val="24"/>
        </w:rPr>
        <w:t>is</w:t>
      </w:r>
      <w:r w:rsidRPr="00CC066A">
        <w:rPr>
          <w:rFonts w:ascii="Times New Roman" w:hAnsi="Times New Roman"/>
          <w:position w:val="-6"/>
          <w:sz w:val="24"/>
          <w:szCs w:val="24"/>
        </w:rPr>
        <w:object w:dxaOrig="639" w:dyaOrig="300">
          <v:shape id="_x0000_i1112" type="#_x0000_t75" style="width:33.5pt;height:15.9pt" o:ole="">
            <v:imagedata r:id="rId187" o:title=""/>
          </v:shape>
          <o:OLEObject Type="Embed" ProgID="Equation.DSMT4" ShapeID="_x0000_i1112" DrawAspect="Content" ObjectID="_1359267035" r:id="rId188"/>
        </w:object>
      </w:r>
      <w:r w:rsidRPr="00CC066A">
        <w:rPr>
          <w:rFonts w:ascii="Times New Roman" w:hAnsi="Times New Roman"/>
          <w:sz w:val="24"/>
          <w:szCs w:val="24"/>
        </w:rPr>
        <w:t>. We set the elasticity of the country risk premium to external debt as equal to the elasticity of the premium to domestic output</w:t>
      </w:r>
      <w:r w:rsidRPr="00CC066A">
        <w:rPr>
          <w:rFonts w:ascii="Times New Roman" w:hAnsi="Times New Roman"/>
          <w:position w:val="-12"/>
          <w:sz w:val="24"/>
          <w:szCs w:val="24"/>
        </w:rPr>
        <w:object w:dxaOrig="1359" w:dyaOrig="360">
          <v:shape id="_x0000_i1113" type="#_x0000_t75" style="width:69.5pt;height:17.6pt" o:ole="">
            <v:imagedata r:id="rId189" o:title=""/>
          </v:shape>
          <o:OLEObject Type="Embed" ProgID="Equation.DSMT4" ShapeID="_x0000_i1113" DrawAspect="Content" ObjectID="_1359267036" r:id="rId190"/>
        </w:object>
      </w:r>
      <w:r w:rsidRPr="00CC066A">
        <w:rPr>
          <w:rFonts w:ascii="Times New Roman" w:hAnsi="Times New Roman"/>
          <w:sz w:val="24"/>
          <w:szCs w:val="24"/>
        </w:rPr>
        <w:t xml:space="preserve">. The elasticity the country premium to of debt is calibrated to </w:t>
      </w:r>
      <w:proofErr w:type="spellStart"/>
      <w:r w:rsidRPr="00CC066A">
        <w:rPr>
          <w:rFonts w:ascii="Times New Roman" w:hAnsi="Times New Roman"/>
          <w:sz w:val="24"/>
          <w:szCs w:val="24"/>
        </w:rPr>
        <w:t>to</w:t>
      </w:r>
      <w:proofErr w:type="spellEnd"/>
      <w:r w:rsidRPr="00CC066A">
        <w:rPr>
          <w:rFonts w:ascii="Times New Roman" w:hAnsi="Times New Roman"/>
          <w:sz w:val="24"/>
          <w:szCs w:val="24"/>
        </w:rPr>
        <w:t xml:space="preserve"> match the correlation between output and trade balance. The elasticity of the premium to output is calibrated to produce a negative correlation between investment and interest rates. We explain the importance of the elasticity of the risk </w:t>
      </w:r>
      <w:r w:rsidR="00240F67" w:rsidRPr="00CC066A">
        <w:rPr>
          <w:rFonts w:ascii="Times New Roman" w:hAnsi="Times New Roman"/>
          <w:sz w:val="24"/>
          <w:szCs w:val="24"/>
        </w:rPr>
        <w:t>premium to</w:t>
      </w:r>
      <w:r w:rsidRPr="00CC066A">
        <w:rPr>
          <w:rFonts w:ascii="Times New Roman" w:hAnsi="Times New Roman"/>
          <w:sz w:val="24"/>
          <w:szCs w:val="24"/>
        </w:rPr>
        <w:t xml:space="preserve"> output in details in explain section 6. According to </w:t>
      </w:r>
      <w:proofErr w:type="spellStart"/>
      <w:r w:rsidRPr="00CC066A">
        <w:rPr>
          <w:rFonts w:ascii="Times New Roman" w:hAnsi="Times New Roman"/>
          <w:sz w:val="24"/>
          <w:szCs w:val="24"/>
        </w:rPr>
        <w:t>Basu</w:t>
      </w:r>
      <w:proofErr w:type="spellEnd"/>
      <w:r w:rsidRPr="00CC066A">
        <w:rPr>
          <w:rFonts w:ascii="Times New Roman" w:hAnsi="Times New Roman"/>
          <w:sz w:val="24"/>
          <w:szCs w:val="24"/>
        </w:rPr>
        <w:t xml:space="preserve"> and Kimball (1997), the elasticity of depreciation to utilization in US manufacturing is in the range [1, 2]. Given the observed cycle, we set </w:t>
      </w:r>
      <w:r w:rsidRPr="00CC066A">
        <w:rPr>
          <w:rFonts w:ascii="Times New Roman" w:hAnsi="Times New Roman"/>
          <w:position w:val="-10"/>
          <w:sz w:val="24"/>
          <w:szCs w:val="24"/>
        </w:rPr>
        <w:object w:dxaOrig="220" w:dyaOrig="240">
          <v:shape id="_x0000_i1114" type="#_x0000_t75" style="width:9.2pt;height:13.4pt" o:ole="">
            <v:imagedata r:id="rId191" o:title=""/>
          </v:shape>
          <o:OLEObject Type="Embed" ProgID="Equation.DSMT4" ShapeID="_x0000_i1114" DrawAspect="Content" ObjectID="_1359267037" r:id="rId192"/>
        </w:object>
      </w:r>
      <w:r w:rsidRPr="00CC066A">
        <w:rPr>
          <w:rFonts w:ascii="Times New Roman" w:hAnsi="Times New Roman"/>
          <w:position w:val="-10"/>
          <w:sz w:val="24"/>
          <w:szCs w:val="24"/>
        </w:rPr>
        <w:t xml:space="preserve"> </w:t>
      </w:r>
      <w:r w:rsidRPr="00CC066A">
        <w:rPr>
          <w:rFonts w:ascii="Times New Roman" w:hAnsi="Times New Roman"/>
          <w:sz w:val="24"/>
          <w:szCs w:val="24"/>
        </w:rPr>
        <w:t>at 1.5. The steady state rate of capital depreciation</w:t>
      </w:r>
      <w:r w:rsidRPr="00CC066A">
        <w:rPr>
          <w:rFonts w:ascii="Times New Roman" w:hAnsi="Times New Roman"/>
          <w:position w:val="-6"/>
          <w:sz w:val="24"/>
          <w:szCs w:val="24"/>
        </w:rPr>
        <w:object w:dxaOrig="200" w:dyaOrig="260">
          <v:shape id="_x0000_i1115" type="#_x0000_t75" style="width:9.2pt;height:13.4pt" o:ole="">
            <v:imagedata r:id="rId193" o:title=""/>
          </v:shape>
          <o:OLEObject Type="Embed" ProgID="Equation.DSMT4" ShapeID="_x0000_i1115" DrawAspect="Content" ObjectID="_1359267038" r:id="rId194"/>
        </w:object>
      </w:r>
      <w:r w:rsidRPr="00CC066A">
        <w:rPr>
          <w:rFonts w:ascii="Times New Roman" w:hAnsi="Times New Roman"/>
          <w:sz w:val="24"/>
          <w:szCs w:val="24"/>
        </w:rPr>
        <w:t xml:space="preserve"> is set at 0.02, and the historical average utilization rate </w:t>
      </w:r>
      <w:r w:rsidRPr="00CC066A">
        <w:rPr>
          <w:rFonts w:ascii="Times New Roman" w:hAnsi="Times New Roman"/>
          <w:position w:val="-6"/>
          <w:sz w:val="24"/>
          <w:szCs w:val="24"/>
        </w:rPr>
        <w:object w:dxaOrig="220" w:dyaOrig="279">
          <v:shape id="_x0000_i1116" type="#_x0000_t75" style="width:8.35pt;height:8.35pt" o:ole="">
            <v:imagedata r:id="rId195" o:title=""/>
          </v:shape>
          <o:OLEObject Type="Embed" ProgID="Equation.DSMT4" ShapeID="_x0000_i1116" DrawAspect="Content" ObjectID="_1359267039" r:id="rId196"/>
        </w:object>
      </w:r>
      <w:r w:rsidRPr="00CC066A">
        <w:rPr>
          <w:rFonts w:ascii="Times New Roman" w:hAnsi="Times New Roman"/>
          <w:sz w:val="24"/>
          <w:szCs w:val="24"/>
        </w:rPr>
        <w:t xml:space="preserve"> is estimated to be 0.817. Accordingly, the consistent value of </w:t>
      </w:r>
      <w:r w:rsidRPr="00CC066A">
        <w:rPr>
          <w:rFonts w:ascii="Times New Roman" w:hAnsi="Times New Roman"/>
          <w:position w:val="-6"/>
          <w:sz w:val="24"/>
          <w:szCs w:val="24"/>
        </w:rPr>
        <w:object w:dxaOrig="200" w:dyaOrig="220">
          <v:shape id="_x0000_i1117" type="#_x0000_t75" style="width:9.2pt;height:8.35pt" o:ole="">
            <v:imagedata r:id="rId197" o:title=""/>
          </v:shape>
          <o:OLEObject Type="Embed" ProgID="Equation.DSMT4" ShapeID="_x0000_i1117" DrawAspect="Content" ObjectID="_1359267040" r:id="rId198"/>
        </w:object>
      </w:r>
      <w:r w:rsidRPr="00CC066A">
        <w:rPr>
          <w:rFonts w:ascii="Times New Roman" w:hAnsi="Times New Roman"/>
          <w:sz w:val="24"/>
          <w:szCs w:val="24"/>
        </w:rPr>
        <w:t xml:space="preserve"> becomes 0.0271. Table </w:t>
      </w:r>
      <w:r w:rsidR="002F5DEC">
        <w:rPr>
          <w:rFonts w:ascii="Times New Roman" w:hAnsi="Times New Roman"/>
          <w:sz w:val="24"/>
          <w:szCs w:val="24"/>
        </w:rPr>
        <w:t>A.</w:t>
      </w:r>
      <w:r w:rsidRPr="00CC066A">
        <w:rPr>
          <w:rFonts w:ascii="Times New Roman" w:hAnsi="Times New Roman"/>
          <w:sz w:val="24"/>
          <w:szCs w:val="24"/>
        </w:rPr>
        <w:t>2 summarizes the baseline parameter values.</w:t>
      </w:r>
      <w:r w:rsidRPr="00CC066A">
        <w:rPr>
          <w:rFonts w:ascii="Times New Roman" w:hAnsi="Times New Roman"/>
          <w:position w:val="-6"/>
          <w:sz w:val="24"/>
          <w:szCs w:val="24"/>
        </w:rPr>
        <w:t xml:space="preserve"> </w:t>
      </w:r>
    </w:p>
    <w:p w:rsidR="00EE66B9" w:rsidRPr="00EE6912" w:rsidRDefault="00786F2D" w:rsidP="00C86268">
      <w:pPr>
        <w:pStyle w:val="Heading2"/>
        <w:numPr>
          <w:ilvl w:val="1"/>
          <w:numId w:val="2"/>
        </w:numPr>
        <w:spacing w:after="240" w:line="480" w:lineRule="auto"/>
        <w:jc w:val="both"/>
        <w:rPr>
          <w:b w:val="0"/>
          <w:bCs w:val="0"/>
        </w:rPr>
      </w:pPr>
      <w:bookmarkStart w:id="10" w:name="_Toc285478004"/>
      <w:r w:rsidRPr="00EE6912">
        <w:rPr>
          <w:b w:val="0"/>
          <w:bCs w:val="0"/>
        </w:rPr>
        <w:t>The Model Fit With the Canadian Data</w:t>
      </w:r>
      <w:bookmarkEnd w:id="10"/>
    </w:p>
    <w:p w:rsidR="00EE66B9" w:rsidRPr="00CC066A" w:rsidRDefault="00EE66B9" w:rsidP="00C30B64">
      <w:pPr>
        <w:spacing w:before="240" w:after="240" w:line="480" w:lineRule="auto"/>
        <w:ind w:firstLine="720"/>
        <w:jc w:val="both"/>
      </w:pPr>
      <w:r w:rsidRPr="00CC066A">
        <w:t xml:space="preserve">To assess the model’s fit with the Canadian business cycle, it requires comparing the second moments generated from the actual business cycle data, presented in Table </w:t>
      </w:r>
      <w:r w:rsidR="00E60AF7">
        <w:t>A.</w:t>
      </w:r>
      <w:r w:rsidRPr="00CC066A">
        <w:t xml:space="preserve">3 (column 2), with its counterpart moments generated from the theoretical model using the baseline parameter values, presented in Table </w:t>
      </w:r>
      <w:r w:rsidR="00E60AF7">
        <w:t>A.</w:t>
      </w:r>
      <w:r w:rsidRPr="00CC066A">
        <w:t xml:space="preserve">2 (column3). The volatility of all national accounts in the baseline model closely matches with the corresponding observed volatility of the actual national accounts, though it slightly understates the volatility of trade balance to output ratio and slightly overstate the volatility of the current account to output ratio. </w:t>
      </w:r>
    </w:p>
    <w:p w:rsidR="00EE66B9" w:rsidRPr="00CC066A" w:rsidRDefault="00EE66B9" w:rsidP="00C30B64">
      <w:pPr>
        <w:spacing w:before="240" w:after="240" w:line="480" w:lineRule="auto"/>
        <w:ind w:firstLine="720"/>
        <w:jc w:val="both"/>
      </w:pPr>
      <w:r w:rsidRPr="00CC066A">
        <w:t>The model economy replicates the procyclicality of all national accounts as well as the countercyclicality of trade balance and current accounts. It also replicates the persistence levels of output, employment, durable spending, trade balance and current account. The model however slightly overstates the procyclicality of investment and slightly understates the persistence in investment and durable spending.</w:t>
      </w:r>
      <w:r w:rsidRPr="00CC066A">
        <w:rPr>
          <w:vertAlign w:val="superscript"/>
        </w:rPr>
        <w:footnoteReference w:id="11"/>
      </w:r>
      <w:r w:rsidRPr="00CC066A">
        <w:rPr>
          <w:vertAlign w:val="superscript"/>
        </w:rPr>
        <w:t xml:space="preserve">  </w:t>
      </w:r>
      <w:r w:rsidRPr="00CC066A">
        <w:t xml:space="preserve">The results in Table 3 show that the model successfully predicts the main futures of households’ observed spending on durable goods as documented in Section 2. In figure </w:t>
      </w:r>
      <w:r w:rsidR="00E60AF7">
        <w:t>B.</w:t>
      </w:r>
      <w:r w:rsidRPr="00CC066A">
        <w:t xml:space="preserve">2 we compare the observed crosscorrelation between output and durable spending against the baseline model predictions. The shape of the observed dynamic crosscorrelation suggests that durable spending strongly leads the cycle by up to four quarters; a similar result can be reached from the predicted </w:t>
      </w:r>
      <w:proofErr w:type="spellStart"/>
      <w:r w:rsidRPr="00CC066A">
        <w:t>crosscorrelations</w:t>
      </w:r>
      <w:proofErr w:type="spellEnd"/>
      <w:r w:rsidRPr="00CC066A">
        <w:t>. The model slightly overstates the positive correlation between current output and durable spending at higher lags.</w:t>
      </w:r>
      <w:r w:rsidRPr="00CC066A">
        <w:rPr>
          <w:vertAlign w:val="superscript"/>
        </w:rPr>
        <w:footnoteReference w:id="12"/>
      </w:r>
      <w:r w:rsidRPr="00CC066A">
        <w:t xml:space="preserve"> The success of the model of replicating the crosscorrelation is attributed in part to the effect of interest rates uncertainty. In a version of the baseline model without interest rate uncertainty, the crosscorrelation diagram shows that durable is lagging the business cycle. </w:t>
      </w:r>
      <w:r w:rsidR="00D57DAF" w:rsidRPr="00CC066A">
        <w:t>When</w:t>
      </w:r>
      <w:r w:rsidRPr="00CC066A">
        <w:t xml:space="preserve"> unexpected interest rate shock occurs, given the technology, this creates a direct adjustment in the aggregate portfolio of the open economy including durable stock. The business cycle fluctuations will follow the redistribution of the resources with some time lag hence we observe durable spending to lead the cycle.</w:t>
      </w:r>
    </w:p>
    <w:p w:rsidR="00EE66B9" w:rsidRPr="00CC066A" w:rsidRDefault="00EE66B9" w:rsidP="00C30B64">
      <w:pPr>
        <w:spacing w:before="240" w:after="240" w:line="480" w:lineRule="auto"/>
        <w:ind w:firstLine="720"/>
        <w:jc w:val="both"/>
      </w:pPr>
      <w:r w:rsidRPr="00CC066A">
        <w:t>To assess further the rule of interest rates in our model we compare the performance of the baseline model with interest rate uncertainty against a version of the model without interest rates uncertainty.</w:t>
      </w:r>
      <w:r w:rsidRPr="00CC066A">
        <w:rPr>
          <w:vertAlign w:val="superscript"/>
        </w:rPr>
        <w:footnoteReference w:id="13"/>
      </w:r>
      <w:r w:rsidRPr="00CC066A">
        <w:t xml:space="preserve"> We shut off the interest rate shock by setting</w:t>
      </w:r>
      <w:r w:rsidRPr="00CC066A">
        <w:rPr>
          <w:position w:val="-14"/>
        </w:rPr>
        <w:object w:dxaOrig="1080" w:dyaOrig="360">
          <v:shape id="_x0000_i1118" type="#_x0000_t75" style="width:55.25pt;height:17.6pt" o:ole="">
            <v:imagedata r:id="rId199" o:title=""/>
          </v:shape>
          <o:OLEObject Type="Embed" ProgID="Equation.DSMT4" ShapeID="_x0000_i1118" DrawAspect="Content" ObjectID="_1359267041" r:id="rId200"/>
        </w:object>
      </w:r>
      <w:r w:rsidRPr="00CC066A">
        <w:t xml:space="preserve">, and keeping all other parameter values unchanged, as in the baseline model.  A comparison between the results from this experiment with the baseline predictions, Shown in Table </w:t>
      </w:r>
      <w:r w:rsidR="00E60AF7">
        <w:t>A.</w:t>
      </w:r>
      <w:r w:rsidRPr="00CC066A">
        <w:t xml:space="preserve">2 (columns 3 and 4) shows that interest rate uncertainty explains only 1.3 percent of the aggregate fluctuations in output. At the same time the quality of the model prediction with interest rate uncertainty is matching better the actual data, particularly in terms of the volatility of the trade balance to output ratio and the procyclicality of durables and investment expenditures. </w:t>
      </w:r>
    </w:p>
    <w:p w:rsidR="00EE66B9" w:rsidRPr="00CC066A" w:rsidRDefault="00EE66B9" w:rsidP="00C30B64">
      <w:pPr>
        <w:autoSpaceDE w:val="0"/>
        <w:autoSpaceDN w:val="0"/>
        <w:adjustRightInd w:val="0"/>
        <w:spacing w:before="240" w:after="240" w:line="480" w:lineRule="auto"/>
        <w:ind w:firstLine="720"/>
        <w:jc w:val="both"/>
      </w:pPr>
      <w:r w:rsidRPr="00CC066A">
        <w:t xml:space="preserve">As it is documented in Neumeyer and Perri, Figure </w:t>
      </w:r>
      <w:r w:rsidR="00E60AF7">
        <w:t>B.</w:t>
      </w:r>
      <w:r w:rsidRPr="00CC066A">
        <w:t>3 shows that the interest rate is moderately procyclical as our baseline model which is calibrated to advanced small open economies. The same figure shows other important features of the baseline model. In particular, a positive interest rate shock leads to a trade surplus associated and lowers the level of external debt comparing to the reference steady state levels of the economy. Further, it leads to a significant decrease in investment and durable spending as the household substitutes away from durable and capital stocks to compensate for the decrease in the external financing of the wide economy. Given that, as well as household’s incentive for consumption smoothing, the household temporarily forsakes investments and durable spending and work more hours to compensate for the costly debt until the shock vanishes.</w:t>
      </w:r>
      <w:r w:rsidRPr="00CC066A">
        <w:rPr>
          <w:rStyle w:val="FootnoteReference"/>
        </w:rPr>
        <w:footnoteReference w:id="14"/>
      </w:r>
      <w:r w:rsidRPr="00CC066A">
        <w:t xml:space="preserve"> In the following, we explain why the baseline model is able to replicate the Canadian business cycle well comparing to earlier efforts. We do so by highlighting the theoretical effects of durables and interest rate uncertainty on the dynamics of the model economy.</w:t>
      </w:r>
    </w:p>
    <w:p w:rsidR="00786F2D" w:rsidRPr="00EE6912" w:rsidRDefault="00786F2D" w:rsidP="00C86268">
      <w:pPr>
        <w:pStyle w:val="Heading2"/>
        <w:numPr>
          <w:ilvl w:val="1"/>
          <w:numId w:val="2"/>
        </w:numPr>
        <w:spacing w:after="240"/>
        <w:jc w:val="both"/>
        <w:rPr>
          <w:b w:val="0"/>
          <w:bCs w:val="0"/>
        </w:rPr>
      </w:pPr>
      <w:bookmarkStart w:id="11" w:name="_Toc285478005"/>
      <w:r w:rsidRPr="00EE6912">
        <w:rPr>
          <w:b w:val="0"/>
          <w:bCs w:val="0"/>
        </w:rPr>
        <w:t>Durables and the Interest Rates</w:t>
      </w:r>
      <w:bookmarkEnd w:id="11"/>
    </w:p>
    <w:p w:rsidR="00EE66B9" w:rsidRPr="00EE66B9" w:rsidRDefault="00EE66B9" w:rsidP="00C86268">
      <w:pPr>
        <w:jc w:val="both"/>
      </w:pPr>
    </w:p>
    <w:p w:rsidR="00EE66B9" w:rsidRPr="00CC066A" w:rsidRDefault="00EE66B9" w:rsidP="00C30B64">
      <w:pPr>
        <w:autoSpaceDE w:val="0"/>
        <w:autoSpaceDN w:val="0"/>
        <w:adjustRightInd w:val="0"/>
        <w:spacing w:before="240" w:after="240" w:line="480" w:lineRule="auto"/>
        <w:ind w:firstLine="720"/>
        <w:jc w:val="both"/>
      </w:pPr>
      <w:r w:rsidRPr="00CC066A">
        <w:t>The best way to see the effect of the interest rates is by eliminating all kinds of friction from the model (including habits and adjustment costs). Combining the household’s first two first order conditions and evaluating the outcomes at the steady state, we obtain</w:t>
      </w:r>
    </w:p>
    <w:p w:rsidR="00EE66B9" w:rsidRPr="00137833" w:rsidRDefault="00EE66B9" w:rsidP="00D57DAF">
      <w:pPr>
        <w:spacing w:before="120" w:after="120" w:line="480" w:lineRule="auto"/>
        <w:jc w:val="right"/>
      </w:pPr>
      <w:r w:rsidRPr="00137833">
        <w:rPr>
          <w:position w:val="-30"/>
        </w:rPr>
        <w:object w:dxaOrig="2760" w:dyaOrig="800">
          <v:shape id="_x0000_i1119" type="#_x0000_t75" style="width:144.85pt;height:39.35pt" o:ole="">
            <v:imagedata r:id="rId201" o:title=""/>
          </v:shape>
          <o:OLEObject Type="Embed" ProgID="Equation.DSMT4" ShapeID="_x0000_i1119" DrawAspect="Content" ObjectID="_1359267042" r:id="rId202"/>
        </w:object>
      </w:r>
      <w:r w:rsidRPr="00137833">
        <w:t xml:space="preserve"> .                                                 (</w:t>
      </w:r>
      <w:r w:rsidR="001712BA">
        <w:t>1.</w:t>
      </w:r>
      <w:r w:rsidRPr="00137833">
        <w:t>19)</w:t>
      </w:r>
    </w:p>
    <w:p w:rsidR="00EE66B9" w:rsidRPr="00CC066A" w:rsidRDefault="00EE66B9" w:rsidP="00C30B64">
      <w:pPr>
        <w:autoSpaceDE w:val="0"/>
        <w:autoSpaceDN w:val="0"/>
        <w:adjustRightInd w:val="0"/>
        <w:spacing w:before="240" w:after="240" w:line="480" w:lineRule="auto"/>
        <w:ind w:firstLine="720"/>
        <w:jc w:val="both"/>
      </w:pPr>
      <w:r w:rsidRPr="00CC066A">
        <w:t>The intratemporal marginal rate of substitution between durable and nondurable goods on the left side of this equation is equal to the user cost of durables on the right side. It is obvious that an increase in the user cost of durables due to higher interest rates will result in a decrease in the durable to nondurable ratio, given</w:t>
      </w:r>
      <w:r w:rsidRPr="00CC066A">
        <w:rPr>
          <w:position w:val="-10"/>
        </w:rPr>
        <w:object w:dxaOrig="499" w:dyaOrig="300">
          <v:shape id="_x0000_i1120" type="#_x0000_t75" style="width:25.1pt;height:15.9pt" o:ole="">
            <v:imagedata r:id="rId203" o:title=""/>
          </v:shape>
          <o:OLEObject Type="Embed" ProgID="Equation.DSMT4" ShapeID="_x0000_i1120" DrawAspect="Content" ObjectID="_1359267043" r:id="rId204"/>
        </w:object>
      </w:r>
      <w:r w:rsidRPr="00CC066A">
        <w:t>. The higher the value of</w:t>
      </w:r>
      <w:r w:rsidRPr="00CC066A">
        <w:rPr>
          <w:position w:val="-10"/>
        </w:rPr>
        <w:object w:dxaOrig="220" w:dyaOrig="260">
          <v:shape id="_x0000_i1121" type="#_x0000_t75" style="width:8.35pt;height:15.9pt" o:ole="">
            <v:imagedata r:id="rId205" o:title=""/>
          </v:shape>
          <o:OLEObject Type="Embed" ProgID="Equation.DSMT4" ShapeID="_x0000_i1121" DrawAspect="Content" ObjectID="_1359267044" r:id="rId206"/>
        </w:object>
      </w:r>
      <w:r w:rsidRPr="00CC066A">
        <w:t>, the more intensive is the substitution between durable and nondurable goods. Similarly, steady state employment can be described by the following equation</w:t>
      </w:r>
    </w:p>
    <w:p w:rsidR="00EE66B9" w:rsidRPr="00CC066A" w:rsidRDefault="00EE66B9" w:rsidP="00D57DAF">
      <w:pPr>
        <w:spacing w:before="120" w:after="120" w:line="480" w:lineRule="auto"/>
        <w:jc w:val="right"/>
      </w:pPr>
      <w:r w:rsidRPr="00CC066A">
        <w:t xml:space="preserve">  </w:t>
      </w:r>
      <w:r w:rsidRPr="00CC066A">
        <w:rPr>
          <w:b/>
          <w:position w:val="-40"/>
        </w:rPr>
        <w:object w:dxaOrig="4300" w:dyaOrig="1040">
          <v:shape id="_x0000_i1122" type="#_x0000_t75" style="width:199.25pt;height:46.9pt" o:ole="">
            <v:imagedata r:id="rId207" o:title=""/>
          </v:shape>
          <o:OLEObject Type="Embed" ProgID="Equation.DSMT4" ShapeID="_x0000_i1122" DrawAspect="Content" ObjectID="_1359267045" r:id="rId208"/>
        </w:object>
      </w:r>
      <w:r w:rsidRPr="00CC066A">
        <w:t xml:space="preserve">                                            (</w:t>
      </w:r>
      <w:r w:rsidR="001712BA">
        <w:t>1.</w:t>
      </w:r>
      <w:r w:rsidRPr="00CC066A">
        <w:t>20)</w:t>
      </w:r>
    </w:p>
    <w:p w:rsidR="00EE66B9" w:rsidRPr="00CC066A" w:rsidRDefault="00EE66B9" w:rsidP="00C30B64">
      <w:pPr>
        <w:autoSpaceDE w:val="0"/>
        <w:autoSpaceDN w:val="0"/>
        <w:adjustRightInd w:val="0"/>
        <w:spacing w:before="240" w:after="240" w:line="480" w:lineRule="auto"/>
        <w:ind w:firstLine="720"/>
        <w:jc w:val="both"/>
      </w:pPr>
      <w:r w:rsidRPr="00CC066A">
        <w:t>The equilibrium level of employment implied by (20) is a positive function of the durable to nondurable ratio (given</w:t>
      </w:r>
      <w:r w:rsidRPr="00CC066A">
        <w:rPr>
          <w:position w:val="-10"/>
        </w:rPr>
        <w:object w:dxaOrig="1020" w:dyaOrig="300">
          <v:shape id="_x0000_i1123" type="#_x0000_t75" style="width:49.4pt;height:15.9pt" o:ole="">
            <v:imagedata r:id="rId209" o:title=""/>
          </v:shape>
          <o:OLEObject Type="Embed" ProgID="Equation.DSMT4" ShapeID="_x0000_i1123" DrawAspect="Content" ObjectID="_1359267046" r:id="rId210"/>
        </w:object>
      </w:r>
      <w:r w:rsidRPr="00CC066A">
        <w:t xml:space="preserve">). Therefore, an increase in the international cost of borrowing not only decreases the durable to nondurable ratio, it also implies a higher level of employment and output in the long run.  Higher values of the elasticity of substitution between durable and nondurable goods increase the sensitivity of employment and accordingly output to interest rates. Moreover the above equation also implies that the higher labor elasticity </w:t>
      </w:r>
      <w:r w:rsidRPr="00CC066A">
        <w:rPr>
          <w:position w:val="-6"/>
        </w:rPr>
        <w:object w:dxaOrig="220" w:dyaOrig="220">
          <v:shape id="_x0000_i1124" type="#_x0000_t75" style="width:8.35pt;height:8.35pt" o:ole="">
            <v:imagedata r:id="rId211" o:title=""/>
          </v:shape>
          <o:OLEObject Type="Embed" ProgID="Equation.DSMT4" ShapeID="_x0000_i1124" DrawAspect="Content" ObjectID="_1359267047" r:id="rId212"/>
        </w:object>
      </w:r>
      <w:r w:rsidRPr="00CC066A">
        <w:rPr>
          <w:position w:val="-6"/>
        </w:rPr>
        <w:t xml:space="preserve"> </w:t>
      </w:r>
      <w:r w:rsidRPr="00CC066A">
        <w:t xml:space="preserve">reduces the sensitivity of the model to interest rates. Thus, the cyclicality of interest rates depends on the combined effects of the elasticity of labor supply and the intratemporal elasticity of substitution between the two consumption goods. </w:t>
      </w:r>
    </w:p>
    <w:p w:rsidR="00EE66B9" w:rsidRPr="00CC066A" w:rsidRDefault="00EE66B9" w:rsidP="00C30B64">
      <w:pPr>
        <w:autoSpaceDE w:val="0"/>
        <w:autoSpaceDN w:val="0"/>
        <w:adjustRightInd w:val="0"/>
        <w:spacing w:before="240" w:after="240" w:line="480" w:lineRule="auto"/>
        <w:ind w:firstLine="720"/>
        <w:jc w:val="both"/>
        <w:rPr>
          <w:highlight w:val="yellow"/>
        </w:rPr>
      </w:pPr>
      <w:r w:rsidRPr="00CC066A">
        <w:t>To examine the effects the elasticity of substitution between durables and nondurables and the elasticity of labor supply on the sensitivity of the macroeconomy to interest rates we do the following experiment. We subject the baseline model to a one standard deviation interest rate shock and calculate the impulse response functions of the main variables. We recalculate the impulse response functions with higher labor elasticity</w:t>
      </w:r>
      <w:r w:rsidR="00E60AF7" w:rsidRPr="00CC066A">
        <w:rPr>
          <w:position w:val="-6"/>
        </w:rPr>
        <w:object w:dxaOrig="680" w:dyaOrig="279">
          <v:shape id="_x0000_i1125" type="#_x0000_t75" style="width:31pt;height:13.4pt" o:ole="">
            <v:imagedata r:id="rId213" o:title=""/>
          </v:shape>
          <o:OLEObject Type="Embed" ProgID="Equation.DSMT4" ShapeID="_x0000_i1125" DrawAspect="Content" ObjectID="_1359267048" r:id="rId214"/>
        </w:object>
      </w:r>
      <w:r w:rsidRPr="00CC066A">
        <w:t>, keeping all other parameters as in the baseline model. We do another calculation for the impulses but with higher intratemporal elasticity of substitution</w:t>
      </w:r>
      <w:r w:rsidR="00240F67" w:rsidRPr="00CC066A">
        <w:rPr>
          <w:position w:val="-10"/>
        </w:rPr>
        <w:object w:dxaOrig="760" w:dyaOrig="320">
          <v:shape id="_x0000_i1126" type="#_x0000_t75" style="width:32.65pt;height:15.05pt" o:ole="">
            <v:imagedata r:id="rId215" o:title=""/>
          </v:shape>
          <o:OLEObject Type="Embed" ProgID="Equation.DSMT4" ShapeID="_x0000_i1126" DrawAspect="Content" ObjectID="_1359267049" r:id="rId216"/>
        </w:object>
      </w:r>
      <w:r w:rsidRPr="00CC066A">
        <w:t xml:space="preserve">, while other parameters are the same as in the baseline model.  Figures </w:t>
      </w:r>
      <w:r w:rsidR="00E60AF7">
        <w:t>B.</w:t>
      </w:r>
      <w:r w:rsidRPr="00CC066A">
        <w:t xml:space="preserve">4 compares the response of each individual national account relative to the baseline model. </w:t>
      </w:r>
    </w:p>
    <w:p w:rsidR="00EE66B9" w:rsidRPr="00CC066A" w:rsidRDefault="00EE66B9" w:rsidP="00C30B64">
      <w:pPr>
        <w:autoSpaceDE w:val="0"/>
        <w:autoSpaceDN w:val="0"/>
        <w:adjustRightInd w:val="0"/>
        <w:spacing w:before="240" w:after="240" w:line="480" w:lineRule="auto"/>
        <w:ind w:firstLine="720"/>
        <w:jc w:val="both"/>
      </w:pPr>
      <w:r w:rsidRPr="00CC066A">
        <w:t xml:space="preserve">The impulses in Figure </w:t>
      </w:r>
      <w:r w:rsidR="00E60AF7">
        <w:t>B.</w:t>
      </w:r>
      <w:r w:rsidRPr="00CC066A">
        <w:t>4.a show that aggregate output in economies with high intratemporal substi</w:t>
      </w:r>
      <w:r>
        <w:t>tution between durables and non</w:t>
      </w:r>
      <w:r w:rsidRPr="00CC066A">
        <w:t>durables are more sensitive to interest rates. On the othe</w:t>
      </w:r>
      <w:r>
        <w:t>r</w:t>
      </w:r>
      <w:r w:rsidRPr="00CC066A">
        <w:t xml:space="preserve"> hand</w:t>
      </w:r>
      <w:r>
        <w:t>,</w:t>
      </w:r>
      <w:r w:rsidRPr="00CC066A">
        <w:t xml:space="preserve"> </w:t>
      </w:r>
      <w:r>
        <w:t xml:space="preserve">small open </w:t>
      </w:r>
      <w:r w:rsidRPr="00CC066A">
        <w:t xml:space="preserve">economies with higher labor elasticity are less sensitive to interest rates fluctuations. Inspecting on the responses of all other national accounts, we fine that the main reason behind the sensitivity to interest rates is the response of employment and nondurable consumption. Employment is more sensitive to interest rates in economies with high intraperiod elasticity of substitution between durable and nondurable, Figure </w:t>
      </w:r>
      <w:r w:rsidR="00E60AF7">
        <w:t>B.</w:t>
      </w:r>
      <w:r w:rsidRPr="00CC066A">
        <w:t xml:space="preserve">4.b. In the same figure we note employment is less sensitive to interest rates in economies with high labor elasticity. Consumption of nondurables becomes more sensitive to interest rates with higher intratemporal elasticity of substitution between durable and nondurable consumption, Figure </w:t>
      </w:r>
      <w:r w:rsidR="00E60AF7">
        <w:t>B.</w:t>
      </w:r>
      <w:r w:rsidRPr="00CC066A">
        <w:t>4.c .Interestingly with high labor elasticity consumption response negatively to interest rates. It is usual that investment responds negatively to positive interest rates shock. In our model, such negative effects get more pronounced with higher elasticity of substitution between durables and nondurables, (see Fig</w:t>
      </w:r>
      <w:r>
        <w:t>ure</w:t>
      </w:r>
      <w:r w:rsidR="00E60AF7">
        <w:t xml:space="preserve"> B.</w:t>
      </w:r>
      <w:r w:rsidRPr="00CC066A">
        <w:t xml:space="preserve">4.e). In the same figure we note that investment becomes less sensitive to interest rates with higher labor supply elasticity. Interestingly, different values of the labor supply elasticities and or the intratemporal elasticities substitution do not significantly alter the response of durable spending, investment, </w:t>
      </w:r>
      <w:r w:rsidR="00E60AF7" w:rsidRPr="00CC066A">
        <w:t xml:space="preserve">and </w:t>
      </w:r>
      <w:r w:rsidR="00E60AF7">
        <w:t xml:space="preserve">the </w:t>
      </w:r>
      <w:r w:rsidR="00E60AF7" w:rsidRPr="00CC066A">
        <w:t>trade</w:t>
      </w:r>
      <w:r w:rsidR="00E60AF7">
        <w:t>-balance-to-</w:t>
      </w:r>
      <w:r w:rsidRPr="00CC066A">
        <w:t xml:space="preserve">output ratio or </w:t>
      </w:r>
      <w:r w:rsidR="00E60AF7">
        <w:t>the current-account-to-</w:t>
      </w:r>
      <w:r w:rsidRPr="00CC066A">
        <w:t xml:space="preserve">output ratio (Figures </w:t>
      </w:r>
      <w:r w:rsidR="00E60AF7">
        <w:t>B.</w:t>
      </w:r>
      <w:r w:rsidRPr="00CC066A">
        <w:t xml:space="preserve">4.d </w:t>
      </w:r>
      <w:r w:rsidR="00E60AF7">
        <w:t>–B.</w:t>
      </w:r>
      <w:r w:rsidRPr="00CC066A">
        <w:t xml:space="preserve">4.g). </w:t>
      </w:r>
    </w:p>
    <w:p w:rsidR="00EE66B9" w:rsidRPr="00CC066A" w:rsidRDefault="00EE66B9" w:rsidP="00C30B64">
      <w:pPr>
        <w:autoSpaceDE w:val="0"/>
        <w:autoSpaceDN w:val="0"/>
        <w:adjustRightInd w:val="0"/>
        <w:spacing w:before="240" w:after="240" w:line="480" w:lineRule="auto"/>
        <w:ind w:firstLine="720"/>
        <w:jc w:val="both"/>
      </w:pPr>
      <w:r w:rsidRPr="00CC066A">
        <w:t xml:space="preserve">We also note here that the country premium must be negative on output in order to obtain a countercyclical trade balance. For the trade balance to be countercyclical, output growth must be slower than the domestic absorption. Given our controls over the speed of the adjustment of durable spending and investment, the domestic absorption becomes slower than output resulting in procyclical trade balance. To avoid such a possibility, our model requires the country specific risk premium to depend on percapita output. Accordingly, output growth reduces the country premium and speed up investment and expenditure on durables to the extent that makes the trade balance countercyclical.  </w:t>
      </w:r>
    </w:p>
    <w:p w:rsidR="00786F2D" w:rsidRPr="00EE6912" w:rsidRDefault="00786F2D" w:rsidP="001712BA">
      <w:pPr>
        <w:pStyle w:val="Heading2"/>
        <w:numPr>
          <w:ilvl w:val="1"/>
          <w:numId w:val="2"/>
        </w:numPr>
        <w:spacing w:after="240" w:line="480" w:lineRule="auto"/>
        <w:jc w:val="both"/>
        <w:rPr>
          <w:b w:val="0"/>
          <w:bCs w:val="0"/>
        </w:rPr>
      </w:pPr>
      <w:bookmarkStart w:id="12" w:name="_Toc285478006"/>
      <w:r w:rsidRPr="00EE6912">
        <w:rPr>
          <w:b w:val="0"/>
          <w:bCs w:val="0"/>
        </w:rPr>
        <w:t>Habits and Variable Utilization</w:t>
      </w:r>
      <w:bookmarkEnd w:id="12"/>
    </w:p>
    <w:p w:rsidR="00EC079C" w:rsidRPr="00CC066A" w:rsidRDefault="00EC079C" w:rsidP="00C30B64">
      <w:pPr>
        <w:spacing w:before="240" w:after="240" w:line="480" w:lineRule="auto"/>
        <w:ind w:firstLine="720"/>
        <w:jc w:val="both"/>
        <w:rPr>
          <w:bCs/>
        </w:rPr>
      </w:pPr>
      <w:r w:rsidRPr="00CC066A">
        <w:rPr>
          <w:bCs/>
        </w:rPr>
        <w:t>The baseline model incorporates three types of habits – habits in nondurable consumption, in durables and in the labor supply. We empirically examine the role of each type of habit formation on the overall performance of the baseline model. We so by constructing four versions of the baseline model and compare the performance of each to the baseline model. In the first version we exclude all types of habits, by setting</w:t>
      </w:r>
      <w:r w:rsidRPr="00CC066A">
        <w:rPr>
          <w:bCs/>
          <w:position w:val="-10"/>
        </w:rPr>
        <w:object w:dxaOrig="1500" w:dyaOrig="320">
          <v:shape id="_x0000_i1127" type="#_x0000_t75" style="width:74.5pt;height:16.75pt" o:ole="">
            <v:imagedata r:id="rId217" o:title=""/>
          </v:shape>
          <o:OLEObject Type="Embed" ProgID="Equation.DSMT4" ShapeID="_x0000_i1127" DrawAspect="Content" ObjectID="_1359267050" r:id="rId218"/>
        </w:object>
      </w:r>
      <w:r w:rsidRPr="00CC066A">
        <w:rPr>
          <w:bCs/>
        </w:rPr>
        <w:t xml:space="preserve">, while in the other three versions we exclude only one type of habits at a time. The results from these experiments are reported in Table </w:t>
      </w:r>
      <w:r w:rsidR="00E60AF7">
        <w:rPr>
          <w:bCs/>
        </w:rPr>
        <w:t>A.</w:t>
      </w:r>
      <w:r w:rsidRPr="00CC066A">
        <w:rPr>
          <w:bCs/>
        </w:rPr>
        <w:t xml:space="preserve">4. Eliminating all types of habits leads to a significantly over volatile business cycle comparing to the baseline model or the actual data. All national accounts become more volatile except durable expenditure spending, which become less volatile without habits in the model. Further, in the absence of habits, all national accounts become strongly procyclicality particularly employment, which become perfectly correlated with output. Another important conclusion is in terms of the data persistence. Without habits, the persistence level of the simulated data become very low comparing to the baseline model or the actual data.  The model that excludes habit in nondurable consumption </w:t>
      </w:r>
      <w:r w:rsidRPr="00CC066A">
        <w:rPr>
          <w:bCs/>
          <w:position w:val="-12"/>
        </w:rPr>
        <w:object w:dxaOrig="780" w:dyaOrig="360">
          <v:shape id="_x0000_i1128" type="#_x0000_t75" style="width:39.35pt;height:17.6pt" o:ole="">
            <v:imagedata r:id="rId219" o:title=""/>
          </v:shape>
          <o:OLEObject Type="Embed" ProgID="Equation.DSMT4" ShapeID="_x0000_i1128" DrawAspect="Content" ObjectID="_1359267051" r:id="rId220"/>
        </w:object>
      </w:r>
      <w:r w:rsidRPr="00CC066A">
        <w:rPr>
          <w:bCs/>
        </w:rPr>
        <w:t xml:space="preserve"> yields an over volatile business cycle. Interestingly, the volatility of the durable expenditures so as well investment decreases when we eliminate the nondurable habit volatility.</w:t>
      </w:r>
      <w:r>
        <w:rPr>
          <w:bCs/>
        </w:rPr>
        <w:t xml:space="preserve"> </w:t>
      </w:r>
      <w:r w:rsidRPr="00CC066A">
        <w:rPr>
          <w:bCs/>
        </w:rPr>
        <w:t xml:space="preserve">The model without habit in nondurable consumption overstates the procyclicality in national accounts relative to the baseline model and the actual data. Ignoring habit persistence in nondurable consumption also reduces the persistence of the consumption of the nondurable </w:t>
      </w:r>
      <w:proofErr w:type="spellStart"/>
      <w:r w:rsidRPr="00CC066A">
        <w:rPr>
          <w:bCs/>
        </w:rPr>
        <w:t>good</w:t>
      </w:r>
      <w:proofErr w:type="spellEnd"/>
      <w:r w:rsidRPr="00CC066A">
        <w:rPr>
          <w:bCs/>
        </w:rPr>
        <w:t xml:space="preserve"> and the trade balance. Excluding habit in the consumption</w:t>
      </w:r>
      <w:r>
        <w:rPr>
          <w:bCs/>
        </w:rPr>
        <w:t xml:space="preserve"> of durable services</w:t>
      </w:r>
      <w:r w:rsidRPr="00CC066A">
        <w:rPr>
          <w:bCs/>
        </w:rPr>
        <w:t xml:space="preserve"> </w:t>
      </w:r>
      <w:r w:rsidRPr="00CC066A">
        <w:rPr>
          <w:bCs/>
          <w:position w:val="-12"/>
        </w:rPr>
        <w:object w:dxaOrig="820" w:dyaOrig="360">
          <v:shape id="_x0000_i1129" type="#_x0000_t75" style="width:41.85pt;height:17.6pt" o:ole="">
            <v:imagedata r:id="rId221" o:title=""/>
          </v:shape>
          <o:OLEObject Type="Embed" ProgID="Equation.DSMT4" ShapeID="_x0000_i1129" DrawAspect="Content" ObjectID="_1359267052" r:id="rId222"/>
        </w:object>
      </w:r>
      <w:r w:rsidRPr="00CC066A">
        <w:rPr>
          <w:bCs/>
        </w:rPr>
        <w:t xml:space="preserve"> yields an under volatile</w:t>
      </w:r>
      <w:r w:rsidR="00E60AF7">
        <w:rPr>
          <w:bCs/>
        </w:rPr>
        <w:t xml:space="preserve"> business cycle, and makes durable spending as well as </w:t>
      </w:r>
      <w:r>
        <w:rPr>
          <w:bCs/>
        </w:rPr>
        <w:t>non</w:t>
      </w:r>
      <w:r w:rsidR="00E60AF7">
        <w:rPr>
          <w:bCs/>
        </w:rPr>
        <w:t>durable consumption</w:t>
      </w:r>
      <w:r>
        <w:rPr>
          <w:bCs/>
        </w:rPr>
        <w:t>,</w:t>
      </w:r>
      <w:r w:rsidRPr="00CC066A">
        <w:rPr>
          <w:bCs/>
        </w:rPr>
        <w:t xml:space="preserve"> employment and investment to less procyclicality.  Interestingly, when the labor supply is not subjected to habit formation</w:t>
      </w:r>
      <w:r w:rsidRPr="00CC066A">
        <w:rPr>
          <w:position w:val="-12"/>
        </w:rPr>
        <w:object w:dxaOrig="780" w:dyaOrig="360">
          <v:shape id="_x0000_i1130" type="#_x0000_t75" style="width:39.35pt;height:17.6pt" o:ole="">
            <v:imagedata r:id="rId223" o:title=""/>
          </v:shape>
          <o:OLEObject Type="Embed" ProgID="Equation.DSMT4" ShapeID="_x0000_i1130" DrawAspect="Content" ObjectID="_1359267053" r:id="rId224"/>
        </w:object>
      </w:r>
      <w:r w:rsidRPr="00CC066A">
        <w:rPr>
          <w:bCs/>
        </w:rPr>
        <w:t>, the model yields a significantly over</w:t>
      </w:r>
      <w:r>
        <w:rPr>
          <w:bCs/>
        </w:rPr>
        <w:t xml:space="preserve"> </w:t>
      </w:r>
      <w:r w:rsidRPr="00CC066A">
        <w:rPr>
          <w:bCs/>
        </w:rPr>
        <w:t>smoothed business cycle and a cyclical trade balance to output ratio and a cyclical current account to output ration.  The persistence of the national accounts simulated data also dec</w:t>
      </w:r>
      <w:r>
        <w:rPr>
          <w:bCs/>
        </w:rPr>
        <w:t>reases, except for consumption of non</w:t>
      </w:r>
      <w:r w:rsidRPr="00CC066A">
        <w:rPr>
          <w:bCs/>
        </w:rPr>
        <w:t>durables.</w:t>
      </w:r>
    </w:p>
    <w:p w:rsidR="00EC079C" w:rsidRPr="00CC066A" w:rsidRDefault="00EC079C" w:rsidP="00C30B64">
      <w:pPr>
        <w:snapToGrid w:val="0"/>
        <w:spacing w:before="240" w:after="240" w:line="480" w:lineRule="auto"/>
        <w:ind w:firstLine="720"/>
        <w:jc w:val="both"/>
        <w:rPr>
          <w:bCs/>
        </w:rPr>
      </w:pPr>
      <w:r w:rsidRPr="00CC066A">
        <w:rPr>
          <w:bCs/>
        </w:rPr>
        <w:t>Finally</w:t>
      </w:r>
      <w:r>
        <w:rPr>
          <w:bCs/>
        </w:rPr>
        <w:t>,</w:t>
      </w:r>
      <w:r w:rsidRPr="00CC066A">
        <w:rPr>
          <w:bCs/>
        </w:rPr>
        <w:t xml:space="preserve"> we evaluate the role of endogenous capital utilization on the results of the baseline model.  We do so by assuming time invariant utilization </w:t>
      </w:r>
      <w:r w:rsidR="00240F67" w:rsidRPr="00CC066A">
        <w:rPr>
          <w:bCs/>
          <w:position w:val="-12"/>
        </w:rPr>
        <w:object w:dxaOrig="960" w:dyaOrig="360">
          <v:shape id="_x0000_i1131" type="#_x0000_t75" style="width:53.6pt;height:19.25pt" o:ole="">
            <v:imagedata r:id="rId225" o:title=""/>
          </v:shape>
          <o:OLEObject Type="Embed" ProgID="Equation.DSMT4" ShapeID="_x0000_i1131" DrawAspect="Content" ObjectID="_1359267054" r:id="rId226"/>
        </w:object>
      </w:r>
      <w:r w:rsidRPr="00CC066A">
        <w:rPr>
          <w:bCs/>
        </w:rPr>
        <w:t>and rewriting the production function as</w:t>
      </w:r>
      <w:r w:rsidR="00240F67" w:rsidRPr="00CC066A">
        <w:rPr>
          <w:bCs/>
          <w:position w:val="-10"/>
        </w:rPr>
        <w:object w:dxaOrig="1260" w:dyaOrig="340">
          <v:shape id="_x0000_i1132" type="#_x0000_t75" style="width:71.15pt;height:19.25pt" o:ole="">
            <v:imagedata r:id="rId227" o:title=""/>
          </v:shape>
          <o:OLEObject Type="Embed" ProgID="Equation.DSMT4" ShapeID="_x0000_i1132" DrawAspect="Content" ObjectID="_1359267055" r:id="rId228"/>
        </w:object>
      </w:r>
      <w:r w:rsidRPr="00CC066A">
        <w:rPr>
          <w:bCs/>
        </w:rPr>
        <w:t xml:space="preserve">. This eliminates the first order condition (18). Given the assumption of constant utilization, the consistent estimators of the technology progress are </w:t>
      </w:r>
      <w:r w:rsidRPr="00CC066A">
        <w:rPr>
          <w:position w:val="-10"/>
        </w:rPr>
        <w:object w:dxaOrig="940" w:dyaOrig="300">
          <v:shape id="_x0000_i1133" type="#_x0000_t75" style="width:46.9pt;height:17.6pt" o:ole="">
            <v:imagedata r:id="rId229" o:title=""/>
          </v:shape>
          <o:OLEObject Type="Embed" ProgID="Equation.DSMT4" ShapeID="_x0000_i1133" DrawAspect="Content" ObjectID="_1359267056" r:id="rId230"/>
        </w:object>
      </w:r>
      <w:r w:rsidRPr="00CC066A">
        <w:rPr>
          <w:bCs/>
        </w:rPr>
        <w:t>and</w:t>
      </w:r>
      <w:r w:rsidRPr="00CC066A">
        <w:rPr>
          <w:position w:val="-10"/>
        </w:rPr>
        <w:object w:dxaOrig="940" w:dyaOrig="300">
          <v:shape id="_x0000_i1134" type="#_x0000_t75" style="width:46.9pt;height:17.6pt" o:ole="">
            <v:imagedata r:id="rId231" o:title=""/>
          </v:shape>
          <o:OLEObject Type="Embed" ProgID="Equation.DSMT4" ShapeID="_x0000_i1134" DrawAspect="Content" ObjectID="_1359267057" r:id="rId232"/>
        </w:object>
      </w:r>
      <w:r w:rsidRPr="00CC066A">
        <w:rPr>
          <w:bCs/>
        </w:rPr>
        <w:t>as in Letendre.</w:t>
      </w:r>
      <w:r w:rsidRPr="00CC066A">
        <w:t xml:space="preserve"> </w:t>
      </w:r>
      <w:r w:rsidRPr="00CC066A">
        <w:rPr>
          <w:bCs/>
        </w:rPr>
        <w:t xml:space="preserve">The last column in the Table </w:t>
      </w:r>
      <w:r w:rsidR="00E60AF7">
        <w:rPr>
          <w:bCs/>
        </w:rPr>
        <w:t>A.</w:t>
      </w:r>
      <w:r w:rsidRPr="00CC066A">
        <w:rPr>
          <w:bCs/>
        </w:rPr>
        <w:t xml:space="preserve">4 reports the business cycle features of an economy with fixed capital utilization.  The business cycle in a fixed utilization economy is over smooth, yet the cyclicality of the national accounts and their persistence seem to be unaffected comparing to the variable utilization economy. </w:t>
      </w:r>
    </w:p>
    <w:p w:rsidR="0007385D" w:rsidRDefault="00786F2D" w:rsidP="001712BA">
      <w:pPr>
        <w:pStyle w:val="Heading2"/>
        <w:numPr>
          <w:ilvl w:val="1"/>
          <w:numId w:val="2"/>
        </w:numPr>
        <w:spacing w:after="240" w:line="480" w:lineRule="auto"/>
        <w:jc w:val="both"/>
        <w:rPr>
          <w:b w:val="0"/>
          <w:bCs w:val="0"/>
        </w:rPr>
      </w:pPr>
      <w:bookmarkStart w:id="13" w:name="_Toc285478007"/>
      <w:r w:rsidRPr="00EE6912">
        <w:rPr>
          <w:b w:val="0"/>
          <w:bCs w:val="0"/>
        </w:rPr>
        <w:t>Conclusion</w:t>
      </w:r>
      <w:bookmarkEnd w:id="13"/>
    </w:p>
    <w:p w:rsidR="0076619F" w:rsidRPr="0076619F" w:rsidRDefault="0076619F" w:rsidP="0076619F"/>
    <w:p w:rsidR="00EE66B9" w:rsidRPr="00CC066A" w:rsidRDefault="00EE66B9" w:rsidP="00C30B64">
      <w:pPr>
        <w:autoSpaceDE w:val="0"/>
        <w:autoSpaceDN w:val="0"/>
        <w:adjustRightInd w:val="0"/>
        <w:spacing w:before="240" w:after="240" w:line="480" w:lineRule="auto"/>
        <w:ind w:firstLine="720"/>
        <w:jc w:val="both"/>
      </w:pPr>
      <w:r w:rsidRPr="00CC066A">
        <w:t>Aggregate household spending on durable goods constitutes a large share of GDP in advanced small open economies. It also significantly influences other national accounts.</w:t>
      </w:r>
      <w:r w:rsidRPr="00CC066A">
        <w:rPr>
          <w:rStyle w:val="FootnoteReference"/>
        </w:rPr>
        <w:t xml:space="preserve"> </w:t>
      </w:r>
      <w:r w:rsidRPr="00CC066A">
        <w:t xml:space="preserve"> We observe that durable spending is positively correlated with output, employment and investment and negatively correlated with the trade balance to output ratio. Interestingly, it also leads the cycle. Motivated by these observations, we </w:t>
      </w:r>
      <w:r w:rsidR="00E60AF7">
        <w:t>construct</w:t>
      </w:r>
      <w:r w:rsidRPr="00CC066A">
        <w:t xml:space="preserve"> a real business cycle model with both durable and nondurable goods. We also account for the presence of habit persistence, variable capital utilization and interest rates uncertainty. Calibrating the model to the Canadian business cycles, we find that our model does an excellent job in matching the moments. In particular, the model predicts the volatility of all national accounts, their cyclicality as well as their persistence, very well. This is significant especially when we compare our results for advanced small open economies to those of other models in the existing literature. </w:t>
      </w:r>
    </w:p>
    <w:p w:rsidR="0076619F" w:rsidRDefault="00EE66B9" w:rsidP="00E15A53">
      <w:pPr>
        <w:autoSpaceDE w:val="0"/>
        <w:autoSpaceDN w:val="0"/>
        <w:adjustRightInd w:val="0"/>
        <w:spacing w:before="240" w:after="240" w:line="480" w:lineRule="auto"/>
        <w:ind w:firstLine="720"/>
        <w:jc w:val="both"/>
      </w:pPr>
      <w:r w:rsidRPr="00CC066A">
        <w:t xml:space="preserve">Our model captures the procyclicality of interest rate and replicates the observed crosscorrelation between output and durable spending. Interest rate uncertainty explains 1.3 percent of aggregate fluctuations and plays an important role in improving the model performance. We highlight that durable spending and its substitution with nondurable spending constitute the main channel for interest rates in the macroeconomy. We show that the composition of the economy wide portfolio is also sensitive to interest rates. With higher interest rates the external debt of the economy decreases below its steady state level leading to a trade surplus. At the same time, investment and durable consumption decreases. Consistent with our empirical observation, we also observe that durable spending leads the business cycle. </w:t>
      </w:r>
    </w:p>
    <w:p w:rsidR="00EE66B9" w:rsidRDefault="00E15A53" w:rsidP="00E15A53">
      <w:pPr>
        <w:autoSpaceDE w:val="0"/>
        <w:autoSpaceDN w:val="0"/>
        <w:adjustRightInd w:val="0"/>
        <w:spacing w:before="240" w:after="240" w:line="480" w:lineRule="auto"/>
        <w:ind w:firstLine="720"/>
        <w:jc w:val="both"/>
      </w:pPr>
      <w:r>
        <w:t xml:space="preserve"> </w:t>
      </w:r>
      <w:r w:rsidR="00EE66B9" w:rsidRPr="00CC066A">
        <w:t>Though the model does an excellent job overall, it slightly overstates the procyclicality of consumption and slightly understates the persistence of durable and investment expenditures. We believe that these problems are due to actual data definition</w:t>
      </w:r>
      <w:r w:rsidRPr="00CC066A">
        <w:t>. Finally</w:t>
      </w:r>
      <w:r w:rsidR="00EE66B9" w:rsidRPr="00CC066A">
        <w:t xml:space="preserve">, future research should incorporate monetary and fiscal dimensions of the economy to analyze the effects of various government policies. Studying various commercial policies within this framework will also be fruitful. </w:t>
      </w:r>
    </w:p>
    <w:p w:rsidR="005150CD" w:rsidRDefault="005150CD" w:rsidP="001712BA">
      <w:pPr>
        <w:pStyle w:val="Heading2"/>
        <w:numPr>
          <w:ilvl w:val="1"/>
          <w:numId w:val="2"/>
        </w:numPr>
        <w:spacing w:after="240" w:line="480" w:lineRule="auto"/>
        <w:jc w:val="both"/>
        <w:rPr>
          <w:b w:val="0"/>
          <w:bCs w:val="0"/>
        </w:rPr>
      </w:pPr>
      <w:bookmarkStart w:id="14" w:name="_Toc285478008"/>
      <w:r w:rsidRPr="00EE6912">
        <w:rPr>
          <w:b w:val="0"/>
          <w:bCs w:val="0"/>
        </w:rPr>
        <w:t>Data Sources</w:t>
      </w:r>
      <w:bookmarkEnd w:id="14"/>
    </w:p>
    <w:p w:rsidR="0076619F" w:rsidRPr="0076619F" w:rsidRDefault="0076619F" w:rsidP="0076619F"/>
    <w:p w:rsidR="00EE66B9" w:rsidRDefault="00EE66B9" w:rsidP="0051003D">
      <w:pPr>
        <w:snapToGrid w:val="0"/>
        <w:spacing w:line="480" w:lineRule="auto"/>
        <w:ind w:firstLine="720"/>
        <w:jc w:val="both"/>
        <w:rPr>
          <w:bCs/>
        </w:rPr>
      </w:pPr>
      <w:r w:rsidRPr="00CC066A">
        <w:rPr>
          <w:bCs/>
        </w:rPr>
        <w:t>Data are obtained from the Canadian Socio-economic Information and Management (CANSIM) database. C</w:t>
      </w:r>
      <w:r>
        <w:rPr>
          <w:bCs/>
        </w:rPr>
        <w:t>ANSIM labels are in parentheses:</w:t>
      </w:r>
    </w:p>
    <w:p w:rsidR="00EE66B9" w:rsidRPr="00CC066A" w:rsidRDefault="00EE66B9" w:rsidP="00E15A53">
      <w:pPr>
        <w:snapToGrid w:val="0"/>
        <w:spacing w:line="480" w:lineRule="auto"/>
        <w:jc w:val="both"/>
        <w:rPr>
          <w:bCs/>
        </w:rPr>
      </w:pPr>
      <w:r w:rsidRPr="00CC066A">
        <w:rPr>
          <w:bCs/>
          <w:i/>
        </w:rPr>
        <w:t>Population</w:t>
      </w:r>
      <w:r w:rsidRPr="00CC066A">
        <w:rPr>
          <w:bCs/>
        </w:rPr>
        <w:t>: Quarterly estimates of population for Canada (D1)</w:t>
      </w:r>
      <w:r>
        <w:rPr>
          <w:bCs/>
        </w:rPr>
        <w:t>.</w:t>
      </w:r>
    </w:p>
    <w:p w:rsidR="00EE66B9" w:rsidRPr="00CC066A" w:rsidRDefault="00EE66B9" w:rsidP="00E15A53">
      <w:pPr>
        <w:snapToGrid w:val="0"/>
        <w:spacing w:line="480" w:lineRule="auto"/>
        <w:jc w:val="both"/>
        <w:rPr>
          <w:bCs/>
        </w:rPr>
      </w:pPr>
      <w:r w:rsidRPr="00CC066A">
        <w:rPr>
          <w:bCs/>
          <w:i/>
        </w:rPr>
        <w:t>Output</w:t>
      </w:r>
      <w:r w:rsidRPr="00CC066A">
        <w:rPr>
          <w:bCs/>
        </w:rPr>
        <w:t>: real gross domestic product (D100126)</w:t>
      </w:r>
      <w:r>
        <w:rPr>
          <w:bCs/>
        </w:rPr>
        <w:t>.</w:t>
      </w:r>
    </w:p>
    <w:p w:rsidR="00EE66B9" w:rsidRPr="00CC066A"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Nondurable Consumption</w:t>
      </w:r>
      <w:r w:rsidRPr="00CC066A">
        <w:rPr>
          <w:rFonts w:ascii="Times New Roman" w:hAnsi="Times New Roman"/>
          <w:bCs/>
          <w:sz w:val="24"/>
          <w:szCs w:val="24"/>
        </w:rPr>
        <w:t>: personal expenditure on non-durable goods (D100106) and services (D100107)</w:t>
      </w:r>
      <w:r>
        <w:rPr>
          <w:rFonts w:ascii="Times New Roman" w:hAnsi="Times New Roman"/>
          <w:bCs/>
          <w:sz w:val="24"/>
          <w:szCs w:val="24"/>
        </w:rPr>
        <w:t>.</w:t>
      </w:r>
    </w:p>
    <w:p w:rsidR="00EE66B9"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Durable spending</w:t>
      </w:r>
      <w:r w:rsidRPr="00CC066A">
        <w:rPr>
          <w:rFonts w:ascii="Times New Roman" w:hAnsi="Times New Roman"/>
          <w:bCs/>
          <w:sz w:val="24"/>
          <w:szCs w:val="24"/>
        </w:rPr>
        <w:t>: personal expenditure on durable goods (D100104) plus personal expenditure on semi-durables (D100105)</w:t>
      </w:r>
      <w:r>
        <w:rPr>
          <w:rFonts w:ascii="Times New Roman" w:hAnsi="Times New Roman"/>
          <w:bCs/>
          <w:sz w:val="24"/>
          <w:szCs w:val="24"/>
        </w:rPr>
        <w:t>.</w:t>
      </w:r>
    </w:p>
    <w:p w:rsidR="00EE66B9" w:rsidRPr="00CC066A"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Investment</w:t>
      </w:r>
      <w:r w:rsidRPr="00CC066A">
        <w:rPr>
          <w:rFonts w:ascii="Times New Roman" w:hAnsi="Times New Roman"/>
          <w:bCs/>
          <w:sz w:val="24"/>
          <w:szCs w:val="24"/>
        </w:rPr>
        <w:t>: investment in machinery and equipment (D100115), non-residential structures</w:t>
      </w:r>
      <w:r>
        <w:rPr>
          <w:rFonts w:ascii="Times New Roman" w:hAnsi="Times New Roman"/>
          <w:bCs/>
          <w:sz w:val="24"/>
          <w:szCs w:val="24"/>
        </w:rPr>
        <w:t xml:space="preserve"> </w:t>
      </w:r>
      <w:r w:rsidRPr="00CC066A">
        <w:rPr>
          <w:rFonts w:ascii="Times New Roman" w:hAnsi="Times New Roman"/>
          <w:bCs/>
          <w:sz w:val="24"/>
          <w:szCs w:val="24"/>
        </w:rPr>
        <w:t>(D100114) and residential structures (D100112)</w:t>
      </w:r>
      <w:r>
        <w:rPr>
          <w:rFonts w:ascii="Times New Roman" w:hAnsi="Times New Roman"/>
          <w:bCs/>
          <w:sz w:val="24"/>
          <w:szCs w:val="24"/>
        </w:rPr>
        <w:t>.</w:t>
      </w:r>
    </w:p>
    <w:p w:rsidR="00EE66B9" w:rsidRPr="00CC066A"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Exports</w:t>
      </w:r>
      <w:r w:rsidRPr="00CC066A">
        <w:rPr>
          <w:rFonts w:ascii="Times New Roman" w:hAnsi="Times New Roman"/>
          <w:bCs/>
          <w:sz w:val="24"/>
          <w:szCs w:val="24"/>
        </w:rPr>
        <w:t>: exports of goods and services (D100119)</w:t>
      </w:r>
      <w:r>
        <w:rPr>
          <w:rFonts w:ascii="Times New Roman" w:hAnsi="Times New Roman"/>
          <w:bCs/>
          <w:sz w:val="24"/>
          <w:szCs w:val="24"/>
        </w:rPr>
        <w:t>.</w:t>
      </w:r>
    </w:p>
    <w:p w:rsidR="00EE66B9" w:rsidRPr="00CC066A"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Imports</w:t>
      </w:r>
      <w:r w:rsidRPr="00CC066A">
        <w:rPr>
          <w:rFonts w:ascii="Times New Roman" w:hAnsi="Times New Roman"/>
          <w:bCs/>
          <w:sz w:val="24"/>
          <w:szCs w:val="24"/>
        </w:rPr>
        <w:t>: imports of goods and services (D100122)</w:t>
      </w:r>
      <w:r>
        <w:rPr>
          <w:rFonts w:ascii="Times New Roman" w:hAnsi="Times New Roman"/>
          <w:bCs/>
          <w:sz w:val="24"/>
          <w:szCs w:val="24"/>
        </w:rPr>
        <w:t>.</w:t>
      </w:r>
    </w:p>
    <w:p w:rsidR="00EE66B9" w:rsidRPr="00CC066A"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GDP deflator</w:t>
      </w:r>
      <w:r w:rsidRPr="00CC066A">
        <w:rPr>
          <w:rFonts w:ascii="Times New Roman" w:hAnsi="Times New Roman"/>
          <w:bCs/>
          <w:sz w:val="24"/>
          <w:szCs w:val="24"/>
        </w:rPr>
        <w:t>: ratio of nominal GDP (D14816) and real GDP (D100126)</w:t>
      </w:r>
      <w:r>
        <w:rPr>
          <w:rFonts w:ascii="Times New Roman" w:hAnsi="Times New Roman"/>
          <w:bCs/>
          <w:sz w:val="24"/>
          <w:szCs w:val="24"/>
        </w:rPr>
        <w:t>.</w:t>
      </w:r>
    </w:p>
    <w:p w:rsidR="00E15A53"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Employment</w:t>
      </w:r>
      <w:r w:rsidRPr="00CC066A">
        <w:rPr>
          <w:rFonts w:ascii="Times New Roman" w:hAnsi="Times New Roman"/>
          <w:bCs/>
          <w:sz w:val="24"/>
          <w:szCs w:val="24"/>
        </w:rPr>
        <w:t>: employment age 15+ (D980595)</w:t>
      </w:r>
      <w:r>
        <w:rPr>
          <w:rFonts w:ascii="Times New Roman" w:hAnsi="Times New Roman"/>
          <w:bCs/>
          <w:sz w:val="24"/>
          <w:szCs w:val="24"/>
        </w:rPr>
        <w:t>.</w:t>
      </w:r>
    </w:p>
    <w:p w:rsidR="00EE66B9" w:rsidRPr="00CC066A" w:rsidRDefault="00EE66B9" w:rsidP="00E15A53">
      <w:pPr>
        <w:pStyle w:val="ListParagraph"/>
        <w:spacing w:after="0" w:line="480" w:lineRule="auto"/>
        <w:ind w:left="0"/>
        <w:jc w:val="both"/>
        <w:rPr>
          <w:rFonts w:ascii="Times New Roman" w:hAnsi="Times New Roman"/>
          <w:bCs/>
          <w:sz w:val="24"/>
          <w:szCs w:val="24"/>
        </w:rPr>
      </w:pPr>
      <w:r w:rsidRPr="00CC066A">
        <w:rPr>
          <w:rFonts w:ascii="Times New Roman" w:hAnsi="Times New Roman"/>
          <w:bCs/>
          <w:i/>
          <w:sz w:val="24"/>
          <w:szCs w:val="24"/>
        </w:rPr>
        <w:t>Current account</w:t>
      </w:r>
      <w:r w:rsidRPr="00CC066A">
        <w:rPr>
          <w:rFonts w:ascii="Times New Roman" w:hAnsi="Times New Roman"/>
          <w:bCs/>
          <w:sz w:val="24"/>
          <w:szCs w:val="24"/>
        </w:rPr>
        <w:t>: total nominal current account balance (D59832) deflated using the GDP deflator.</w:t>
      </w:r>
    </w:p>
    <w:p w:rsidR="005150CD" w:rsidRDefault="005150CD" w:rsidP="00C86268">
      <w:pPr>
        <w:pStyle w:val="Heading2"/>
        <w:numPr>
          <w:ilvl w:val="0"/>
          <w:numId w:val="0"/>
        </w:numPr>
        <w:spacing w:after="240"/>
        <w:ind w:left="720" w:hanging="360"/>
        <w:jc w:val="left"/>
      </w:pPr>
    </w:p>
    <w:p w:rsidR="00071AA6" w:rsidRDefault="00071AA6" w:rsidP="00071AA6"/>
    <w:p w:rsidR="00071AA6" w:rsidRDefault="00071AA6" w:rsidP="00071AA6"/>
    <w:p w:rsidR="00071AA6" w:rsidRDefault="00071AA6" w:rsidP="00071AA6"/>
    <w:p w:rsidR="00071AA6" w:rsidRDefault="00071AA6" w:rsidP="00071AA6"/>
    <w:p w:rsidR="00071AA6" w:rsidRDefault="00071AA6" w:rsidP="00071AA6"/>
    <w:p w:rsidR="00071AA6" w:rsidRDefault="00071AA6"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D57DAF" w:rsidRDefault="00D57DAF" w:rsidP="00071AA6"/>
    <w:p w:rsidR="0076619F" w:rsidRDefault="0076619F" w:rsidP="00071AA6"/>
    <w:p w:rsidR="0076619F" w:rsidRDefault="0076619F" w:rsidP="00071AA6"/>
    <w:p w:rsidR="0076619F" w:rsidRDefault="0076619F" w:rsidP="00071AA6"/>
    <w:p w:rsidR="0076619F" w:rsidRDefault="0076619F" w:rsidP="00071AA6"/>
    <w:p w:rsidR="0076619F" w:rsidRDefault="0076619F" w:rsidP="00071AA6"/>
    <w:p w:rsidR="0022302D" w:rsidRDefault="0022302D" w:rsidP="00071AA6"/>
    <w:p w:rsidR="00AA74DA" w:rsidRPr="00D062E2" w:rsidRDefault="00AA74DA" w:rsidP="00D062E2"/>
    <w:p w:rsidR="00692CA5" w:rsidRPr="00327463" w:rsidRDefault="00692CA5" w:rsidP="00327463">
      <w:pPr>
        <w:rPr>
          <w:sz w:val="48"/>
          <w:szCs w:val="48"/>
        </w:rPr>
      </w:pPr>
      <w:bookmarkStart w:id="15" w:name="_Toc280164128"/>
      <w:bookmarkStart w:id="16" w:name="_Toc280164624"/>
      <w:bookmarkStart w:id="17" w:name="_Toc280174535"/>
      <w:r w:rsidRPr="00327463">
        <w:rPr>
          <w:sz w:val="48"/>
          <w:szCs w:val="48"/>
        </w:rPr>
        <w:t>Essay 2</w:t>
      </w:r>
      <w:bookmarkEnd w:id="15"/>
      <w:bookmarkEnd w:id="16"/>
      <w:bookmarkEnd w:id="17"/>
    </w:p>
    <w:p w:rsidR="00692CA5" w:rsidRPr="00A55804" w:rsidRDefault="00692CA5" w:rsidP="00692CA5">
      <w:pPr>
        <w:pStyle w:val="StyleHeading1Centered"/>
        <w:jc w:val="left"/>
        <w:rPr>
          <w:rFonts w:asciiTheme="majorBidi" w:hAnsiTheme="majorBidi" w:cstheme="majorBidi"/>
        </w:rPr>
      </w:pPr>
    </w:p>
    <w:p w:rsidR="00692CA5" w:rsidRPr="00A55804" w:rsidRDefault="00692CA5" w:rsidP="00692CA5">
      <w:pPr>
        <w:pStyle w:val="StyleHeading1Centered"/>
        <w:jc w:val="left"/>
        <w:rPr>
          <w:rFonts w:asciiTheme="majorBidi" w:hAnsiTheme="majorBidi" w:cstheme="majorBidi"/>
        </w:rPr>
      </w:pPr>
    </w:p>
    <w:p w:rsidR="00692CA5" w:rsidRPr="00A55804" w:rsidRDefault="00692CA5" w:rsidP="00692CA5">
      <w:pPr>
        <w:pStyle w:val="StyleHeading1Centered"/>
        <w:jc w:val="left"/>
        <w:rPr>
          <w:rFonts w:asciiTheme="majorBidi" w:hAnsiTheme="majorBidi" w:cstheme="majorBidi"/>
        </w:rPr>
      </w:pPr>
    </w:p>
    <w:p w:rsidR="00692CA5" w:rsidRPr="00A55804" w:rsidRDefault="00A11D76" w:rsidP="00A11D76">
      <w:pPr>
        <w:pStyle w:val="StyleHeading1Centered"/>
        <w:tabs>
          <w:tab w:val="left" w:pos="360"/>
        </w:tabs>
        <w:ind w:hanging="360"/>
        <w:jc w:val="left"/>
        <w:rPr>
          <w:rFonts w:asciiTheme="majorBidi" w:hAnsiTheme="majorBidi" w:cstheme="majorBidi"/>
          <w:b w:val="0"/>
          <w:caps w:val="0"/>
          <w:sz w:val="40"/>
          <w:szCs w:val="40"/>
        </w:rPr>
      </w:pPr>
      <w:bookmarkStart w:id="18" w:name="_Toc285478009"/>
      <w:r w:rsidRPr="00A55804">
        <w:rPr>
          <w:rFonts w:asciiTheme="majorBidi" w:hAnsiTheme="majorBidi" w:cstheme="majorBidi"/>
          <w:b w:val="0"/>
          <w:caps w:val="0"/>
          <w:color w:val="FFFFFF" w:themeColor="background1"/>
          <w:sz w:val="40"/>
          <w:szCs w:val="40"/>
        </w:rPr>
        <w:t>2</w:t>
      </w:r>
      <w:r w:rsidRPr="00EE6912">
        <w:rPr>
          <w:rFonts w:asciiTheme="majorBidi" w:hAnsiTheme="majorBidi" w:cstheme="majorBidi"/>
          <w:b w:val="0"/>
          <w:caps w:val="0"/>
          <w:color w:val="FFFFFF" w:themeColor="background1"/>
          <w:sz w:val="36"/>
          <w:szCs w:val="36"/>
        </w:rPr>
        <w:t>.</w:t>
      </w:r>
      <w:r w:rsidRPr="00EE6912">
        <w:rPr>
          <w:rFonts w:asciiTheme="majorBidi" w:hAnsiTheme="majorBidi" w:cstheme="majorBidi"/>
          <w:b w:val="0"/>
          <w:caps w:val="0"/>
          <w:sz w:val="36"/>
          <w:szCs w:val="36"/>
        </w:rPr>
        <w:t xml:space="preserve"> Terms</w:t>
      </w:r>
      <w:r w:rsidR="00692CA5" w:rsidRPr="00EE6912">
        <w:rPr>
          <w:rFonts w:asciiTheme="majorBidi" w:hAnsiTheme="majorBidi" w:cstheme="majorBidi"/>
          <w:b w:val="0"/>
          <w:caps w:val="0"/>
          <w:sz w:val="36"/>
          <w:szCs w:val="36"/>
        </w:rPr>
        <w:t xml:space="preserve"> of Trade, Durability, and Small Open Economies Business Cycles</w:t>
      </w:r>
      <w:bookmarkEnd w:id="18"/>
    </w:p>
    <w:p w:rsidR="00692CA5" w:rsidRPr="00A55804" w:rsidRDefault="00692CA5" w:rsidP="00692CA5">
      <w:pPr>
        <w:numPr>
          <w:ilvl w:val="12"/>
          <w:numId w:val="0"/>
        </w:numPr>
        <w:jc w:val="center"/>
        <w:rPr>
          <w:rFonts w:asciiTheme="majorBidi" w:hAnsiTheme="majorBidi" w:cstheme="majorBidi"/>
        </w:rPr>
      </w:pPr>
    </w:p>
    <w:p w:rsidR="00692CA5" w:rsidRPr="00A55804" w:rsidRDefault="00692CA5" w:rsidP="00692CA5">
      <w:pPr>
        <w:numPr>
          <w:ilvl w:val="12"/>
          <w:numId w:val="0"/>
        </w:numPr>
        <w:jc w:val="center"/>
        <w:rPr>
          <w:rFonts w:asciiTheme="majorBidi" w:hAnsiTheme="majorBidi" w:cstheme="majorBidi"/>
        </w:rPr>
      </w:pPr>
    </w:p>
    <w:p w:rsidR="00587840" w:rsidRPr="00587840" w:rsidRDefault="00587840" w:rsidP="00D7460A">
      <w:pPr>
        <w:pStyle w:val="ListParagraph"/>
        <w:keepNext/>
        <w:numPr>
          <w:ilvl w:val="0"/>
          <w:numId w:val="3"/>
        </w:numPr>
        <w:spacing w:before="240" w:after="240" w:line="240" w:lineRule="auto"/>
        <w:contextualSpacing w:val="0"/>
        <w:outlineLvl w:val="1"/>
        <w:rPr>
          <w:rFonts w:asciiTheme="majorBidi" w:eastAsia="Times New Roman" w:hAnsiTheme="majorBidi" w:cstheme="majorBidi"/>
          <w:b/>
          <w:bCs/>
          <w:iCs/>
          <w:vanish/>
          <w:sz w:val="28"/>
          <w:szCs w:val="28"/>
          <w:lang w:eastAsia="en-US"/>
        </w:rPr>
      </w:pPr>
    </w:p>
    <w:p w:rsidR="00587840" w:rsidRPr="00587840" w:rsidRDefault="00587840" w:rsidP="00D7460A">
      <w:pPr>
        <w:pStyle w:val="ListParagraph"/>
        <w:keepNext/>
        <w:numPr>
          <w:ilvl w:val="0"/>
          <w:numId w:val="3"/>
        </w:numPr>
        <w:spacing w:before="240" w:after="240" w:line="240" w:lineRule="auto"/>
        <w:contextualSpacing w:val="0"/>
        <w:outlineLvl w:val="1"/>
        <w:rPr>
          <w:rFonts w:asciiTheme="majorBidi" w:eastAsia="Times New Roman" w:hAnsiTheme="majorBidi" w:cstheme="majorBidi"/>
          <w:b/>
          <w:bCs/>
          <w:iCs/>
          <w:vanish/>
          <w:sz w:val="28"/>
          <w:szCs w:val="28"/>
          <w:lang w:eastAsia="en-US"/>
        </w:rPr>
      </w:pPr>
    </w:p>
    <w:p w:rsidR="00692CA5" w:rsidRPr="00EE6912" w:rsidRDefault="00692CA5" w:rsidP="00D7460A">
      <w:pPr>
        <w:pStyle w:val="Heading2"/>
        <w:numPr>
          <w:ilvl w:val="1"/>
          <w:numId w:val="3"/>
        </w:numPr>
        <w:spacing w:after="240"/>
        <w:jc w:val="left"/>
        <w:rPr>
          <w:b w:val="0"/>
          <w:bCs w:val="0"/>
        </w:rPr>
      </w:pPr>
      <w:bookmarkStart w:id="19" w:name="_Toc285478010"/>
      <w:r w:rsidRPr="00EE6912">
        <w:rPr>
          <w:b w:val="0"/>
          <w:bCs w:val="0"/>
        </w:rPr>
        <w:t>Introduction</w:t>
      </w:r>
      <w:bookmarkEnd w:id="19"/>
    </w:p>
    <w:p w:rsidR="00692CA5" w:rsidRPr="00A55804" w:rsidRDefault="00692CA5" w:rsidP="00692CA5">
      <w:pPr>
        <w:rPr>
          <w:rFonts w:asciiTheme="majorBidi" w:hAnsiTheme="majorBidi" w:cstheme="majorBidi"/>
        </w:rPr>
      </w:pPr>
    </w:p>
    <w:p w:rsidR="000B10C3" w:rsidRDefault="00FB71B2" w:rsidP="00C30B64">
      <w:pPr>
        <w:autoSpaceDE w:val="0"/>
        <w:autoSpaceDN w:val="0"/>
        <w:adjustRightInd w:val="0"/>
        <w:spacing w:before="240" w:after="240" w:line="480" w:lineRule="auto"/>
        <w:ind w:firstLine="720"/>
        <w:jc w:val="both"/>
      </w:pPr>
      <w:r>
        <w:t xml:space="preserve">A characteristic feature of small open economies is their openness to international trade which has </w:t>
      </w:r>
      <w:r w:rsidR="00C87AD1">
        <w:t>become increasingly important during</w:t>
      </w:r>
      <w:r>
        <w:t xml:space="preserve"> </w:t>
      </w:r>
      <w:r w:rsidR="005166BF">
        <w:t xml:space="preserve">in the face of </w:t>
      </w:r>
      <w:r w:rsidR="00C87AD1">
        <w:t xml:space="preserve">globalization. But developing economies have shown concerns about the </w:t>
      </w:r>
      <w:r>
        <w:t>evenness of the globalization</w:t>
      </w:r>
      <w:r w:rsidR="00C87AD1">
        <w:t xml:space="preserve"> process and its impact on their macroeconomic stability</w:t>
      </w:r>
      <w:r>
        <w:t>.</w:t>
      </w:r>
      <w:r w:rsidR="0076619F" w:rsidRPr="0076619F">
        <w:rPr>
          <w:rStyle w:val="FootnoteReference"/>
        </w:rPr>
        <w:t xml:space="preserve"> </w:t>
      </w:r>
      <w:r>
        <w:t xml:space="preserve">One such concern is </w:t>
      </w:r>
      <w:r w:rsidR="005166BF">
        <w:t xml:space="preserve">due to </w:t>
      </w:r>
      <w:r>
        <w:t xml:space="preserve">the fact that many </w:t>
      </w:r>
      <w:r w:rsidR="005166BF">
        <w:t xml:space="preserve">developing </w:t>
      </w:r>
      <w:r>
        <w:t>econo</w:t>
      </w:r>
      <w:r w:rsidR="005166BF">
        <w:t>mies are vulnerable to adverse Terms-of-T</w:t>
      </w:r>
      <w:r>
        <w:t>rade (ToT) s</w:t>
      </w:r>
      <w:r w:rsidR="005166BF">
        <w:t>hocks.</w:t>
      </w:r>
      <w:r w:rsidR="0076619F" w:rsidRPr="0076619F">
        <w:rPr>
          <w:rStyle w:val="FootnoteReference"/>
        </w:rPr>
        <w:t xml:space="preserve"> </w:t>
      </w:r>
      <w:r w:rsidR="0076619F">
        <w:rPr>
          <w:rStyle w:val="FootnoteReference"/>
        </w:rPr>
        <w:footnoteReference w:id="15"/>
      </w:r>
      <w:r w:rsidR="0076619F">
        <w:t xml:space="preserve">  </w:t>
      </w:r>
      <w:r>
        <w:t xml:space="preserve">Understanding the true effects of ToT shocks is thus an important issue in open economy macroeconomics, were many alternative models have provided conflicting evidences about the effect of ToT shocks on the macroeconomic outcomes.  The main objective of this study is to explore this issue and offer some insights.  </w:t>
      </w:r>
    </w:p>
    <w:p w:rsidR="00FB71B2" w:rsidRDefault="000B10C3" w:rsidP="00C30B64">
      <w:pPr>
        <w:autoSpaceDE w:val="0"/>
        <w:autoSpaceDN w:val="0"/>
        <w:adjustRightInd w:val="0"/>
        <w:spacing w:before="240" w:after="240" w:line="480" w:lineRule="auto"/>
        <w:ind w:firstLine="720"/>
        <w:jc w:val="both"/>
      </w:pPr>
      <w:r w:rsidRPr="000B10C3">
        <w:t>Typically small open economies specialize in the production of a few products.</w:t>
      </w:r>
      <w:r w:rsidR="00071AA6">
        <w:t xml:space="preserve"> Developed economies usually specialize</w:t>
      </w:r>
      <w:r>
        <w:t xml:space="preserve"> in the production of relatively highly durable commodities such as transportation vehicles, telecommu</w:t>
      </w:r>
      <w:r w:rsidR="00F331FB">
        <w:t>nication products, electronics</w:t>
      </w:r>
      <w:r>
        <w:t xml:space="preserve">, </w:t>
      </w:r>
      <w:r w:rsidR="00F331FB">
        <w:t>etc.</w:t>
      </w:r>
      <w:r>
        <w:t xml:space="preserve"> As the level of income in the advanced economies usually is higher comparing to emerging economies, they import relatively more durable consumption goods. As a result, the degree of durability in consumption goods in advanced economies is significantly higher </w:t>
      </w:r>
      <w:r w:rsidR="00F331FB">
        <w:t xml:space="preserve">than </w:t>
      </w:r>
      <w:r>
        <w:t xml:space="preserve">the consumption goods in emerging economies. We show that differences in the </w:t>
      </w:r>
      <w:r w:rsidR="00F331FB">
        <w:t xml:space="preserve">degree of </w:t>
      </w:r>
      <w:r>
        <w:t xml:space="preserve">durability of </w:t>
      </w:r>
      <w:r w:rsidR="00F331FB">
        <w:t xml:space="preserve">domestic output </w:t>
      </w:r>
      <w:r>
        <w:t xml:space="preserve">and imports </w:t>
      </w:r>
      <w:r w:rsidR="00F331FB">
        <w:t xml:space="preserve">a cross small open economies significantly affect their </w:t>
      </w:r>
      <w:r>
        <w:t>sensitivity to ToT</w:t>
      </w:r>
      <w:r w:rsidR="00F331FB">
        <w:t xml:space="preserve"> fluctuations</w:t>
      </w:r>
      <w:r>
        <w:t xml:space="preserve">. The reason behind our </w:t>
      </w:r>
      <w:r w:rsidR="00F331FB">
        <w:t xml:space="preserve">argument </w:t>
      </w:r>
      <w:r>
        <w:t>is due to the forward looking nature of the demand for durables which enables the economies with higher degree of durability to better mitigate the ext</w:t>
      </w:r>
      <w:r w:rsidR="00F331FB">
        <w:t>ernal fluctuations in their ToT.</w:t>
      </w:r>
      <w:r>
        <w:t xml:space="preserve"> Accordingly the observed business cycles in </w:t>
      </w:r>
      <w:r w:rsidR="00F331FB">
        <w:t xml:space="preserve">developed </w:t>
      </w:r>
      <w:r>
        <w:t xml:space="preserve">economies are more stable comparing to </w:t>
      </w:r>
      <w:r w:rsidR="00F331FB">
        <w:t xml:space="preserve">the </w:t>
      </w:r>
      <w:r>
        <w:t xml:space="preserve">business cycles in the emerging economies. </w:t>
      </w:r>
    </w:p>
    <w:p w:rsidR="00CC1636" w:rsidRDefault="00FB71B2" w:rsidP="00C30B64">
      <w:pPr>
        <w:spacing w:before="240" w:after="240" w:line="480" w:lineRule="auto"/>
        <w:ind w:firstLine="720"/>
        <w:jc w:val="both"/>
      </w:pPr>
      <w:r>
        <w:t xml:space="preserve">On the issue of </w:t>
      </w:r>
      <w:r w:rsidR="005166BF">
        <w:t xml:space="preserve">ToT, </w:t>
      </w:r>
      <w:r>
        <w:t xml:space="preserve">two lines of research have been pursed. One group of studies investigates on how consumption, employment, investment, and external accounts (such as current account and trade balance) are affected by fluctuations to </w:t>
      </w:r>
      <w:proofErr w:type="gramStart"/>
      <w:r>
        <w:t>ToT</w:t>
      </w:r>
      <w:proofErr w:type="gramEnd"/>
      <w:r>
        <w:t>. Often these models are deterministic in nature. In the other line of inquiry, stochastic optimizing models have been adopted within a small open economy RBC framework. The main focus in this group of studies is to understand the role of terms of trade in shaping the busin</w:t>
      </w:r>
      <w:r w:rsidR="005166BF">
        <w:t>ess cycles of these economies; f</w:t>
      </w:r>
      <w:r>
        <w:t>or example, how much of the aggregate fluctuations of the op</w:t>
      </w:r>
      <w:r w:rsidR="005166BF">
        <w:t xml:space="preserve">en economy can be attributed to </w:t>
      </w:r>
      <w:r>
        <w:t xml:space="preserve">ToT fluctuations that open economies are subject to. Our study contributes </w:t>
      </w:r>
      <w:r w:rsidR="005166BF">
        <w:t xml:space="preserve">to both </w:t>
      </w:r>
      <w:r>
        <w:t>lines of research mentioned above. Another issue that has surfaced recently at the top of the research agenda in small open economy macroeconomics is to explain the differences between developed and developing economies in terms of their business cycle characteristics. In emerging economies</w:t>
      </w:r>
      <w:r w:rsidR="005166BF">
        <w:t>,</w:t>
      </w:r>
      <w:r>
        <w:t xml:space="preserve"> business cycles are more volati</w:t>
      </w:r>
      <w:r w:rsidR="005166BF">
        <w:t>le than in developed economies. C</w:t>
      </w:r>
      <w:r>
        <w:t>onsumption volatility</w:t>
      </w:r>
      <w:r w:rsidR="005166BF">
        <w:t xml:space="preserve"> in emerging economies </w:t>
      </w:r>
      <w:r>
        <w:t xml:space="preserve">exceeds the volatility of output. Net exports tend to be strongly countercyclical in emerging economies </w:t>
      </w:r>
      <w:r w:rsidR="00CC1636">
        <w:t xml:space="preserve">but </w:t>
      </w:r>
      <w:r>
        <w:t xml:space="preserve">weakly countercyclical in developed economies. </w:t>
      </w:r>
    </w:p>
    <w:p w:rsidR="00F331FB" w:rsidRDefault="00FB71B2" w:rsidP="00C30B64">
      <w:pPr>
        <w:spacing w:before="240" w:after="240" w:line="480" w:lineRule="auto"/>
        <w:ind w:firstLine="720"/>
        <w:jc w:val="both"/>
      </w:pPr>
      <w:r>
        <w:t>One leading explanation of such empirical regularity advocated by Neumeyer and Perri (2005) and Garcia-</w:t>
      </w:r>
      <w:proofErr w:type="spellStart"/>
      <w:r>
        <w:t>Cicco</w:t>
      </w:r>
      <w:proofErr w:type="spellEnd"/>
      <w:r>
        <w:t xml:space="preserve">, </w:t>
      </w:r>
      <w:proofErr w:type="spellStart"/>
      <w:r>
        <w:t>Pancrazi</w:t>
      </w:r>
      <w:proofErr w:type="spellEnd"/>
      <w:r>
        <w:t xml:space="preserve">, and Uribe (2010), attributes these differences to the relatively high sensitivity of emerging economies to international interest rates due to </w:t>
      </w:r>
      <w:r w:rsidR="00CC1636">
        <w:t>financial frictions the relatively</w:t>
      </w:r>
      <w:r>
        <w:t xml:space="preserve"> high dependent on international capital flows</w:t>
      </w:r>
      <w:r w:rsidR="00CC1636">
        <w:t>, comparing to developed economies.</w:t>
      </w:r>
      <w:r>
        <w:t xml:space="preserve">  Another leading point of view, supported by </w:t>
      </w:r>
      <w:proofErr w:type="spellStart"/>
      <w:r>
        <w:t>Aguiar</w:t>
      </w:r>
      <w:proofErr w:type="spellEnd"/>
      <w:r>
        <w:t xml:space="preserve"> and </w:t>
      </w:r>
      <w:proofErr w:type="spellStart"/>
      <w:r>
        <w:t>Gita</w:t>
      </w:r>
      <w:proofErr w:type="spellEnd"/>
      <w:r>
        <w:t xml:space="preserve"> </w:t>
      </w:r>
      <w:proofErr w:type="spellStart"/>
      <w:r>
        <w:t>Gopinath</w:t>
      </w:r>
      <w:proofErr w:type="spellEnd"/>
      <w:r>
        <w:t xml:space="preserve"> (2007), agrees that small open economies vary significantly in many structural aspects including the importance of international capital flows</w:t>
      </w:r>
      <w:r w:rsidR="00CC1636">
        <w:t>,</w:t>
      </w:r>
      <w:r>
        <w:t xml:space="preserve"> financial frictions</w:t>
      </w:r>
      <w:r w:rsidR="00CC1636">
        <w:t xml:space="preserve"> and domestic economic policies</w:t>
      </w:r>
      <w:r>
        <w:t xml:space="preserve">.  However, </w:t>
      </w:r>
      <w:proofErr w:type="spellStart"/>
      <w:r>
        <w:t>Aguiar</w:t>
      </w:r>
      <w:proofErr w:type="spellEnd"/>
      <w:r>
        <w:t xml:space="preserve"> and </w:t>
      </w:r>
      <w:proofErr w:type="spellStart"/>
      <w:r>
        <w:t>Gita</w:t>
      </w:r>
      <w:proofErr w:type="spellEnd"/>
      <w:r>
        <w:t xml:space="preserve"> </w:t>
      </w:r>
      <w:proofErr w:type="spellStart"/>
      <w:r>
        <w:t>Gopinath</w:t>
      </w:r>
      <w:proofErr w:type="spellEnd"/>
      <w:r>
        <w:t xml:space="preserve"> claim that these differences across open economies can be modeled as shocks to the gr</w:t>
      </w:r>
      <w:r w:rsidR="00CC1636">
        <w:t xml:space="preserve">owth trend rather than by simple </w:t>
      </w:r>
      <w:r>
        <w:t xml:space="preserve">frictions of different forms. </w:t>
      </w:r>
    </w:p>
    <w:p w:rsidR="00A6705D" w:rsidRDefault="00210478" w:rsidP="00C30B64">
      <w:pPr>
        <w:spacing w:before="240" w:after="240" w:line="480" w:lineRule="auto"/>
        <w:ind w:firstLine="720"/>
        <w:jc w:val="both"/>
      </w:pPr>
      <w:r>
        <w:t xml:space="preserve">Our work in this paper </w:t>
      </w:r>
      <w:r w:rsidR="00FB71B2">
        <w:t>provide</w:t>
      </w:r>
      <w:r>
        <w:t>s</w:t>
      </w:r>
      <w:r w:rsidR="00FB71B2">
        <w:t xml:space="preserve"> an alternative explanation that underscores the natural differences among these economies in terms of their product</w:t>
      </w:r>
      <w:r w:rsidR="00CC1636">
        <w:t xml:space="preserve">ion and demand patterns. Developed </w:t>
      </w:r>
      <w:r w:rsidR="00FB71B2">
        <w:t>open economies usually produce and consume more durable good</w:t>
      </w:r>
      <w:r w:rsidR="00CC1636">
        <w:t>s than many developing economies</w:t>
      </w:r>
      <w:r w:rsidR="00BE18D1">
        <w:t xml:space="preserve"> can do</w:t>
      </w:r>
      <w:r w:rsidR="00FB71B2">
        <w:t xml:space="preserve">. </w:t>
      </w:r>
      <w:r w:rsidR="00BE18D1">
        <w:t xml:space="preserve">Not only domestic production but the trade classification of imports also differs significantly among open economies. Developed economies usually enjoy relatively higher percapita income hence the share of </w:t>
      </w:r>
      <w:r w:rsidR="00FB71B2">
        <w:t>durable</w:t>
      </w:r>
      <w:r w:rsidR="00BE18D1">
        <w:t xml:space="preserve">s in their imports is significantly higher compared to </w:t>
      </w:r>
      <w:r w:rsidR="00A561B2">
        <w:t xml:space="preserve">developing </w:t>
      </w:r>
      <w:r w:rsidR="00FB71B2">
        <w:t xml:space="preserve">economies. </w:t>
      </w:r>
      <w:r w:rsidR="00A6705D">
        <w:t xml:space="preserve">The reason behind the ability of durability in explaining the differences in the business cycles among small open economies is due to the forward looking nature of the demand for durables. Durability in </w:t>
      </w:r>
      <w:r w:rsidR="003567EB">
        <w:t>households’</w:t>
      </w:r>
      <w:r w:rsidR="00A6705D">
        <w:t xml:space="preserve"> consumption goods enhances </w:t>
      </w:r>
      <w:r w:rsidR="003567EB">
        <w:t xml:space="preserve">the </w:t>
      </w:r>
      <w:r w:rsidR="00A6705D">
        <w:t>forward looking nature</w:t>
      </w:r>
      <w:r w:rsidR="003567EB">
        <w:t xml:space="preserve"> in their economic</w:t>
      </w:r>
      <w:r w:rsidR="00A6705D">
        <w:t xml:space="preserve"> </w:t>
      </w:r>
      <w:r w:rsidR="00A6705D" w:rsidRPr="005B5904">
        <w:t>decisions</w:t>
      </w:r>
      <w:r w:rsidR="003567EB" w:rsidRPr="005B5904">
        <w:t xml:space="preserve">, hence their ability to </w:t>
      </w:r>
      <w:r w:rsidR="00A6705D" w:rsidRPr="005B5904">
        <w:t>avoid fluctuations in the international prices in general and ToT in particular</w:t>
      </w:r>
      <w:r w:rsidR="003567EB" w:rsidRPr="005B5904">
        <w:t xml:space="preserve"> improves significantly.</w:t>
      </w:r>
      <w:r w:rsidR="003567EB">
        <w:t xml:space="preserve"> </w:t>
      </w:r>
    </w:p>
    <w:p w:rsidR="00FB71B2" w:rsidRDefault="003567EB" w:rsidP="00C30B64">
      <w:pPr>
        <w:spacing w:before="240" w:after="240" w:line="480" w:lineRule="auto"/>
        <w:ind w:firstLine="720"/>
        <w:jc w:val="both"/>
      </w:pPr>
      <w:r>
        <w:t>We prove this argument w</w:t>
      </w:r>
      <w:r w:rsidR="00A561B2">
        <w:t>ith</w:t>
      </w:r>
      <w:r w:rsidR="00FB71B2">
        <w:t xml:space="preserve"> a </w:t>
      </w:r>
      <w:r>
        <w:t xml:space="preserve">two goods – domestic and foreign </w:t>
      </w:r>
      <w:r w:rsidR="00FB71B2">
        <w:t>RBC model</w:t>
      </w:r>
      <w:r>
        <w:t xml:space="preserve">. </w:t>
      </w:r>
      <w:r w:rsidR="00210478">
        <w:t xml:space="preserve">The </w:t>
      </w:r>
      <w:r w:rsidR="00FB71B2">
        <w:t xml:space="preserve">model is an extended version of </w:t>
      </w:r>
      <w:proofErr w:type="spellStart"/>
      <w:r w:rsidR="00FB71B2">
        <w:t>Obstfeld’s</w:t>
      </w:r>
      <w:proofErr w:type="spellEnd"/>
      <w:r w:rsidR="00FB71B2">
        <w:t xml:space="preserve"> (1982) and </w:t>
      </w:r>
      <w:proofErr w:type="spellStart"/>
      <w:r w:rsidR="00FB71B2">
        <w:t>Eicher</w:t>
      </w:r>
      <w:proofErr w:type="spellEnd"/>
      <w:r w:rsidR="00FB71B2">
        <w:t xml:space="preserve">, Schubert and </w:t>
      </w:r>
      <w:proofErr w:type="spellStart"/>
      <w:r w:rsidR="00FB71B2">
        <w:t>Turnovsky’s</w:t>
      </w:r>
      <w:proofErr w:type="spellEnd"/>
      <w:r w:rsidR="00FB71B2">
        <w:t xml:space="preserve"> (2008). We modify these </w:t>
      </w:r>
      <w:r w:rsidR="00210478">
        <w:t xml:space="preserve">two </w:t>
      </w:r>
      <w:r w:rsidR="00FB71B2">
        <w:t xml:space="preserve">models in various ways. </w:t>
      </w:r>
      <w:r w:rsidR="00210478">
        <w:t>We incorporate</w:t>
      </w:r>
      <w:r w:rsidR="00FB71B2">
        <w:t xml:space="preserve"> endogenous labor/leisure cho</w:t>
      </w:r>
      <w:r w:rsidR="00210478">
        <w:t xml:space="preserve">ice, habit persistence and optimal capacity utilization. </w:t>
      </w:r>
      <w:r w:rsidR="00FB71B2">
        <w:t xml:space="preserve">Instead of dealing with completely nondurable consumption, we assumed that home and foreign goods are both aggregate consumption goods with a certain degree(s) of durability. </w:t>
      </w:r>
      <w:r w:rsidR="00210478">
        <w:t>H</w:t>
      </w:r>
      <w:r w:rsidR="00FB71B2">
        <w:t>abit formation</w:t>
      </w:r>
      <w:r w:rsidR="00210478">
        <w:t xml:space="preserve"> helps the model to </w:t>
      </w:r>
      <w:proofErr w:type="spellStart"/>
      <w:r w:rsidR="00210478">
        <w:t>to</w:t>
      </w:r>
      <w:proofErr w:type="spellEnd"/>
      <w:r w:rsidR="00210478">
        <w:t xml:space="preserve"> be consistent with the observed persistence in the actual business cycle data. Optimal capacity utilization improves the ability of the model to match with the aggregate volatility of the underlined business cycles.</w:t>
      </w:r>
      <w:r w:rsidR="00FB71B2">
        <w:t xml:space="preserve"> </w:t>
      </w:r>
      <w:r w:rsidR="00210478">
        <w:t>W</w:t>
      </w:r>
      <w:r w:rsidR="00FB71B2">
        <w:t>e incorporate ToT uncertainty as a stationary stochastic process</w:t>
      </w:r>
      <w:r w:rsidR="00210478">
        <w:t xml:space="preserve">. ToT fluctuations assumed to enter the model economy through two distinct channels. </w:t>
      </w:r>
      <w:r w:rsidR="00890407">
        <w:t xml:space="preserve">The first regular channel is the </w:t>
      </w:r>
      <w:r w:rsidR="00210478">
        <w:t xml:space="preserve">relative price </w:t>
      </w:r>
      <w:r w:rsidR="00890407">
        <w:t xml:space="preserve">of domestic and foreign goods, while the new channel that we proposed here is the   </w:t>
      </w:r>
      <w:r w:rsidR="00FB71B2">
        <w:t xml:space="preserve">country risk premium </w:t>
      </w:r>
      <w:r w:rsidR="00890407">
        <w:t xml:space="preserve">channel. We believe that </w:t>
      </w:r>
      <w:r w:rsidR="0022302D">
        <w:t>deterioration</w:t>
      </w:r>
      <w:r w:rsidR="00890407">
        <w:t xml:space="preserve"> in ToT may increase the country risk premium. </w:t>
      </w:r>
      <w:r w:rsidR="001111AC">
        <w:t>Deterioration</w:t>
      </w:r>
      <w:r w:rsidR="00890407">
        <w:t xml:space="preserve"> in the ToT necessary reduces the foreign currency</w:t>
      </w:r>
      <w:r w:rsidR="001111AC">
        <w:t xml:space="preserve"> value for a give </w:t>
      </w:r>
      <w:r w:rsidR="00890407">
        <w:t xml:space="preserve">exports and thus decreases the ability to serve future debt. Accordingly, </w:t>
      </w:r>
      <w:r w:rsidR="001111AC">
        <w:t xml:space="preserve">deterioration in the ToT is associated with higher country risk premium.  </w:t>
      </w:r>
    </w:p>
    <w:p w:rsidR="00FB71B2" w:rsidRDefault="00FB71B2" w:rsidP="00C30B64">
      <w:pPr>
        <w:autoSpaceDE w:val="0"/>
        <w:autoSpaceDN w:val="0"/>
        <w:adjustRightInd w:val="0"/>
        <w:spacing w:before="240" w:after="240" w:line="480" w:lineRule="auto"/>
        <w:ind w:firstLine="720"/>
        <w:jc w:val="both"/>
      </w:pPr>
      <w:r>
        <w:t>There are many compelling reasons for us to propose such a model. Mendoza (1991) was the first to offer a small open economy RBC model to explain various stylized facts particular to these economies. His model ignited a series of important research papers.  However, these models have important common limitations that can be attributed to (</w:t>
      </w:r>
      <w:proofErr w:type="spellStart"/>
      <w:r>
        <w:t>i</w:t>
      </w:r>
      <w:proofErr w:type="spellEnd"/>
      <w:r>
        <w:t>) the vulnerability of the models to technological progress estimators, (ii) the vulnerability of the models to household preferences, and (iii) the inability of the models to capture the interest rate uncertainty. To overcome these limitations we have developed (in the previous essay) a model economy with two goods - durables and nondurables. This is particularly important since households’ spending on the consumption of durable goods in a typical advanced small open economy like Canada constitutes almost 15 percent of GDP. Spending on durables, in such economies, is strongly procyclical, highly correlated with trade balance, sensitive to interest rates and leads the business cycle.</w:t>
      </w:r>
      <w:r>
        <w:rPr>
          <w:rStyle w:val="FootnoteReference"/>
        </w:rPr>
        <w:footnoteReference w:id="16"/>
      </w:r>
      <w:r>
        <w:t xml:space="preserve"> Upon calibrating that model to Canadian data (1980:Q1-2009:Q4) we found that the model economy closely matches the observed business cycle  and replicates well the comovement between durable spending and the rest of the national accounts. Further, interest rates play an important role in the allocation of the aggregate portfolio and particularly affect the external debt of the economy. Finally, the model is consistent with the empirical observations in that durable spending leads the business cycle. Along with durable and nondurable consumption, the performance of that model improved significantly when we incorporated habit persistence,</w:t>
      </w:r>
      <w:r>
        <w:rPr>
          <w:vertAlign w:val="superscript"/>
        </w:rPr>
        <w:footnoteReference w:id="17"/>
      </w:r>
      <w:r>
        <w:t xml:space="preserve"> and variable capital utilization.</w:t>
      </w:r>
      <w:r>
        <w:rPr>
          <w:rStyle w:val="FootnoteReference"/>
        </w:rPr>
        <w:footnoteReference w:id="18"/>
      </w:r>
      <w:r>
        <w:t xml:space="preserve"> </w:t>
      </w:r>
    </w:p>
    <w:p w:rsidR="00FB71B2" w:rsidRDefault="00FB71B2" w:rsidP="00C30B64">
      <w:pPr>
        <w:autoSpaceDE w:val="0"/>
        <w:autoSpaceDN w:val="0"/>
        <w:adjustRightInd w:val="0"/>
        <w:spacing w:before="240" w:after="240" w:line="480" w:lineRule="auto"/>
        <w:ind w:firstLine="720"/>
        <w:jc w:val="both"/>
      </w:pPr>
      <w:r>
        <w:t>In the present work we extend the framework established by our previous work to inv</w:t>
      </w:r>
      <w:r w:rsidR="001111AC">
        <w:t xml:space="preserve">estigate the effects of adverse </w:t>
      </w:r>
      <w:r>
        <w:t xml:space="preserve">ToT shock on the </w:t>
      </w:r>
      <w:r w:rsidR="001111AC">
        <w:t xml:space="preserve">dynamics of small open economy and their </w:t>
      </w:r>
      <w:r>
        <w:t xml:space="preserve">business cycles. To be completely consistent with the previous model we need </w:t>
      </w:r>
      <w:r w:rsidR="001111AC">
        <w:t xml:space="preserve">to consider </w:t>
      </w:r>
      <w:r>
        <w:t xml:space="preserve">two domestic goods, home durables and home nondurables and two imported goods, foreign durables and foreign nondurables. So doing would be extremely complicated and possibly intractable. As a compromise, we have assumed that households consume both home and foreign goods with a certain degree of durability. See </w:t>
      </w:r>
      <w:proofErr w:type="spellStart"/>
      <w:r>
        <w:t>Mohsin</w:t>
      </w:r>
      <w:proofErr w:type="spellEnd"/>
      <w:r>
        <w:t xml:space="preserve"> (2006) and Gregorio et al (1998) for details. </w:t>
      </w:r>
    </w:p>
    <w:p w:rsidR="001111AC" w:rsidRDefault="00FB71B2" w:rsidP="00C30B64">
      <w:pPr>
        <w:autoSpaceDE w:val="0"/>
        <w:autoSpaceDN w:val="0"/>
        <w:adjustRightInd w:val="0"/>
        <w:spacing w:before="240" w:after="240" w:line="480" w:lineRule="auto"/>
        <w:ind w:firstLine="720"/>
        <w:jc w:val="both"/>
      </w:pPr>
      <w:r>
        <w:t xml:space="preserve">The results of the model, with high degree of durability, are tested against the </w:t>
      </w:r>
      <w:r w:rsidR="00327463">
        <w:t xml:space="preserve">developed </w:t>
      </w:r>
      <w:r>
        <w:t xml:space="preserve">Canadian economy. The model economy is able to replicate the different moments of the national accounts. Moreover, for the first time, this model replicates the comovement between ToT and national accounts. The model correctly predicts moderately countercyclical ToT; the negative correlation between ToT and consumption, employment and investment; and the positive correlation between the ToT and the trade balance as observed in the Canadian data. The model replicates all these comovements well.  The model predicts that ToT explains </w:t>
      </w:r>
      <w:r w:rsidR="005B5904">
        <w:t xml:space="preserve">less than </w:t>
      </w:r>
      <w:r>
        <w:t xml:space="preserve">one fifth (17 percent) of the aggregate fluctuations.  </w:t>
      </w:r>
      <w:r w:rsidR="00E625AD">
        <w:t>W</w:t>
      </w:r>
      <w:r>
        <w:t xml:space="preserve">e lower the degree </w:t>
      </w:r>
      <w:r w:rsidR="00327463">
        <w:t>of durability to calibrate to developing economies, given everything else</w:t>
      </w:r>
      <w:r w:rsidR="00E625AD">
        <w:t xml:space="preserve"> is equal.</w:t>
      </w:r>
      <w:r w:rsidR="00327463">
        <w:t xml:space="preserve"> </w:t>
      </w:r>
      <w:r w:rsidR="00E625AD">
        <w:t xml:space="preserve">Consistent with the observed business cycle in developing economies, the model predicts that consumption is more volatile than output and trade balance-output ratio become strongly countercyclical. In this case the model predicts that ToT explains around one third of the aggregate fluctuations in developing economies. </w:t>
      </w:r>
      <w:r>
        <w:t xml:space="preserve">The contribution of the ToT in aggregate economic fluctuations in our experiment is relatively </w:t>
      </w:r>
      <w:r w:rsidR="005B5904">
        <w:t xml:space="preserve">lower </w:t>
      </w:r>
      <w:r>
        <w:t>than the predictions found in M</w:t>
      </w:r>
      <w:r w:rsidR="005B5904">
        <w:t xml:space="preserve">endoza (1995) and </w:t>
      </w:r>
      <w:proofErr w:type="spellStart"/>
      <w:r w:rsidR="005B5904">
        <w:t>Kose</w:t>
      </w:r>
      <w:proofErr w:type="spellEnd"/>
      <w:r w:rsidR="005B5904">
        <w:t xml:space="preserve"> (2002). </w:t>
      </w:r>
      <w:r>
        <w:t xml:space="preserve">According to these two papers ToT shocks account for at least half of output volatility in developing economies. Of course Mendoza and </w:t>
      </w:r>
      <w:proofErr w:type="spellStart"/>
      <w:r>
        <w:t>Kose</w:t>
      </w:r>
      <w:proofErr w:type="spellEnd"/>
      <w:r>
        <w:t xml:space="preserve"> did not account for durable consumption. </w:t>
      </w:r>
    </w:p>
    <w:p w:rsidR="00FB71B2" w:rsidRDefault="00FB71B2" w:rsidP="00C30B64">
      <w:pPr>
        <w:autoSpaceDE w:val="0"/>
        <w:autoSpaceDN w:val="0"/>
        <w:adjustRightInd w:val="0"/>
        <w:spacing w:before="240" w:after="240" w:line="480" w:lineRule="auto"/>
        <w:ind w:firstLine="720"/>
        <w:jc w:val="both"/>
      </w:pPr>
      <w:r>
        <w:t xml:space="preserve">The effect of adverse ToT on a small open economies has been a subject of controversy since the early 1950s, when </w:t>
      </w:r>
      <w:proofErr w:type="spellStart"/>
      <w:r>
        <w:t>Laursen</w:t>
      </w:r>
      <w:proofErr w:type="spellEnd"/>
      <w:r>
        <w:t xml:space="preserve"> and </w:t>
      </w:r>
      <w:proofErr w:type="spellStart"/>
      <w:r>
        <w:t>Mezler</w:t>
      </w:r>
      <w:proofErr w:type="spellEnd"/>
      <w:r>
        <w:t xml:space="preserve"> (1950) and Harberger (1950) developed what has become known as the </w:t>
      </w:r>
      <w:proofErr w:type="spellStart"/>
      <w:r>
        <w:t>the</w:t>
      </w:r>
      <w:proofErr w:type="spellEnd"/>
      <w:r>
        <w:t xml:space="preserve"> Harberger-</w:t>
      </w:r>
      <w:proofErr w:type="spellStart"/>
      <w:r>
        <w:t>Laursen</w:t>
      </w:r>
      <w:proofErr w:type="spellEnd"/>
      <w:r>
        <w:t>-</w:t>
      </w:r>
      <w:proofErr w:type="spellStart"/>
      <w:r>
        <w:t>Mezler</w:t>
      </w:r>
      <w:proofErr w:type="spellEnd"/>
      <w:r>
        <w:t xml:space="preserve"> (HLM) effect.</w:t>
      </w:r>
      <w:r>
        <w:rPr>
          <w:rStyle w:val="FootnoteReference"/>
        </w:rPr>
        <w:footnoteReference w:id="19"/>
      </w:r>
      <w:r>
        <w:t xml:space="preserve">  With endogenous time preferences, </w:t>
      </w:r>
      <w:proofErr w:type="spellStart"/>
      <w:r>
        <w:t>Obstfeld</w:t>
      </w:r>
      <w:proofErr w:type="spellEnd"/>
      <w:r>
        <w:t xml:space="preserve"> (1982) was first to test this proposition in an optimizing framework. He showed that </w:t>
      </w:r>
      <w:r w:rsidR="00850058">
        <w:t xml:space="preserve">a permanent </w:t>
      </w:r>
      <w:r>
        <w:t xml:space="preserve">deterioration in a small country's terms of trade leads it to save more, to consume more in the future and to run a current account surplus. In a related study, </w:t>
      </w:r>
      <w:proofErr w:type="spellStart"/>
      <w:r>
        <w:t>Svensson</w:t>
      </w:r>
      <w:proofErr w:type="spellEnd"/>
      <w:r>
        <w:t xml:space="preserve"> and </w:t>
      </w:r>
      <w:proofErr w:type="spellStart"/>
      <w:r>
        <w:t>Razin</w:t>
      </w:r>
      <w:proofErr w:type="spellEnd"/>
      <w:r>
        <w:t xml:space="preserve"> (1983) found that the effects of ToT shocks on trade balance depend crucially on the perceived persistence of the terms of trade. In their model, the HLM effect weakens as the terms of trade become more persistent and may even be overturned if the </w:t>
      </w:r>
      <w:r w:rsidR="00E625AD">
        <w:t xml:space="preserve">ToT shock is </w:t>
      </w:r>
      <w:r>
        <w:t xml:space="preserve">a permanent nature. This view is known as the </w:t>
      </w:r>
      <w:proofErr w:type="spellStart"/>
      <w:r>
        <w:t>Obstfeld-Razin-Svensson</w:t>
      </w:r>
      <w:proofErr w:type="spellEnd"/>
      <w:r>
        <w:t xml:space="preserve"> (ORS) effect. </w:t>
      </w:r>
      <w:proofErr w:type="spellStart"/>
      <w:r>
        <w:t>Persson</w:t>
      </w:r>
      <w:proofErr w:type="spellEnd"/>
      <w:r>
        <w:t xml:space="preserve"> and </w:t>
      </w:r>
      <w:proofErr w:type="spellStart"/>
      <w:r>
        <w:t>Svensson</w:t>
      </w:r>
      <w:proofErr w:type="spellEnd"/>
      <w:r>
        <w:t xml:space="preserve"> (1985) used an overlapping generation (OLG) framework. They showed that the results depend on the duration of the shock, temporary or permanent, and whether it is anticipated or unanticipated. Moreover, in all these models, the external ToT shocks are deterministic in nature. An important aspect of our study is its ability to contribute substantially to that debate. In reality, small open economies are subject to stochastic shocks. Our model, as a result, is more suitable to comment on these two hypotheses. In this study we firmly reject the HLM premise and confirm the OSR premise. </w:t>
      </w:r>
      <w:r w:rsidR="00850058">
        <w:t xml:space="preserve">However, we </w:t>
      </w:r>
      <w:r>
        <w:t xml:space="preserve">find that simple differences in ToT persistence cannot account for </w:t>
      </w:r>
      <w:r w:rsidR="00850058">
        <w:t xml:space="preserve">the </w:t>
      </w:r>
      <w:r>
        <w:t>differ</w:t>
      </w:r>
      <w:r w:rsidR="00850058">
        <w:t xml:space="preserve">ences in the business cycles across small open </w:t>
      </w:r>
      <w:r>
        <w:t>economies.</w:t>
      </w:r>
    </w:p>
    <w:p w:rsidR="00FB71B2" w:rsidRDefault="00FB71B2" w:rsidP="00C30B64">
      <w:pPr>
        <w:autoSpaceDE w:val="0"/>
        <w:autoSpaceDN w:val="0"/>
        <w:adjustRightInd w:val="0"/>
        <w:spacing w:before="240" w:after="240" w:line="480" w:lineRule="auto"/>
        <w:ind w:firstLine="720"/>
        <w:jc w:val="both"/>
      </w:pPr>
      <w:r>
        <w:t xml:space="preserve">The rest of the </w:t>
      </w:r>
      <w:r w:rsidR="00850058">
        <w:t xml:space="preserve">paper </w:t>
      </w:r>
      <w:r>
        <w:t xml:space="preserve">is organized as follows. In Section </w:t>
      </w:r>
      <w:r w:rsidR="00850058">
        <w:t xml:space="preserve">2 </w:t>
      </w:r>
      <w:r>
        <w:t>we provide some empirics involving ToT and Canadian business cycles. The detailed structure of the model is outlined in Section</w:t>
      </w:r>
      <w:r w:rsidR="00850058">
        <w:t xml:space="preserve"> 3</w:t>
      </w:r>
      <w:r>
        <w:t>. Parameter values used in our calibration are provided in Section</w:t>
      </w:r>
      <w:r w:rsidR="00850058">
        <w:t xml:space="preserve"> 4</w:t>
      </w:r>
      <w:r>
        <w:t xml:space="preserve">. Section </w:t>
      </w:r>
      <w:r w:rsidR="00850058">
        <w:t xml:space="preserve">5 </w:t>
      </w:r>
      <w:r>
        <w:t xml:space="preserve">provides a detailed outcome of our calibration exercise and compares the results of our model economy to those of the actual Canadian economy. In Section </w:t>
      </w:r>
      <w:r w:rsidR="00850058">
        <w:t xml:space="preserve">6 </w:t>
      </w:r>
      <w:r>
        <w:t>we estimate the contribution of ToT shocks to the business cycle</w:t>
      </w:r>
      <w:r w:rsidR="00850058">
        <w:t>s</w:t>
      </w:r>
      <w:r>
        <w:t xml:space="preserve"> of </w:t>
      </w:r>
      <w:r w:rsidR="00850058">
        <w:t xml:space="preserve">different theoretical small open </w:t>
      </w:r>
      <w:r>
        <w:t>eco</w:t>
      </w:r>
      <w:r w:rsidR="00850058">
        <w:t>nomies</w:t>
      </w:r>
      <w:r>
        <w:t xml:space="preserve">. Sections </w:t>
      </w:r>
      <w:r w:rsidR="00850058">
        <w:t xml:space="preserve">7 </w:t>
      </w:r>
      <w:r>
        <w:t xml:space="preserve">and </w:t>
      </w:r>
      <w:r w:rsidR="00850058">
        <w:t xml:space="preserve">8 </w:t>
      </w:r>
      <w:r>
        <w:t xml:space="preserve">evaluate the importance of durability and the role of interest rates. In Section </w:t>
      </w:r>
      <w:r w:rsidR="00850058">
        <w:t xml:space="preserve">9 </w:t>
      </w:r>
      <w:r>
        <w:t>we investigate the validity of the HLM and OSR hypotheses. We conclude in Section</w:t>
      </w:r>
      <w:r w:rsidR="00850058">
        <w:t xml:space="preserve"> 10</w:t>
      </w:r>
      <w:r>
        <w:t>.</w:t>
      </w:r>
    </w:p>
    <w:p w:rsidR="00692CA5" w:rsidRPr="00EE6912" w:rsidRDefault="00692CA5" w:rsidP="00C30B64">
      <w:pPr>
        <w:pStyle w:val="Heading2"/>
        <w:numPr>
          <w:ilvl w:val="1"/>
          <w:numId w:val="3"/>
        </w:numPr>
        <w:spacing w:after="240" w:line="480" w:lineRule="auto"/>
        <w:jc w:val="both"/>
        <w:rPr>
          <w:b w:val="0"/>
          <w:bCs w:val="0"/>
        </w:rPr>
      </w:pPr>
      <w:bookmarkStart w:id="20" w:name="_Toc285478011"/>
      <w:r w:rsidRPr="00EE6912">
        <w:rPr>
          <w:b w:val="0"/>
          <w:bCs w:val="0"/>
        </w:rPr>
        <w:t>Empirical Regularities</w:t>
      </w:r>
      <w:bookmarkEnd w:id="20"/>
    </w:p>
    <w:p w:rsidR="00FB71B2" w:rsidRDefault="00FB71B2" w:rsidP="00C30B64">
      <w:pPr>
        <w:autoSpaceDE w:val="0"/>
        <w:autoSpaceDN w:val="0"/>
        <w:adjustRightInd w:val="0"/>
        <w:spacing w:before="240" w:after="240" w:line="480" w:lineRule="auto"/>
        <w:ind w:firstLine="720"/>
        <w:jc w:val="both"/>
      </w:pPr>
      <w:r>
        <w:t xml:space="preserve">To provide some empirical documentation, we used the Canadian quarterly data spanning from 1981:Q1 to 2009:Q4. In this benchmark economy, we found a significant comovement between ToT (defined as the relative price of imports to exports) and all the national accounts. The results, as reported in Table </w:t>
      </w:r>
      <w:r w:rsidR="00E011C0">
        <w:t>A.5</w:t>
      </w:r>
      <w:r>
        <w:t xml:space="preserve">, are summarized as follows: </w:t>
      </w:r>
    </w:p>
    <w:p w:rsidR="00FB71B2" w:rsidRPr="0080130C" w:rsidRDefault="00FB71B2" w:rsidP="00C30B64">
      <w:pPr>
        <w:pStyle w:val="ListParagraph"/>
        <w:numPr>
          <w:ilvl w:val="0"/>
          <w:numId w:val="4"/>
        </w:numPr>
        <w:spacing w:before="240" w:after="240" w:line="480" w:lineRule="auto"/>
        <w:ind w:left="360"/>
        <w:jc w:val="both"/>
        <w:rPr>
          <w:rFonts w:ascii="Times New Roman" w:hAnsi="Times New Roman"/>
          <w:sz w:val="24"/>
          <w:szCs w:val="24"/>
        </w:rPr>
      </w:pPr>
      <w:r w:rsidRPr="0080130C">
        <w:rPr>
          <w:rFonts w:ascii="Times New Roman" w:hAnsi="Times New Roman"/>
          <w:sz w:val="24"/>
          <w:szCs w:val="24"/>
        </w:rPr>
        <w:t xml:space="preserve">The ToT is weakly countercyclical. An adverse ToT is associated with economic downturn with an estimated correlation coefficient of 0.27. </w:t>
      </w:r>
    </w:p>
    <w:p w:rsidR="00FB71B2" w:rsidRPr="0080130C" w:rsidRDefault="00FB71B2" w:rsidP="00C30B64">
      <w:pPr>
        <w:pStyle w:val="ListParagraph"/>
        <w:numPr>
          <w:ilvl w:val="0"/>
          <w:numId w:val="4"/>
        </w:numPr>
        <w:spacing w:before="240" w:after="240" w:line="480" w:lineRule="auto"/>
        <w:ind w:left="360"/>
        <w:jc w:val="both"/>
        <w:rPr>
          <w:rFonts w:ascii="Times New Roman" w:hAnsi="Times New Roman"/>
          <w:sz w:val="24"/>
          <w:szCs w:val="24"/>
        </w:rPr>
      </w:pPr>
      <w:r w:rsidRPr="0080130C">
        <w:rPr>
          <w:rFonts w:ascii="Times New Roman" w:hAnsi="Times New Roman"/>
          <w:sz w:val="24"/>
          <w:szCs w:val="24"/>
        </w:rPr>
        <w:t>ToT deterioration is negatively correlated with aggregate consumption, with an estimated correlation of 0.35.</w:t>
      </w:r>
    </w:p>
    <w:p w:rsidR="00FB71B2" w:rsidRPr="0080130C" w:rsidRDefault="00FB71B2" w:rsidP="00C30B64">
      <w:pPr>
        <w:pStyle w:val="ListParagraph"/>
        <w:numPr>
          <w:ilvl w:val="0"/>
          <w:numId w:val="4"/>
        </w:numPr>
        <w:spacing w:before="240" w:after="240" w:line="480" w:lineRule="auto"/>
        <w:ind w:left="360"/>
        <w:jc w:val="both"/>
        <w:rPr>
          <w:rFonts w:ascii="Times New Roman" w:hAnsi="Times New Roman"/>
          <w:sz w:val="24"/>
          <w:szCs w:val="24"/>
        </w:rPr>
      </w:pPr>
      <w:r w:rsidRPr="0080130C">
        <w:rPr>
          <w:rFonts w:ascii="Times New Roman" w:hAnsi="Times New Roman"/>
          <w:sz w:val="24"/>
          <w:szCs w:val="24"/>
        </w:rPr>
        <w:t xml:space="preserve">Deterioration in ToT is negatively correlated with employment, with a correlation coefficient of 0.37. </w:t>
      </w:r>
    </w:p>
    <w:p w:rsidR="00FB71B2" w:rsidRPr="0080130C" w:rsidRDefault="00FB71B2" w:rsidP="00C30B64">
      <w:pPr>
        <w:pStyle w:val="ListParagraph"/>
        <w:numPr>
          <w:ilvl w:val="0"/>
          <w:numId w:val="4"/>
        </w:numPr>
        <w:spacing w:before="240" w:after="240" w:line="480" w:lineRule="auto"/>
        <w:ind w:left="360"/>
        <w:jc w:val="both"/>
        <w:rPr>
          <w:rFonts w:ascii="Times New Roman" w:hAnsi="Times New Roman"/>
          <w:sz w:val="24"/>
          <w:szCs w:val="24"/>
        </w:rPr>
      </w:pPr>
      <w:r w:rsidRPr="0080130C">
        <w:rPr>
          <w:rFonts w:ascii="Times New Roman" w:hAnsi="Times New Roman"/>
          <w:sz w:val="24"/>
          <w:szCs w:val="24"/>
        </w:rPr>
        <w:t>ToT deterioration is negatively correlated with investment</w:t>
      </w:r>
      <w:r w:rsidR="001712BA" w:rsidRPr="0080130C">
        <w:rPr>
          <w:rFonts w:ascii="Times New Roman" w:hAnsi="Times New Roman"/>
          <w:sz w:val="24"/>
          <w:szCs w:val="24"/>
        </w:rPr>
        <w:t>, with</w:t>
      </w:r>
      <w:r w:rsidRPr="0080130C">
        <w:rPr>
          <w:rFonts w:ascii="Times New Roman" w:hAnsi="Times New Roman"/>
          <w:sz w:val="24"/>
          <w:szCs w:val="24"/>
        </w:rPr>
        <w:t xml:space="preserve"> correlation coefficient 0.44.  </w:t>
      </w:r>
    </w:p>
    <w:p w:rsidR="00FB71B2" w:rsidRPr="0080130C" w:rsidRDefault="0080130C" w:rsidP="00C30B64">
      <w:pPr>
        <w:pStyle w:val="ListParagraph"/>
        <w:numPr>
          <w:ilvl w:val="0"/>
          <w:numId w:val="4"/>
        </w:numPr>
        <w:spacing w:before="240" w:after="240" w:line="480" w:lineRule="auto"/>
        <w:ind w:left="360"/>
        <w:jc w:val="both"/>
        <w:rPr>
          <w:rFonts w:ascii="Times New Roman" w:hAnsi="Times New Roman"/>
          <w:sz w:val="24"/>
          <w:szCs w:val="24"/>
        </w:rPr>
      </w:pPr>
      <w:r>
        <w:rPr>
          <w:rFonts w:ascii="Times New Roman" w:hAnsi="Times New Roman"/>
          <w:sz w:val="24"/>
          <w:szCs w:val="24"/>
        </w:rPr>
        <w:t xml:space="preserve">ToT deterioration </w:t>
      </w:r>
      <w:r w:rsidR="00FB71B2" w:rsidRPr="0080130C">
        <w:rPr>
          <w:rFonts w:ascii="Times New Roman" w:hAnsi="Times New Roman"/>
          <w:sz w:val="24"/>
          <w:szCs w:val="24"/>
        </w:rPr>
        <w:t>is positively correlated with the trade balance</w:t>
      </w:r>
      <w:r w:rsidR="001712BA" w:rsidRPr="0080130C">
        <w:rPr>
          <w:rFonts w:ascii="Times New Roman" w:hAnsi="Times New Roman"/>
          <w:sz w:val="24"/>
          <w:szCs w:val="24"/>
        </w:rPr>
        <w:t>,</w:t>
      </w:r>
      <w:r w:rsidR="00FB71B2" w:rsidRPr="0080130C">
        <w:rPr>
          <w:rFonts w:ascii="Times New Roman" w:hAnsi="Times New Roman"/>
          <w:sz w:val="24"/>
          <w:szCs w:val="24"/>
        </w:rPr>
        <w:t xml:space="preserve"> with a correlation coefficient of 0.41. </w:t>
      </w:r>
    </w:p>
    <w:p w:rsidR="00FB71B2" w:rsidRDefault="00FB71B2" w:rsidP="00C30B64">
      <w:pPr>
        <w:spacing w:before="240" w:after="240" w:line="480" w:lineRule="auto"/>
        <w:ind w:firstLine="720"/>
        <w:jc w:val="both"/>
      </w:pPr>
      <w:r>
        <w:t>ToT cyclical fluctuations are plotted against the m</w:t>
      </w:r>
      <w:r w:rsidR="00E011C0">
        <w:t>ain national accounts in Figure B.5.a</w:t>
      </w:r>
      <w:r>
        <w:t xml:space="preserve"> This figure shows clearly that ToT is more volatile than output with moderate negative comovement between the two series. However, during the large swings of the cycles the negative correlation between the TOT and the aggregate fluctuations is more obvious.</w:t>
      </w:r>
    </w:p>
    <w:p w:rsidR="00FB71B2" w:rsidRDefault="00FB71B2" w:rsidP="00C30B64">
      <w:pPr>
        <w:spacing w:before="240" w:after="240" w:line="480" w:lineRule="auto"/>
        <w:ind w:firstLine="720"/>
        <w:jc w:val="both"/>
      </w:pPr>
      <w:r>
        <w:t xml:space="preserve">In figure </w:t>
      </w:r>
      <w:r w:rsidR="00E011C0">
        <w:t>B.5</w:t>
      </w:r>
      <w:r>
        <w:t>.b, one can observe that ToT is less volatile than investment and more volatile than total consumption spending</w:t>
      </w:r>
      <w:r w:rsidR="00240F67" w:rsidRPr="00B9795B">
        <w:rPr>
          <w:rFonts w:eastAsia="Calibri"/>
          <w:position w:val="-4"/>
          <w:sz w:val="22"/>
          <w:szCs w:val="22"/>
        </w:rPr>
        <w:object w:dxaOrig="195" w:dyaOrig="195">
          <v:shape id="_x0000_i1135" type="#_x0000_t75" style="width:17.6pt;height:9.2pt" o:ole="">
            <v:imagedata r:id="rId233" o:title=""/>
          </v:shape>
          <o:OLEObject Type="Embed" ProgID="Equation.DSMT4" ShapeID="_x0000_i1135" DrawAspect="Content" ObjectID="_1359267058" r:id="rId234"/>
        </w:object>
      </w:r>
      <w:r>
        <w:t xml:space="preserve"> (including durable and nondurable consumption spending) and employment</w:t>
      </w:r>
      <w:r w:rsidRPr="00B9795B">
        <w:rPr>
          <w:rFonts w:eastAsia="Calibri"/>
          <w:position w:val="-6"/>
          <w:sz w:val="22"/>
          <w:szCs w:val="22"/>
        </w:rPr>
        <w:object w:dxaOrig="195" w:dyaOrig="285">
          <v:shape id="_x0000_i1136" type="#_x0000_t75" style="width:9.2pt;height:13.4pt" o:ole="">
            <v:imagedata r:id="rId235" o:title=""/>
          </v:shape>
          <o:OLEObject Type="Embed" ProgID="Equation.DSMT4" ShapeID="_x0000_i1136" DrawAspect="Content" ObjectID="_1359267059" r:id="rId236"/>
        </w:object>
      </w:r>
      <w:r w:rsidR="00E011C0">
        <w:t>. Figure B.5</w:t>
      </w:r>
      <w:r>
        <w:t xml:space="preserve">.b also shows moderate negative comovement between these variables. The strongest comovement of the ToT is with investment </w:t>
      </w:r>
      <w:r w:rsidRPr="00B9795B">
        <w:rPr>
          <w:rFonts w:eastAsia="Calibri"/>
          <w:position w:val="-6"/>
          <w:sz w:val="22"/>
          <w:szCs w:val="22"/>
        </w:rPr>
        <w:object w:dxaOrig="150" w:dyaOrig="285">
          <v:shape id="_x0000_i1137" type="#_x0000_t75" style="width:7.55pt;height:13.4pt" o:ole="">
            <v:imagedata r:id="rId237" o:title=""/>
          </v:shape>
          <o:OLEObject Type="Embed" ProgID="Equation.DSMT4" ShapeID="_x0000_i1137" DrawAspect="Content" ObjectID="_1359267060" r:id="rId238"/>
        </w:object>
      </w:r>
      <w:r>
        <w:t>and trade balance to output ration</w:t>
      </w:r>
      <w:r w:rsidRPr="00B9795B">
        <w:rPr>
          <w:rFonts w:eastAsia="Calibri"/>
          <w:position w:val="-10"/>
          <w:sz w:val="22"/>
          <w:szCs w:val="22"/>
        </w:rPr>
        <w:object w:dxaOrig="345" w:dyaOrig="315">
          <v:shape id="_x0000_i1138" type="#_x0000_t75" style="width:16.75pt;height:16.75pt" o:ole="">
            <v:imagedata r:id="rId21" o:title=""/>
          </v:shape>
          <o:OLEObject Type="Embed" ProgID="Equation.DSMT4" ShapeID="_x0000_i1138" DrawAspect="Content" ObjectID="_1359267061" r:id="rId239"/>
        </w:object>
      </w:r>
      <w:r w:rsidR="00E011C0">
        <w:t xml:space="preserve"> in Figure B.5</w:t>
      </w:r>
      <w:r>
        <w:t>.c. This figure also shows that ToT is more volatile than the trade balance</w:t>
      </w:r>
      <w:r w:rsidRPr="00B9795B">
        <w:rPr>
          <w:rFonts w:eastAsia="Calibri"/>
          <w:position w:val="-10"/>
          <w:sz w:val="22"/>
          <w:szCs w:val="22"/>
        </w:rPr>
        <w:object w:dxaOrig="345" w:dyaOrig="315">
          <v:shape id="_x0000_i1139" type="#_x0000_t75" style="width:16.75pt;height:16.75pt" o:ole="">
            <v:imagedata r:id="rId21" o:title=""/>
          </v:shape>
          <o:OLEObject Type="Embed" ProgID="Equation.DSMT4" ShapeID="_x0000_i1139" DrawAspect="Content" ObjectID="_1359267062" r:id="rId240"/>
        </w:object>
      </w:r>
      <w:r>
        <w:t xml:space="preserve">, with a positive relation between the two </w:t>
      </w:r>
      <w:r w:rsidR="0080130C">
        <w:t>series</w:t>
      </w:r>
      <w:r>
        <w:t xml:space="preserve">. </w:t>
      </w:r>
    </w:p>
    <w:p w:rsidR="00FB71B2" w:rsidRDefault="00FB71B2" w:rsidP="00C30B64">
      <w:pPr>
        <w:autoSpaceDE w:val="0"/>
        <w:autoSpaceDN w:val="0"/>
        <w:adjustRightInd w:val="0"/>
        <w:spacing w:before="240" w:after="240" w:line="480" w:lineRule="auto"/>
        <w:ind w:firstLine="720"/>
        <w:jc w:val="both"/>
      </w:pPr>
      <w:r>
        <w:t xml:space="preserve">  Canadian spending on durable consumption constitutes a high share of total consumption spending on goods and services (24.1 percent) or equivalently 15.4 percent of GDP in 2009. These shares are relatively consistent with those of many advanced small open economies and significantly higher compared developing small open economies. Unfortunately, there is no readily available economic classification </w:t>
      </w:r>
      <w:r w:rsidR="0080130C">
        <w:t xml:space="preserve">for the </w:t>
      </w:r>
      <w:r>
        <w:t>degree of durability in aggregate consumption or imports/exports. However, it is obvious that production in advanced economies includes a high share of durable products such as electronics, transportation vehicles, telecommunication equipment and other durable</w:t>
      </w:r>
      <w:r w:rsidR="0080130C">
        <w:t>s</w:t>
      </w:r>
      <w:r>
        <w:t>. On the other hand, it is also commonly known that intra-trade constitutes the majority of the trade volume among the advanced economies.</w:t>
      </w:r>
      <w:r>
        <w:rPr>
          <w:vertAlign w:val="superscript"/>
        </w:rPr>
        <w:t xml:space="preserve"> </w:t>
      </w:r>
      <w:r>
        <w:rPr>
          <w:vertAlign w:val="superscript"/>
        </w:rPr>
        <w:footnoteReference w:id="20"/>
      </w:r>
      <w:r>
        <w:t xml:space="preserve">  Accordingly, it is reasonable to assume that </w:t>
      </w:r>
      <w:r w:rsidR="0080130C">
        <w:t xml:space="preserve">developed </w:t>
      </w:r>
      <w:r>
        <w:t xml:space="preserve">economies have a higher degree of durability in total consumption compared to </w:t>
      </w:r>
      <w:r w:rsidR="0080130C">
        <w:t xml:space="preserve">developing or emerging </w:t>
      </w:r>
      <w:r>
        <w:t xml:space="preserve">economies. </w:t>
      </w:r>
    </w:p>
    <w:p w:rsidR="00692CA5" w:rsidRPr="00EE6912" w:rsidRDefault="00692CA5" w:rsidP="00B3510E">
      <w:pPr>
        <w:pStyle w:val="Heading2"/>
        <w:numPr>
          <w:ilvl w:val="1"/>
          <w:numId w:val="3"/>
        </w:numPr>
        <w:spacing w:after="240" w:line="480" w:lineRule="auto"/>
        <w:jc w:val="left"/>
        <w:rPr>
          <w:b w:val="0"/>
          <w:bCs w:val="0"/>
        </w:rPr>
      </w:pPr>
      <w:bookmarkStart w:id="21" w:name="_Toc285478012"/>
      <w:r w:rsidRPr="00EE6912">
        <w:rPr>
          <w:b w:val="0"/>
          <w:bCs w:val="0"/>
        </w:rPr>
        <w:t>The Model</w:t>
      </w:r>
      <w:bookmarkEnd w:id="21"/>
    </w:p>
    <w:p w:rsidR="00FB71B2" w:rsidRDefault="00FB71B2" w:rsidP="00C30B64">
      <w:pPr>
        <w:autoSpaceDE w:val="0"/>
        <w:autoSpaceDN w:val="0"/>
        <w:adjustRightInd w:val="0"/>
        <w:spacing w:before="240" w:after="240" w:line="480" w:lineRule="auto"/>
        <w:ind w:firstLine="720"/>
        <w:jc w:val="both"/>
      </w:pPr>
      <w:r>
        <w:t xml:space="preserve">The model considered here is a modified version of the small open economy models introduced by </w:t>
      </w:r>
      <w:proofErr w:type="spellStart"/>
      <w:r>
        <w:t>Obstfeld</w:t>
      </w:r>
      <w:proofErr w:type="spellEnd"/>
      <w:r>
        <w:t xml:space="preserve"> (1982) and </w:t>
      </w:r>
      <w:proofErr w:type="spellStart"/>
      <w:r>
        <w:t>Eicher</w:t>
      </w:r>
      <w:proofErr w:type="spellEnd"/>
      <w:r>
        <w:t xml:space="preserve">, Schubert and </w:t>
      </w:r>
      <w:proofErr w:type="spellStart"/>
      <w:r>
        <w:t>Turnovsky</w:t>
      </w:r>
      <w:proofErr w:type="spellEnd"/>
      <w:r>
        <w:t xml:space="preserve"> (2008). It incorporates various significant changes.  First our model adopts a discrete time framework and investigates the effects of stochastic ToT shocks. Instead of dealing with completely nondurable consumption, it assumes that home and foreign goods are both aggregate consumption goods with a certain degrees of durability.  Our model incorporates endogenous labor/leisure choice and capacity utilization. In addition, it accounts for households</w:t>
      </w:r>
      <w:r w:rsidR="0080130C">
        <w:t>’</w:t>
      </w:r>
      <w:r>
        <w:t xml:space="preserve"> habit formation.  The model economy is populated by identical and infinitely lived households</w:t>
      </w:r>
      <w:r>
        <w:rPr>
          <w:bCs/>
        </w:rPr>
        <w:t xml:space="preserve">. The representative household is endowed with one unit of time and </w:t>
      </w:r>
      <w:r>
        <w:t>has preference over an index of composite goods and working hours. The representative household maximizes the following expected lifetime utility:</w:t>
      </w:r>
    </w:p>
    <w:p w:rsidR="00FB71B2" w:rsidRDefault="00FB71B2" w:rsidP="00AD1AA7">
      <w:pPr>
        <w:autoSpaceDE w:val="0"/>
        <w:autoSpaceDN w:val="0"/>
        <w:adjustRightInd w:val="0"/>
        <w:spacing w:before="120" w:after="120" w:line="480" w:lineRule="auto"/>
        <w:jc w:val="right"/>
      </w:pPr>
      <w:r w:rsidRPr="00B9795B">
        <w:rPr>
          <w:rFonts w:eastAsia="Calibri" w:cs="Arial"/>
          <w:position w:val="-26"/>
          <w:sz w:val="22"/>
          <w:szCs w:val="22"/>
        </w:rPr>
        <w:object w:dxaOrig="2235" w:dyaOrig="645">
          <v:shape id="_x0000_i1140" type="#_x0000_t75" style="width:111.35pt;height:32.65pt" o:ole="">
            <v:imagedata r:id="rId241" o:title=""/>
          </v:shape>
          <o:OLEObject Type="Embed" ProgID="Equation.DSMT4" ShapeID="_x0000_i1140" DrawAspect="Content" ObjectID="_1359267063" r:id="rId242"/>
        </w:object>
      </w:r>
      <w:r>
        <w:t xml:space="preserve">                                                     (</w:t>
      </w:r>
      <w:r w:rsidR="00B3510E">
        <w:t>2.</w:t>
      </w:r>
      <w:r>
        <w:t>1)</w:t>
      </w:r>
      <w:r>
        <w:rPr>
          <w:position w:val="-16"/>
        </w:rPr>
        <w:t xml:space="preserve">  </w:t>
      </w:r>
    </w:p>
    <w:p w:rsidR="00FB71B2" w:rsidRDefault="0080130C" w:rsidP="00C30B64">
      <w:pPr>
        <w:spacing w:before="240" w:after="240" w:line="480" w:lineRule="auto"/>
        <w:jc w:val="both"/>
      </w:pPr>
      <w:proofErr w:type="gramStart"/>
      <w:r>
        <w:t>w</w:t>
      </w:r>
      <w:r w:rsidR="00FB71B2">
        <w:t>here</w:t>
      </w:r>
      <w:proofErr w:type="gramEnd"/>
      <w:r w:rsidR="00FB71B2">
        <w:t xml:space="preserve"> the expectation operator </w:t>
      </w:r>
      <w:r w:rsidR="00FB71B2" w:rsidRPr="00B9795B">
        <w:rPr>
          <w:rFonts w:eastAsia="Calibri" w:cs="Arial"/>
          <w:position w:val="-10"/>
          <w:sz w:val="22"/>
          <w:szCs w:val="22"/>
        </w:rPr>
        <w:object w:dxaOrig="240" w:dyaOrig="285">
          <v:shape id="_x0000_i1141" type="#_x0000_t75" style="width:13.4pt;height:13.4pt" o:ole="">
            <v:imagedata r:id="rId243" o:title=""/>
          </v:shape>
          <o:OLEObject Type="Embed" ProgID="Equation.DSMT4" ShapeID="_x0000_i1141" DrawAspect="Content" ObjectID="_1359267064" r:id="rId244"/>
        </w:object>
      </w:r>
      <w:r w:rsidR="00FB71B2">
        <w:t xml:space="preserve">is conditional on the information available at time t; </w:t>
      </w:r>
      <w:r w:rsidR="00FB71B2" w:rsidRPr="00B9795B">
        <w:rPr>
          <w:rFonts w:eastAsia="Calibri" w:cs="Arial"/>
          <w:position w:val="-12"/>
          <w:sz w:val="22"/>
          <w:szCs w:val="22"/>
        </w:rPr>
        <w:object w:dxaOrig="855" w:dyaOrig="345">
          <v:shape id="_x0000_i1142" type="#_x0000_t75" style="width:41.85pt;height:16.75pt" o:ole="">
            <v:imagedata r:id="rId245" o:title=""/>
          </v:shape>
          <o:OLEObject Type="Embed" ProgID="Equation.DSMT4" ShapeID="_x0000_i1142" DrawAspect="Content" ObjectID="_1359267065" r:id="rId246"/>
        </w:object>
      </w:r>
      <w:r w:rsidR="00FB71B2">
        <w:t xml:space="preserve"> is the subjective discount factor; </w:t>
      </w:r>
      <w:r w:rsidR="00FB71B2" w:rsidRPr="00B9795B">
        <w:rPr>
          <w:rFonts w:eastAsia="Calibri" w:cs="Arial"/>
          <w:position w:val="-10"/>
          <w:sz w:val="22"/>
          <w:szCs w:val="22"/>
        </w:rPr>
        <w:object w:dxaOrig="240" w:dyaOrig="345">
          <v:shape id="_x0000_i1143" type="#_x0000_t75" style="width:13.4pt;height:16.75pt" o:ole="">
            <v:imagedata r:id="rId247" o:title=""/>
          </v:shape>
          <o:OLEObject Type="Embed" ProgID="Equation.DSMT4" ShapeID="_x0000_i1143" DrawAspect="Content" ObjectID="_1359267066" r:id="rId248"/>
        </w:object>
      </w:r>
      <w:r w:rsidR="00FB71B2">
        <w:t xml:space="preserve"> represents a CES consumption index in the stock of domestic goods</w:t>
      </w:r>
      <w:r w:rsidR="00FB71B2" w:rsidRPr="00B9795B">
        <w:rPr>
          <w:rFonts w:eastAsia="Calibri" w:cs="Arial"/>
          <w:position w:val="-10"/>
          <w:sz w:val="22"/>
          <w:szCs w:val="22"/>
        </w:rPr>
        <w:object w:dxaOrig="300" w:dyaOrig="345">
          <v:shape id="_x0000_i1144" type="#_x0000_t75" style="width:15.9pt;height:16.75pt" o:ole="">
            <v:imagedata r:id="rId249" o:title=""/>
          </v:shape>
          <o:OLEObject Type="Embed" ProgID="Equation.DSMT4" ShapeID="_x0000_i1144" DrawAspect="Content" ObjectID="_1359267067" r:id="rId250"/>
        </w:object>
      </w:r>
      <w:r>
        <w:t xml:space="preserve"> </w:t>
      </w:r>
      <w:r w:rsidR="00FB71B2">
        <w:t>and the stock of imported goods</w:t>
      </w:r>
      <w:r w:rsidR="00FB71B2" w:rsidRPr="00B9795B">
        <w:rPr>
          <w:rFonts w:eastAsia="Calibri" w:cs="Arial"/>
          <w:position w:val="-14"/>
          <w:sz w:val="22"/>
          <w:szCs w:val="22"/>
        </w:rPr>
        <w:object w:dxaOrig="300" w:dyaOrig="345">
          <v:shape id="_x0000_i1145" type="#_x0000_t75" style="width:15.9pt;height:16.75pt" o:ole="">
            <v:imagedata r:id="rId251" o:title=""/>
          </v:shape>
          <o:OLEObject Type="Embed" ProgID="Equation.DSMT4" ShapeID="_x0000_i1145" DrawAspect="Content" ObjectID="_1359267068" r:id="rId252"/>
        </w:object>
      </w:r>
      <w:r w:rsidR="00FB71B2">
        <w:t xml:space="preserve">. We denote the fraction of time devoted to work at time </w:t>
      </w:r>
      <w:r w:rsidR="00FB71B2" w:rsidRPr="00B9795B">
        <w:rPr>
          <w:rFonts w:eastAsia="Calibri" w:cs="Arial"/>
          <w:position w:val="-6"/>
          <w:sz w:val="22"/>
          <w:szCs w:val="22"/>
        </w:rPr>
        <w:object w:dxaOrig="90" w:dyaOrig="195">
          <v:shape id="_x0000_i1146" type="#_x0000_t75" style="width:5pt;height:9.2pt" o:ole="">
            <v:imagedata r:id="rId253" o:title=""/>
          </v:shape>
          <o:OLEObject Type="Embed" ProgID="Equation.DSMT4" ShapeID="_x0000_i1146" DrawAspect="Content" ObjectID="_1359267069" r:id="rId254"/>
        </w:object>
      </w:r>
      <w:r w:rsidR="00FB71B2">
        <w:t xml:space="preserve"> by</w:t>
      </w:r>
      <w:r w:rsidR="00FB71B2" w:rsidRPr="00B9795B">
        <w:rPr>
          <w:rFonts w:eastAsia="Calibri" w:cs="Arial"/>
          <w:position w:val="-10"/>
          <w:sz w:val="22"/>
          <w:szCs w:val="22"/>
        </w:rPr>
        <w:object w:dxaOrig="195" w:dyaOrig="345">
          <v:shape id="_x0000_i1147" type="#_x0000_t75" style="width:9.2pt;height:16.75pt" o:ole="">
            <v:imagedata r:id="rId39" o:title=""/>
          </v:shape>
          <o:OLEObject Type="Embed" ProgID="Equation.DSMT4" ShapeID="_x0000_i1147" DrawAspect="Content" ObjectID="_1359267070" r:id="rId255"/>
        </w:object>
      </w:r>
      <w:r w:rsidR="00FB71B2">
        <w:t xml:space="preserve"> and measure the habit intensity of the labor supply by</w:t>
      </w:r>
      <w:r w:rsidR="00FB71B2" w:rsidRPr="00B9795B">
        <w:rPr>
          <w:rFonts w:eastAsia="Calibri" w:cs="Arial"/>
          <w:position w:val="-14"/>
          <w:sz w:val="22"/>
          <w:szCs w:val="22"/>
        </w:rPr>
        <w:object w:dxaOrig="900" w:dyaOrig="390">
          <v:shape id="_x0000_i1148" type="#_x0000_t75" style="width:46.05pt;height:19.25pt" o:ole="">
            <v:imagedata r:id="rId256" o:title=""/>
          </v:shape>
          <o:OLEObject Type="Embed" ProgID="Equation.DSMT4" ShapeID="_x0000_i1148" DrawAspect="Content" ObjectID="_1359267071" r:id="rId257"/>
        </w:object>
      </w:r>
      <w:r w:rsidR="00FB71B2">
        <w:t xml:space="preserve">. We assume deep </w:t>
      </w:r>
      <w:r>
        <w:t>internal habits in each good,</w:t>
      </w:r>
      <w:r w:rsidR="00FB71B2">
        <w:t xml:space="preserve"> thus the CES utility index takes the following form:</w:t>
      </w:r>
    </w:p>
    <w:p w:rsidR="00FB71B2" w:rsidRDefault="00FB71B2" w:rsidP="00AD1AA7">
      <w:pPr>
        <w:autoSpaceDE w:val="0"/>
        <w:autoSpaceDN w:val="0"/>
        <w:adjustRightInd w:val="0"/>
        <w:spacing w:before="120" w:after="120" w:line="480" w:lineRule="auto"/>
        <w:jc w:val="right"/>
      </w:pPr>
      <w:r w:rsidRPr="00B9795B">
        <w:rPr>
          <w:rFonts w:eastAsia="Calibri" w:cs="Arial"/>
          <w:position w:val="-30"/>
          <w:sz w:val="22"/>
          <w:szCs w:val="22"/>
        </w:rPr>
        <w:object w:dxaOrig="5355" w:dyaOrig="840">
          <v:shape id="_x0000_i1149" type="#_x0000_t75" style="width:267.9pt;height:41.85pt" o:ole="">
            <v:imagedata r:id="rId258" o:title=""/>
          </v:shape>
          <o:OLEObject Type="Embed" ProgID="Equation.DSMT4" ShapeID="_x0000_i1149" DrawAspect="Content" ObjectID="_1359267072" r:id="rId259"/>
        </w:object>
      </w:r>
      <w:r>
        <w:t xml:space="preserve">                           (</w:t>
      </w:r>
      <w:r w:rsidR="00B3510E">
        <w:t>2.</w:t>
      </w:r>
      <w:r>
        <w:t>2)</w:t>
      </w:r>
      <w:r>
        <w:rPr>
          <w:position w:val="-16"/>
        </w:rPr>
        <w:t xml:space="preserve">  </w:t>
      </w:r>
    </w:p>
    <w:p w:rsidR="00FB71B2" w:rsidRDefault="005E36BB" w:rsidP="00C30B64">
      <w:pPr>
        <w:spacing w:before="240" w:after="240" w:line="480" w:lineRule="auto"/>
        <w:jc w:val="both"/>
        <w:rPr>
          <w:rFonts w:ascii="Calibri" w:hAnsi="Calibri"/>
          <w:b/>
          <w:position w:val="-32"/>
        </w:rPr>
      </w:pPr>
      <w:proofErr w:type="gramStart"/>
      <w:r>
        <w:t>the</w:t>
      </w:r>
      <w:proofErr w:type="gramEnd"/>
      <w:r>
        <w:t xml:space="preserve"> share of home goods in the consumption index is denoted by</w:t>
      </w:r>
      <w:r w:rsidR="00240F67" w:rsidRPr="00B9795B">
        <w:rPr>
          <w:rFonts w:eastAsia="Calibri" w:cs="Arial"/>
          <w:position w:val="-12"/>
          <w:sz w:val="22"/>
          <w:szCs w:val="22"/>
        </w:rPr>
        <w:object w:dxaOrig="840" w:dyaOrig="345">
          <v:shape id="_x0000_i1150" type="#_x0000_t75" style="width:46.9pt;height:18.4pt" o:ole="">
            <v:imagedata r:id="rId260" o:title=""/>
          </v:shape>
          <o:OLEObject Type="Embed" ProgID="Equation.DSMT4" ShapeID="_x0000_i1150" DrawAspect="Content" ObjectID="_1359267073" r:id="rId261"/>
        </w:object>
      </w:r>
      <w:r>
        <w:t>. The parameters</w:t>
      </w:r>
      <w:r w:rsidR="00FB71B2" w:rsidRPr="00B9795B">
        <w:rPr>
          <w:rFonts w:eastAsia="Calibri" w:cs="Arial"/>
          <w:position w:val="-14"/>
          <w:sz w:val="22"/>
          <w:szCs w:val="22"/>
        </w:rPr>
        <w:object w:dxaOrig="2235" w:dyaOrig="345">
          <v:shape id="_x0000_i1151" type="#_x0000_t75" style="width:111.35pt;height:16.75pt" o:ole="">
            <v:imagedata r:id="rId262" o:title=""/>
          </v:shape>
          <o:OLEObject Type="Embed" ProgID="Equation.DSMT4" ShapeID="_x0000_i1151" DrawAspect="Content" ObjectID="_1359267074" r:id="rId263"/>
        </w:object>
      </w:r>
      <w:r w:rsidR="00FB71B2">
        <w:t xml:space="preserve"> measure the habit intensity in home and foreign goods respectively. </w:t>
      </w:r>
      <w:r>
        <w:t>T</w:t>
      </w:r>
      <w:r w:rsidR="00FB71B2">
        <w:t>he intratemporal elasticity of substitution between the two consumption goods is</w:t>
      </w:r>
      <w:r>
        <w:t xml:space="preserve"> measured by</w:t>
      </w:r>
      <w:r w:rsidRPr="00B9795B">
        <w:rPr>
          <w:rFonts w:eastAsia="Calibri" w:cs="Arial"/>
          <w:position w:val="-10"/>
          <w:sz w:val="22"/>
          <w:szCs w:val="22"/>
        </w:rPr>
        <w:object w:dxaOrig="540" w:dyaOrig="300">
          <v:shape id="_x0000_i1152" type="#_x0000_t75" style="width:28.45pt;height:15.9pt" o:ole="">
            <v:imagedata r:id="rId264" o:title=""/>
          </v:shape>
          <o:OLEObject Type="Embed" ProgID="Equation.DSMT4" ShapeID="_x0000_i1152" DrawAspect="Content" ObjectID="_1359267075" r:id="rId265"/>
        </w:object>
      </w:r>
      <w:r>
        <w:t xml:space="preserve"> and reflects the household’s taste for consumption diversification</w:t>
      </w:r>
      <w:r w:rsidR="00FB71B2">
        <w:t>. The specific period utility takes the following form:</w:t>
      </w:r>
      <w:r w:rsidR="00FB71B2">
        <w:rPr>
          <w:vertAlign w:val="superscript"/>
        </w:rPr>
        <w:footnoteReference w:id="21"/>
      </w:r>
    </w:p>
    <w:p w:rsidR="00FB71B2" w:rsidRDefault="00FB71B2" w:rsidP="00AD1AA7">
      <w:pPr>
        <w:autoSpaceDE w:val="0"/>
        <w:autoSpaceDN w:val="0"/>
        <w:adjustRightInd w:val="0"/>
        <w:spacing w:before="120" w:after="120" w:line="480" w:lineRule="auto"/>
        <w:jc w:val="right"/>
      </w:pPr>
      <w:r w:rsidRPr="00B9795B">
        <w:rPr>
          <w:rFonts w:eastAsia="Calibri" w:cs="Arial"/>
          <w:position w:val="-24"/>
          <w:sz w:val="22"/>
          <w:szCs w:val="22"/>
        </w:rPr>
        <w:object w:dxaOrig="4125" w:dyaOrig="645">
          <v:shape id="_x0000_i1153" type="#_x0000_t75" style="width:206.8pt;height:32.65pt" o:ole="">
            <v:imagedata r:id="rId266" o:title=""/>
          </v:shape>
          <o:OLEObject Type="Embed" ProgID="Equation.DSMT4" ShapeID="_x0000_i1153" DrawAspect="Content" ObjectID="_1359267076" r:id="rId267"/>
        </w:object>
      </w:r>
      <w:r>
        <w:t xml:space="preserve">        </w:t>
      </w:r>
      <w:r w:rsidR="00C86268">
        <w:t xml:space="preserve">      </w:t>
      </w:r>
      <w:r>
        <w:t xml:space="preserve">                        (</w:t>
      </w:r>
      <w:r w:rsidR="00B3510E">
        <w:t>2.</w:t>
      </w:r>
      <w:r>
        <w:t>3)</w:t>
      </w:r>
      <w:r>
        <w:rPr>
          <w:position w:val="-16"/>
        </w:rPr>
        <w:t xml:space="preserve">  </w:t>
      </w:r>
    </w:p>
    <w:p w:rsidR="00FB71B2" w:rsidRDefault="00FB71B2" w:rsidP="00C30B64">
      <w:pPr>
        <w:autoSpaceDE w:val="0"/>
        <w:autoSpaceDN w:val="0"/>
        <w:adjustRightInd w:val="0"/>
        <w:spacing w:before="240" w:after="240" w:line="480" w:lineRule="auto"/>
        <w:jc w:val="both"/>
      </w:pPr>
      <w:proofErr w:type="gramStart"/>
      <w:r>
        <w:t>where</w:t>
      </w:r>
      <w:proofErr w:type="gramEnd"/>
      <w:r>
        <w:t xml:space="preserve"> </w:t>
      </w:r>
      <w:r w:rsidR="00240F67" w:rsidRPr="00B9795B">
        <w:rPr>
          <w:rFonts w:eastAsia="Calibri" w:cs="Arial"/>
          <w:position w:val="-6"/>
          <w:sz w:val="22"/>
          <w:szCs w:val="22"/>
        </w:rPr>
        <w:object w:dxaOrig="495" w:dyaOrig="240">
          <v:shape id="_x0000_i1154" type="#_x0000_t75" style="width:28.45pt;height:11.7pt" o:ole="">
            <v:imagedata r:id="rId268" o:title=""/>
          </v:shape>
          <o:OLEObject Type="Embed" ProgID="Equation.DSMT4" ShapeID="_x0000_i1154" DrawAspect="Content" ObjectID="_1359267077" r:id="rId269"/>
        </w:object>
      </w:r>
      <w:r>
        <w:t xml:space="preserve"> is the intertemporal elasticity of substitution between the two goods. The labor supply elasticity parameter is assumed to be positive (</w:t>
      </w:r>
      <w:r w:rsidRPr="00B9795B">
        <w:rPr>
          <w:rFonts w:eastAsia="Calibri" w:cs="Arial"/>
          <w:position w:val="-6"/>
          <w:sz w:val="22"/>
          <w:szCs w:val="22"/>
        </w:rPr>
        <w:object w:dxaOrig="495" w:dyaOrig="240">
          <v:shape id="_x0000_i1155" type="#_x0000_t75" style="width:25.1pt;height:13.4pt" o:ole="">
            <v:imagedata r:id="rId57" o:title=""/>
          </v:shape>
          <o:OLEObject Type="Embed" ProgID="Equation.DSMT4" ShapeID="_x0000_i1155" DrawAspect="Content" ObjectID="_1359267078" r:id="rId270"/>
        </w:object>
      </w:r>
      <w:r>
        <w:t xml:space="preserve">). </w:t>
      </w:r>
    </w:p>
    <w:p w:rsidR="00FB71B2" w:rsidRDefault="00FB71B2" w:rsidP="00C30B64">
      <w:pPr>
        <w:autoSpaceDE w:val="0"/>
        <w:autoSpaceDN w:val="0"/>
        <w:adjustRightInd w:val="0"/>
        <w:spacing w:before="240" w:after="240" w:line="480" w:lineRule="auto"/>
        <w:ind w:firstLine="720"/>
        <w:jc w:val="both"/>
      </w:pPr>
      <w:r>
        <w:t xml:space="preserve">We denote the ToT at time t by </w:t>
      </w:r>
      <w:r w:rsidRPr="00B9795B">
        <w:rPr>
          <w:rFonts w:eastAsia="Calibri" w:cs="Arial"/>
          <w:position w:val="-10"/>
          <w:sz w:val="22"/>
          <w:szCs w:val="22"/>
        </w:rPr>
        <w:object w:dxaOrig="285" w:dyaOrig="345">
          <v:shape id="_x0000_i1156" type="#_x0000_t75" style="width:13.4pt;height:16.75pt" o:ole="">
            <v:imagedata r:id="rId271" o:title=""/>
          </v:shape>
          <o:OLEObject Type="Embed" ProgID="Equation.DSMT4" ShapeID="_x0000_i1156" DrawAspect="Content" ObjectID="_1359267079" r:id="rId272"/>
        </w:object>
      </w:r>
      <w:r>
        <w:t xml:space="preserve"> </w:t>
      </w:r>
      <w:r w:rsidR="005E36BB">
        <w:t xml:space="preserve">and express it </w:t>
      </w:r>
      <w:r>
        <w:t xml:space="preserve">as the price of the foreign good </w:t>
      </w:r>
      <w:r w:rsidRPr="00B9795B">
        <w:rPr>
          <w:rFonts w:eastAsia="Calibri" w:cs="Arial"/>
          <w:position w:val="-14"/>
          <w:sz w:val="22"/>
          <w:szCs w:val="22"/>
        </w:rPr>
        <w:object w:dxaOrig="435" w:dyaOrig="345">
          <v:shape id="_x0000_i1157" type="#_x0000_t75" style="width:22.6pt;height:16.75pt" o:ole="">
            <v:imagedata r:id="rId273" o:title=""/>
          </v:shape>
          <o:OLEObject Type="Embed" ProgID="Equation.DSMT4" ShapeID="_x0000_i1157" DrawAspect="Content" ObjectID="_1359267080" r:id="rId274"/>
        </w:object>
      </w:r>
      <w:r>
        <w:t>relative to the price of the domestically produced goods</w:t>
      </w:r>
      <w:r w:rsidR="005E36BB" w:rsidRPr="00B9795B">
        <w:rPr>
          <w:rFonts w:eastAsia="Calibri" w:cs="Arial"/>
          <w:position w:val="-12"/>
          <w:sz w:val="22"/>
          <w:szCs w:val="22"/>
        </w:rPr>
        <w:object w:dxaOrig="345" w:dyaOrig="345">
          <v:shape id="_x0000_i1158" type="#_x0000_t75" style="width:16.75pt;height:16.75pt" o:ole="">
            <v:imagedata r:id="rId275" o:title=""/>
          </v:shape>
          <o:OLEObject Type="Embed" ProgID="Equation.DSMT4" ShapeID="_x0000_i1158" DrawAspect="Content" ObjectID="_1359267081" r:id="rId276"/>
        </w:object>
      </w:r>
      <w:r w:rsidR="005E36BB">
        <w:t xml:space="preserve"> , in particular</w:t>
      </w:r>
      <w:r w:rsidRPr="00B9795B">
        <w:rPr>
          <w:rFonts w:eastAsia="Calibri" w:cs="Arial"/>
          <w:position w:val="-16"/>
          <w:sz w:val="22"/>
          <w:szCs w:val="22"/>
        </w:rPr>
        <w:object w:dxaOrig="1545" w:dyaOrig="450">
          <v:shape id="_x0000_i1159" type="#_x0000_t75" style="width:77pt;height:22.6pt" o:ole="">
            <v:imagedata r:id="rId277" o:title=""/>
          </v:shape>
          <o:OLEObject Type="Embed" ProgID="Equation.DSMT4" ShapeID="_x0000_i1159" DrawAspect="Content" ObjectID="_1359267082" r:id="rId278"/>
        </w:object>
      </w:r>
      <w:r w:rsidR="005E36BB">
        <w:t>. Given</w:t>
      </w:r>
      <w:r>
        <w:t>, the household’s total consumption expenditure evaluated at domestic good prices</w:t>
      </w:r>
      <w:r w:rsidRPr="00B9795B">
        <w:rPr>
          <w:rFonts w:eastAsia="Calibri" w:cs="Arial"/>
          <w:position w:val="-12"/>
          <w:sz w:val="22"/>
          <w:szCs w:val="22"/>
        </w:rPr>
        <w:object w:dxaOrig="435" w:dyaOrig="345">
          <v:shape id="_x0000_i1160" type="#_x0000_t75" style="width:22.6pt;height:16.75pt" o:ole="">
            <v:imagedata r:id="rId279" o:title=""/>
          </v:shape>
          <o:OLEObject Type="Embed" ProgID="Equation.DSMT4" ShapeID="_x0000_i1160" DrawAspect="Content" ObjectID="_1359267083" r:id="rId280"/>
        </w:object>
      </w:r>
      <w:r w:rsidR="005E36BB" w:rsidRPr="005E36BB">
        <w:t xml:space="preserve"> </w:t>
      </w:r>
      <w:r w:rsidR="005E36BB">
        <w:t xml:space="preserve">can be defined </w:t>
      </w:r>
      <w:r>
        <w:t>as</w:t>
      </w:r>
    </w:p>
    <w:p w:rsidR="00FB71B2" w:rsidRDefault="00FB71B2" w:rsidP="00AD1AA7">
      <w:pPr>
        <w:autoSpaceDE w:val="0"/>
        <w:autoSpaceDN w:val="0"/>
        <w:adjustRightInd w:val="0"/>
        <w:spacing w:before="120" w:after="120" w:line="480" w:lineRule="auto"/>
        <w:jc w:val="right"/>
      </w:pPr>
      <w:r w:rsidRPr="00B9795B">
        <w:rPr>
          <w:rFonts w:eastAsia="Calibri" w:cs="Arial"/>
          <w:position w:val="-14"/>
          <w:sz w:val="22"/>
          <w:szCs w:val="22"/>
        </w:rPr>
        <w:object w:dxaOrig="1725" w:dyaOrig="345">
          <v:shape id="_x0000_i1161" type="#_x0000_t75" style="width:85.4pt;height:16.75pt" o:ole="">
            <v:imagedata r:id="rId281" o:title=""/>
          </v:shape>
          <o:OLEObject Type="Embed" ProgID="Equation.DSMT4" ShapeID="_x0000_i1161" DrawAspect="Content" ObjectID="_1359267084" r:id="rId282"/>
        </w:object>
      </w:r>
      <w:r>
        <w:rPr>
          <w:position w:val="-14"/>
        </w:rPr>
        <w:t xml:space="preserve"> </w:t>
      </w:r>
      <w:r>
        <w:t xml:space="preserve">          </w:t>
      </w:r>
      <w:r w:rsidR="00C86268">
        <w:t xml:space="preserve">  </w:t>
      </w:r>
      <w:r>
        <w:t xml:space="preserve">   </w:t>
      </w:r>
      <w:r w:rsidR="00C86268">
        <w:t xml:space="preserve">   </w:t>
      </w:r>
      <w:r>
        <w:t xml:space="preserve">                                        (</w:t>
      </w:r>
      <w:r w:rsidR="00B3510E">
        <w:t>2.</w:t>
      </w:r>
      <w:r>
        <w:t>4)</w:t>
      </w:r>
      <w:r>
        <w:rPr>
          <w:position w:val="-16"/>
        </w:rPr>
        <w:t xml:space="preserve">  </w:t>
      </w:r>
    </w:p>
    <w:p w:rsidR="00FB71B2" w:rsidRDefault="00FB71B2" w:rsidP="00772912">
      <w:pPr>
        <w:autoSpaceDE w:val="0"/>
        <w:autoSpaceDN w:val="0"/>
        <w:adjustRightInd w:val="0"/>
        <w:spacing w:line="480" w:lineRule="auto"/>
        <w:jc w:val="both"/>
      </w:pPr>
      <w:proofErr w:type="gramStart"/>
      <w:r>
        <w:t>where</w:t>
      </w:r>
      <w:proofErr w:type="gramEnd"/>
      <w:r>
        <w:t xml:space="preserve"> </w:t>
      </w:r>
      <w:r w:rsidRPr="00B9795B">
        <w:rPr>
          <w:rFonts w:eastAsia="Calibri" w:cs="Arial"/>
          <w:position w:val="-14"/>
          <w:sz w:val="22"/>
          <w:szCs w:val="22"/>
        </w:rPr>
        <w:object w:dxaOrig="390" w:dyaOrig="345">
          <v:shape id="_x0000_i1162" type="#_x0000_t75" style="width:19.25pt;height:16.75pt" o:ole="">
            <v:imagedata r:id="rId283" o:title=""/>
          </v:shape>
          <o:OLEObject Type="Embed" ProgID="Equation.DSMT4" ShapeID="_x0000_i1162" DrawAspect="Content" ObjectID="_1359267085" r:id="rId284"/>
        </w:object>
      </w:r>
      <w:r>
        <w:t xml:space="preserve"> represents the household’s spending on domestic good in period</w:t>
      </w:r>
      <w:r w:rsidRPr="00B9795B">
        <w:rPr>
          <w:rFonts w:eastAsia="Calibri" w:cs="Arial"/>
          <w:position w:val="-6"/>
          <w:sz w:val="22"/>
          <w:szCs w:val="22"/>
        </w:rPr>
        <w:object w:dxaOrig="105" w:dyaOrig="240">
          <v:shape id="_x0000_i1163" type="#_x0000_t75" style="width:5pt;height:13.4pt" o:ole="">
            <v:imagedata r:id="rId285" o:title=""/>
          </v:shape>
          <o:OLEObject Type="Embed" ProgID="Equation.DSMT4" ShapeID="_x0000_i1163" DrawAspect="Content" ObjectID="_1359267086" r:id="rId286"/>
        </w:object>
      </w:r>
      <w:r>
        <w:t xml:space="preserve">evaluated in domestic currency  prices; and </w:t>
      </w:r>
      <w:r w:rsidRPr="00B9795B">
        <w:rPr>
          <w:rFonts w:eastAsia="Calibri" w:cs="Arial"/>
          <w:position w:val="-14"/>
          <w:sz w:val="22"/>
          <w:szCs w:val="22"/>
        </w:rPr>
        <w:object w:dxaOrig="405" w:dyaOrig="345">
          <v:shape id="_x0000_i1164" type="#_x0000_t75" style="width:19.25pt;height:16.75pt" o:ole="">
            <v:imagedata r:id="rId287" o:title=""/>
          </v:shape>
          <o:OLEObject Type="Embed" ProgID="Equation.DSMT4" ShapeID="_x0000_i1164" DrawAspect="Content" ObjectID="_1359267087" r:id="rId288"/>
        </w:object>
      </w:r>
      <w:r>
        <w:t xml:space="preserve"> represents the household’s spending on imported foreign good in period</w:t>
      </w:r>
      <w:r w:rsidRPr="00B9795B">
        <w:rPr>
          <w:rFonts w:eastAsia="Calibri" w:cs="Arial"/>
          <w:position w:val="-6"/>
          <w:sz w:val="22"/>
          <w:szCs w:val="22"/>
        </w:rPr>
        <w:object w:dxaOrig="105" w:dyaOrig="240">
          <v:shape id="_x0000_i1165" type="#_x0000_t75" style="width:5pt;height:13.4pt" o:ole="">
            <v:imagedata r:id="rId285" o:title=""/>
          </v:shape>
          <o:OLEObject Type="Embed" ProgID="Equation.DSMT4" ShapeID="_x0000_i1165" DrawAspect="Content" ObjectID="_1359267088" r:id="rId289"/>
        </w:object>
      </w:r>
      <w:r>
        <w:t>.</w:t>
      </w:r>
      <w:r>
        <w:rPr>
          <w:rStyle w:val="FootnoteReference"/>
        </w:rPr>
        <w:footnoteReference w:id="22"/>
      </w:r>
      <w:r>
        <w:t xml:space="preserve"> For a small open economy, ToT is determined in the international markets and completely exogenous. We assume the ToT follow a firs</w:t>
      </w:r>
      <w:r w:rsidR="005E36BB">
        <w:t xml:space="preserve">t order autoregressive process </w:t>
      </w:r>
      <w:r>
        <w:t>AR</w:t>
      </w:r>
      <w:r w:rsidR="005E36BB">
        <w:t xml:space="preserve"> (</w:t>
      </w:r>
      <w:r>
        <w:t xml:space="preserve">1) of the following form: </w:t>
      </w:r>
    </w:p>
    <w:p w:rsidR="00FB71B2" w:rsidRDefault="00FB71B2" w:rsidP="00AD1AA7">
      <w:pPr>
        <w:autoSpaceDE w:val="0"/>
        <w:autoSpaceDN w:val="0"/>
        <w:adjustRightInd w:val="0"/>
        <w:spacing w:before="120" w:after="120" w:line="480" w:lineRule="auto"/>
        <w:ind w:firstLine="720"/>
        <w:jc w:val="right"/>
      </w:pPr>
      <w:r w:rsidRPr="00B9795B">
        <w:rPr>
          <w:rFonts w:eastAsia="Calibri" w:cs="Arial"/>
          <w:position w:val="-16"/>
          <w:sz w:val="22"/>
          <w:szCs w:val="22"/>
        </w:rPr>
        <w:object w:dxaOrig="5565" w:dyaOrig="435">
          <v:shape id="_x0000_i1166" type="#_x0000_t75" style="width:278.8pt;height:22.6pt" o:ole="">
            <v:imagedata r:id="rId290" o:title=""/>
          </v:shape>
          <o:OLEObject Type="Embed" ProgID="Equation.DSMT4" ShapeID="_x0000_i1166" DrawAspect="Content" ObjectID="_1359267089" r:id="rId291"/>
        </w:object>
      </w:r>
      <w:r>
        <w:t xml:space="preserve">     </w:t>
      </w:r>
      <w:r w:rsidR="005E36BB">
        <w:t xml:space="preserve"> </w:t>
      </w:r>
      <w:r>
        <w:t xml:space="preserve">          (</w:t>
      </w:r>
      <w:r w:rsidR="00B3510E">
        <w:t>2.</w:t>
      </w:r>
      <w:r>
        <w:t>5)</w:t>
      </w:r>
    </w:p>
    <w:p w:rsidR="00FB71B2" w:rsidRDefault="00FB71B2" w:rsidP="00C30B64">
      <w:pPr>
        <w:autoSpaceDE w:val="0"/>
        <w:autoSpaceDN w:val="0"/>
        <w:adjustRightInd w:val="0"/>
        <w:spacing w:before="240" w:after="240" w:line="480" w:lineRule="auto"/>
        <w:jc w:val="both"/>
      </w:pPr>
      <w:proofErr w:type="gramStart"/>
      <w:r>
        <w:t>where</w:t>
      </w:r>
      <w:proofErr w:type="gramEnd"/>
      <w:r>
        <w:t xml:space="preserve"> </w:t>
      </w:r>
      <w:r w:rsidRPr="00B9795B">
        <w:rPr>
          <w:rFonts w:eastAsia="Calibri" w:cs="Arial"/>
          <w:position w:val="-14"/>
          <w:sz w:val="22"/>
          <w:szCs w:val="22"/>
        </w:rPr>
        <w:object w:dxaOrig="300" w:dyaOrig="345">
          <v:shape id="_x0000_i1167" type="#_x0000_t75" style="width:15.9pt;height:16.75pt" o:ole="">
            <v:imagedata r:id="rId292" o:title=""/>
          </v:shape>
          <o:OLEObject Type="Embed" ProgID="Equation.DSMT4" ShapeID="_x0000_i1167" DrawAspect="Content" ObjectID="_1359267090" r:id="rId293"/>
        </w:object>
      </w:r>
      <w:r>
        <w:t xml:space="preserve">represents the persistence level in the observed ToT historical data, and </w:t>
      </w:r>
      <w:r w:rsidRPr="00B9795B">
        <w:rPr>
          <w:rFonts w:eastAsia="Calibri" w:cs="Arial"/>
          <w:position w:val="-14"/>
          <w:sz w:val="22"/>
          <w:szCs w:val="22"/>
        </w:rPr>
        <w:object w:dxaOrig="285" w:dyaOrig="345">
          <v:shape id="_x0000_i1168" type="#_x0000_t75" style="width:13.4pt;height:16.75pt" o:ole="">
            <v:imagedata r:id="rId294" o:title=""/>
          </v:shape>
          <o:OLEObject Type="Embed" ProgID="Equation.DSMT4" ShapeID="_x0000_i1168" DrawAspect="Content" ObjectID="_1359267091" r:id="rId295"/>
        </w:object>
      </w:r>
      <w:r>
        <w:t xml:space="preserve">is the unexpected shock to the ToT which assumed to be independent and identically distributed  with zero mean and </w:t>
      </w:r>
      <w:r w:rsidRPr="00B9795B">
        <w:rPr>
          <w:rFonts w:eastAsia="Calibri" w:cs="Arial"/>
          <w:position w:val="-14"/>
          <w:sz w:val="22"/>
          <w:szCs w:val="22"/>
        </w:rPr>
        <w:object w:dxaOrig="300" w:dyaOrig="345">
          <v:shape id="_x0000_i1169" type="#_x0000_t75" style="width:15.9pt;height:16.75pt" o:ole="">
            <v:imagedata r:id="rId296" o:title=""/>
          </v:shape>
          <o:OLEObject Type="Embed" ProgID="Equation.DSMT4" ShapeID="_x0000_i1169" DrawAspect="Content" ObjectID="_1359267092" r:id="rId297"/>
        </w:object>
      </w:r>
      <w:r>
        <w:t xml:space="preserve">variance. </w:t>
      </w:r>
    </w:p>
    <w:p w:rsidR="00FB71B2" w:rsidRDefault="00FB71B2" w:rsidP="00C30B64">
      <w:pPr>
        <w:autoSpaceDE w:val="0"/>
        <w:autoSpaceDN w:val="0"/>
        <w:adjustRightInd w:val="0"/>
        <w:spacing w:before="240" w:after="240" w:line="480" w:lineRule="auto"/>
        <w:ind w:firstLine="720"/>
        <w:jc w:val="both"/>
      </w:pPr>
      <w:r>
        <w:t xml:space="preserve">Following conventional practices, we assume that the accumulation of the stock of durables is subject to a convex adjustment cost function. Since both goods have a certain degree of durability, we must account for their rate of depreciation. With the rate of depreciation of domestic and imported goods </w:t>
      </w:r>
      <w:r w:rsidRPr="00B9795B">
        <w:rPr>
          <w:rFonts w:eastAsia="Calibri" w:cs="Arial"/>
          <w:position w:val="-12"/>
          <w:sz w:val="22"/>
          <w:szCs w:val="22"/>
        </w:rPr>
        <w:object w:dxaOrig="885" w:dyaOrig="345">
          <v:shape id="_x0000_i1170" type="#_x0000_t75" style="width:46.05pt;height:16.75pt" o:ole="">
            <v:imagedata r:id="rId298" o:title=""/>
          </v:shape>
          <o:OLEObject Type="Embed" ProgID="Equation.DSMT4" ShapeID="_x0000_i1170" DrawAspect="Content" ObjectID="_1359267093" r:id="rId299"/>
        </w:object>
      </w:r>
      <w:r>
        <w:t xml:space="preserve">and </w:t>
      </w:r>
      <w:r w:rsidRPr="00B9795B">
        <w:rPr>
          <w:rFonts w:eastAsia="Calibri" w:cs="Arial"/>
          <w:position w:val="-14"/>
          <w:sz w:val="22"/>
          <w:szCs w:val="22"/>
        </w:rPr>
        <w:object w:dxaOrig="945" w:dyaOrig="390">
          <v:shape id="_x0000_i1171" type="#_x0000_t75" style="width:46.9pt;height:19.25pt" o:ole="">
            <v:imagedata r:id="rId300" o:title=""/>
          </v:shape>
          <o:OLEObject Type="Embed" ProgID="Equation.DSMT4" ShapeID="_x0000_i1171" DrawAspect="Content" ObjectID="_1359267094" r:id="rId301"/>
        </w:object>
      </w:r>
      <w:r>
        <w:t xml:space="preserve">respectively, the accumulation of stock of home and foreign goods can be expressed as  </w:t>
      </w:r>
    </w:p>
    <w:p w:rsidR="00FB71B2" w:rsidRDefault="00FB71B2" w:rsidP="00AD1AA7">
      <w:pPr>
        <w:autoSpaceDE w:val="0"/>
        <w:autoSpaceDN w:val="0"/>
        <w:adjustRightInd w:val="0"/>
        <w:spacing w:before="120" w:after="120" w:line="480" w:lineRule="auto"/>
        <w:ind w:firstLine="720"/>
        <w:jc w:val="right"/>
        <w:rPr>
          <w:rFonts w:ascii="Calibri" w:hAnsi="Calibri"/>
          <w:position w:val="-16"/>
        </w:rPr>
      </w:pPr>
      <w:r w:rsidRPr="00B9795B">
        <w:rPr>
          <w:rFonts w:eastAsia="Calibri" w:cs="Arial"/>
          <w:position w:val="-14"/>
          <w:sz w:val="22"/>
          <w:szCs w:val="22"/>
        </w:rPr>
        <w:object w:dxaOrig="4905" w:dyaOrig="435">
          <v:shape id="_x0000_i1172" type="#_x0000_t75" style="width:246.15pt;height:22.6pt" o:ole="">
            <v:imagedata r:id="rId302" o:title=""/>
          </v:shape>
          <o:OLEObject Type="Embed" ProgID="Equation.DSMT4" ShapeID="_x0000_i1172" DrawAspect="Content" ObjectID="_1359267095" r:id="rId303"/>
        </w:object>
      </w:r>
      <w:r w:rsidR="00C86268">
        <w:t xml:space="preserve">     </w:t>
      </w:r>
      <w:r>
        <w:t xml:space="preserve">          </w:t>
      </w:r>
      <w:r w:rsidR="00C86268">
        <w:t xml:space="preserve">   </w:t>
      </w:r>
      <w:r>
        <w:t xml:space="preserve">            (</w:t>
      </w:r>
      <w:r w:rsidR="00B3510E">
        <w:t>2.</w:t>
      </w:r>
      <w:r>
        <w:t>6)</w:t>
      </w:r>
      <w:r>
        <w:rPr>
          <w:position w:val="-16"/>
        </w:rPr>
        <w:t xml:space="preserve">  </w:t>
      </w:r>
    </w:p>
    <w:p w:rsidR="00FB71B2" w:rsidRDefault="00FB71B2" w:rsidP="00AD1AA7">
      <w:pPr>
        <w:autoSpaceDE w:val="0"/>
        <w:autoSpaceDN w:val="0"/>
        <w:adjustRightInd w:val="0"/>
        <w:spacing w:before="120" w:after="120" w:line="480" w:lineRule="auto"/>
        <w:ind w:firstLine="720"/>
        <w:jc w:val="right"/>
      </w:pPr>
      <w:r w:rsidRPr="00B9795B">
        <w:rPr>
          <w:rFonts w:eastAsia="Calibri" w:cs="Arial"/>
          <w:position w:val="-16"/>
          <w:sz w:val="22"/>
          <w:szCs w:val="22"/>
        </w:rPr>
        <w:object w:dxaOrig="4965" w:dyaOrig="450">
          <v:shape id="_x0000_i1173" type="#_x0000_t75" style="width:248.65pt;height:22.6pt" o:ole="">
            <v:imagedata r:id="rId304" o:title=""/>
          </v:shape>
          <o:OLEObject Type="Embed" ProgID="Equation.DSMT4" ShapeID="_x0000_i1173" DrawAspect="Content" ObjectID="_1359267096" r:id="rId305"/>
        </w:object>
      </w:r>
      <w:r w:rsidR="00C86268">
        <w:t xml:space="preserve">,    </w:t>
      </w:r>
      <w:r>
        <w:t xml:space="preserve">   </w:t>
      </w:r>
      <w:r w:rsidR="00C86268">
        <w:t xml:space="preserve"> </w:t>
      </w:r>
      <w:r>
        <w:t xml:space="preserve">                 </w:t>
      </w:r>
      <w:r w:rsidR="00C86268">
        <w:t xml:space="preserve">   </w:t>
      </w:r>
      <w:r>
        <w:t xml:space="preserve"> (</w:t>
      </w:r>
      <w:r w:rsidR="00B3510E">
        <w:t>2.</w:t>
      </w:r>
      <w:r>
        <w:t>7)</w:t>
      </w:r>
      <w:r>
        <w:rPr>
          <w:position w:val="-16"/>
        </w:rPr>
        <w:t xml:space="preserve">  </w:t>
      </w:r>
    </w:p>
    <w:p w:rsidR="005B677F" w:rsidRDefault="005B677F" w:rsidP="005B677F">
      <w:pPr>
        <w:autoSpaceDE w:val="0"/>
        <w:autoSpaceDN w:val="0"/>
        <w:adjustRightInd w:val="0"/>
        <w:spacing w:line="480" w:lineRule="auto"/>
        <w:jc w:val="both"/>
      </w:pPr>
      <w:proofErr w:type="gramStart"/>
      <w:r>
        <w:t>w</w:t>
      </w:r>
      <w:r w:rsidR="00FB71B2">
        <w:t>here</w:t>
      </w:r>
      <w:proofErr w:type="gramEnd"/>
      <w:r w:rsidR="00FB71B2">
        <w:t xml:space="preserve"> the adjustment cost parameters</w:t>
      </w:r>
      <w:r w:rsidR="00FB71B2" w:rsidRPr="00B9795B">
        <w:rPr>
          <w:rFonts w:eastAsia="Calibri" w:cs="Arial"/>
          <w:position w:val="-12"/>
          <w:sz w:val="22"/>
          <w:szCs w:val="22"/>
        </w:rPr>
        <w:object w:dxaOrig="255" w:dyaOrig="345">
          <v:shape id="_x0000_i1174" type="#_x0000_t75" style="width:13.4pt;height:16.75pt" o:ole="">
            <v:imagedata r:id="rId306" o:title=""/>
          </v:shape>
          <o:OLEObject Type="Embed" ProgID="Equation.DSMT4" ShapeID="_x0000_i1174" DrawAspect="Content" ObjectID="_1359267097" r:id="rId307"/>
        </w:object>
      </w:r>
      <w:r w:rsidR="00FB71B2">
        <w:t xml:space="preserve">and </w:t>
      </w:r>
      <w:r w:rsidR="00FB71B2" w:rsidRPr="00B9795B">
        <w:rPr>
          <w:rFonts w:eastAsia="Calibri" w:cs="Arial"/>
          <w:position w:val="-14"/>
          <w:sz w:val="22"/>
          <w:szCs w:val="22"/>
        </w:rPr>
        <w:object w:dxaOrig="285" w:dyaOrig="345">
          <v:shape id="_x0000_i1175" type="#_x0000_t75" style="width:13.4pt;height:16.75pt" o:ole="">
            <v:imagedata r:id="rId308" o:title=""/>
          </v:shape>
          <o:OLEObject Type="Embed" ProgID="Equation.DSMT4" ShapeID="_x0000_i1175" DrawAspect="Content" ObjectID="_1359267098" r:id="rId309"/>
        </w:object>
      </w:r>
      <w:r w:rsidR="00FB71B2">
        <w:t xml:space="preserve">control the volatility of the flow of consumption spending on domestic </w:t>
      </w:r>
      <w:r>
        <w:t>and foreign goods respectively.</w:t>
      </w:r>
    </w:p>
    <w:p w:rsidR="00FB71B2" w:rsidRDefault="00FB71B2" w:rsidP="00C30B64">
      <w:pPr>
        <w:autoSpaceDE w:val="0"/>
        <w:autoSpaceDN w:val="0"/>
        <w:adjustRightInd w:val="0"/>
        <w:spacing w:before="240" w:after="240" w:line="480" w:lineRule="auto"/>
        <w:ind w:firstLine="720"/>
        <w:jc w:val="both"/>
      </w:pPr>
      <w:r>
        <w:t>The household has access to four types of assets - domestic capital, stock of home durables, stock of imported durables and to a one period internationally-traded-bond. The household’s dynamic budget constraint is given by</w:t>
      </w:r>
    </w:p>
    <w:p w:rsidR="00FB71B2" w:rsidRDefault="00FB71B2" w:rsidP="00AD1AA7">
      <w:pPr>
        <w:autoSpaceDE w:val="0"/>
        <w:autoSpaceDN w:val="0"/>
        <w:adjustRightInd w:val="0"/>
        <w:spacing w:before="120" w:after="120" w:line="480" w:lineRule="auto"/>
        <w:ind w:firstLine="720"/>
        <w:jc w:val="right"/>
        <w:rPr>
          <w:rFonts w:ascii="Calibri" w:hAnsi="Calibri"/>
          <w:position w:val="-16"/>
        </w:rPr>
      </w:pPr>
      <w:r w:rsidRPr="00B9795B">
        <w:rPr>
          <w:rFonts w:eastAsia="Calibri" w:cs="Arial"/>
          <w:position w:val="-18"/>
          <w:sz w:val="22"/>
          <w:szCs w:val="22"/>
        </w:rPr>
        <w:object w:dxaOrig="4470" w:dyaOrig="495">
          <v:shape id="_x0000_i1176" type="#_x0000_t75" style="width:223.55pt;height:25.1pt" o:ole="">
            <v:imagedata r:id="rId310" o:title=""/>
          </v:shape>
          <o:OLEObject Type="Embed" ProgID="Equation.DSMT4" ShapeID="_x0000_i1176" DrawAspect="Content" ObjectID="_1359267099" r:id="rId311"/>
        </w:object>
      </w:r>
      <w:r>
        <w:t xml:space="preserve">           </w:t>
      </w:r>
      <w:r w:rsidR="00C86268">
        <w:t xml:space="preserve">                       </w:t>
      </w:r>
      <w:r>
        <w:t>(</w:t>
      </w:r>
      <w:r w:rsidR="00B3510E">
        <w:t>2.</w:t>
      </w:r>
      <w:r>
        <w:t>8)</w:t>
      </w:r>
      <w:r>
        <w:rPr>
          <w:position w:val="-16"/>
        </w:rPr>
        <w:t xml:space="preserve"> </w:t>
      </w:r>
    </w:p>
    <w:p w:rsidR="00FB71B2" w:rsidRDefault="00FB71B2" w:rsidP="00C30B64">
      <w:pPr>
        <w:pStyle w:val="FootnoteText"/>
        <w:spacing w:before="240" w:after="240" w:line="480" w:lineRule="auto"/>
        <w:jc w:val="both"/>
        <w:rPr>
          <w:position w:val="-14"/>
          <w:sz w:val="22"/>
          <w:szCs w:val="22"/>
        </w:rPr>
      </w:pPr>
      <w:r w:rsidRPr="005B677F">
        <w:rPr>
          <w:rFonts w:ascii="Times New Roman" w:eastAsia="Times New Roman" w:hAnsi="Times New Roman"/>
          <w:sz w:val="24"/>
          <w:szCs w:val="24"/>
          <w:lang w:eastAsia="en-US"/>
        </w:rPr>
        <w:t xml:space="preserve">where </w:t>
      </w:r>
      <w:r w:rsidR="005B677F" w:rsidRPr="005B677F">
        <w:rPr>
          <w:rFonts w:ascii="Times New Roman" w:eastAsia="Times New Roman" w:hAnsi="Times New Roman"/>
          <w:position w:val="-10"/>
          <w:sz w:val="24"/>
          <w:szCs w:val="24"/>
          <w:lang w:eastAsia="en-US"/>
        </w:rPr>
        <w:object w:dxaOrig="220" w:dyaOrig="320">
          <v:shape id="_x0000_i1177" type="#_x0000_t75" style="width:10.9pt;height:16.75pt" o:ole="">
            <v:imagedata r:id="rId312" o:title=""/>
          </v:shape>
          <o:OLEObject Type="Embed" ProgID="Equation.DSMT4" ShapeID="_x0000_i1177" DrawAspect="Content" ObjectID="_1359267100" r:id="rId313"/>
        </w:object>
      </w:r>
      <w:r w:rsidRPr="005B677F">
        <w:rPr>
          <w:rFonts w:ascii="Times New Roman" w:eastAsia="Times New Roman" w:hAnsi="Times New Roman"/>
          <w:sz w:val="24"/>
          <w:szCs w:val="24"/>
          <w:lang w:eastAsia="en-US"/>
        </w:rPr>
        <w:t xml:space="preserve">denotes the household’s debt position at the beginning of the period t; </w:t>
      </w:r>
      <w:r w:rsidR="005B677F" w:rsidRPr="005B677F">
        <w:rPr>
          <w:rFonts w:ascii="Times New Roman" w:eastAsia="Times New Roman" w:hAnsi="Times New Roman"/>
          <w:position w:val="-10"/>
          <w:sz w:val="24"/>
          <w:szCs w:val="24"/>
          <w:lang w:eastAsia="en-US"/>
        </w:rPr>
        <w:object w:dxaOrig="260" w:dyaOrig="320">
          <v:shape id="_x0000_i1178" type="#_x0000_t75" style="width:13.4pt;height:16.75pt" o:ole="">
            <v:imagedata r:id="rId314" o:title=""/>
          </v:shape>
          <o:OLEObject Type="Embed" ProgID="Equation.DSMT4" ShapeID="_x0000_i1178" DrawAspect="Content" ObjectID="_1359267101" r:id="rId315"/>
        </w:object>
      </w:r>
      <w:r w:rsidRPr="005B677F">
        <w:rPr>
          <w:rFonts w:ascii="Times New Roman" w:eastAsia="Times New Roman" w:hAnsi="Times New Roman"/>
          <w:sz w:val="24"/>
          <w:szCs w:val="24"/>
          <w:lang w:eastAsia="en-US"/>
        </w:rPr>
        <w:t>denotes the gross interest rate at which the domestic residents borrow in period</w:t>
      </w:r>
      <w:r w:rsidR="005B677F" w:rsidRPr="005B677F">
        <w:rPr>
          <w:rFonts w:ascii="Times New Roman" w:eastAsia="Times New Roman" w:hAnsi="Times New Roman"/>
          <w:position w:val="-6"/>
          <w:sz w:val="24"/>
          <w:szCs w:val="24"/>
          <w:lang w:eastAsia="en-US"/>
        </w:rPr>
        <w:object w:dxaOrig="139" w:dyaOrig="240">
          <v:shape id="_x0000_i1179" type="#_x0000_t75" style="width:7.55pt;height:13.4pt" o:ole="">
            <v:imagedata r:id="rId316" o:title=""/>
          </v:shape>
          <o:OLEObject Type="Embed" ProgID="Equation.DSMT4" ShapeID="_x0000_i1179" DrawAspect="Content" ObjectID="_1359267102" r:id="rId317"/>
        </w:object>
      </w:r>
      <w:r w:rsidRPr="005B677F">
        <w:rPr>
          <w:rFonts w:ascii="Times New Roman" w:eastAsia="Times New Roman" w:hAnsi="Times New Roman"/>
          <w:sz w:val="24"/>
          <w:szCs w:val="24"/>
          <w:lang w:eastAsia="en-US"/>
        </w:rPr>
        <w:t>;</w:t>
      </w:r>
      <w:r w:rsidR="005B677F" w:rsidRPr="005B677F">
        <w:rPr>
          <w:rFonts w:ascii="Times New Roman" w:eastAsia="Times New Roman" w:hAnsi="Times New Roman"/>
          <w:position w:val="-10"/>
          <w:sz w:val="24"/>
          <w:szCs w:val="24"/>
          <w:lang w:eastAsia="en-US"/>
        </w:rPr>
        <w:object w:dxaOrig="240" w:dyaOrig="320">
          <v:shape id="_x0000_i1180" type="#_x0000_t75" style="width:13.4pt;height:16.75pt" o:ole="">
            <v:imagedata r:id="rId318" o:title=""/>
          </v:shape>
          <o:OLEObject Type="Embed" ProgID="Equation.DSMT4" ShapeID="_x0000_i1180" DrawAspect="Content" ObjectID="_1359267103" r:id="rId319"/>
        </w:object>
      </w:r>
      <w:r w:rsidRPr="005B677F">
        <w:rPr>
          <w:rFonts w:ascii="Times New Roman" w:eastAsia="Times New Roman" w:hAnsi="Times New Roman"/>
          <w:sz w:val="24"/>
          <w:szCs w:val="24"/>
          <w:lang w:eastAsia="en-US"/>
        </w:rPr>
        <w:t xml:space="preserve">represents domestic output; and </w:t>
      </w:r>
      <w:r w:rsidR="005B677F" w:rsidRPr="005B677F">
        <w:rPr>
          <w:rFonts w:ascii="Times New Roman" w:eastAsia="Times New Roman" w:hAnsi="Times New Roman"/>
          <w:position w:val="-10"/>
          <w:sz w:val="24"/>
          <w:szCs w:val="24"/>
          <w:lang w:eastAsia="en-US"/>
        </w:rPr>
        <w:object w:dxaOrig="180" w:dyaOrig="320">
          <v:shape id="_x0000_i1181" type="#_x0000_t75" style="width:9.2pt;height:16.75pt" o:ole="">
            <v:imagedata r:id="rId320" o:title=""/>
          </v:shape>
          <o:OLEObject Type="Embed" ProgID="Equation.DSMT4" ShapeID="_x0000_i1181" DrawAspect="Content" ObjectID="_1359267104" r:id="rId321"/>
        </w:object>
      </w:r>
      <w:r w:rsidRPr="005B677F">
        <w:rPr>
          <w:rFonts w:ascii="Times New Roman" w:eastAsia="Times New Roman" w:hAnsi="Times New Roman"/>
          <w:sz w:val="24"/>
          <w:szCs w:val="24"/>
          <w:lang w:eastAsia="en-US"/>
        </w:rPr>
        <w:t xml:space="preserve"> represents domestic investment spending. We add to the expenditure side a debt adjustment cost which is assumed to be convex in the deviation of the external debt from its desired the long-</w:t>
      </w:r>
      <w:r w:rsidRPr="00B3510E">
        <w:rPr>
          <w:rFonts w:ascii="Times New Roman" w:eastAsia="Times New Roman" w:hAnsi="Times New Roman"/>
          <w:sz w:val="24"/>
          <w:szCs w:val="24"/>
          <w:lang w:eastAsia="en-US"/>
        </w:rPr>
        <w:t>run equilibrium level. The debt adjustment cost as discussed in Schmitt-</w:t>
      </w:r>
      <w:proofErr w:type="spellStart"/>
      <w:r w:rsidRPr="00B3510E">
        <w:rPr>
          <w:rFonts w:ascii="Times New Roman" w:eastAsia="Times New Roman" w:hAnsi="Times New Roman"/>
          <w:sz w:val="24"/>
          <w:szCs w:val="24"/>
          <w:lang w:eastAsia="en-US"/>
        </w:rPr>
        <w:t>Grohe</w:t>
      </w:r>
      <w:proofErr w:type="spellEnd"/>
      <w:r w:rsidRPr="00B3510E">
        <w:rPr>
          <w:rFonts w:ascii="Times New Roman" w:eastAsia="Times New Roman" w:hAnsi="Times New Roman"/>
          <w:sz w:val="24"/>
          <w:szCs w:val="24"/>
          <w:lang w:eastAsia="en-US"/>
        </w:rPr>
        <w:t>’ Uribe (2003) is one of several techniques for “closing” the open economy.  The surplus in the trade balance is used to repay the existing debt, while the trade deficit is financed by issuing more debt. Thus, the trade expressed in domestic currency prices is defined as</w:t>
      </w:r>
      <w:r w:rsidR="00B3510E" w:rsidRPr="00B3510E">
        <w:rPr>
          <w:rFonts w:ascii="Times New Roman" w:eastAsia="Times New Roman" w:hAnsi="Times New Roman"/>
          <w:position w:val="-14"/>
          <w:sz w:val="24"/>
          <w:szCs w:val="24"/>
          <w:lang w:eastAsia="en-US"/>
        </w:rPr>
        <w:object w:dxaOrig="1980" w:dyaOrig="400">
          <v:shape id="_x0000_i1182" type="#_x0000_t75" style="width:100.45pt;height:19.25pt" o:ole="">
            <v:imagedata r:id="rId322" o:title=""/>
          </v:shape>
          <o:OLEObject Type="Embed" ProgID="Equation.DSMT4" ShapeID="_x0000_i1182" DrawAspect="Content" ObjectID="_1359267105" r:id="rId323"/>
        </w:object>
      </w:r>
      <w:r w:rsidRPr="00B3510E">
        <w:rPr>
          <w:rFonts w:ascii="Times New Roman" w:eastAsia="Times New Roman" w:hAnsi="Times New Roman"/>
          <w:sz w:val="24"/>
          <w:szCs w:val="24"/>
          <w:lang w:eastAsia="en-US"/>
        </w:rPr>
        <w:t xml:space="preserve"> where </w:t>
      </w:r>
      <w:r w:rsidR="00B3510E" w:rsidRPr="00B3510E">
        <w:rPr>
          <w:rFonts w:ascii="Times New Roman" w:eastAsia="Times New Roman" w:hAnsi="Times New Roman"/>
          <w:position w:val="-10"/>
          <w:sz w:val="24"/>
          <w:szCs w:val="24"/>
          <w:lang w:eastAsia="en-US"/>
        </w:rPr>
        <w:object w:dxaOrig="859" w:dyaOrig="320">
          <v:shape id="_x0000_i1183" type="#_x0000_t75" style="width:41.85pt;height:16.75pt" o:ole="">
            <v:imagedata r:id="rId324" o:title=""/>
          </v:shape>
          <o:OLEObject Type="Embed" ProgID="Equation.DSMT4" ShapeID="_x0000_i1183" DrawAspect="Content" ObjectID="_1359267106" r:id="rId325"/>
        </w:object>
      </w:r>
      <w:r w:rsidRPr="00B3510E">
        <w:rPr>
          <w:rFonts w:ascii="Times New Roman" w:eastAsia="Times New Roman" w:hAnsi="Times New Roman"/>
          <w:sz w:val="24"/>
          <w:szCs w:val="24"/>
          <w:lang w:eastAsia="en-US"/>
        </w:rPr>
        <w:t>is the price of one unit of the international bond.</w:t>
      </w:r>
      <w:r>
        <w:rPr>
          <w:sz w:val="22"/>
          <w:szCs w:val="22"/>
        </w:rPr>
        <w:t xml:space="preserve"> </w:t>
      </w:r>
    </w:p>
    <w:p w:rsidR="00FB71B2" w:rsidRDefault="00FB71B2" w:rsidP="00C30B64">
      <w:pPr>
        <w:spacing w:before="240" w:after="240" w:line="480" w:lineRule="auto"/>
        <w:ind w:firstLine="720"/>
        <w:jc w:val="both"/>
        <w:rPr>
          <w:sz w:val="22"/>
          <w:szCs w:val="22"/>
        </w:rPr>
      </w:pPr>
      <w:r>
        <w:t xml:space="preserve">Following Uribe and </w:t>
      </w:r>
      <w:proofErr w:type="spellStart"/>
      <w:r>
        <w:t>Yue</w:t>
      </w:r>
      <w:proofErr w:type="spellEnd"/>
      <w:r>
        <w:t xml:space="preserve"> (2006), we assumed that the gross interest rate faced by the domestic economy consists of the long-run average gross interest rate </w:t>
      </w:r>
      <w:r w:rsidRPr="00B9795B">
        <w:rPr>
          <w:rFonts w:eastAsia="Calibri" w:cs="Arial"/>
          <w:position w:val="-4"/>
          <w:sz w:val="22"/>
          <w:szCs w:val="22"/>
        </w:rPr>
        <w:object w:dxaOrig="345" w:dyaOrig="285">
          <v:shape id="_x0000_i1184" type="#_x0000_t75" style="width:16.75pt;height:13.4pt" o:ole="">
            <v:imagedata r:id="rId326" o:title=""/>
          </v:shape>
          <o:OLEObject Type="Embed" ProgID="Equation.DSMT4" ShapeID="_x0000_i1184" DrawAspect="Content" ObjectID="_1359267107" r:id="rId327"/>
        </w:object>
      </w:r>
      <w:r>
        <w:t>plus a country-specific risk premium that depends on domestic fundamentals and on other exogenous factors.  Accordingly, we assume that the country premium is increasing in terms of trade and decreasing in percapita output. Hence, the international cost of borrowing can be described by the following</w:t>
      </w:r>
    </w:p>
    <w:p w:rsidR="00FB71B2" w:rsidRDefault="00FB71B2" w:rsidP="00AD1AA7">
      <w:pPr>
        <w:autoSpaceDE w:val="0"/>
        <w:autoSpaceDN w:val="0"/>
        <w:adjustRightInd w:val="0"/>
        <w:spacing w:before="120" w:after="120" w:line="480" w:lineRule="auto"/>
        <w:jc w:val="right"/>
      </w:pPr>
      <w:r w:rsidRPr="00B9795B">
        <w:rPr>
          <w:rFonts w:eastAsia="Calibri" w:cs="Arial"/>
          <w:position w:val="-16"/>
          <w:sz w:val="22"/>
          <w:szCs w:val="22"/>
        </w:rPr>
        <w:object w:dxaOrig="3375" w:dyaOrig="435">
          <v:shape id="_x0000_i1185" type="#_x0000_t75" style="width:169.1pt;height:22.6pt" o:ole="">
            <v:imagedata r:id="rId328" o:title=""/>
          </v:shape>
          <o:OLEObject Type="Embed" ProgID="Equation.DSMT4" ShapeID="_x0000_i1185" DrawAspect="Content" ObjectID="_1359267108" r:id="rId329"/>
        </w:object>
      </w:r>
      <w:r>
        <w:t xml:space="preserve">                                                  (</w:t>
      </w:r>
      <w:r w:rsidR="00B3510E">
        <w:t>2.</w:t>
      </w:r>
      <w:r>
        <w:t>9)</w:t>
      </w:r>
      <w:r>
        <w:rPr>
          <w:position w:val="-16"/>
        </w:rPr>
        <w:t xml:space="preserve">  </w:t>
      </w:r>
    </w:p>
    <w:p w:rsidR="00FB71B2" w:rsidRDefault="00FB71B2" w:rsidP="00C30B64">
      <w:pPr>
        <w:spacing w:before="240" w:after="240" w:line="480" w:lineRule="auto"/>
        <w:jc w:val="both"/>
      </w:pPr>
      <w:proofErr w:type="gramStart"/>
      <w:r>
        <w:t>where</w:t>
      </w:r>
      <w:proofErr w:type="gramEnd"/>
      <w:r>
        <w:t xml:space="preserve"> the country premium </w:t>
      </w:r>
      <w:r w:rsidRPr="00B9795B">
        <w:rPr>
          <w:rFonts w:eastAsia="Calibri" w:cs="Arial"/>
          <w:position w:val="-16"/>
          <w:sz w:val="22"/>
          <w:szCs w:val="22"/>
        </w:rPr>
        <w:object w:dxaOrig="945" w:dyaOrig="435">
          <v:shape id="_x0000_i1186" type="#_x0000_t75" style="width:46.9pt;height:22.6pt" o:ole="">
            <v:imagedata r:id="rId330" o:title=""/>
          </v:shape>
          <o:OLEObject Type="Embed" ProgID="Equation.DSMT4" ShapeID="_x0000_i1186" DrawAspect="Content" ObjectID="_1359267109" r:id="rId331"/>
        </w:object>
      </w:r>
      <w:r>
        <w:t>is increasing in ToT and decreasing in the wide economy percapita output</w:t>
      </w:r>
      <w:r w:rsidRPr="00B9795B">
        <w:rPr>
          <w:rFonts w:eastAsia="Calibri" w:cs="Arial"/>
          <w:position w:val="-12"/>
          <w:sz w:val="22"/>
          <w:szCs w:val="22"/>
        </w:rPr>
        <w:object w:dxaOrig="240" w:dyaOrig="345">
          <v:shape id="_x0000_i1187" type="#_x0000_t75" style="width:13.4pt;height:16.75pt" o:ole="">
            <v:imagedata r:id="rId103" o:title=""/>
          </v:shape>
          <o:OLEObject Type="Embed" ProgID="Equation.DSMT4" ShapeID="_x0000_i1187" DrawAspect="Content" ObjectID="_1359267110" r:id="rId332"/>
        </w:object>
      </w:r>
      <w:r>
        <w:t xml:space="preserve">. The elasticity of the risk premium ToT is </w:t>
      </w:r>
      <w:r w:rsidRPr="00B9795B">
        <w:rPr>
          <w:rFonts w:eastAsia="Calibri" w:cs="Arial"/>
          <w:position w:val="-10"/>
          <w:sz w:val="22"/>
          <w:szCs w:val="22"/>
        </w:rPr>
        <w:object w:dxaOrig="585" w:dyaOrig="345">
          <v:shape id="_x0000_i1188" type="#_x0000_t75" style="width:30.15pt;height:16.75pt" o:ole="">
            <v:imagedata r:id="rId109" o:title=""/>
          </v:shape>
          <o:OLEObject Type="Embed" ProgID="Equation.DSMT4" ShapeID="_x0000_i1188" DrawAspect="Content" ObjectID="_1359267111" r:id="rId333"/>
        </w:object>
      </w:r>
      <w:r>
        <w:t xml:space="preserve"> and to output is</w:t>
      </w:r>
      <w:r w:rsidR="00240F67" w:rsidRPr="00B9795B">
        <w:rPr>
          <w:rFonts w:eastAsia="Calibri" w:cs="Arial"/>
          <w:position w:val="-10"/>
          <w:sz w:val="22"/>
          <w:szCs w:val="22"/>
        </w:rPr>
        <w:object w:dxaOrig="520" w:dyaOrig="300">
          <v:shape id="_x0000_i1771" type="#_x0000_t75" style="width:31pt;height:16.75pt" o:ole="">
            <v:imagedata r:id="rId334" o:title=""/>
          </v:shape>
          <o:OLEObject Type="Embed" ProgID="Equation.DSMT4" ShapeID="_x0000_i1771" DrawAspect="Content" ObjectID="_1359267112" r:id="rId335"/>
        </w:object>
      </w:r>
      <w:r>
        <w:t xml:space="preserve">. </w:t>
      </w:r>
    </w:p>
    <w:p w:rsidR="00FB71B2" w:rsidRDefault="00FB71B2" w:rsidP="00B40D39">
      <w:pPr>
        <w:spacing w:before="240" w:after="240" w:line="480" w:lineRule="auto"/>
        <w:ind w:firstLine="720"/>
        <w:jc w:val="both"/>
      </w:pPr>
      <w:r>
        <w:t>It is also common to incorporate a convex adjustment cost function to control the speed of capital adjustment. Hence, investment spending is assumed to evolve as follows:</w:t>
      </w:r>
    </w:p>
    <w:p w:rsidR="00FB71B2" w:rsidRDefault="00FB71B2" w:rsidP="00AD1AA7">
      <w:pPr>
        <w:autoSpaceDE w:val="0"/>
        <w:autoSpaceDN w:val="0"/>
        <w:adjustRightInd w:val="0"/>
        <w:spacing w:before="120" w:after="120" w:line="480" w:lineRule="auto"/>
        <w:jc w:val="right"/>
      </w:pPr>
      <w:r w:rsidRPr="00B9795B">
        <w:rPr>
          <w:rFonts w:eastAsia="Calibri" w:cs="Arial"/>
          <w:position w:val="-12"/>
          <w:sz w:val="22"/>
          <w:szCs w:val="22"/>
        </w:rPr>
        <w:object w:dxaOrig="3720" w:dyaOrig="405">
          <v:shape id="_x0000_i1190" type="#_x0000_t75" style="width:185.85pt;height:19.25pt" o:ole="">
            <v:imagedata r:id="rId336" o:title=""/>
          </v:shape>
          <o:OLEObject Type="Embed" ProgID="Equation.DSMT4" ShapeID="_x0000_i1190" DrawAspect="Content" ObjectID="_1359267113" r:id="rId337"/>
        </w:object>
      </w:r>
      <w:r>
        <w:t>,                                                (</w:t>
      </w:r>
      <w:r w:rsidR="00B3510E">
        <w:t>2.</w:t>
      </w:r>
      <w:r>
        <w:t>10)</w:t>
      </w:r>
      <w:r>
        <w:rPr>
          <w:position w:val="-16"/>
        </w:rPr>
        <w:t xml:space="preserve">  </w:t>
      </w:r>
    </w:p>
    <w:p w:rsidR="00FB71B2" w:rsidRDefault="00FB71B2" w:rsidP="00C30B64">
      <w:pPr>
        <w:spacing w:before="240" w:after="240" w:line="480" w:lineRule="auto"/>
        <w:jc w:val="both"/>
      </w:pPr>
      <w:proofErr w:type="gramStart"/>
      <w:r>
        <w:t>where</w:t>
      </w:r>
      <w:proofErr w:type="gramEnd"/>
      <w:r>
        <w:t xml:space="preserve"> </w:t>
      </w:r>
      <w:r w:rsidRPr="00B9795B">
        <w:rPr>
          <w:rFonts w:eastAsia="Calibri" w:cs="Arial"/>
          <w:position w:val="-6"/>
          <w:sz w:val="22"/>
          <w:szCs w:val="22"/>
        </w:rPr>
        <w:object w:dxaOrig="195" w:dyaOrig="285">
          <v:shape id="_x0000_i1191" type="#_x0000_t75" style="width:9.2pt;height:13.4pt" o:ole="">
            <v:imagedata r:id="rId338" o:title=""/>
          </v:shape>
          <o:OLEObject Type="Embed" ProgID="Equation.DSMT4" ShapeID="_x0000_i1191" DrawAspect="Content" ObjectID="_1359267114" r:id="rId339"/>
        </w:object>
      </w:r>
      <w:r>
        <w:t xml:space="preserve">is the stock of domestic capital and </w:t>
      </w:r>
      <w:r w:rsidRPr="00B9795B">
        <w:rPr>
          <w:rFonts w:eastAsia="Calibri" w:cs="Arial"/>
          <w:position w:val="-10"/>
          <w:sz w:val="22"/>
          <w:szCs w:val="22"/>
        </w:rPr>
        <w:object w:dxaOrig="240" w:dyaOrig="345">
          <v:shape id="_x0000_i1192" type="#_x0000_t75" style="width:13.4pt;height:16.75pt" o:ole="">
            <v:imagedata r:id="rId340" o:title=""/>
          </v:shape>
          <o:OLEObject Type="Embed" ProgID="Equation.DSMT4" ShapeID="_x0000_i1192" DrawAspect="Content" ObjectID="_1359267115" r:id="rId341"/>
        </w:object>
      </w:r>
      <w:r>
        <w:t xml:space="preserve">controls the speed of adjustment of the capital stock. Following Baxter and Dorsey (2001), we use variable capacity utilization to improve our control over the volatility of the artificial business cycle data. Accordingly, the time varying depreciation rate of capital </w:t>
      </w:r>
      <w:r w:rsidRPr="00B9795B">
        <w:rPr>
          <w:rFonts w:eastAsia="Calibri" w:cs="Arial"/>
          <w:position w:val="-14"/>
          <w:sz w:val="22"/>
          <w:szCs w:val="22"/>
        </w:rPr>
        <w:object w:dxaOrig="945" w:dyaOrig="405">
          <v:shape id="_x0000_i1193" type="#_x0000_t75" style="width:46.9pt;height:19.25pt" o:ole="">
            <v:imagedata r:id="rId342" o:title=""/>
          </v:shape>
          <o:OLEObject Type="Embed" ProgID="Equation.DSMT4" ShapeID="_x0000_i1193" DrawAspect="Content" ObjectID="_1359267116" r:id="rId343"/>
        </w:object>
      </w:r>
      <w:r>
        <w:t xml:space="preserve"> is an increasing function of the utilization rate:</w:t>
      </w:r>
    </w:p>
    <w:p w:rsidR="00FB71B2" w:rsidRDefault="00FB71B2" w:rsidP="00AD1AA7">
      <w:pPr>
        <w:autoSpaceDE w:val="0"/>
        <w:autoSpaceDN w:val="0"/>
        <w:adjustRightInd w:val="0"/>
        <w:spacing w:before="120" w:after="120" w:line="480" w:lineRule="auto"/>
        <w:jc w:val="right"/>
      </w:pPr>
      <w:r w:rsidRPr="00B9795B">
        <w:rPr>
          <w:rFonts w:eastAsia="Calibri" w:cs="Arial"/>
          <w:position w:val="-10"/>
          <w:sz w:val="22"/>
          <w:szCs w:val="22"/>
        </w:rPr>
        <w:object w:dxaOrig="840" w:dyaOrig="345">
          <v:shape id="_x0000_i1194" type="#_x0000_t75" style="width:41.85pt;height:16.75pt" o:ole="">
            <v:imagedata r:id="rId344" o:title=""/>
          </v:shape>
          <o:OLEObject Type="Embed" ProgID="Equation.DSMT4" ShapeID="_x0000_i1194" DrawAspect="Content" ObjectID="_1359267117" r:id="rId345"/>
        </w:object>
      </w:r>
      <w:r>
        <w:t xml:space="preserve">,                </w:t>
      </w:r>
      <w:r w:rsidR="00C86268">
        <w:t xml:space="preserve"> </w:t>
      </w:r>
      <w:r>
        <w:t xml:space="preserve">                                                     (</w:t>
      </w:r>
      <w:r w:rsidR="00B3510E">
        <w:t>2.</w:t>
      </w:r>
      <w:r>
        <w:t>11)</w:t>
      </w:r>
      <w:r>
        <w:rPr>
          <w:position w:val="-16"/>
        </w:rPr>
        <w:t xml:space="preserve">  </w:t>
      </w:r>
    </w:p>
    <w:p w:rsidR="00FB71B2" w:rsidRDefault="00FB71B2" w:rsidP="00C30B64">
      <w:pPr>
        <w:spacing w:before="240" w:after="240" w:line="480" w:lineRule="auto"/>
        <w:jc w:val="both"/>
      </w:pPr>
      <w:proofErr w:type="gramStart"/>
      <w:r>
        <w:t>where</w:t>
      </w:r>
      <w:proofErr w:type="gramEnd"/>
      <w:r>
        <w:t xml:space="preserve"> </w:t>
      </w:r>
      <w:r w:rsidRPr="00B9795B">
        <w:rPr>
          <w:rFonts w:eastAsia="Calibri" w:cs="Arial"/>
          <w:position w:val="-14"/>
          <w:sz w:val="22"/>
          <w:szCs w:val="22"/>
        </w:rPr>
        <w:object w:dxaOrig="945" w:dyaOrig="405">
          <v:shape id="_x0000_i1195" type="#_x0000_t75" style="width:46.9pt;height:19.25pt" o:ole="">
            <v:imagedata r:id="rId346" o:title=""/>
          </v:shape>
          <o:OLEObject Type="Embed" ProgID="Equation.DSMT4" ShapeID="_x0000_i1195" DrawAspect="Content" ObjectID="_1359267118" r:id="rId347"/>
        </w:object>
      </w:r>
      <w:r>
        <w:t>is the utilization rate,</w:t>
      </w:r>
      <w:r w:rsidRPr="00B9795B">
        <w:rPr>
          <w:rFonts w:eastAsia="Calibri" w:cs="Arial"/>
          <w:position w:val="-10"/>
          <w:sz w:val="22"/>
          <w:szCs w:val="22"/>
        </w:rPr>
        <w:object w:dxaOrig="555" w:dyaOrig="345">
          <v:shape id="_x0000_i1196" type="#_x0000_t75" style="width:28.45pt;height:16.75pt" o:ole="">
            <v:imagedata r:id="rId348" o:title=""/>
          </v:shape>
          <o:OLEObject Type="Embed" ProgID="Equation.DSMT4" ShapeID="_x0000_i1196" DrawAspect="Content" ObjectID="_1359267119" r:id="rId349"/>
        </w:object>
      </w:r>
      <w:r>
        <w:t xml:space="preserve">is the elasticity of the depreciation to utilization rate and </w:t>
      </w:r>
      <w:r w:rsidRPr="00B9795B">
        <w:rPr>
          <w:rFonts w:eastAsia="Calibri" w:cs="Arial"/>
          <w:position w:val="-6"/>
          <w:sz w:val="22"/>
          <w:szCs w:val="22"/>
        </w:rPr>
        <w:object w:dxaOrig="585" w:dyaOrig="285">
          <v:shape id="_x0000_i1197" type="#_x0000_t75" style="width:30.15pt;height:13.4pt" o:ole="">
            <v:imagedata r:id="rId350" o:title=""/>
          </v:shape>
          <o:OLEObject Type="Embed" ProgID="Equation.DSMT4" ShapeID="_x0000_i1197" DrawAspect="Content" ObjectID="_1359267120" r:id="rId351"/>
        </w:object>
      </w:r>
      <w:r>
        <w:t xml:space="preserve"> is a scaling parameter to guarantee that the steady state rate of depreciation equals the equilibrium rate. </w:t>
      </w:r>
      <w:r w:rsidRPr="00B9795B">
        <w:rPr>
          <w:rFonts w:eastAsia="Calibri" w:cs="Arial"/>
          <w:position w:val="-12"/>
          <w:sz w:val="22"/>
          <w:szCs w:val="22"/>
        </w:rPr>
        <w:object w:dxaOrig="1155" w:dyaOrig="345">
          <v:shape id="_x0000_i1198" type="#_x0000_t75" style="width:58.6pt;height:16.75pt" o:ole="">
            <v:imagedata r:id="rId135" o:title=""/>
          </v:shape>
          <o:OLEObject Type="Embed" ProgID="Equation.DSMT4" ShapeID="_x0000_i1198" DrawAspect="Content" ObjectID="_1359267121" r:id="rId352"/>
        </w:object>
      </w:r>
      <w:proofErr w:type="gramStart"/>
      <w:r>
        <w:t>is</w:t>
      </w:r>
      <w:proofErr w:type="gramEnd"/>
      <w:r>
        <w:t xml:space="preserve"> the elasticity of marginal depreciation with respect to the utilization rate.  As intensive capital utilization accelerates the rate of depreciation, firms select a rate of utilization by weighing the benefits of greater output against the costs of greater depreciation. The Cobb-Douglas production function has the following form:</w:t>
      </w:r>
    </w:p>
    <w:p w:rsidR="00FB71B2" w:rsidRDefault="00B40D39" w:rsidP="00AD1AA7">
      <w:pPr>
        <w:autoSpaceDE w:val="0"/>
        <w:autoSpaceDN w:val="0"/>
        <w:adjustRightInd w:val="0"/>
        <w:spacing w:before="120" w:after="120" w:line="480" w:lineRule="auto"/>
        <w:jc w:val="right"/>
      </w:pPr>
      <w:r w:rsidRPr="00B9795B">
        <w:rPr>
          <w:rFonts w:eastAsia="Calibri" w:cs="Arial"/>
          <w:position w:val="-12"/>
          <w:sz w:val="22"/>
          <w:szCs w:val="22"/>
        </w:rPr>
        <w:object w:dxaOrig="1680" w:dyaOrig="405">
          <v:shape id="_x0000_i1199" type="#_x0000_t75" style="width:92.1pt;height:20.95pt" o:ole="">
            <v:imagedata r:id="rId353" o:title=""/>
          </v:shape>
          <o:OLEObject Type="Embed" ProgID="Equation.DSMT4" ShapeID="_x0000_i1199" DrawAspect="Content" ObjectID="_1359267122" r:id="rId354"/>
        </w:object>
      </w:r>
      <w:r w:rsidR="00C86268">
        <w:t xml:space="preserve">,  </w:t>
      </w:r>
      <w:r w:rsidR="00FB71B2">
        <w:t xml:space="preserve">   </w:t>
      </w:r>
      <w:r w:rsidR="00C86268">
        <w:t xml:space="preserve"> </w:t>
      </w:r>
      <w:r w:rsidR="00FB71B2">
        <w:t xml:space="preserve">                                                         (</w:t>
      </w:r>
      <w:r w:rsidR="00B3510E">
        <w:t>2.</w:t>
      </w:r>
      <w:r w:rsidR="00FB71B2">
        <w:t>12)</w:t>
      </w:r>
      <w:r w:rsidR="00FB71B2">
        <w:rPr>
          <w:position w:val="-16"/>
        </w:rPr>
        <w:t xml:space="preserve">  </w:t>
      </w:r>
    </w:p>
    <w:p w:rsidR="00FB71B2" w:rsidRDefault="00FB71B2" w:rsidP="00772912">
      <w:pPr>
        <w:spacing w:line="480" w:lineRule="auto"/>
        <w:jc w:val="both"/>
      </w:pPr>
      <w:proofErr w:type="gramStart"/>
      <w:r>
        <w:t>where</w:t>
      </w:r>
      <w:proofErr w:type="gramEnd"/>
      <w:r w:rsidRPr="00B9795B">
        <w:rPr>
          <w:rFonts w:eastAsia="Calibri" w:cs="Arial"/>
          <w:position w:val="-14"/>
          <w:sz w:val="22"/>
          <w:szCs w:val="22"/>
        </w:rPr>
        <w:object w:dxaOrig="945" w:dyaOrig="405">
          <v:shape id="_x0000_i1200" type="#_x0000_t75" style="width:46.9pt;height:19.25pt" o:ole="">
            <v:imagedata r:id="rId355" o:title=""/>
          </v:shape>
          <o:OLEObject Type="Embed" ProgID="Equation.DSMT4" ShapeID="_x0000_i1200" DrawAspect="Content" ObjectID="_1359267123" r:id="rId356"/>
        </w:object>
      </w:r>
      <w:r>
        <w:t xml:space="preserve"> is the capital share</w:t>
      </w:r>
      <w:r w:rsidR="005B677F">
        <w:t xml:space="preserve"> in the production of one unit of output</w:t>
      </w:r>
      <w:r>
        <w:t>. Technological progress denoted by</w:t>
      </w:r>
      <w:r w:rsidRPr="00B9795B">
        <w:rPr>
          <w:rFonts w:eastAsia="Calibri" w:cs="Arial"/>
          <w:position w:val="-12"/>
          <w:sz w:val="22"/>
          <w:szCs w:val="22"/>
        </w:rPr>
        <w:object w:dxaOrig="240" w:dyaOrig="345">
          <v:shape id="_x0000_i1201" type="#_x0000_t75" style="width:13.4pt;height:16.75pt" o:ole="">
            <v:imagedata r:id="rId357" o:title=""/>
          </v:shape>
          <o:OLEObject Type="Embed" ProgID="Equation.DSMT4" ShapeID="_x0000_i1201" DrawAspect="Content" ObjectID="_1359267124" r:id="rId358"/>
        </w:object>
      </w:r>
      <w:r>
        <w:t>, is assumed to follow a stationary AR</w:t>
      </w:r>
      <w:r w:rsidR="005B677F">
        <w:t xml:space="preserve"> </w:t>
      </w:r>
      <w:r>
        <w:t>(1) process:</w:t>
      </w:r>
    </w:p>
    <w:p w:rsidR="00FB71B2" w:rsidRDefault="00FB71B2" w:rsidP="00AD1AA7">
      <w:pPr>
        <w:autoSpaceDE w:val="0"/>
        <w:autoSpaceDN w:val="0"/>
        <w:adjustRightInd w:val="0"/>
        <w:spacing w:before="120" w:after="120" w:line="480" w:lineRule="auto"/>
        <w:jc w:val="right"/>
      </w:pPr>
      <w:r w:rsidRPr="00B9795B">
        <w:rPr>
          <w:rFonts w:eastAsia="Calibri" w:cs="Arial"/>
          <w:position w:val="-16"/>
          <w:sz w:val="22"/>
          <w:szCs w:val="22"/>
        </w:rPr>
        <w:object w:dxaOrig="5460" w:dyaOrig="435">
          <v:shape id="_x0000_i1202" type="#_x0000_t75" style="width:273.75pt;height:22.6pt" o:ole="">
            <v:imagedata r:id="rId359" o:title=""/>
          </v:shape>
          <o:OLEObject Type="Embed" ProgID="Equation.DSMT4" ShapeID="_x0000_i1202" DrawAspect="Content" ObjectID="_1359267125" r:id="rId360"/>
        </w:object>
      </w:r>
      <w:r>
        <w:t xml:space="preserve">                       (</w:t>
      </w:r>
      <w:r w:rsidR="00B3510E">
        <w:t>2.</w:t>
      </w:r>
      <w:r>
        <w:t>13)</w:t>
      </w:r>
      <w:r>
        <w:rPr>
          <w:position w:val="-16"/>
        </w:rPr>
        <w:t xml:space="preserve">  </w:t>
      </w:r>
    </w:p>
    <w:p w:rsidR="00FB71B2" w:rsidRDefault="00FB71B2" w:rsidP="00C30B64">
      <w:pPr>
        <w:spacing w:line="480" w:lineRule="auto"/>
        <w:ind w:firstLine="720"/>
        <w:jc w:val="both"/>
      </w:pPr>
      <w:r>
        <w:t>In addition households are subject to No-Ponzi-scheme constraints of the form</w:t>
      </w:r>
    </w:p>
    <w:p w:rsidR="00FB71B2" w:rsidRDefault="00FB71B2" w:rsidP="00AD1AA7">
      <w:pPr>
        <w:spacing w:before="120" w:after="120" w:line="480" w:lineRule="auto"/>
        <w:jc w:val="right"/>
      </w:pPr>
      <w:r w:rsidRPr="00B9795B">
        <w:rPr>
          <w:rFonts w:eastAsia="Calibri" w:cs="Arial"/>
          <w:position w:val="-58"/>
          <w:sz w:val="22"/>
          <w:szCs w:val="22"/>
        </w:rPr>
        <w:object w:dxaOrig="1695" w:dyaOrig="840">
          <v:shape id="_x0000_i1203" type="#_x0000_t75" style="width:85.4pt;height:41.85pt" o:ole="">
            <v:imagedata r:id="rId143" o:title=""/>
          </v:shape>
          <o:OLEObject Type="Embed" ProgID="Equation.DSMT4" ShapeID="_x0000_i1203" DrawAspect="Content" ObjectID="_1359267126" r:id="rId361"/>
        </w:object>
      </w:r>
      <w:r w:rsidR="00C86268">
        <w:t xml:space="preserve">         </w:t>
      </w:r>
      <w:r>
        <w:t xml:space="preserve">   </w:t>
      </w:r>
      <w:r w:rsidR="00C86268">
        <w:t xml:space="preserve">  </w:t>
      </w:r>
      <w:r>
        <w:t xml:space="preserve">                                               (</w:t>
      </w:r>
      <w:r w:rsidR="00B3510E">
        <w:t>2.</w:t>
      </w:r>
      <w:r>
        <w:t>14)</w:t>
      </w:r>
    </w:p>
    <w:p w:rsidR="00FB71B2" w:rsidRDefault="00FB71B2" w:rsidP="00C30B64">
      <w:pPr>
        <w:spacing w:line="480" w:lineRule="auto"/>
        <w:ind w:firstLine="720"/>
        <w:jc w:val="both"/>
      </w:pPr>
      <w:r>
        <w:t>Household’s objective is to maximize its life-time expected utility (</w:t>
      </w:r>
      <w:r w:rsidR="00E011C0">
        <w:t>2.</w:t>
      </w:r>
      <w:r>
        <w:t>3) subject to the budget constraint (</w:t>
      </w:r>
      <w:r w:rsidR="00E011C0">
        <w:t>2.</w:t>
      </w:r>
      <w:r>
        <w:t>8), the transition equation for the stocks of home durables (</w:t>
      </w:r>
      <w:r w:rsidR="00E011C0">
        <w:t>2.</w:t>
      </w:r>
      <w:r>
        <w:t>6), the transition equation for foreign durables (</w:t>
      </w:r>
      <w:r w:rsidR="00E011C0">
        <w:t>2.</w:t>
      </w:r>
      <w:r>
        <w:t>7) and the transition equation for capital (</w:t>
      </w:r>
      <w:r w:rsidR="00E011C0">
        <w:t>2.</w:t>
      </w:r>
      <w:r>
        <w:t>10). The dynamic programming yields the following first-order conditions:</w:t>
      </w:r>
    </w:p>
    <w:p w:rsidR="00A13AC9" w:rsidRDefault="00A13AC9" w:rsidP="00C30B64">
      <w:pPr>
        <w:spacing w:line="480" w:lineRule="auto"/>
        <w:ind w:firstLine="720"/>
        <w:jc w:val="both"/>
      </w:pPr>
    </w:p>
    <w:p w:rsidR="00FB71B2" w:rsidRDefault="00E011C0" w:rsidP="00AD1AA7">
      <w:pPr>
        <w:autoSpaceDE w:val="0"/>
        <w:autoSpaceDN w:val="0"/>
        <w:adjustRightInd w:val="0"/>
        <w:spacing w:before="120" w:after="120" w:line="480" w:lineRule="auto"/>
        <w:jc w:val="right"/>
        <w:rPr>
          <w:rFonts w:ascii="Calibri" w:hAnsi="Calibri"/>
          <w:position w:val="-16"/>
        </w:rPr>
      </w:pPr>
      <w:r w:rsidRPr="00B9795B">
        <w:rPr>
          <w:rFonts w:eastAsia="Calibri" w:cs="Arial"/>
          <w:position w:val="-82"/>
          <w:sz w:val="22"/>
          <w:szCs w:val="22"/>
        </w:rPr>
        <w:object w:dxaOrig="8895" w:dyaOrig="1830">
          <v:shape id="_x0000_i1204" type="#_x0000_t75" style="width:411.9pt;height:92.1pt" o:ole="">
            <v:imagedata r:id="rId362" o:title=""/>
          </v:shape>
          <o:OLEObject Type="Embed" ProgID="Equation.DSMT4" ShapeID="_x0000_i1204" DrawAspect="Content" ObjectID="_1359267127" r:id="rId363"/>
        </w:object>
      </w:r>
      <w:r w:rsidR="00FB71B2">
        <w:t xml:space="preserve"> </w:t>
      </w:r>
      <w:r>
        <w:t xml:space="preserve">    </w:t>
      </w:r>
      <w:r w:rsidR="00FB71B2">
        <w:t>(</w:t>
      </w:r>
      <w:r w:rsidR="00B3510E">
        <w:t>2.</w:t>
      </w:r>
      <w:r w:rsidR="00FB71B2">
        <w:t>15)</w:t>
      </w:r>
      <w:r w:rsidR="00FB71B2">
        <w:rPr>
          <w:position w:val="-16"/>
        </w:rPr>
        <w:t xml:space="preserve"> </w:t>
      </w:r>
    </w:p>
    <w:p w:rsidR="00E011C0" w:rsidRDefault="00E011C0" w:rsidP="00AD1AA7">
      <w:pPr>
        <w:autoSpaceDE w:val="0"/>
        <w:autoSpaceDN w:val="0"/>
        <w:adjustRightInd w:val="0"/>
        <w:spacing w:before="120" w:after="120" w:line="480" w:lineRule="auto"/>
        <w:jc w:val="right"/>
        <w:rPr>
          <w:rFonts w:ascii="Calibri" w:hAnsi="Calibri"/>
          <w:position w:val="-16"/>
        </w:rPr>
      </w:pPr>
      <w:r w:rsidRPr="00E011C0">
        <w:rPr>
          <w:rFonts w:eastAsia="Calibri" w:cs="Arial"/>
          <w:position w:val="-84"/>
          <w:sz w:val="22"/>
          <w:szCs w:val="22"/>
        </w:rPr>
        <w:object w:dxaOrig="10160" w:dyaOrig="1780">
          <v:shape id="_x0000_i1205" type="#_x0000_t75" style="width:410.25pt;height:88.75pt" o:ole="">
            <v:imagedata r:id="rId364" o:title=""/>
          </v:shape>
          <o:OLEObject Type="Embed" ProgID="Equation.DSMT4" ShapeID="_x0000_i1205" DrawAspect="Content" ObjectID="_1359267128" r:id="rId365"/>
        </w:object>
      </w:r>
      <w:r>
        <w:t xml:space="preserve">     (2.16)</w:t>
      </w:r>
      <w:r>
        <w:rPr>
          <w:position w:val="-16"/>
        </w:rPr>
        <w:t xml:space="preserve"> </w:t>
      </w:r>
    </w:p>
    <w:p w:rsidR="00FB71B2" w:rsidRDefault="00FB71B2" w:rsidP="00AD1AA7">
      <w:pPr>
        <w:autoSpaceDE w:val="0"/>
        <w:autoSpaceDN w:val="0"/>
        <w:adjustRightInd w:val="0"/>
        <w:spacing w:before="120" w:after="120" w:line="480" w:lineRule="auto"/>
        <w:jc w:val="right"/>
        <w:rPr>
          <w:rFonts w:ascii="Calibri" w:hAnsi="Calibri"/>
          <w:position w:val="-16"/>
        </w:rPr>
      </w:pPr>
      <w:r w:rsidRPr="00B9795B">
        <w:rPr>
          <w:rFonts w:eastAsia="Calibri" w:cs="Arial"/>
          <w:position w:val="-28"/>
          <w:sz w:val="22"/>
          <w:szCs w:val="22"/>
        </w:rPr>
        <w:object w:dxaOrig="8145" w:dyaOrig="645">
          <v:shape id="_x0000_i1206" type="#_x0000_t75" style="width:407.7pt;height:32.65pt" o:ole="">
            <v:imagedata r:id="rId366" o:title=""/>
          </v:shape>
          <o:OLEObject Type="Embed" ProgID="Equation.DSMT4" ShapeID="_x0000_i1206" DrawAspect="Content" ObjectID="_1359267129" r:id="rId367"/>
        </w:object>
      </w:r>
      <w:r>
        <w:rPr>
          <w:position w:val="-70"/>
        </w:rPr>
        <w:t xml:space="preserve">       </w:t>
      </w:r>
      <w:r>
        <w:t>(</w:t>
      </w:r>
      <w:r w:rsidR="00B3510E">
        <w:t>2.</w:t>
      </w:r>
      <w:r>
        <w:t>17)</w:t>
      </w:r>
    </w:p>
    <w:p w:rsidR="00FB71B2" w:rsidRDefault="00FB71B2" w:rsidP="00AD1AA7">
      <w:pPr>
        <w:autoSpaceDE w:val="0"/>
        <w:autoSpaceDN w:val="0"/>
        <w:adjustRightInd w:val="0"/>
        <w:spacing w:before="240" w:after="240" w:line="480" w:lineRule="auto"/>
        <w:jc w:val="right"/>
      </w:pPr>
      <w:r w:rsidRPr="00B9795B">
        <w:rPr>
          <w:rFonts w:eastAsia="Calibri" w:cs="Arial"/>
          <w:position w:val="-36"/>
          <w:sz w:val="22"/>
          <w:szCs w:val="22"/>
        </w:rPr>
        <w:object w:dxaOrig="6450" w:dyaOrig="840">
          <v:shape id="_x0000_i1207" type="#_x0000_t75" style="width:322.35pt;height:41.85pt" o:ole="">
            <v:imagedata r:id="rId368" o:title=""/>
          </v:shape>
          <o:OLEObject Type="Embed" ProgID="Equation.DSMT4" ShapeID="_x0000_i1207" DrawAspect="Content" ObjectID="_1359267130" r:id="rId369"/>
        </w:object>
      </w:r>
      <w:r>
        <w:t xml:space="preserve">                     (</w:t>
      </w:r>
      <w:r w:rsidR="00B3510E">
        <w:t>2.</w:t>
      </w:r>
      <w:r>
        <w:t>18)</w:t>
      </w:r>
      <w:r>
        <w:rPr>
          <w:position w:val="-16"/>
        </w:rPr>
        <w:t xml:space="preserve">  </w:t>
      </w:r>
    </w:p>
    <w:p w:rsidR="00FB71B2" w:rsidRDefault="00FB71B2" w:rsidP="00AD1AA7">
      <w:pPr>
        <w:autoSpaceDE w:val="0"/>
        <w:autoSpaceDN w:val="0"/>
        <w:adjustRightInd w:val="0"/>
        <w:spacing w:before="120" w:after="120" w:line="480" w:lineRule="auto"/>
        <w:jc w:val="right"/>
      </w:pPr>
      <w:r w:rsidRPr="00B9795B">
        <w:rPr>
          <w:rFonts w:eastAsia="Calibri" w:cs="Arial"/>
          <w:position w:val="-28"/>
          <w:sz w:val="22"/>
          <w:szCs w:val="22"/>
        </w:rPr>
        <w:object w:dxaOrig="900" w:dyaOrig="645">
          <v:shape id="_x0000_i1208" type="#_x0000_t75" style="width:46.05pt;height:32.65pt" o:ole="">
            <v:imagedata r:id="rId370" o:title=""/>
          </v:shape>
          <o:OLEObject Type="Embed" ProgID="Equation.DSMT4" ShapeID="_x0000_i1208" DrawAspect="Content" ObjectID="_1359267131" r:id="rId371"/>
        </w:object>
      </w:r>
      <w:r>
        <w:rPr>
          <w:position w:val="-28"/>
        </w:rPr>
        <w:t xml:space="preserve">                                                                        </w:t>
      </w:r>
      <w:r>
        <w:t xml:space="preserve"> (</w:t>
      </w:r>
      <w:r w:rsidR="00B3510E">
        <w:t>2.</w:t>
      </w:r>
      <w:r>
        <w:t>19)</w:t>
      </w:r>
      <w:r>
        <w:rPr>
          <w:position w:val="-16"/>
        </w:rPr>
        <w:t xml:space="preserve">  </w:t>
      </w:r>
    </w:p>
    <w:p w:rsidR="00FB71B2" w:rsidRDefault="00FB71B2" w:rsidP="00AD1AA7">
      <w:pPr>
        <w:autoSpaceDE w:val="0"/>
        <w:autoSpaceDN w:val="0"/>
        <w:adjustRightInd w:val="0"/>
        <w:spacing w:before="120" w:after="120" w:line="480" w:lineRule="auto"/>
        <w:jc w:val="right"/>
      </w:pPr>
      <w:r w:rsidRPr="00B9795B">
        <w:rPr>
          <w:rFonts w:eastAsia="Calibri" w:cs="Arial"/>
          <w:position w:val="-18"/>
          <w:sz w:val="22"/>
          <w:szCs w:val="22"/>
        </w:rPr>
        <w:object w:dxaOrig="3225" w:dyaOrig="495">
          <v:shape id="_x0000_i1209" type="#_x0000_t75" style="width:160.75pt;height:25.1pt" o:ole="">
            <v:imagedata r:id="rId372" o:title=""/>
          </v:shape>
          <o:OLEObject Type="Embed" ProgID="Equation.DSMT4" ShapeID="_x0000_i1209" DrawAspect="Content" ObjectID="_1359267132" r:id="rId373"/>
        </w:object>
      </w:r>
      <w:r>
        <w:rPr>
          <w:position w:val="-14"/>
        </w:rPr>
        <w:t xml:space="preserve">                                                  </w:t>
      </w:r>
      <w:r>
        <w:t xml:space="preserve"> (</w:t>
      </w:r>
      <w:r w:rsidR="00B3510E">
        <w:t>2.</w:t>
      </w:r>
      <w:r>
        <w:t>20)</w:t>
      </w:r>
      <w:r>
        <w:rPr>
          <w:position w:val="-16"/>
        </w:rPr>
        <w:t xml:space="preserve">  </w:t>
      </w:r>
    </w:p>
    <w:p w:rsidR="000E42D7" w:rsidRDefault="00FB71B2" w:rsidP="000E42D7">
      <w:pPr>
        <w:spacing w:before="240" w:after="240" w:line="480" w:lineRule="auto"/>
        <w:jc w:val="both"/>
      </w:pPr>
      <w:proofErr w:type="gramStart"/>
      <w:r>
        <w:t>where</w:t>
      </w:r>
      <w:proofErr w:type="gramEnd"/>
      <w:r>
        <w:t xml:space="preserve"> </w:t>
      </w:r>
      <w:r w:rsidRPr="00B9795B">
        <w:rPr>
          <w:rFonts w:eastAsia="Calibri" w:cs="Arial"/>
          <w:position w:val="-10"/>
          <w:sz w:val="22"/>
          <w:szCs w:val="22"/>
        </w:rPr>
        <w:object w:dxaOrig="345" w:dyaOrig="345">
          <v:shape id="_x0000_i1210" type="#_x0000_t75" style="width:16.75pt;height:16.75pt" o:ole="">
            <v:imagedata r:id="rId157" o:title=""/>
          </v:shape>
          <o:OLEObject Type="Embed" ProgID="Equation.DSMT4" ShapeID="_x0000_i1210" DrawAspect="Content" ObjectID="_1359267133" r:id="rId374"/>
        </w:object>
      </w:r>
      <w:r>
        <w:t xml:space="preserve"> is the Lagrangian multiplier associated with the budget constraint. The solution to the model is a set of stochastic processes for the endogenous variables that satisfies the budget constraint (</w:t>
      </w:r>
      <w:r w:rsidR="00B3510E">
        <w:t>2.</w:t>
      </w:r>
      <w:r>
        <w:t>9), equation (</w:t>
      </w:r>
      <w:r w:rsidR="00B3510E">
        <w:t>2.</w:t>
      </w:r>
      <w:r>
        <w:t>10), the first-order conditions (</w:t>
      </w:r>
      <w:r w:rsidR="00B3510E">
        <w:t>2.</w:t>
      </w:r>
      <w:r>
        <w:t>15)–(</w:t>
      </w:r>
      <w:r w:rsidR="00B3510E">
        <w:t>2.</w:t>
      </w:r>
      <w:r>
        <w:t>20), the No-Ponzi-scheme constraints (</w:t>
      </w:r>
      <w:r w:rsidR="00B3510E">
        <w:t>2.</w:t>
      </w:r>
      <w:r>
        <w:t>14) and the initial conditions</w:t>
      </w:r>
      <w:r w:rsidRPr="00B9795B">
        <w:rPr>
          <w:rFonts w:eastAsia="Calibri" w:cs="Arial"/>
          <w:position w:val="-16"/>
          <w:sz w:val="22"/>
          <w:szCs w:val="22"/>
        </w:rPr>
        <w:object w:dxaOrig="2025" w:dyaOrig="450">
          <v:shape id="_x0000_i1211" type="#_x0000_t75" style="width:102.15pt;height:22.6pt" o:ole="">
            <v:imagedata r:id="rId375" o:title=""/>
          </v:shape>
          <o:OLEObject Type="Embed" ProgID="Equation.DSMT4" ShapeID="_x0000_i1211" DrawAspect="Content" ObjectID="_1359267134" r:id="rId376"/>
        </w:object>
      </w:r>
      <w:r>
        <w:t xml:space="preserve">. The model is solved for the long run steady state values around which the log-linearized version of the model is approximated, as in Campbell (1994). The linearized version of the model is solved with the method of undetermined coefficient as in </w:t>
      </w:r>
      <w:proofErr w:type="spellStart"/>
      <w:r>
        <w:t>Uhlig</w:t>
      </w:r>
      <w:proofErr w:type="spellEnd"/>
      <w:r>
        <w:t xml:space="preserve"> (1999). </w:t>
      </w:r>
      <w:r w:rsidR="000E42D7" w:rsidRPr="00292728">
        <w:t xml:space="preserve">The </w:t>
      </w:r>
      <w:r w:rsidR="000E42D7">
        <w:t xml:space="preserve">detailed </w:t>
      </w:r>
      <w:r w:rsidR="000E42D7" w:rsidRPr="00292728">
        <w:t>linearized form of the model and its solution</w:t>
      </w:r>
      <w:r w:rsidR="000E42D7">
        <w:t>s</w:t>
      </w:r>
      <w:r w:rsidR="000E42D7" w:rsidRPr="00292728">
        <w:t xml:space="preserve"> are</w:t>
      </w:r>
      <w:r w:rsidR="000E42D7">
        <w:t xml:space="preserve"> </w:t>
      </w:r>
      <w:r w:rsidR="000E42D7" w:rsidRPr="00292728">
        <w:t xml:space="preserve">appended </w:t>
      </w:r>
      <w:r w:rsidR="000E42D7">
        <w:t>the Technical Note C1.</w:t>
      </w:r>
    </w:p>
    <w:p w:rsidR="00692CA5" w:rsidRPr="00EE6912" w:rsidRDefault="00692CA5" w:rsidP="00EE6912">
      <w:pPr>
        <w:pStyle w:val="Heading2"/>
        <w:numPr>
          <w:ilvl w:val="1"/>
          <w:numId w:val="3"/>
        </w:numPr>
        <w:spacing w:after="240" w:line="480" w:lineRule="auto"/>
        <w:jc w:val="both"/>
        <w:rPr>
          <w:b w:val="0"/>
          <w:bCs w:val="0"/>
        </w:rPr>
      </w:pPr>
      <w:bookmarkStart w:id="22" w:name="_Toc285478013"/>
      <w:r w:rsidRPr="00EE6912">
        <w:rPr>
          <w:b w:val="0"/>
          <w:bCs w:val="0"/>
        </w:rPr>
        <w:t>Calibration</w:t>
      </w:r>
      <w:bookmarkEnd w:id="22"/>
    </w:p>
    <w:p w:rsidR="00692CA5" w:rsidRDefault="00692CA5" w:rsidP="00772912">
      <w:pPr>
        <w:jc w:val="both"/>
        <w:rPr>
          <w:rFonts w:asciiTheme="majorBidi" w:hAnsiTheme="majorBidi" w:cstheme="majorBidi"/>
        </w:rPr>
      </w:pPr>
    </w:p>
    <w:p w:rsidR="00FB71B2" w:rsidRDefault="00FB71B2" w:rsidP="00772912">
      <w:pPr>
        <w:spacing w:line="480" w:lineRule="auto"/>
        <w:ind w:firstLine="720"/>
        <w:jc w:val="both"/>
      </w:pPr>
      <w:r>
        <w:t xml:space="preserve">The baseline model, a version of the model with high degree of durability, is calibrated to the Canadian economy. Versions of the model with low degree of durability, given everything else is the same as in the baseline model, are calibrated to emerging countries business cycles that featured in the recent literature. Each period is taken to be a quarter. The model assumes that each consumption good- domestic and foreign has some degree of durability. For our benchmark model economy, we assume that domestic and imported goods have an identical degree of durability. Accordingly, we set the depreciation rates on domestic and foreign goods to be thirty </w:t>
      </w:r>
      <w:r w:rsidR="000E42D7">
        <w:t>percent</w:t>
      </w:r>
      <w:r w:rsidR="000E42D7" w:rsidRPr="00B9795B">
        <w:rPr>
          <w:rFonts w:eastAsia="Calibri" w:cs="Arial"/>
          <w:position w:val="-10"/>
          <w:sz w:val="22"/>
          <w:szCs w:val="22"/>
        </w:rPr>
        <w:object w:dxaOrig="1300" w:dyaOrig="320">
          <v:shape id="_x0000_i1212" type="#_x0000_t75" style="width:64.45pt;height:16.75pt" o:ole="">
            <v:imagedata r:id="rId377" o:title=""/>
          </v:shape>
          <o:OLEObject Type="Embed" ProgID="Equation.DSMT4" ShapeID="_x0000_i1212" DrawAspect="Content" ObjectID="_1359267135" r:id="rId378"/>
        </w:object>
      </w:r>
      <w:r w:rsidR="00A13AC9">
        <w:t>. Th</w:t>
      </w:r>
      <w:r>
        <w:t>e adjustment cost parameters are set to match the volatility of the aggregate consumption expenditure. For simplicity, we assume equal values for domestic and foreign durable adjustment parameters</w:t>
      </w:r>
      <w:r w:rsidRPr="00B9795B">
        <w:rPr>
          <w:rFonts w:eastAsia="Calibri" w:cs="Arial"/>
          <w:position w:val="-14"/>
          <w:sz w:val="22"/>
          <w:szCs w:val="22"/>
        </w:rPr>
        <w:object w:dxaOrig="1155" w:dyaOrig="360">
          <v:shape id="_x0000_i1213" type="#_x0000_t75" style="width:58.6pt;height:17.6pt" o:ole="">
            <v:imagedata r:id="rId379" o:title=""/>
          </v:shape>
          <o:OLEObject Type="Embed" ProgID="Equation.DSMT4" ShapeID="_x0000_i1213" DrawAspect="Content" ObjectID="_1359267136" r:id="rId380"/>
        </w:object>
      </w:r>
      <w:r w:rsidR="000E42D7">
        <w:t xml:space="preserve">. </w:t>
      </w:r>
      <w:r>
        <w:t xml:space="preserve">Habit parameters in consumption of domestic and foreign goods consecutively are </w:t>
      </w:r>
      <w:r w:rsidRPr="00B9795B">
        <w:rPr>
          <w:rFonts w:eastAsia="Calibri" w:cs="Arial"/>
          <w:position w:val="-14"/>
          <w:sz w:val="22"/>
          <w:szCs w:val="22"/>
        </w:rPr>
        <w:object w:dxaOrig="1275" w:dyaOrig="345">
          <v:shape id="_x0000_i1214" type="#_x0000_t75" style="width:62.8pt;height:16.75pt" o:ole="">
            <v:imagedata r:id="rId381" o:title=""/>
          </v:shape>
          <o:OLEObject Type="Embed" ProgID="Equation.DSMT4" ShapeID="_x0000_i1214" DrawAspect="Content" ObjectID="_1359267137" r:id="rId382"/>
        </w:object>
      </w:r>
      <w:r w:rsidR="000E42D7">
        <w:rPr>
          <w:rFonts w:eastAsia="Calibri" w:cs="Arial"/>
          <w:position w:val="-14"/>
          <w:sz w:val="22"/>
          <w:szCs w:val="22"/>
        </w:rPr>
        <w:t xml:space="preserve"> </w:t>
      </w:r>
      <w:r>
        <w:t xml:space="preserve">while habit intensity in labor is set </w:t>
      </w:r>
      <w:proofErr w:type="gramStart"/>
      <w:r>
        <w:t xml:space="preserve">at </w:t>
      </w:r>
      <w:proofErr w:type="gramEnd"/>
      <w:r w:rsidRPr="00B9795B">
        <w:rPr>
          <w:rFonts w:eastAsia="Calibri" w:cs="Arial"/>
          <w:position w:val="-6"/>
          <w:sz w:val="22"/>
          <w:szCs w:val="22"/>
        </w:rPr>
        <w:object w:dxaOrig="690" w:dyaOrig="255">
          <v:shape id="_x0000_i1215" type="#_x0000_t75" style="width:34.35pt;height:13.4pt" o:ole="">
            <v:imagedata r:id="rId383" o:title=""/>
          </v:shape>
          <o:OLEObject Type="Embed" ProgID="Equation.DSMT4" ShapeID="_x0000_i1215" DrawAspect="Content" ObjectID="_1359267138" r:id="rId384"/>
        </w:object>
      </w:r>
      <w:r>
        <w:t>.</w:t>
      </w:r>
    </w:p>
    <w:p w:rsidR="00FB71B2" w:rsidRPr="005B677F" w:rsidRDefault="00FB71B2" w:rsidP="00C30B64">
      <w:pPr>
        <w:spacing w:before="240" w:after="120" w:line="480" w:lineRule="auto"/>
        <w:ind w:firstLine="720"/>
        <w:jc w:val="both"/>
        <w:rPr>
          <w:rFonts w:asciiTheme="majorBidi" w:hAnsiTheme="majorBidi" w:cstheme="majorBidi"/>
        </w:rPr>
      </w:pPr>
      <w:r>
        <w:rPr>
          <w:rFonts w:asciiTheme="majorBidi" w:hAnsiTheme="majorBidi" w:cstheme="majorBidi"/>
        </w:rPr>
        <w:t xml:space="preserve">Since there is no specific estimate for the elasticity of substitution between foreign and home goods we used </w:t>
      </w:r>
      <w:r w:rsidRPr="00B9795B">
        <w:rPr>
          <w:rFonts w:asciiTheme="majorBidi" w:eastAsia="Calibri" w:hAnsiTheme="majorBidi" w:cstheme="majorBidi"/>
          <w:position w:val="-10"/>
          <w:sz w:val="22"/>
          <w:szCs w:val="22"/>
        </w:rPr>
        <w:object w:dxaOrig="735" w:dyaOrig="300">
          <v:shape id="_x0000_i1216" type="#_x0000_t75" style="width:37.65pt;height:15.9pt" o:ole="">
            <v:imagedata r:id="rId385" o:title=""/>
          </v:shape>
          <o:OLEObject Type="Embed" ProgID="Equation.DSMT4" ShapeID="_x0000_i1216" DrawAspect="Content" ObjectID="_1359267139" r:id="rId386"/>
        </w:object>
      </w:r>
      <w:r>
        <w:rPr>
          <w:rFonts w:asciiTheme="majorBidi" w:hAnsiTheme="majorBidi" w:cstheme="majorBidi"/>
        </w:rPr>
        <w:t xml:space="preserve"> in all our simulations. The curvature parameter </w:t>
      </w:r>
      <w:r w:rsidR="00B40D39" w:rsidRPr="00B9795B">
        <w:rPr>
          <w:rFonts w:asciiTheme="majorBidi" w:eastAsia="Calibri" w:hAnsiTheme="majorBidi" w:cstheme="majorBidi"/>
          <w:position w:val="-6"/>
          <w:sz w:val="22"/>
          <w:szCs w:val="22"/>
        </w:rPr>
        <w:object w:dxaOrig="240" w:dyaOrig="220">
          <v:shape id="_x0000_i1780" type="#_x0000_t75" style="width:16.75pt;height:10.05pt" o:ole="">
            <v:imagedata r:id="rId387" o:title=""/>
          </v:shape>
          <o:OLEObject Type="Embed" ProgID="Equation.DSMT4" ShapeID="_x0000_i1780" DrawAspect="Content" ObjectID="_1359267140" r:id="rId388"/>
        </w:object>
      </w:r>
      <w:r>
        <w:rPr>
          <w:rFonts w:asciiTheme="majorBidi" w:hAnsiTheme="majorBidi" w:cstheme="majorBidi"/>
        </w:rPr>
        <w:t>is set to 0.2. The parameter that defines labor elasticity,</w:t>
      </w:r>
      <w:r w:rsidRPr="00B9795B">
        <w:rPr>
          <w:rFonts w:asciiTheme="majorBidi" w:eastAsia="Calibri" w:hAnsiTheme="majorBidi" w:cstheme="majorBidi"/>
          <w:position w:val="-6"/>
          <w:sz w:val="22"/>
          <w:szCs w:val="22"/>
        </w:rPr>
        <w:object w:dxaOrig="195" w:dyaOrig="195">
          <v:shape id="_x0000_i1218" type="#_x0000_t75" style="width:9.2pt;height:9.2pt" o:ole="">
            <v:imagedata r:id="rId389" o:title=""/>
          </v:shape>
          <o:OLEObject Type="Embed" ProgID="Equation.DSMT4" ShapeID="_x0000_i1218" DrawAspect="Content" ObjectID="_1359267141" r:id="rId390"/>
        </w:object>
      </w:r>
      <w:proofErr w:type="gramStart"/>
      <w:r>
        <w:rPr>
          <w:rFonts w:asciiTheme="majorBidi" w:hAnsiTheme="majorBidi" w:cstheme="majorBidi"/>
        </w:rPr>
        <w:t>,</w:t>
      </w:r>
      <w:proofErr w:type="gramEnd"/>
      <w:r>
        <w:rPr>
          <w:rFonts w:asciiTheme="majorBidi" w:hAnsiTheme="majorBidi" w:cstheme="majorBidi"/>
        </w:rPr>
        <w:t xml:space="preserve"> is set at 1.4 as in Mendoza (1991). The long run </w:t>
      </w:r>
      <w:r w:rsidRPr="005B677F">
        <w:rPr>
          <w:rFonts w:asciiTheme="majorBidi" w:hAnsiTheme="majorBidi" w:cstheme="majorBidi"/>
        </w:rPr>
        <w:t>international real interest rate is approximately 1 percent per quarter. This is consistent with the assumption of 4</w:t>
      </w:r>
      <w:r w:rsidRPr="005B677F">
        <w:t xml:space="preserve"> </w:t>
      </w:r>
      <w:r w:rsidRPr="005B677F">
        <w:rPr>
          <w:rFonts w:asciiTheme="majorBidi" w:hAnsiTheme="majorBidi" w:cstheme="majorBidi"/>
        </w:rPr>
        <w:t xml:space="preserve">percent at the annual basis as in Mendoza (1991). Given the interest rate and the assumption of zero real percapita growth rates in the long run, the implied value of the subjective discount </w:t>
      </w:r>
      <w:r w:rsidRPr="005B677F">
        <w:rPr>
          <w:rFonts w:asciiTheme="majorBidi" w:eastAsia="Calibri" w:hAnsiTheme="majorBidi" w:cstheme="majorBidi"/>
          <w:position w:val="-10"/>
        </w:rPr>
        <w:object w:dxaOrig="240" w:dyaOrig="300">
          <v:shape id="_x0000_i1219" type="#_x0000_t75" style="width:13.4pt;height:15.9pt" o:ole="">
            <v:imagedata r:id="rId391" o:title=""/>
          </v:shape>
          <o:OLEObject Type="Embed" ProgID="Equation.DSMT4" ShapeID="_x0000_i1219" DrawAspect="Content" ObjectID="_1359267142" r:id="rId392"/>
        </w:object>
      </w:r>
      <w:r w:rsidRPr="005B677F">
        <w:rPr>
          <w:rFonts w:asciiTheme="majorBidi" w:hAnsiTheme="majorBidi" w:cstheme="majorBidi"/>
        </w:rPr>
        <w:t xml:space="preserve"> becomes</w:t>
      </w:r>
      <w:r w:rsidRPr="005B677F">
        <w:rPr>
          <w:rFonts w:asciiTheme="majorBidi" w:eastAsia="Calibri" w:hAnsiTheme="majorBidi" w:cstheme="majorBidi"/>
          <w:position w:val="-6"/>
        </w:rPr>
        <w:object w:dxaOrig="495" w:dyaOrig="285">
          <v:shape id="_x0000_i1220" type="#_x0000_t75" style="width:25.1pt;height:13.4pt" o:ole="">
            <v:imagedata r:id="rId393" o:title=""/>
          </v:shape>
          <o:OLEObject Type="Embed" ProgID="Equation.DSMT4" ShapeID="_x0000_i1220" DrawAspect="Content" ObjectID="_1359267143" r:id="rId394"/>
        </w:object>
      </w:r>
      <w:r w:rsidRPr="005B677F">
        <w:rPr>
          <w:rFonts w:asciiTheme="majorBidi" w:hAnsiTheme="majorBidi" w:cstheme="majorBidi"/>
        </w:rPr>
        <w:t xml:space="preserve">.  We set the portfolio adjustment cost parameter </w:t>
      </w:r>
      <w:r w:rsidRPr="005B677F">
        <w:rPr>
          <w:rFonts w:asciiTheme="majorBidi" w:eastAsia="Calibri" w:hAnsiTheme="majorBidi" w:cstheme="majorBidi"/>
          <w:position w:val="-10"/>
        </w:rPr>
        <w:object w:dxaOrig="195" w:dyaOrig="315">
          <v:shape id="_x0000_i1221" type="#_x0000_t75" style="width:9.2pt;height:16.75pt" o:ole="">
            <v:imagedata r:id="rId395" o:title=""/>
          </v:shape>
          <o:OLEObject Type="Embed" ProgID="Equation.DSMT4" ShapeID="_x0000_i1221" DrawAspect="Content" ObjectID="_1359267144" r:id="rId396"/>
        </w:object>
      </w:r>
      <w:r w:rsidRPr="005B677F">
        <w:rPr>
          <w:rFonts w:asciiTheme="majorBidi" w:hAnsiTheme="majorBidi" w:cstheme="majorBidi"/>
        </w:rPr>
        <w:t xml:space="preserve">equal to 0.03. This value is chosen to match the correlation between output and trade balance with the observed Canadian counterpart. The value of the labor parameter </w:t>
      </w:r>
      <w:r w:rsidRPr="005B677F">
        <w:rPr>
          <w:rFonts w:asciiTheme="majorBidi" w:eastAsia="Calibri" w:hAnsiTheme="majorBidi" w:cstheme="majorBidi"/>
          <w:position w:val="-10"/>
        </w:rPr>
        <w:object w:dxaOrig="945" w:dyaOrig="300">
          <v:shape id="_x0000_i1222" type="#_x0000_t75" style="width:46.9pt;height:15.9pt" o:ole="">
            <v:imagedata r:id="rId397" o:title=""/>
          </v:shape>
          <o:OLEObject Type="Embed" ProgID="Equation.DSMT4" ShapeID="_x0000_i1222" DrawAspect="Content" ObjectID="_1359267145" r:id="rId398"/>
        </w:object>
      </w:r>
      <w:r w:rsidRPr="005B677F">
        <w:rPr>
          <w:rFonts w:asciiTheme="majorBidi" w:hAnsiTheme="majorBidi" w:cstheme="majorBidi"/>
        </w:rPr>
        <w:t xml:space="preserve"> is chosen to fix the steady state value of labor at</w:t>
      </w:r>
      <w:r w:rsidRPr="005B677F">
        <w:rPr>
          <w:rFonts w:asciiTheme="majorBidi" w:eastAsia="Calibri" w:hAnsiTheme="majorBidi" w:cstheme="majorBidi"/>
          <w:position w:val="-6"/>
        </w:rPr>
        <w:object w:dxaOrig="315" w:dyaOrig="285">
          <v:shape id="_x0000_i1223" type="#_x0000_t75" style="width:16.75pt;height:13.4pt" o:ole="">
            <v:imagedata r:id="rId399" o:title=""/>
          </v:shape>
          <o:OLEObject Type="Embed" ProgID="Equation.DSMT4" ShapeID="_x0000_i1223" DrawAspect="Content" ObjectID="_1359267146" r:id="rId400"/>
        </w:object>
      </w:r>
      <w:r w:rsidRPr="005B677F">
        <w:rPr>
          <w:rFonts w:asciiTheme="majorBidi" w:hAnsiTheme="majorBidi" w:cstheme="majorBidi"/>
        </w:rPr>
        <w:t xml:space="preserve"> as in Mendoza (1991). We assume that the ratio of foreign to domestic consumption equals one.  Accordingly, and given other parameter values, the share of the domestic consumption good in the utility is set to</w:t>
      </w:r>
      <w:r w:rsidRPr="005B677F">
        <w:rPr>
          <w:rFonts w:asciiTheme="majorBidi" w:eastAsia="Calibri" w:hAnsiTheme="majorBidi" w:cstheme="majorBidi"/>
          <w:position w:val="-10"/>
        </w:rPr>
        <w:object w:dxaOrig="900" w:dyaOrig="300">
          <v:shape id="_x0000_i1224" type="#_x0000_t75" style="width:46.05pt;height:15.9pt" o:ole="">
            <v:imagedata r:id="rId401" o:title=""/>
          </v:shape>
          <o:OLEObject Type="Embed" ProgID="Equation.DSMT4" ShapeID="_x0000_i1224" DrawAspect="Content" ObjectID="_1359267147" r:id="rId402"/>
        </w:object>
      </w:r>
      <w:r w:rsidRPr="005B677F">
        <w:rPr>
          <w:rFonts w:asciiTheme="majorBidi" w:hAnsiTheme="majorBidi" w:cstheme="majorBidi"/>
        </w:rPr>
        <w:t>. We calibrate</w:t>
      </w:r>
      <w:r w:rsidRPr="005B677F">
        <w:rPr>
          <w:rFonts w:asciiTheme="majorBidi" w:eastAsia="Calibri" w:hAnsiTheme="majorBidi" w:cstheme="majorBidi"/>
          <w:position w:val="-6"/>
        </w:rPr>
        <w:object w:dxaOrig="195" w:dyaOrig="255">
          <v:shape id="_x0000_i1225" type="#_x0000_t75" style="width:9.2pt;height:13.4pt" o:ole="">
            <v:imagedata r:id="rId403" o:title=""/>
          </v:shape>
          <o:OLEObject Type="Embed" ProgID="Equation.DSMT4" ShapeID="_x0000_i1225" DrawAspect="Content" ObjectID="_1359267148" r:id="rId404"/>
        </w:object>
      </w:r>
      <w:r w:rsidRPr="005B677F">
        <w:rPr>
          <w:rFonts w:asciiTheme="majorBidi" w:hAnsiTheme="majorBidi" w:cstheme="majorBidi"/>
        </w:rPr>
        <w:t xml:space="preserve"> such that the steady-state rates of capital depreciation and utilization</w:t>
      </w:r>
      <w:r w:rsidRPr="005B677F">
        <w:rPr>
          <w:rFonts w:asciiTheme="majorBidi" w:eastAsia="Calibri" w:hAnsiTheme="majorBidi" w:cstheme="majorBidi"/>
          <w:position w:val="-6"/>
        </w:rPr>
        <w:object w:dxaOrig="795" w:dyaOrig="255">
          <v:shape id="_x0000_i1226" type="#_x0000_t75" style="width:39.35pt;height:13.4pt" o:ole="">
            <v:imagedata r:id="rId405" o:title=""/>
          </v:shape>
          <o:OLEObject Type="Embed" ProgID="Equation.DSMT4" ShapeID="_x0000_i1226" DrawAspect="Content" ObjectID="_1359267149" r:id="rId406"/>
        </w:object>
      </w:r>
      <w:r w:rsidRPr="005B677F">
        <w:rPr>
          <w:rFonts w:asciiTheme="majorBidi" w:hAnsiTheme="majorBidi" w:cstheme="majorBidi"/>
        </w:rPr>
        <w:t>. The consistent value of the elasticity of depreciation to utilization</w:t>
      </w:r>
      <w:proofErr w:type="gramStart"/>
      <w:r w:rsidRPr="005B677F">
        <w:rPr>
          <w:rFonts w:asciiTheme="majorBidi" w:hAnsiTheme="majorBidi" w:cstheme="majorBidi"/>
        </w:rPr>
        <w:t>,</w:t>
      </w:r>
      <w:proofErr w:type="gramEnd"/>
      <w:r w:rsidRPr="005B677F">
        <w:rPr>
          <w:rFonts w:asciiTheme="majorBidi" w:eastAsia="Calibri" w:hAnsiTheme="majorBidi" w:cstheme="majorBidi"/>
          <w:position w:val="-10"/>
        </w:rPr>
        <w:object w:dxaOrig="285" w:dyaOrig="240">
          <v:shape id="_x0000_i1227" type="#_x0000_t75" style="width:13.4pt;height:13.4pt" o:ole="">
            <v:imagedata r:id="rId407" o:title=""/>
          </v:shape>
          <o:OLEObject Type="Embed" ProgID="Equation.DSMT4" ShapeID="_x0000_i1227" DrawAspect="Content" ObjectID="_1359267150" r:id="rId408"/>
        </w:object>
      </w:r>
      <w:r w:rsidRPr="005B677F">
        <w:rPr>
          <w:rFonts w:asciiTheme="majorBidi" w:hAnsiTheme="majorBidi" w:cstheme="majorBidi"/>
        </w:rPr>
        <w:t xml:space="preserve">is 1.4. This is reasonable as </w:t>
      </w:r>
      <w:proofErr w:type="spellStart"/>
      <w:r w:rsidRPr="005B677F">
        <w:rPr>
          <w:rFonts w:asciiTheme="majorBidi" w:hAnsiTheme="majorBidi" w:cstheme="majorBidi"/>
        </w:rPr>
        <w:t>Basu</w:t>
      </w:r>
      <w:proofErr w:type="spellEnd"/>
      <w:r w:rsidRPr="005B677F">
        <w:rPr>
          <w:rFonts w:asciiTheme="majorBidi" w:hAnsiTheme="majorBidi" w:cstheme="majorBidi"/>
        </w:rPr>
        <w:t xml:space="preserve"> and Kimball (1997) estimate the elasticity of depreciation to utilization to be between one and two in the case of the US manufacturing data over the business cycle.</w:t>
      </w:r>
    </w:p>
    <w:p w:rsidR="00FB71B2" w:rsidRPr="005B677F" w:rsidRDefault="00FB71B2" w:rsidP="00C30B64">
      <w:pPr>
        <w:spacing w:before="240" w:after="240" w:line="480" w:lineRule="auto"/>
        <w:ind w:firstLine="720"/>
        <w:jc w:val="both"/>
        <w:rPr>
          <w:rFonts w:asciiTheme="majorBidi" w:hAnsiTheme="majorBidi" w:cstheme="majorBidi"/>
        </w:rPr>
      </w:pPr>
      <w:r w:rsidRPr="005B677F">
        <w:t xml:space="preserve">As in Letendre (2004), we set the persistence parameter for the technology shock at </w:t>
      </w:r>
      <w:r w:rsidRPr="005B677F">
        <w:rPr>
          <w:rFonts w:eastAsia="Calibri" w:cs="Arial"/>
          <w:position w:val="-10"/>
        </w:rPr>
        <w:object w:dxaOrig="1245" w:dyaOrig="315">
          <v:shape id="_x0000_i1228" type="#_x0000_t75" style="width:62.8pt;height:16.75pt" o:ole="">
            <v:imagedata r:id="rId409" o:title=""/>
          </v:shape>
          <o:OLEObject Type="Embed" ProgID="Equation.DSMT4" ShapeID="_x0000_i1228" DrawAspect="Content" ObjectID="_1359267151" r:id="rId410"/>
        </w:object>
      </w:r>
      <w:r w:rsidRPr="005B677F">
        <w:t xml:space="preserve"> </w:t>
      </w:r>
      <w:proofErr w:type="spellStart"/>
      <w:proofErr w:type="gramStart"/>
      <w:r w:rsidRPr="005B677F">
        <w:t>and</w:t>
      </w:r>
      <w:proofErr w:type="spellEnd"/>
      <w:r w:rsidRPr="005B677F">
        <w:t xml:space="preserve"> </w:t>
      </w:r>
      <w:proofErr w:type="gramEnd"/>
      <w:r w:rsidRPr="005B677F">
        <w:rPr>
          <w:rFonts w:eastAsia="Calibri" w:cs="Arial"/>
          <w:position w:val="-10"/>
        </w:rPr>
        <w:object w:dxaOrig="1275" w:dyaOrig="315">
          <v:shape id="_x0000_i1229" type="#_x0000_t75" style="width:62.8pt;height:16.75pt" o:ole="">
            <v:imagedata r:id="rId411" o:title=""/>
          </v:shape>
          <o:OLEObject Type="Embed" ProgID="Equation.DSMT4" ShapeID="_x0000_i1229" DrawAspect="Content" ObjectID="_1359267152" r:id="rId412"/>
        </w:object>
      </w:r>
      <w:r w:rsidRPr="005B677F">
        <w:t>. Using the ToT data as reported in the International Financial Statistics</w:t>
      </w:r>
      <w:r w:rsidR="00C86268" w:rsidRPr="005B677F">
        <w:t xml:space="preserve"> </w:t>
      </w:r>
      <w:r w:rsidRPr="005B677F">
        <w:t>(IFS) for the period (1981Q1-2009Q4), we estimate the AR (1) process in (</w:t>
      </w:r>
      <w:r w:rsidR="00B3510E" w:rsidRPr="005B677F">
        <w:t>2.</w:t>
      </w:r>
      <w:r w:rsidRPr="005B677F">
        <w:t xml:space="preserve">5) and find </w:t>
      </w:r>
      <w:r w:rsidRPr="005B677F">
        <w:rPr>
          <w:rFonts w:eastAsia="Calibri" w:cs="Arial"/>
          <w:position w:val="-14"/>
        </w:rPr>
        <w:object w:dxaOrig="1245" w:dyaOrig="345">
          <v:shape id="_x0000_i1230" type="#_x0000_t75" style="width:62.8pt;height:16.75pt" o:ole="">
            <v:imagedata r:id="rId413" o:title=""/>
          </v:shape>
          <o:OLEObject Type="Embed" ProgID="Equation.DSMT4" ShapeID="_x0000_i1230" DrawAspect="Content" ObjectID="_1359267153" r:id="rId414"/>
        </w:object>
      </w:r>
      <w:r w:rsidR="00A13AC9" w:rsidRPr="005B677F">
        <w:t>and</w:t>
      </w:r>
      <w:r w:rsidRPr="005B677F">
        <w:rPr>
          <w:rFonts w:eastAsia="Calibri" w:cs="Arial"/>
          <w:position w:val="-14"/>
        </w:rPr>
        <w:object w:dxaOrig="1275" w:dyaOrig="345">
          <v:shape id="_x0000_i1231" type="#_x0000_t75" style="width:62.8pt;height:16.75pt" o:ole="">
            <v:imagedata r:id="rId415" o:title=""/>
          </v:shape>
          <o:OLEObject Type="Embed" ProgID="Equation.DSMT4" ShapeID="_x0000_i1231" DrawAspect="Content" ObjectID="_1359267154" r:id="rId416"/>
        </w:object>
      </w:r>
      <w:r w:rsidRPr="005B677F">
        <w:t>. It is also important to note that we assume the two exogenous shocks to be independent. Hence we have</w:t>
      </w:r>
      <w:r w:rsidRPr="005B677F">
        <w:rPr>
          <w:rFonts w:eastAsia="Calibri" w:cs="Arial"/>
          <w:position w:val="-16"/>
        </w:rPr>
        <w:object w:dxaOrig="1380" w:dyaOrig="435">
          <v:shape id="_x0000_i1232" type="#_x0000_t75" style="width:69.5pt;height:22.6pt" o:ole="">
            <v:imagedata r:id="rId417" o:title=""/>
          </v:shape>
          <o:OLEObject Type="Embed" ProgID="Equation.DSMT4" ShapeID="_x0000_i1232" DrawAspect="Content" ObjectID="_1359267155" r:id="rId418"/>
        </w:object>
      </w:r>
      <w:r w:rsidRPr="005B677F">
        <w:t>. The baseline parameters for our calibrations of the</w:t>
      </w:r>
      <w:r w:rsidR="00A03279">
        <w:t xml:space="preserve"> model are summarized in Table A.6</w:t>
      </w:r>
      <w:r w:rsidRPr="005B677F">
        <w:t>.</w:t>
      </w:r>
    </w:p>
    <w:p w:rsidR="00692CA5" w:rsidRPr="00EE6912" w:rsidRDefault="00692CA5" w:rsidP="00EE6912">
      <w:pPr>
        <w:pStyle w:val="Heading2"/>
        <w:numPr>
          <w:ilvl w:val="1"/>
          <w:numId w:val="3"/>
        </w:numPr>
        <w:spacing w:after="240" w:line="480" w:lineRule="auto"/>
        <w:jc w:val="both"/>
        <w:rPr>
          <w:b w:val="0"/>
          <w:bCs w:val="0"/>
        </w:rPr>
      </w:pPr>
      <w:bookmarkStart w:id="23" w:name="_Toc285478014"/>
      <w:r w:rsidRPr="00EE6912">
        <w:rPr>
          <w:b w:val="0"/>
          <w:bCs w:val="0"/>
        </w:rPr>
        <w:t>The Model Fit With the Canadian Economy</w:t>
      </w:r>
      <w:bookmarkEnd w:id="23"/>
    </w:p>
    <w:p w:rsidR="00FB71B2" w:rsidRDefault="00FB71B2" w:rsidP="006F6B5E">
      <w:pPr>
        <w:spacing w:line="480" w:lineRule="auto"/>
        <w:ind w:firstLine="720"/>
        <w:jc w:val="both"/>
        <w:rPr>
          <w:rFonts w:asciiTheme="majorBidi" w:hAnsiTheme="majorBidi" w:cstheme="majorBidi"/>
        </w:rPr>
      </w:pPr>
      <w:r w:rsidRPr="005B677F">
        <w:t xml:space="preserve">The quality of the model performance is judged based on the proximity of the simulated business cycle obtained from the theoretical model with the underlined actual </w:t>
      </w:r>
      <w:r w:rsidR="005B677F">
        <w:t xml:space="preserve">developed </w:t>
      </w:r>
      <w:r w:rsidRPr="005B677F">
        <w:t xml:space="preserve">economy (Canadian business cycle in our case). In particular, we compare the second moments obtained from the simulated model economy with its observed counterpart obtained from the Canadian data. We report the observed second moments of the Canadian economy in Table </w:t>
      </w:r>
      <w:r w:rsidR="00A03279">
        <w:t>A.7</w:t>
      </w:r>
      <w:r w:rsidRPr="005B677F">
        <w:t xml:space="preserve"> (column 2). The simulation</w:t>
      </w:r>
      <w:r w:rsidR="00A03279">
        <w:t xml:space="preserve"> results are reported in Table A.7</w:t>
      </w:r>
      <w:r w:rsidR="00A13AC9">
        <w:t xml:space="preserve"> </w:t>
      </w:r>
      <w:r w:rsidRPr="005B677F">
        <w:t xml:space="preserve">(column3). It should be noted that total consumption expenditure </w:t>
      </w:r>
      <w:r w:rsidRPr="005B677F">
        <w:rPr>
          <w:rFonts w:eastAsia="Calibri"/>
          <w:position w:val="-12"/>
        </w:rPr>
        <w:object w:dxaOrig="240" w:dyaOrig="345">
          <v:shape id="_x0000_i1233" type="#_x0000_t75" style="width:13.4pt;height:16.75pt" o:ole="">
            <v:imagedata r:id="rId419" o:title=""/>
          </v:shape>
          <o:OLEObject Type="Embed" ProgID="Equation.DSMT4" ShapeID="_x0000_i1233" DrawAspect="Content" ObjectID="_1359267156" r:id="rId420"/>
        </w:object>
      </w:r>
      <w:r w:rsidRPr="005B677F">
        <w:t xml:space="preserve">includes total spending on domestic and foreign goods including durables </w:t>
      </w:r>
      <w:r w:rsidRPr="006F6B5E">
        <w:t>and nondurables as we explained earlier in the previous section. The volatilities of the different national accounts closely match its counterpart volatilities in the Canadian national accounts. The model economy replicates the procyclicality of all national accounts and the countercyclicality of trade balance. In addition, the model correctly predicts a moderate countercyclical ToT, negative correlations</w:t>
      </w:r>
      <w:r w:rsidRPr="005B677F">
        <w:t xml:space="preserve"> between ToT and consumption,</w:t>
      </w:r>
      <w:r>
        <w:t xml:space="preserve"> employment and investment and a positive correlation between ToT and the trade balance as observed in the Canadian data. However, the model slightly overstates the volatility and the procyclicality of total consumption expenditure, slightly understates the persistence level of output, and noticeably understate the persistence level in the investment data.</w:t>
      </w:r>
      <w:r>
        <w:rPr>
          <w:rStyle w:val="FootnoteReference"/>
        </w:rPr>
        <w:footnoteReference w:id="23"/>
      </w:r>
      <w:r>
        <w:t xml:space="preserve">  </w:t>
      </w:r>
      <w:r w:rsidR="006F6B5E">
        <w:rPr>
          <w:rFonts w:asciiTheme="majorBidi" w:hAnsiTheme="majorBidi" w:cstheme="majorBidi"/>
        </w:rPr>
        <w:t>In addition w</w:t>
      </w:r>
      <w:r>
        <w:rPr>
          <w:rFonts w:asciiTheme="majorBidi" w:hAnsiTheme="majorBidi" w:cstheme="majorBidi"/>
        </w:rPr>
        <w:t>e find that ToT is moderately countercyclical, negatively correlated with consumption, employment and investment and positively correlated with trade balance. The model replicates all these comovements we</w:t>
      </w:r>
      <w:r w:rsidRPr="006F6B5E">
        <w:rPr>
          <w:rFonts w:asciiTheme="majorBidi" w:hAnsiTheme="majorBidi" w:cstheme="majorBidi"/>
        </w:rPr>
        <w:t>ll. It however slightly overstates the negative comovement between consumption expenditure and ToT and overstates more the positive comovement between trade balance and ToT alone</w:t>
      </w:r>
      <w:r w:rsidR="006F6B5E" w:rsidRPr="006F6B5E">
        <w:rPr>
          <w:rFonts w:asciiTheme="majorBidi" w:hAnsiTheme="majorBidi" w:cstheme="majorBidi"/>
        </w:rPr>
        <w:t>.</w:t>
      </w:r>
      <w:r w:rsidRPr="006F6B5E">
        <w:rPr>
          <w:rFonts w:asciiTheme="majorBidi" w:hAnsiTheme="majorBidi" w:cstheme="majorBidi"/>
        </w:rPr>
        <w:t xml:space="preserve"> </w:t>
      </w:r>
    </w:p>
    <w:p w:rsidR="00692CA5" w:rsidRPr="00EE6912" w:rsidRDefault="00692CA5" w:rsidP="00EE6912">
      <w:pPr>
        <w:pStyle w:val="Heading2"/>
        <w:numPr>
          <w:ilvl w:val="1"/>
          <w:numId w:val="3"/>
        </w:numPr>
        <w:spacing w:after="240" w:line="480" w:lineRule="auto"/>
        <w:jc w:val="both"/>
        <w:rPr>
          <w:b w:val="0"/>
          <w:bCs w:val="0"/>
        </w:rPr>
      </w:pPr>
      <w:bookmarkStart w:id="24" w:name="_Toc285478015"/>
      <w:r w:rsidRPr="00EE6912">
        <w:rPr>
          <w:b w:val="0"/>
          <w:bCs w:val="0"/>
        </w:rPr>
        <w:t>How Important Are the ToT Shocks?</w:t>
      </w:r>
      <w:bookmarkEnd w:id="24"/>
      <w:r w:rsidRPr="00EE6912">
        <w:rPr>
          <w:b w:val="0"/>
          <w:bCs w:val="0"/>
        </w:rPr>
        <w:t xml:space="preserve"> </w:t>
      </w:r>
    </w:p>
    <w:p w:rsidR="00FB71B2" w:rsidRPr="00FB71B2" w:rsidRDefault="00FB71B2" w:rsidP="00A03279">
      <w:pPr>
        <w:spacing w:line="480" w:lineRule="auto"/>
        <w:ind w:firstLine="720"/>
        <w:jc w:val="both"/>
      </w:pPr>
      <w:r>
        <w:t xml:space="preserve">Following </w:t>
      </w:r>
      <w:proofErr w:type="spellStart"/>
      <w:r>
        <w:t>Kose</w:t>
      </w:r>
      <w:proofErr w:type="spellEnd"/>
      <w:r>
        <w:t xml:space="preserve"> (2002) and Mendoza (1995) we compare the second moments generated from the full theoretical model with ToT uncertainty and a version of the model without such uncertainty. We do so by shutting off the ToT shock, by setting</w:t>
      </w:r>
      <w:r w:rsidRPr="00B9795B">
        <w:rPr>
          <w:rFonts w:eastAsia="Calibri"/>
          <w:position w:val="-10"/>
          <w:sz w:val="22"/>
          <w:szCs w:val="22"/>
        </w:rPr>
        <w:object w:dxaOrig="945" w:dyaOrig="315">
          <v:shape id="_x0000_i1234" type="#_x0000_t75" style="width:46.9pt;height:16.75pt" o:ole="">
            <v:imagedata r:id="rId421" o:title=""/>
          </v:shape>
          <o:OLEObject Type="Embed" ProgID="Equation.DSMT4" ShapeID="_x0000_i1234" DrawAspect="Content" ObjectID="_1359267157" r:id="rId422"/>
        </w:object>
      </w:r>
      <w:r>
        <w:t xml:space="preserve">, and keeping all other parameter values unchanged as in the model economy. We also carry out this exercise for two hypothetical economies – one with a higher degree of durability in consumption and the other with a relatively lower degree of durability in consumption. It is reasonable to assume that advanced open economies have a higher share of durable consumption compared to many developing open economies. The results are reported in Table </w:t>
      </w:r>
      <w:r w:rsidR="00A03279">
        <w:t>A.8</w:t>
      </w:r>
      <w:r>
        <w:t xml:space="preserve">.  In an economy with a higher degree of durability, if we compare the results with and without ToT uncertainty, we find that ToT explains 17.2% of the aggregate business cycle fluctuations. On the other hand, such effects are significantly higher in an economy with relatively lower degrees of durability. In our sample calibration, the ToT uncertainty in such an economy explains </w:t>
      </w:r>
      <w:r w:rsidR="00A03279">
        <w:t xml:space="preserve">around one third </w:t>
      </w:r>
      <w:r>
        <w:t xml:space="preserve">of </w:t>
      </w:r>
      <w:r w:rsidR="00A03279">
        <w:t xml:space="preserve">the </w:t>
      </w:r>
      <w:r>
        <w:t xml:space="preserve">aggregate </w:t>
      </w:r>
      <w:r w:rsidR="00A03279">
        <w:t xml:space="preserve">output </w:t>
      </w:r>
      <w:r>
        <w:t xml:space="preserve">fluctuations. It is also worthwhile to compare our results with those of </w:t>
      </w:r>
      <w:proofErr w:type="spellStart"/>
      <w:r>
        <w:t>Kose</w:t>
      </w:r>
      <w:proofErr w:type="spellEnd"/>
      <w:r>
        <w:t xml:space="preserve"> and Mendoza (1995). They find ToT shocks account for at least half of the aggregate fluctuations. This is much higher than our model predictions. It is reasonable to argue that a model open economy without durables (like the model economy of </w:t>
      </w:r>
      <w:proofErr w:type="spellStart"/>
      <w:r>
        <w:t>Kose</w:t>
      </w:r>
      <w:proofErr w:type="spellEnd"/>
      <w:r>
        <w:t xml:space="preserve"> or Mendoza) is more sensitive to external ToT shocks compared to an open economy with durable consumption goods. We elucidate this issue further in the following section. </w:t>
      </w:r>
    </w:p>
    <w:p w:rsidR="00FB71B2" w:rsidRPr="00EE6912" w:rsidRDefault="00FB71B2" w:rsidP="00EE6912">
      <w:pPr>
        <w:pStyle w:val="Heading2"/>
        <w:numPr>
          <w:ilvl w:val="1"/>
          <w:numId w:val="3"/>
        </w:numPr>
        <w:spacing w:after="240" w:line="480" w:lineRule="auto"/>
        <w:jc w:val="both"/>
        <w:rPr>
          <w:b w:val="0"/>
          <w:bCs w:val="0"/>
        </w:rPr>
      </w:pPr>
      <w:bookmarkStart w:id="25" w:name="_Toc285478016"/>
      <w:r w:rsidRPr="00EE6912">
        <w:rPr>
          <w:b w:val="0"/>
          <w:bCs w:val="0"/>
        </w:rPr>
        <w:t>The Role of Durability</w:t>
      </w:r>
      <w:bookmarkEnd w:id="25"/>
      <w:r w:rsidRPr="00EE6912">
        <w:rPr>
          <w:b w:val="0"/>
          <w:bCs w:val="0"/>
        </w:rPr>
        <w:t xml:space="preserve"> </w:t>
      </w:r>
    </w:p>
    <w:p w:rsidR="0023410E" w:rsidRDefault="0023410E" w:rsidP="00C30B64">
      <w:pPr>
        <w:spacing w:before="240" w:after="240" w:line="480" w:lineRule="auto"/>
        <w:ind w:firstLine="720"/>
        <w:jc w:val="both"/>
      </w:pPr>
      <w:r>
        <w:t xml:space="preserve">To capture the role of durability in our model economy, we investigate how the model without durability in both consumption goods performs comparing to the baseline model. To do so, we construct a version of the model where home and imported goods are completely perishable goods with </w:t>
      </w:r>
      <w:r w:rsidRPr="00B9795B">
        <w:rPr>
          <w:rFonts w:eastAsia="Calibri" w:cs="Arial"/>
          <w:position w:val="-14"/>
          <w:sz w:val="22"/>
          <w:szCs w:val="22"/>
        </w:rPr>
        <w:object w:dxaOrig="1035" w:dyaOrig="345">
          <v:shape id="_x0000_i1235" type="#_x0000_t75" style="width:52.75pt;height:16.75pt" o:ole="">
            <v:imagedata r:id="rId423" o:title=""/>
          </v:shape>
          <o:OLEObject Type="Embed" ProgID="Equation.DSMT4" ShapeID="_x0000_i1235" DrawAspect="Content" ObjectID="_1359267158" r:id="rId424"/>
        </w:object>
      </w:r>
      <w:r>
        <w:t xml:space="preserve"> In addition, when the goods are completely perishable than we will have no reason to assume adjustment cost in durable stock, hence we set</w:t>
      </w:r>
      <w:r w:rsidRPr="00B9795B">
        <w:rPr>
          <w:rFonts w:eastAsia="Calibri" w:cs="Arial"/>
          <w:position w:val="-14"/>
          <w:sz w:val="22"/>
          <w:szCs w:val="22"/>
        </w:rPr>
        <w:object w:dxaOrig="1005" w:dyaOrig="345">
          <v:shape id="_x0000_i1236" type="#_x0000_t75" style="width:49.4pt;height:16.75pt" o:ole="">
            <v:imagedata r:id="rId425" o:title=""/>
          </v:shape>
          <o:OLEObject Type="Embed" ProgID="Equation.DSMT4" ShapeID="_x0000_i1236" DrawAspect="Content" ObjectID="_1359267159" r:id="rId426"/>
        </w:object>
      </w:r>
      <w:r>
        <w:t>. The business cycle characteristics of such an economy are reported in Table 5 (column3). It is very important to note that under this scenario aggregate consumption becomes more volatile than output and the trade balance becomes strongly countercyclical. Such business cycle characteristics are typical in emerging economies.  This comparison further confirms our conjecture that emerging economies are characterized by a low degree of durability in consumption. Moreover, the volatility of the business cycle is about 47 percent higher than in our benchmark model economy. This indicates that the absence of durability increases the volatility of the business cycles.</w:t>
      </w:r>
    </w:p>
    <w:p w:rsidR="0023410E" w:rsidRDefault="0023410E" w:rsidP="00C30B64">
      <w:pPr>
        <w:spacing w:before="120" w:after="120" w:line="480" w:lineRule="auto"/>
        <w:ind w:firstLine="720"/>
        <w:jc w:val="both"/>
      </w:pPr>
      <w:r>
        <w:t>We also experimented with a few alternative situations. The business cycle of a hypothetical economy with durability in domestic production and nondurable imports is obtained by setting</w:t>
      </w:r>
      <w:r w:rsidRPr="00B9795B">
        <w:rPr>
          <w:rFonts w:eastAsia="Calibri" w:cs="Arial"/>
          <w:position w:val="-14"/>
          <w:sz w:val="22"/>
          <w:szCs w:val="22"/>
        </w:rPr>
        <w:object w:dxaOrig="1575" w:dyaOrig="345">
          <v:shape id="_x0000_i1237" type="#_x0000_t75" style="width:77.85pt;height:16.75pt" o:ole="">
            <v:imagedata r:id="rId427" o:title=""/>
          </v:shape>
          <o:OLEObject Type="Embed" ProgID="Equation.DSMT4" ShapeID="_x0000_i1237" DrawAspect="Content" ObjectID="_1359267160" r:id="rId428"/>
        </w:object>
      </w:r>
      <w:r>
        <w:t>. The results of such a model</w:t>
      </w:r>
      <w:r w:rsidR="00A03279">
        <w:t xml:space="preserve"> economy are reported in Table A.9</w:t>
      </w:r>
      <w:r>
        <w:t xml:space="preserve"> (column 4). This particular economy is about 12 percent more volatile than the baseline economy but much less volatile than an economy with durability in production and imports at the same time. When imports are durable while domestic production is not, i.e. when</w:t>
      </w:r>
      <w:r w:rsidRPr="00B9795B">
        <w:rPr>
          <w:rFonts w:eastAsia="Calibri" w:cs="Arial"/>
          <w:position w:val="-10"/>
          <w:sz w:val="22"/>
          <w:szCs w:val="22"/>
        </w:rPr>
        <w:object w:dxaOrig="1545" w:dyaOrig="345">
          <v:shape id="_x0000_i1238" type="#_x0000_t75" style="width:77pt;height:16.75pt" o:ole="">
            <v:imagedata r:id="rId429" o:title=""/>
          </v:shape>
          <o:OLEObject Type="Embed" ProgID="Equation.DSMT4" ShapeID="_x0000_i1238" DrawAspect="Content" ObjectID="_1359267161" r:id="rId430"/>
        </w:object>
      </w:r>
      <w:r>
        <w:t>, the business cycles becomes about 21 percent more volatile than in the baseline business</w:t>
      </w:r>
      <w:r w:rsidR="00A03279">
        <w:t xml:space="preserve"> cycle model, as shown in Table A.9</w:t>
      </w:r>
      <w:r w:rsidR="00A13AC9">
        <w:t xml:space="preserve"> </w:t>
      </w:r>
      <w:r>
        <w:t xml:space="preserve">(column 5).  </w:t>
      </w:r>
    </w:p>
    <w:p w:rsidR="0023410E" w:rsidRDefault="0023410E" w:rsidP="00C30B64">
      <w:pPr>
        <w:spacing w:before="240" w:after="240" w:line="480" w:lineRule="auto"/>
        <w:ind w:firstLine="720"/>
        <w:jc w:val="both"/>
      </w:pPr>
      <w:r>
        <w:t>The critical question is why the economies with a high degree of durability are more stable economies than economies with lower degree of durability. The answer to this key question becomes obvious if we compare the household’s optimal consumption-decision rule for these alternative economies.  The decisions rules on consumption of durables in the baseline model economy are represented by conditions (</w:t>
      </w:r>
      <w:r w:rsidR="0019589A">
        <w:t>2.</w:t>
      </w:r>
      <w:r>
        <w:t>15) and (</w:t>
      </w:r>
      <w:r w:rsidR="0019589A">
        <w:t>2.</w:t>
      </w:r>
      <w:r>
        <w:t xml:space="preserve">16). Without durability in consumption, these conditions reduce to: </w:t>
      </w:r>
    </w:p>
    <w:p w:rsidR="0023410E" w:rsidRDefault="00C30B64" w:rsidP="00DC6815">
      <w:pPr>
        <w:spacing w:before="120" w:after="120" w:line="480" w:lineRule="auto"/>
        <w:ind w:firstLine="720"/>
        <w:jc w:val="both"/>
      </w:pPr>
      <w:r w:rsidRPr="00B9795B">
        <w:rPr>
          <w:rFonts w:eastAsia="Calibri" w:cs="Arial"/>
          <w:position w:val="-18"/>
          <w:sz w:val="22"/>
          <w:szCs w:val="22"/>
        </w:rPr>
        <w:object w:dxaOrig="9240" w:dyaOrig="600">
          <v:shape id="_x0000_i1239" type="#_x0000_t75" style="width:390.15pt;height:30.15pt" o:ole="">
            <v:imagedata r:id="rId431" o:title=""/>
          </v:shape>
          <o:OLEObject Type="Embed" ProgID="Equation.DSMT4" ShapeID="_x0000_i1239" DrawAspect="Content" ObjectID="_1359267162" r:id="rId432"/>
        </w:object>
      </w:r>
      <w:r w:rsidR="0023410E">
        <w:rPr>
          <w:position w:val="-84"/>
        </w:rPr>
        <w:t xml:space="preserve"> </w:t>
      </w:r>
      <w:r w:rsidR="0023410E">
        <w:t>(</w:t>
      </w:r>
      <w:r w:rsidR="0019589A">
        <w:t>2.</w:t>
      </w:r>
      <w:r w:rsidR="0023410E">
        <w:t>21)</w:t>
      </w:r>
      <w:r w:rsidR="0023410E">
        <w:rPr>
          <w:position w:val="-16"/>
        </w:rPr>
        <w:t xml:space="preserve"> </w:t>
      </w:r>
    </w:p>
    <w:p w:rsidR="0023410E" w:rsidRDefault="00C30B64" w:rsidP="00C30B64">
      <w:pPr>
        <w:spacing w:before="120" w:after="120" w:line="480" w:lineRule="auto"/>
        <w:ind w:firstLine="720"/>
        <w:jc w:val="both"/>
        <w:rPr>
          <w:position w:val="-86"/>
        </w:rPr>
      </w:pPr>
      <w:r w:rsidRPr="00B9795B">
        <w:rPr>
          <w:rFonts w:eastAsia="Calibri" w:cs="Arial"/>
          <w:position w:val="-18"/>
          <w:sz w:val="22"/>
          <w:szCs w:val="22"/>
        </w:rPr>
        <w:object w:dxaOrig="8940" w:dyaOrig="645">
          <v:shape id="_x0000_i1240" type="#_x0000_t75" style="width:390.15pt;height:32.65pt" o:ole="">
            <v:imagedata r:id="rId433" o:title=""/>
          </v:shape>
          <o:OLEObject Type="Embed" ProgID="Equation.DSMT4" ShapeID="_x0000_i1240" DrawAspect="Content" ObjectID="_1359267163" r:id="rId434"/>
        </w:object>
      </w:r>
      <w:r w:rsidR="00A03279">
        <w:rPr>
          <w:rFonts w:eastAsia="Calibri" w:cs="Arial"/>
          <w:position w:val="-18"/>
          <w:sz w:val="22"/>
          <w:szCs w:val="22"/>
        </w:rPr>
        <w:t xml:space="preserve">   </w:t>
      </w:r>
      <w:r w:rsidR="0023410E">
        <w:t>(</w:t>
      </w:r>
      <w:r w:rsidR="0019589A">
        <w:t>2.</w:t>
      </w:r>
      <w:r w:rsidR="0023410E">
        <w:t>22)</w:t>
      </w:r>
      <w:r w:rsidR="0023410E">
        <w:rPr>
          <w:position w:val="-16"/>
        </w:rPr>
        <w:t xml:space="preserve">  </w:t>
      </w:r>
    </w:p>
    <w:p w:rsidR="0023410E" w:rsidRDefault="0023410E" w:rsidP="00C30B64">
      <w:pPr>
        <w:spacing w:before="120" w:after="120" w:line="480" w:lineRule="auto"/>
        <w:ind w:firstLine="720"/>
        <w:jc w:val="both"/>
      </w:pPr>
      <w:r>
        <w:t>The main difference between (</w:t>
      </w:r>
      <w:r w:rsidR="0019589A">
        <w:t>2.</w:t>
      </w:r>
      <w:r>
        <w:t>21) and (</w:t>
      </w:r>
      <w:r w:rsidR="0019589A">
        <w:t>2.</w:t>
      </w:r>
      <w:r>
        <w:t>22) and equations (</w:t>
      </w:r>
      <w:r w:rsidR="0019589A">
        <w:t>2.</w:t>
      </w:r>
      <w:r>
        <w:t>14) and (</w:t>
      </w:r>
      <w:r w:rsidR="0019589A">
        <w:t>2.</w:t>
      </w:r>
      <w:r>
        <w:t xml:space="preserve">15) is that in the nondurable model the expected ToT has no effect in household’s consumption decision.  In equation </w:t>
      </w:r>
      <w:r w:rsidR="00A03279">
        <w:t>2.</w:t>
      </w:r>
      <w:r>
        <w:t>15, one can note that the higher the degree of durability on the foreign good</w:t>
      </w:r>
      <w:r w:rsidRPr="00B9795B">
        <w:rPr>
          <w:rFonts w:eastAsia="Calibri" w:cs="Arial"/>
          <w:position w:val="-16"/>
          <w:sz w:val="22"/>
          <w:szCs w:val="22"/>
        </w:rPr>
        <w:object w:dxaOrig="735" w:dyaOrig="435">
          <v:shape id="_x0000_i1241" type="#_x0000_t75" style="width:37.65pt;height:22.6pt" o:ole="">
            <v:imagedata r:id="rId435" o:title=""/>
          </v:shape>
          <o:OLEObject Type="Embed" ProgID="Equation.DSMT4" ShapeID="_x0000_i1241" DrawAspect="Content" ObjectID="_1359267164" r:id="rId436"/>
        </w:object>
      </w:r>
      <w:r>
        <w:t xml:space="preserve">, the greater is the effect of the ToT expectation on household’s decision. Without durability, household has no ability to delay or postpone its current purchases of consumption goods; hence a shock to ToT will increase will lead to lead to substitution between home and foreign goods as the only way to avoid more </w:t>
      </w:r>
      <w:r w:rsidR="0019589A">
        <w:t>expenses</w:t>
      </w:r>
      <w:r>
        <w:t xml:space="preserve"> due to higher import prices. With some degree of durability in home and foreign consumption goods, household response to a transitory increase in ToT by reducing their current purchases of imported goods and at the same time they also substitute away some imported consumption for home good consumption. As a result, an economy with higher degree of durability will have a reduced effect of ToT fluctuations on aggregate consumption, output, and other national accounts. </w:t>
      </w:r>
    </w:p>
    <w:p w:rsidR="00FB71B2" w:rsidRDefault="00FB71B2" w:rsidP="0019589A">
      <w:pPr>
        <w:pStyle w:val="Heading2"/>
        <w:numPr>
          <w:ilvl w:val="1"/>
          <w:numId w:val="3"/>
        </w:numPr>
        <w:spacing w:after="240" w:line="480" w:lineRule="auto"/>
        <w:jc w:val="both"/>
        <w:rPr>
          <w:b w:val="0"/>
          <w:bCs w:val="0"/>
        </w:rPr>
      </w:pPr>
      <w:bookmarkStart w:id="26" w:name="_Toc285478017"/>
      <w:r w:rsidRPr="00EE6912">
        <w:rPr>
          <w:b w:val="0"/>
          <w:bCs w:val="0"/>
        </w:rPr>
        <w:t>The Role of Interest Rates</w:t>
      </w:r>
      <w:bookmarkEnd w:id="26"/>
    </w:p>
    <w:p w:rsidR="0023410E" w:rsidRDefault="0023410E" w:rsidP="00C30B64">
      <w:pPr>
        <w:spacing w:before="120" w:after="120" w:line="480" w:lineRule="auto"/>
        <w:ind w:firstLine="720"/>
        <w:jc w:val="both"/>
        <w:rPr>
          <w:sz w:val="20"/>
          <w:szCs w:val="20"/>
        </w:rPr>
      </w:pPr>
      <w:r>
        <w:t>The country risk premium in (</w:t>
      </w:r>
      <w:r w:rsidR="0019589A">
        <w:t>2.</w:t>
      </w:r>
      <w:r>
        <w:t xml:space="preserve">9) is shaping the interest rates volatility in our model. Based on this specification, the country premium constitutes an important channel for the ToT. To highlight the importance of the country premium on the dynamics of the model, we simply shut down this channel by setting </w:t>
      </w:r>
      <w:r w:rsidRPr="00B9795B">
        <w:rPr>
          <w:rFonts w:eastAsia="Calibri" w:cs="Arial"/>
          <w:position w:val="-10"/>
          <w:sz w:val="22"/>
          <w:szCs w:val="22"/>
        </w:rPr>
        <w:object w:dxaOrig="945" w:dyaOrig="315">
          <v:shape id="_x0000_i1242" type="#_x0000_t75" style="width:46.9pt;height:16.75pt" o:ole="">
            <v:imagedata r:id="rId437" o:title=""/>
          </v:shape>
          <o:OLEObject Type="Embed" ProgID="Equation.DSMT4" ShapeID="_x0000_i1242" DrawAspect="Content" ObjectID="_1359267165" r:id="rId438"/>
        </w:object>
      </w:r>
      <w:r>
        <w:t xml:space="preserve"> in (</w:t>
      </w:r>
      <w:r w:rsidR="0019589A">
        <w:t>2.</w:t>
      </w:r>
      <w:r>
        <w:t xml:space="preserve">9).  In this case, the model economy faces fixed interest rates as it in the standard model of </w:t>
      </w:r>
      <w:proofErr w:type="spellStart"/>
      <w:r>
        <w:t>Mendoz</w:t>
      </w:r>
      <w:proofErr w:type="spellEnd"/>
      <w:r>
        <w:t xml:space="preserve"> (1990).</w:t>
      </w:r>
      <w:r>
        <w:rPr>
          <w:rStyle w:val="FootnoteReference"/>
        </w:rPr>
        <w:footnoteReference w:id="24"/>
      </w:r>
      <w:r w:rsidR="00A03279">
        <w:t xml:space="preserve"> Figure B.6</w:t>
      </w:r>
      <w:r>
        <w:t xml:space="preserve"> shows the dynamic responses of the national accounts to a one standard deviation shock in ToT. An increase in relative price (adverse ToT) leads to a decrease in total consumption spending</w:t>
      </w:r>
      <w:r w:rsidRPr="00B9795B">
        <w:rPr>
          <w:rFonts w:eastAsia="Calibri" w:cs="Arial"/>
          <w:position w:val="-12"/>
          <w:sz w:val="22"/>
          <w:szCs w:val="22"/>
        </w:rPr>
        <w:object w:dxaOrig="240" w:dyaOrig="345">
          <v:shape id="_x0000_i1243" type="#_x0000_t75" style="width:13.4pt;height:16.75pt" o:ole="">
            <v:imagedata r:id="rId439" o:title=""/>
          </v:shape>
          <o:OLEObject Type="Embed" ProgID="Equation.DSMT4" ShapeID="_x0000_i1243" DrawAspect="Content" ObjectID="_1359267166" r:id="rId440"/>
        </w:object>
      </w:r>
      <w:r>
        <w:t xml:space="preserve"> along with the substitution of leisure for consumption, which reduces employment and output. As it become more expensive to hold and consume foreign durable, household reacts by cutting its investment in consumption durables in favor of holding more domestic capital.  Thu</w:t>
      </w:r>
      <w:r w:rsidR="00C86268">
        <w:t xml:space="preserve">s, this portfolio re-allocation </w:t>
      </w:r>
      <w:r>
        <w:t>decrease</w:t>
      </w:r>
      <w:r w:rsidR="00C86268">
        <w:t>s</w:t>
      </w:r>
      <w:r>
        <w:t xml:space="preserve"> in aggregate consumption expenditure. While household decreasing its aggregate consumption it consumes more leisure which reduces the labor supply. As a result output fall below its steady state so as well aggregate consumption while investment increases above its steady state level. Since output decreases while the total effect on domestic absorption is positive, the trade balance deteriorates. This can be seen in the response of the trade balance.</w:t>
      </w:r>
      <w:r>
        <w:rPr>
          <w:rStyle w:val="FootnoteReference"/>
        </w:rPr>
        <w:footnoteReference w:id="25"/>
      </w:r>
      <w:r>
        <w:t xml:space="preserve"> As the trade balance deteriorates, the external debt of this economy increases. Unfortunately, this dynamic does not fit the benchmark economy. We recall that in the benchmark economy, the TOT deterioration must be associated with a decrease in investment and an increase in the trade surplus. For the trade balance to be in surplus, the domestic absorption of the economy should decrease faster than the decrease in output. With variable interest rates, Figure </w:t>
      </w:r>
      <w:r w:rsidR="00A03279">
        <w:t>B.7</w:t>
      </w:r>
      <w:r>
        <w:t>, the increase in the ToT results in a higher country premium. This interest rates increase force household to reduce its investment spending and holding of external debt. The logic behind the negative relation between investment spending and interest rates is related to a household’s portfolio allocation. With higher interest rates the cost of borrowing relative to the return from investment becomes higher. Accordingly household is better off reducing its liability of debt at the cost of other assets, particularly investment. In conclusion, investment decreases, the trade balance improves while external debt subsides.</w:t>
      </w:r>
    </w:p>
    <w:p w:rsidR="00FB71B2" w:rsidRPr="00EE6912" w:rsidRDefault="00692CA5" w:rsidP="0019589A">
      <w:pPr>
        <w:pStyle w:val="Heading2"/>
        <w:numPr>
          <w:ilvl w:val="1"/>
          <w:numId w:val="3"/>
        </w:numPr>
        <w:spacing w:after="240" w:line="480" w:lineRule="auto"/>
        <w:jc w:val="both"/>
        <w:rPr>
          <w:b w:val="0"/>
          <w:bCs w:val="0"/>
        </w:rPr>
      </w:pPr>
      <w:bookmarkStart w:id="27" w:name="_Toc285478018"/>
      <w:r w:rsidRPr="00EE6912">
        <w:rPr>
          <w:b w:val="0"/>
          <w:bCs w:val="0"/>
        </w:rPr>
        <w:t>Implications of the Persistence of the ToT</w:t>
      </w:r>
      <w:bookmarkEnd w:id="27"/>
    </w:p>
    <w:p w:rsidR="0023410E" w:rsidRPr="0023410E" w:rsidRDefault="0023410E" w:rsidP="00C30B64">
      <w:pPr>
        <w:spacing w:before="120" w:after="120" w:line="480" w:lineRule="auto"/>
        <w:ind w:firstLine="720"/>
        <w:jc w:val="both"/>
      </w:pPr>
      <w:r>
        <w:t>The relationship between the ToT and the trade balance is dominated by two competing hypotheses. The HLM hypothesis predicts that any ToT deterioration is associated with a trade balance deficit. On the other hand, the OSR hypothesis indicates that only transitory deterioration to the ToT may lead to a trade balance deficit. Contrary to the HLM, OSR predicts that a permanent deterioration of the ToT leads to a trade balance surplus. Accordingly, one may suspect that the differences in the characteristics of open economies’ business cycles are due to differences in the persistence of the ToT that they face. In this section we investigate the possibility that differences in the persistence of the ToT could be the reason for the distinct features of the business cycles of small open economies. In the following, we have two objectives. First, we analyzed the effect of the persistence of the ToT on the trade balance in our baseline model economy. This also directly tests the general hypothesis of the OSR against the HLM in the baseline economy environment. Second, we investigate the effects of the persistence of the shock on the business cycle’s characteristics. This could provide a reasonable explanation as to why different open economies often exhibit distinct real business cycle characteristics.</w:t>
      </w:r>
    </w:p>
    <w:p w:rsidR="00FB71B2" w:rsidRPr="00EE6912" w:rsidRDefault="00FB71B2" w:rsidP="0019589A">
      <w:pPr>
        <w:pStyle w:val="Heading2"/>
        <w:numPr>
          <w:ilvl w:val="2"/>
          <w:numId w:val="3"/>
        </w:numPr>
        <w:spacing w:after="240" w:line="480" w:lineRule="auto"/>
        <w:jc w:val="both"/>
        <w:rPr>
          <w:b w:val="0"/>
          <w:bCs w:val="0"/>
        </w:rPr>
      </w:pPr>
      <w:bookmarkStart w:id="28" w:name="_Toc285478019"/>
      <w:r w:rsidRPr="00EE6912">
        <w:rPr>
          <w:b w:val="0"/>
          <w:bCs w:val="0"/>
        </w:rPr>
        <w:t>HLM versus OSR in the Model Economy</w:t>
      </w:r>
      <w:bookmarkEnd w:id="28"/>
    </w:p>
    <w:p w:rsidR="0023410E" w:rsidRDefault="0023410E" w:rsidP="00C30B64">
      <w:pPr>
        <w:spacing w:before="120" w:after="120" w:line="480" w:lineRule="auto"/>
        <w:ind w:firstLine="720"/>
        <w:jc w:val="both"/>
      </w:pPr>
      <w:r>
        <w:t>To test these hypotheses within our model economy framework, we need only to compare the response of the trade balance to tot deterioration with different levels of persistence in the ToT. The response of the trade balance to tot in the</w:t>
      </w:r>
      <w:r w:rsidR="00A03279">
        <w:t xml:space="preserve"> baseline model is depicted in Figure B.7</w:t>
      </w:r>
      <w:r>
        <w:t xml:space="preserve">.   As explained in the previous section, the deterioration of the ToT in the baseline model is associated with a trade balance surplus.  We found this to be consistent in our benchmark economy. The direct conclusion that we can draw is that tour baseline model economy rejects the HLM hypothesis, which requires that trade balance be in deficit after deterioration in ToT. </w:t>
      </w:r>
    </w:p>
    <w:p w:rsidR="0023410E" w:rsidRDefault="0023410E" w:rsidP="00C30B64">
      <w:pPr>
        <w:spacing w:before="120" w:after="120" w:line="480" w:lineRule="auto"/>
        <w:ind w:firstLine="720"/>
        <w:jc w:val="both"/>
      </w:pPr>
      <w:r>
        <w:t xml:space="preserve">The question that remains to be answered is whether the rejection of the HLM implies any support in favor of the OSR hypothesis or not. To provide a precise answer, we need to investigate and examine the dynamics of the trade balance with alternative ToT shocks with different degrees of persistence. For a given ToT shock, the OSR hypothesis requires the trade balance to be more in surplus the higher the persistent level of the shock.  </w:t>
      </w:r>
    </w:p>
    <w:p w:rsidR="00692CA5" w:rsidRPr="00A55804" w:rsidRDefault="0023410E" w:rsidP="00C30B64">
      <w:pPr>
        <w:spacing w:before="120" w:after="120" w:line="480" w:lineRule="auto"/>
        <w:ind w:firstLine="720"/>
        <w:jc w:val="both"/>
      </w:pPr>
      <w:r>
        <w:t xml:space="preserve">Figure </w:t>
      </w:r>
      <w:r w:rsidR="00A03279">
        <w:t>B.8</w:t>
      </w:r>
      <w:r>
        <w:t xml:space="preserve"> plots the responses of the model economy to ToT under the assumption of a highly persistent shock. In particular, we assign a higher parameter value for</w:t>
      </w:r>
      <w:r w:rsidRPr="00B9795B">
        <w:rPr>
          <w:rFonts w:eastAsia="Calibri" w:cs="Arial"/>
          <w:position w:val="-14"/>
          <w:sz w:val="22"/>
          <w:szCs w:val="22"/>
        </w:rPr>
        <w:object w:dxaOrig="300" w:dyaOrig="345">
          <v:shape id="_x0000_i1244" type="#_x0000_t75" style="width:15.9pt;height:16.75pt" o:ole="">
            <v:imagedata r:id="rId441" o:title=""/>
          </v:shape>
          <o:OLEObject Type="Embed" ProgID="Equation.DSMT4" ShapeID="_x0000_i1244" DrawAspect="Content" ObjectID="_1359267167" r:id="rId442"/>
        </w:object>
      </w:r>
      <w:r>
        <w:t xml:space="preserve"> than in the baseline model and keep all other parameters unchanged. Consistent with our baseline model predictions, a more persistent ToT shock leads to a surplus in the trade balance as well. Of course, now the surplus of the trade balance is more profound than in the baseline economy - consistent with the OSR hyp</w:t>
      </w:r>
      <w:r w:rsidR="00A03279">
        <w:t>othesis. As can be observed in Figure B.8</w:t>
      </w:r>
      <w:r>
        <w:t>, the decrease in investment is larger and the decrease in output is smaller, relative to the baseline model, which translates to relatively more surplus in the trade balance. We also investigate the effects of a ToT shock with lower parameter value for</w:t>
      </w:r>
      <w:r w:rsidRPr="00B9795B">
        <w:rPr>
          <w:rFonts w:eastAsia="Calibri" w:cs="Arial"/>
          <w:position w:val="-14"/>
          <w:sz w:val="22"/>
          <w:szCs w:val="22"/>
        </w:rPr>
        <w:object w:dxaOrig="300" w:dyaOrig="345">
          <v:shape id="_x0000_i1245" type="#_x0000_t75" style="width:15.9pt;height:16.75pt" o:ole="">
            <v:imagedata r:id="rId441" o:title=""/>
          </v:shape>
          <o:OLEObject Type="Embed" ProgID="Equation.DSMT4" ShapeID="_x0000_i1245" DrawAspect="Content" ObjectID="_1359267168" r:id="rId443"/>
        </w:object>
      </w:r>
      <w:r>
        <w:t>comparing to the baseline model. Repeating the same analysis with lower degree of durability we find similar results involving the relationship between trade balance and the persistence of the ToT</w:t>
      </w:r>
      <w:r w:rsidR="00A03279">
        <w:t xml:space="preserve"> (see Figure B.9)</w:t>
      </w:r>
      <w:r>
        <w:t>.</w:t>
      </w:r>
      <w:r>
        <w:rPr>
          <w:rStyle w:val="FootnoteReference"/>
        </w:rPr>
        <w:footnoteReference w:id="26"/>
      </w:r>
      <w:r>
        <w:t xml:space="preserve"> In conclusion these experiments reject the HLM hypothesis and confirm the OSR hypothesis in this study. </w:t>
      </w:r>
      <w:r w:rsidR="00692CA5" w:rsidRPr="00A55804">
        <w:t xml:space="preserve"> </w:t>
      </w:r>
    </w:p>
    <w:p w:rsidR="003A65AE" w:rsidRPr="00EE6912" w:rsidRDefault="00692CA5" w:rsidP="0019589A">
      <w:pPr>
        <w:pStyle w:val="Heading2"/>
        <w:numPr>
          <w:ilvl w:val="2"/>
          <w:numId w:val="3"/>
        </w:numPr>
        <w:spacing w:after="240" w:line="480" w:lineRule="auto"/>
        <w:jc w:val="both"/>
        <w:rPr>
          <w:b w:val="0"/>
          <w:bCs w:val="0"/>
        </w:rPr>
      </w:pPr>
      <w:bookmarkStart w:id="29" w:name="_Toc285478020"/>
      <w:r w:rsidRPr="00EE6912">
        <w:rPr>
          <w:b w:val="0"/>
          <w:bCs w:val="0"/>
        </w:rPr>
        <w:t>Persistence of the ToT and the Business Cycle</w:t>
      </w:r>
      <w:bookmarkEnd w:id="29"/>
      <w:r w:rsidRPr="00EE6912">
        <w:rPr>
          <w:b w:val="0"/>
          <w:bCs w:val="0"/>
        </w:rPr>
        <w:t xml:space="preserve"> </w:t>
      </w:r>
    </w:p>
    <w:p w:rsidR="0023410E" w:rsidRPr="002C7859" w:rsidRDefault="0023410E" w:rsidP="00C30B64">
      <w:pPr>
        <w:spacing w:before="120" w:after="120" w:line="480" w:lineRule="auto"/>
        <w:ind w:firstLine="720"/>
        <w:jc w:val="both"/>
      </w:pPr>
      <w:r>
        <w:t>Finally, we investigate whether differences in the business cycles among different economies are due to differences in persistence of the ToT shocks faced by those economies rather than differences in the degree of durability. To do so, we first use the nondurable version of the model and then assign different persistence levels to the ToT and compare the resulting busi</w:t>
      </w:r>
      <w:r w:rsidR="00A03279">
        <w:t>ness cycles. Column 2 in Table A.10</w:t>
      </w:r>
      <w:r>
        <w:t xml:space="preserve"> includes the moments of the model given the estimated persistence for the benchmark economy data. In column 3 of the same table, we obtain different results by assuming higher persistence level. We find that with higher persistence the volatility of the business cycle is slightly lower than in the baseline model without durability. The main effects of higher ToT persistence are on investment volatility, and on the correlation between investment and ToT. In column 4 </w:t>
      </w:r>
      <w:r w:rsidR="00A03279">
        <w:t>(T</w:t>
      </w:r>
      <w:r>
        <w:t>able</w:t>
      </w:r>
      <w:r w:rsidR="00A03279">
        <w:t xml:space="preserve"> A.10)</w:t>
      </w:r>
      <w:r>
        <w:t>, we report the results for shorter persistence.  In this version of the model, the c</w:t>
      </w:r>
      <w:r w:rsidR="0019589A">
        <w:t xml:space="preserve">orrelation between the ToT and </w:t>
      </w:r>
      <w:r>
        <w:t>the trade balance becomes negative, as mentioned earlier. However, the aggregate fluctuations of the resulting business cycle are slightly less than in the baseline model without durability.  Overall, the differences in the ToT persistence in various economies cannot explain the observed differences in their business cycles.</w:t>
      </w:r>
    </w:p>
    <w:p w:rsidR="003A65AE" w:rsidRPr="00EE6912" w:rsidRDefault="00692CA5" w:rsidP="0019589A">
      <w:pPr>
        <w:pStyle w:val="Heading2"/>
        <w:numPr>
          <w:ilvl w:val="1"/>
          <w:numId w:val="3"/>
        </w:numPr>
        <w:spacing w:after="240" w:line="480" w:lineRule="auto"/>
        <w:jc w:val="both"/>
        <w:rPr>
          <w:b w:val="0"/>
          <w:bCs w:val="0"/>
        </w:rPr>
      </w:pPr>
      <w:bookmarkStart w:id="30" w:name="_Toc285478021"/>
      <w:r w:rsidRPr="00EE6912">
        <w:rPr>
          <w:b w:val="0"/>
          <w:bCs w:val="0"/>
        </w:rPr>
        <w:t>Conclusion</w:t>
      </w:r>
      <w:bookmarkEnd w:id="30"/>
    </w:p>
    <w:p w:rsidR="0023410E" w:rsidRDefault="0023410E" w:rsidP="00C30B64">
      <w:pPr>
        <w:spacing w:before="120" w:after="120" w:line="480" w:lineRule="auto"/>
        <w:ind w:firstLine="720"/>
        <w:jc w:val="both"/>
      </w:pPr>
      <w:r>
        <w:t xml:space="preserve">The reason for the observed differences in the business cycles of emerging small open economies compared to advanced small open economies is an important debate in the recent literature. One point of view attributes the differences to the sensitivity of open economies to international capital markets and interest rates. Another point of view claims that emerging economies vary from developed economies with regard to domestic policy shocks and regime switching. We provide an alternative explanation. We argue that the two groups of economies are distinct in terms of their production and demand patterns. </w:t>
      </w:r>
      <w:r w:rsidR="00533C0F">
        <w:t xml:space="preserve">Developed </w:t>
      </w:r>
      <w:r>
        <w:t xml:space="preserve">open economies usually produce and consume more durable goods than many developing economics. Economies with a higher level of income also import more durable goods than poor economies as well. We construct a small open economy real business cycle model with two goods - domestic and foreign and examine the effects of adverse terms of trade. In our model, both composite goods exhibit a certain degree of durability. We also calibrate our model to the Canadian quarterly data. The model is able to replicate the different moments of the national accounts. The model is also the first to replicate the comovement between ToT and national accounts and to decipher the dynamics behind this observed comovement. We find that ToT helps explain </w:t>
      </w:r>
      <w:r w:rsidR="001A4C62">
        <w:t xml:space="preserve">around one </w:t>
      </w:r>
      <w:r>
        <w:t xml:space="preserve">fifth of the aggregate business cycle fluctuations of the </w:t>
      </w:r>
      <w:r w:rsidR="001A4C62">
        <w:t xml:space="preserve">developed </w:t>
      </w:r>
      <w:r>
        <w:t xml:space="preserve">economy and one </w:t>
      </w:r>
      <w:r w:rsidR="001A4C62">
        <w:t xml:space="preserve">third </w:t>
      </w:r>
      <w:r>
        <w:t xml:space="preserve">of the aggregate fluctuation in the </w:t>
      </w:r>
      <w:r w:rsidR="001A4C62">
        <w:t>developing economy</w:t>
      </w:r>
      <w:r>
        <w:t xml:space="preserve">. We show that differences in the demand and production structure among different small economies affect the degree of sensitivity of these countries to the ToT due to the forward looking nature of the demand for durables.  With this study, we also contribute to the debate over the HLM and OSR hypotheses. In our framework, we firmly rejecting the HLM premise and confirming the OSR premise. We underscore that terms of trade persistence </w:t>
      </w:r>
      <w:r w:rsidR="001A4C62">
        <w:t xml:space="preserve">affect the outcomes of the trade balance but </w:t>
      </w:r>
      <w:r>
        <w:t xml:space="preserve">cannot justify the observed differences in the actual business cycles of the small open economies. Since our two goods model with terms of trade can replicate Canadian business cycle and explain various comovements remarkably well, it will be useful to employ this framework to study various government policies. </w:t>
      </w:r>
    </w:p>
    <w:p w:rsidR="0023410E" w:rsidRPr="00EE6912" w:rsidRDefault="0023410E" w:rsidP="00772912">
      <w:pPr>
        <w:pStyle w:val="Heading2"/>
        <w:numPr>
          <w:ilvl w:val="1"/>
          <w:numId w:val="3"/>
        </w:numPr>
        <w:spacing w:after="240"/>
        <w:jc w:val="both"/>
        <w:rPr>
          <w:b w:val="0"/>
          <w:bCs w:val="0"/>
        </w:rPr>
      </w:pPr>
      <w:bookmarkStart w:id="31" w:name="_Toc285478022"/>
      <w:r w:rsidRPr="00EE6912">
        <w:rPr>
          <w:b w:val="0"/>
          <w:bCs w:val="0"/>
        </w:rPr>
        <w:t>Data Sources</w:t>
      </w:r>
      <w:bookmarkEnd w:id="31"/>
    </w:p>
    <w:p w:rsidR="00DA1DA6" w:rsidRPr="00DA1DA6" w:rsidRDefault="00DA1DA6" w:rsidP="00772912">
      <w:pPr>
        <w:jc w:val="both"/>
      </w:pPr>
    </w:p>
    <w:p w:rsidR="0023410E" w:rsidRDefault="0023410E" w:rsidP="00533C0F">
      <w:pPr>
        <w:snapToGrid w:val="0"/>
        <w:spacing w:line="480" w:lineRule="auto"/>
        <w:jc w:val="both"/>
        <w:rPr>
          <w:bCs/>
        </w:rPr>
      </w:pPr>
      <w:r>
        <w:rPr>
          <w:bCs/>
        </w:rPr>
        <w:t xml:space="preserve">Data are obtained from the Canadian Socio-economic Information and Management (CANSIM) database. CANSIM labels are in parentheses. </w:t>
      </w:r>
    </w:p>
    <w:p w:rsidR="0023410E" w:rsidRPr="00533C0F" w:rsidRDefault="0023410E" w:rsidP="00772912">
      <w:pPr>
        <w:snapToGrid w:val="0"/>
        <w:spacing w:after="60"/>
        <w:jc w:val="both"/>
        <w:rPr>
          <w:bCs/>
        </w:rPr>
      </w:pPr>
      <w:r w:rsidRPr="00533C0F">
        <w:rPr>
          <w:bCs/>
          <w:i/>
        </w:rPr>
        <w:t>Population</w:t>
      </w:r>
      <w:r w:rsidRPr="00533C0F">
        <w:rPr>
          <w:bCs/>
        </w:rPr>
        <w:t>: Quarterly estimates of population for Canada (D1)</w:t>
      </w:r>
    </w:p>
    <w:p w:rsidR="0023410E" w:rsidRPr="00533C0F" w:rsidRDefault="0023410E" w:rsidP="00772912">
      <w:pPr>
        <w:snapToGrid w:val="0"/>
        <w:spacing w:after="60"/>
        <w:jc w:val="both"/>
        <w:rPr>
          <w:bCs/>
        </w:rPr>
      </w:pPr>
    </w:p>
    <w:p w:rsidR="0023410E" w:rsidRPr="00533C0F" w:rsidRDefault="0023410E" w:rsidP="00772912">
      <w:pPr>
        <w:snapToGrid w:val="0"/>
        <w:spacing w:after="60"/>
        <w:jc w:val="both"/>
        <w:rPr>
          <w:bCs/>
        </w:rPr>
      </w:pPr>
      <w:r w:rsidRPr="00533C0F">
        <w:rPr>
          <w:bCs/>
          <w:i/>
        </w:rPr>
        <w:t>Output</w:t>
      </w:r>
      <w:r w:rsidRPr="00533C0F">
        <w:rPr>
          <w:bCs/>
        </w:rPr>
        <w:t>: real gross domestic product (D100126)</w:t>
      </w:r>
    </w:p>
    <w:p w:rsidR="00772912" w:rsidRPr="00533C0F" w:rsidRDefault="00772912" w:rsidP="00772912">
      <w:pPr>
        <w:snapToGrid w:val="0"/>
        <w:spacing w:after="60"/>
        <w:jc w:val="both"/>
        <w:rPr>
          <w:bCs/>
        </w:rPr>
      </w:pPr>
    </w:p>
    <w:p w:rsidR="00772912" w:rsidRPr="00533C0F" w:rsidRDefault="00772912" w:rsidP="00772912">
      <w:pPr>
        <w:snapToGrid w:val="0"/>
        <w:spacing w:after="60"/>
        <w:jc w:val="both"/>
        <w:rPr>
          <w:bCs/>
        </w:rPr>
      </w:pPr>
      <w:r w:rsidRPr="00533C0F">
        <w:rPr>
          <w:bCs/>
        </w:rPr>
        <w:t>Unite price of imports: International Financial Statistics, International Monetary Fund (IMF).</w:t>
      </w:r>
    </w:p>
    <w:p w:rsidR="00772912" w:rsidRPr="00533C0F" w:rsidRDefault="00772912" w:rsidP="00772912">
      <w:pPr>
        <w:snapToGrid w:val="0"/>
        <w:spacing w:after="60"/>
        <w:jc w:val="both"/>
        <w:rPr>
          <w:bCs/>
        </w:rPr>
      </w:pPr>
    </w:p>
    <w:p w:rsidR="00772912" w:rsidRPr="00533C0F" w:rsidRDefault="00772912" w:rsidP="00772912">
      <w:pPr>
        <w:snapToGrid w:val="0"/>
        <w:spacing w:after="60"/>
        <w:jc w:val="both"/>
        <w:rPr>
          <w:bCs/>
        </w:rPr>
      </w:pPr>
      <w:r w:rsidRPr="00533C0F">
        <w:rPr>
          <w:bCs/>
        </w:rPr>
        <w:t>Unite price of exports: International Financial Statistics, International Monetary Fund (IMF).</w:t>
      </w:r>
    </w:p>
    <w:p w:rsidR="0023410E" w:rsidRPr="00533C0F" w:rsidRDefault="0023410E" w:rsidP="00772912">
      <w:pPr>
        <w:snapToGrid w:val="0"/>
        <w:spacing w:after="60"/>
        <w:jc w:val="both"/>
        <w:rPr>
          <w:bCs/>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Nondurable Consumption</w:t>
      </w:r>
      <w:r w:rsidRPr="00533C0F">
        <w:rPr>
          <w:rFonts w:ascii="Times New Roman" w:hAnsi="Times New Roman"/>
          <w:bCs/>
          <w:sz w:val="24"/>
          <w:szCs w:val="24"/>
        </w:rPr>
        <w:t>: personal expenditure on non-durable goods (D100106) and services (D100107)</w:t>
      </w:r>
    </w:p>
    <w:p w:rsidR="0023410E" w:rsidRDefault="0023410E" w:rsidP="00772912">
      <w:pPr>
        <w:pStyle w:val="ListParagraph"/>
        <w:spacing w:after="60" w:line="240" w:lineRule="auto"/>
        <w:ind w:left="0"/>
        <w:jc w:val="both"/>
        <w:rPr>
          <w:rFonts w:ascii="Times New Roman" w:hAnsi="Times New Roman"/>
          <w:bCs/>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Durable spending</w:t>
      </w:r>
      <w:r w:rsidRPr="00533C0F">
        <w:rPr>
          <w:rFonts w:ascii="Times New Roman" w:hAnsi="Times New Roman"/>
          <w:bCs/>
          <w:sz w:val="24"/>
          <w:szCs w:val="24"/>
        </w:rPr>
        <w:t>: personal expenditure on durable goods (D100104) plus personal expenditure on semi-durables (D100105)</w:t>
      </w:r>
    </w:p>
    <w:p w:rsidR="0023410E" w:rsidRPr="00533C0F" w:rsidRDefault="0023410E" w:rsidP="00772912">
      <w:pPr>
        <w:pStyle w:val="ListParagraph"/>
        <w:spacing w:after="60" w:line="240" w:lineRule="auto"/>
        <w:ind w:left="0"/>
        <w:jc w:val="both"/>
        <w:rPr>
          <w:rFonts w:ascii="Times New Roman" w:hAnsi="Times New Roman"/>
          <w:bCs/>
          <w:sz w:val="24"/>
          <w:szCs w:val="24"/>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Investment</w:t>
      </w:r>
      <w:r w:rsidRPr="00533C0F">
        <w:rPr>
          <w:rFonts w:ascii="Times New Roman" w:hAnsi="Times New Roman"/>
          <w:bCs/>
          <w:sz w:val="24"/>
          <w:szCs w:val="24"/>
        </w:rPr>
        <w:t>: investment in machinery and equipment (D100115), non-residential structures (D100114) and residential structures (D100112)</w:t>
      </w:r>
    </w:p>
    <w:p w:rsidR="0023410E" w:rsidRPr="00533C0F" w:rsidRDefault="0023410E" w:rsidP="00772912">
      <w:pPr>
        <w:pStyle w:val="ListParagraph"/>
        <w:spacing w:after="60" w:line="240" w:lineRule="auto"/>
        <w:ind w:left="0"/>
        <w:jc w:val="both"/>
        <w:rPr>
          <w:rFonts w:ascii="Times New Roman" w:hAnsi="Times New Roman"/>
          <w:bCs/>
          <w:sz w:val="24"/>
          <w:szCs w:val="24"/>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Exports</w:t>
      </w:r>
      <w:r w:rsidRPr="00533C0F">
        <w:rPr>
          <w:rFonts w:ascii="Times New Roman" w:hAnsi="Times New Roman"/>
          <w:bCs/>
          <w:sz w:val="24"/>
          <w:szCs w:val="24"/>
        </w:rPr>
        <w:t>: exports of goods and services (D100119)</w:t>
      </w:r>
    </w:p>
    <w:p w:rsidR="0023410E" w:rsidRPr="00533C0F" w:rsidRDefault="0023410E" w:rsidP="00772912">
      <w:pPr>
        <w:pStyle w:val="ListParagraph"/>
        <w:spacing w:after="60" w:line="240" w:lineRule="auto"/>
        <w:ind w:left="0"/>
        <w:jc w:val="both"/>
        <w:rPr>
          <w:rFonts w:ascii="Times New Roman" w:hAnsi="Times New Roman"/>
          <w:bCs/>
          <w:sz w:val="24"/>
          <w:szCs w:val="24"/>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Imports</w:t>
      </w:r>
      <w:r w:rsidRPr="00533C0F">
        <w:rPr>
          <w:rFonts w:ascii="Times New Roman" w:hAnsi="Times New Roman"/>
          <w:bCs/>
          <w:sz w:val="24"/>
          <w:szCs w:val="24"/>
        </w:rPr>
        <w:t>: imports of goods and services (D100122)</w:t>
      </w:r>
    </w:p>
    <w:p w:rsidR="0023410E" w:rsidRPr="00533C0F" w:rsidRDefault="0023410E" w:rsidP="00772912">
      <w:pPr>
        <w:pStyle w:val="ListParagraph"/>
        <w:spacing w:after="60" w:line="240" w:lineRule="auto"/>
        <w:ind w:left="0"/>
        <w:jc w:val="both"/>
        <w:rPr>
          <w:rFonts w:ascii="Times New Roman" w:hAnsi="Times New Roman"/>
          <w:bCs/>
          <w:sz w:val="24"/>
          <w:szCs w:val="24"/>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GDP deflator</w:t>
      </w:r>
      <w:r w:rsidRPr="00533C0F">
        <w:rPr>
          <w:rFonts w:ascii="Times New Roman" w:hAnsi="Times New Roman"/>
          <w:bCs/>
          <w:sz w:val="24"/>
          <w:szCs w:val="24"/>
        </w:rPr>
        <w:t>: ratio of nominal GDP (D14816) and real GDP (D100126)</w:t>
      </w:r>
    </w:p>
    <w:p w:rsidR="0023410E" w:rsidRPr="00533C0F" w:rsidRDefault="0023410E" w:rsidP="00772912">
      <w:pPr>
        <w:pStyle w:val="ListParagraph"/>
        <w:spacing w:after="60" w:line="240" w:lineRule="auto"/>
        <w:ind w:left="0"/>
        <w:jc w:val="both"/>
        <w:rPr>
          <w:rFonts w:ascii="Times New Roman" w:hAnsi="Times New Roman"/>
          <w:bCs/>
          <w:sz w:val="24"/>
          <w:szCs w:val="24"/>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Employment</w:t>
      </w:r>
      <w:r w:rsidRPr="00533C0F">
        <w:rPr>
          <w:rFonts w:ascii="Times New Roman" w:hAnsi="Times New Roman"/>
          <w:bCs/>
          <w:sz w:val="24"/>
          <w:szCs w:val="24"/>
        </w:rPr>
        <w:t>: employment age 15+ (D980595)</w:t>
      </w:r>
    </w:p>
    <w:p w:rsidR="0023410E" w:rsidRPr="00533C0F" w:rsidRDefault="0023410E" w:rsidP="00772912">
      <w:pPr>
        <w:pStyle w:val="ListParagraph"/>
        <w:spacing w:after="60" w:line="240" w:lineRule="auto"/>
        <w:ind w:left="0"/>
        <w:jc w:val="both"/>
        <w:rPr>
          <w:rFonts w:ascii="Times New Roman" w:hAnsi="Times New Roman"/>
          <w:bCs/>
          <w:sz w:val="24"/>
          <w:szCs w:val="24"/>
        </w:rPr>
      </w:pPr>
    </w:p>
    <w:p w:rsidR="0023410E" w:rsidRPr="00533C0F" w:rsidRDefault="0023410E" w:rsidP="00772912">
      <w:pPr>
        <w:pStyle w:val="ListParagraph"/>
        <w:spacing w:after="60" w:line="240" w:lineRule="auto"/>
        <w:ind w:left="0"/>
        <w:jc w:val="both"/>
        <w:rPr>
          <w:rFonts w:ascii="Times New Roman" w:hAnsi="Times New Roman"/>
          <w:bCs/>
          <w:sz w:val="24"/>
          <w:szCs w:val="24"/>
        </w:rPr>
      </w:pPr>
      <w:r w:rsidRPr="00533C0F">
        <w:rPr>
          <w:rFonts w:ascii="Times New Roman" w:hAnsi="Times New Roman"/>
          <w:bCs/>
          <w:i/>
          <w:sz w:val="24"/>
          <w:szCs w:val="24"/>
        </w:rPr>
        <w:t>Current account</w:t>
      </w:r>
      <w:r w:rsidRPr="00533C0F">
        <w:rPr>
          <w:rFonts w:ascii="Times New Roman" w:hAnsi="Times New Roman"/>
          <w:bCs/>
          <w:sz w:val="24"/>
          <w:szCs w:val="24"/>
        </w:rPr>
        <w:t>: total nominal current account balance (D59832) deflated using the GDP deflator.</w:t>
      </w:r>
    </w:p>
    <w:p w:rsidR="0023410E" w:rsidRDefault="0023410E" w:rsidP="0023410E">
      <w:pPr>
        <w:spacing w:line="480" w:lineRule="auto"/>
        <w:ind w:firstLine="720"/>
      </w:pPr>
    </w:p>
    <w:p w:rsidR="00692CA5" w:rsidRPr="00A55804" w:rsidRDefault="00692CA5" w:rsidP="00D72747">
      <w:pPr>
        <w:jc w:val="both"/>
        <w:rPr>
          <w:rFonts w:asciiTheme="majorBidi" w:hAnsiTheme="majorBidi" w:cstheme="majorBidi"/>
        </w:rPr>
      </w:pPr>
    </w:p>
    <w:p w:rsidR="00692CA5" w:rsidRPr="00A55804" w:rsidRDefault="00692CA5" w:rsidP="00D72747">
      <w:pPr>
        <w:jc w:val="both"/>
        <w:rPr>
          <w:rFonts w:asciiTheme="majorBidi" w:hAnsiTheme="majorBidi" w:cstheme="majorBidi"/>
        </w:rPr>
      </w:pPr>
    </w:p>
    <w:p w:rsidR="0055347B" w:rsidRDefault="0055347B" w:rsidP="00D72747">
      <w:pPr>
        <w:jc w:val="both"/>
        <w:rPr>
          <w:rFonts w:asciiTheme="majorBidi" w:hAnsiTheme="majorBidi" w:cstheme="majorBidi"/>
        </w:rPr>
      </w:pPr>
    </w:p>
    <w:p w:rsidR="00A14876" w:rsidRDefault="00A14876" w:rsidP="00D72747">
      <w:pPr>
        <w:jc w:val="both"/>
        <w:rPr>
          <w:rFonts w:asciiTheme="majorBidi" w:hAnsiTheme="majorBidi" w:cstheme="majorBidi"/>
        </w:rPr>
      </w:pPr>
    </w:p>
    <w:p w:rsidR="00A14876" w:rsidRDefault="00A14876" w:rsidP="00D72747">
      <w:pPr>
        <w:jc w:val="both"/>
        <w:rPr>
          <w:rFonts w:asciiTheme="majorBidi" w:hAnsiTheme="majorBidi" w:cstheme="majorBidi"/>
        </w:rPr>
      </w:pPr>
    </w:p>
    <w:p w:rsidR="00DA1DA6" w:rsidRDefault="00DA1DA6" w:rsidP="00D72747">
      <w:pPr>
        <w:jc w:val="both"/>
        <w:rPr>
          <w:rFonts w:asciiTheme="majorBidi" w:hAnsiTheme="majorBidi" w:cstheme="majorBidi"/>
        </w:rPr>
      </w:pPr>
    </w:p>
    <w:p w:rsidR="00A14876" w:rsidRDefault="00A14876" w:rsidP="00D72747">
      <w:pPr>
        <w:jc w:val="both"/>
        <w:rPr>
          <w:rFonts w:asciiTheme="majorBidi" w:hAnsiTheme="majorBidi" w:cstheme="majorBidi"/>
        </w:rPr>
      </w:pPr>
    </w:p>
    <w:p w:rsidR="00C8446B" w:rsidRDefault="00C8446B" w:rsidP="00D72747">
      <w:pPr>
        <w:jc w:val="both"/>
        <w:rPr>
          <w:rFonts w:asciiTheme="majorBidi" w:hAnsiTheme="majorBidi" w:cstheme="majorBidi"/>
        </w:rPr>
      </w:pPr>
    </w:p>
    <w:p w:rsidR="00A14876" w:rsidRDefault="00A14876" w:rsidP="00D72747">
      <w:pPr>
        <w:jc w:val="both"/>
        <w:rPr>
          <w:rFonts w:asciiTheme="majorBidi" w:hAnsiTheme="majorBidi" w:cstheme="majorBidi"/>
        </w:rPr>
      </w:pPr>
    </w:p>
    <w:p w:rsidR="0055347B" w:rsidRPr="00C8446B" w:rsidRDefault="0055347B" w:rsidP="00C8446B">
      <w:pPr>
        <w:rPr>
          <w:sz w:val="48"/>
          <w:szCs w:val="48"/>
        </w:rPr>
      </w:pPr>
      <w:r w:rsidRPr="00C8446B">
        <w:rPr>
          <w:sz w:val="48"/>
          <w:szCs w:val="48"/>
        </w:rPr>
        <w:t>Essay 3</w:t>
      </w:r>
    </w:p>
    <w:p w:rsidR="0055347B" w:rsidRPr="00A55804" w:rsidRDefault="0055347B" w:rsidP="00D72747">
      <w:pPr>
        <w:pStyle w:val="StyleHeading1Centered"/>
        <w:jc w:val="both"/>
        <w:rPr>
          <w:rFonts w:asciiTheme="majorBidi" w:hAnsiTheme="majorBidi" w:cstheme="majorBidi"/>
        </w:rPr>
      </w:pPr>
    </w:p>
    <w:p w:rsidR="0055347B" w:rsidRDefault="0055347B" w:rsidP="00D72747">
      <w:pPr>
        <w:pStyle w:val="StyleHeading1Centered"/>
        <w:jc w:val="both"/>
        <w:rPr>
          <w:rFonts w:asciiTheme="majorBidi" w:hAnsiTheme="majorBidi" w:cstheme="majorBidi"/>
        </w:rPr>
      </w:pPr>
    </w:p>
    <w:p w:rsidR="00A14876" w:rsidRDefault="00A14876" w:rsidP="00A14876">
      <w:pPr>
        <w:jc w:val="both"/>
        <w:rPr>
          <w:rFonts w:asciiTheme="majorBidi" w:hAnsiTheme="majorBidi" w:cstheme="majorBidi"/>
          <w:b/>
          <w:bCs/>
          <w:caps/>
          <w:sz w:val="28"/>
          <w:szCs w:val="28"/>
        </w:rPr>
      </w:pPr>
    </w:p>
    <w:p w:rsidR="00A14876" w:rsidRDefault="00A14876" w:rsidP="00A14876">
      <w:pPr>
        <w:jc w:val="both"/>
        <w:rPr>
          <w:rFonts w:asciiTheme="majorBidi" w:hAnsiTheme="majorBidi" w:cstheme="majorBidi"/>
          <w:b/>
          <w:bCs/>
          <w:caps/>
          <w:sz w:val="28"/>
          <w:szCs w:val="28"/>
        </w:rPr>
      </w:pPr>
    </w:p>
    <w:p w:rsidR="0055347B" w:rsidRPr="00EE6912" w:rsidRDefault="00A14876" w:rsidP="007C62E4">
      <w:pPr>
        <w:pStyle w:val="Heading1"/>
        <w:ind w:hanging="540"/>
        <w:rPr>
          <w:rFonts w:asciiTheme="majorBidi" w:hAnsiTheme="majorBidi"/>
          <w:b w:val="0"/>
          <w:bCs w:val="0"/>
          <w:color w:val="auto"/>
          <w:sz w:val="36"/>
          <w:szCs w:val="36"/>
        </w:rPr>
      </w:pPr>
      <w:bookmarkStart w:id="32" w:name="_Toc285478023"/>
      <w:r w:rsidRPr="00EE6912">
        <w:rPr>
          <w:rFonts w:asciiTheme="majorBidi" w:hAnsiTheme="majorBidi"/>
          <w:b w:val="0"/>
          <w:bCs w:val="0"/>
          <w:caps/>
          <w:color w:val="FFFFFF" w:themeColor="background1"/>
          <w:sz w:val="36"/>
          <w:szCs w:val="36"/>
        </w:rPr>
        <w:t>3.</w:t>
      </w:r>
      <w:r w:rsidR="00EE6912">
        <w:rPr>
          <w:rFonts w:asciiTheme="majorBidi" w:hAnsiTheme="majorBidi"/>
          <w:b w:val="0"/>
          <w:bCs w:val="0"/>
          <w:caps/>
          <w:color w:val="FFFFFF" w:themeColor="background1"/>
          <w:sz w:val="36"/>
          <w:szCs w:val="36"/>
        </w:rPr>
        <w:t xml:space="preserve">  </w:t>
      </w:r>
      <w:r w:rsidRPr="00EE6912">
        <w:rPr>
          <w:rFonts w:asciiTheme="majorBidi" w:hAnsiTheme="majorBidi"/>
          <w:b w:val="0"/>
          <w:bCs w:val="0"/>
          <w:color w:val="auto"/>
          <w:sz w:val="36"/>
          <w:szCs w:val="36"/>
        </w:rPr>
        <w:t xml:space="preserve"> Optimal</w:t>
      </w:r>
      <w:r w:rsidR="0055347B" w:rsidRPr="00EE6912">
        <w:rPr>
          <w:rFonts w:asciiTheme="majorBidi" w:hAnsiTheme="majorBidi"/>
          <w:b w:val="0"/>
          <w:bCs w:val="0"/>
          <w:color w:val="auto"/>
          <w:sz w:val="36"/>
          <w:szCs w:val="36"/>
        </w:rPr>
        <w:t xml:space="preserve"> Budget Stabilization Funds, State Budgets and the Business Cycle</w:t>
      </w:r>
      <w:bookmarkEnd w:id="32"/>
    </w:p>
    <w:p w:rsidR="0055347B" w:rsidRPr="00A55804" w:rsidRDefault="0055347B" w:rsidP="00D72747">
      <w:pPr>
        <w:pStyle w:val="StyleHeading1Centered"/>
        <w:tabs>
          <w:tab w:val="left" w:pos="360"/>
        </w:tabs>
        <w:ind w:hanging="360"/>
        <w:jc w:val="both"/>
        <w:rPr>
          <w:rFonts w:asciiTheme="majorBidi" w:hAnsiTheme="majorBidi" w:cstheme="majorBidi"/>
        </w:rPr>
      </w:pPr>
    </w:p>
    <w:p w:rsidR="0055347B" w:rsidRPr="00A55804" w:rsidRDefault="0055347B" w:rsidP="00D72747">
      <w:pPr>
        <w:numPr>
          <w:ilvl w:val="12"/>
          <w:numId w:val="0"/>
        </w:numPr>
        <w:jc w:val="both"/>
        <w:rPr>
          <w:rFonts w:asciiTheme="majorBidi" w:hAnsiTheme="majorBidi" w:cstheme="majorBidi"/>
        </w:rPr>
      </w:pPr>
    </w:p>
    <w:p w:rsidR="003966E8" w:rsidRPr="00A55804" w:rsidRDefault="003966E8" w:rsidP="00786F2D">
      <w:pPr>
        <w:pStyle w:val="StyleHeading1Centered"/>
        <w:jc w:val="left"/>
        <w:rPr>
          <w:rFonts w:asciiTheme="majorBidi" w:hAnsiTheme="majorBidi" w:cstheme="majorBidi"/>
        </w:rPr>
      </w:pPr>
    </w:p>
    <w:p w:rsidR="0074060F" w:rsidRPr="0074060F" w:rsidRDefault="0074060F" w:rsidP="00D7460A">
      <w:pPr>
        <w:pStyle w:val="ListParagraph"/>
        <w:keepNext/>
        <w:numPr>
          <w:ilvl w:val="0"/>
          <w:numId w:val="3"/>
        </w:numPr>
        <w:spacing w:before="240" w:after="240" w:line="240" w:lineRule="auto"/>
        <w:contextualSpacing w:val="0"/>
        <w:outlineLvl w:val="1"/>
        <w:rPr>
          <w:rFonts w:asciiTheme="majorBidi" w:eastAsia="Times New Roman" w:hAnsiTheme="majorBidi" w:cstheme="majorBidi"/>
          <w:b/>
          <w:bCs/>
          <w:iCs/>
          <w:vanish/>
          <w:sz w:val="28"/>
          <w:szCs w:val="28"/>
          <w:lang w:eastAsia="en-US"/>
        </w:rPr>
      </w:pPr>
    </w:p>
    <w:p w:rsidR="002C7859" w:rsidRPr="00EE6912" w:rsidRDefault="002C7859" w:rsidP="00D7460A">
      <w:pPr>
        <w:pStyle w:val="Heading2"/>
        <w:numPr>
          <w:ilvl w:val="1"/>
          <w:numId w:val="3"/>
        </w:numPr>
        <w:spacing w:after="240"/>
        <w:jc w:val="left"/>
        <w:rPr>
          <w:b w:val="0"/>
          <w:bCs w:val="0"/>
        </w:rPr>
      </w:pPr>
      <w:bookmarkStart w:id="33" w:name="_Toc285478024"/>
      <w:r w:rsidRPr="00EE6912">
        <w:rPr>
          <w:b w:val="0"/>
          <w:bCs w:val="0"/>
        </w:rPr>
        <w:t>Introduction</w:t>
      </w:r>
      <w:bookmarkEnd w:id="33"/>
    </w:p>
    <w:p w:rsidR="002C7859" w:rsidRDefault="002C7859" w:rsidP="002C7859"/>
    <w:p w:rsidR="00C05320" w:rsidRPr="001F035A" w:rsidRDefault="00C05320" w:rsidP="00C30B64">
      <w:pPr>
        <w:spacing w:before="120" w:after="120" w:line="480" w:lineRule="auto"/>
        <w:ind w:firstLine="720"/>
        <w:jc w:val="both"/>
      </w:pPr>
      <w:r w:rsidRPr="001F035A">
        <w:t xml:space="preserve">Almost all American States have legal provisions mandating that their budgets should </w:t>
      </w:r>
      <w:r w:rsidR="0051003D">
        <w:t>be balanced on a yearly basis</w:t>
      </w:r>
      <w:r w:rsidRPr="001F035A">
        <w:t>. In good times, States find it relatively easy to comply with this rule, as revenues are abundant. However, in bad economic times, keeping a balanced budget is challenging. It requires for procyclical tax increases and/or expenditure cuts, unless significant surpluses are run in the upturn. In the years following the back-to-back recessions of the early 1980s States governments across the country a</w:t>
      </w:r>
      <w:r w:rsidR="00470738">
        <w:t>dopted Budget Stabilization Funds (BSFs) or Rainy Day Funds</w:t>
      </w:r>
      <w:r w:rsidRPr="001F035A">
        <w:t xml:space="preserve">.  At the time, these recessions together had the most dramatic impact on state budgets of any downturn since the Great Depression.  There were sever contraction in public service, some States were forced to raise taxes, and some witnessed the exhaustion of unemployment-insurance trust-fund balances.  The introduction of </w:t>
      </w:r>
      <w:r w:rsidR="00B43254">
        <w:t>BSF</w:t>
      </w:r>
      <w:r w:rsidRPr="001F035A">
        <w:t xml:space="preserve">s was intended to provide insurance in the face of future recessions, in thereby to smooth the flow of public services.  Today most states have a formal </w:t>
      </w:r>
      <w:r w:rsidR="00B43254">
        <w:t>BSF</w:t>
      </w:r>
      <w:r w:rsidRPr="001F035A">
        <w:t>.</w:t>
      </w:r>
      <w:r w:rsidRPr="001F035A">
        <w:rPr>
          <w:rStyle w:val="FootnoteReference"/>
        </w:rPr>
        <w:footnoteReference w:id="27"/>
      </w:r>
      <w:r w:rsidRPr="001F035A">
        <w:t xml:space="preserve"> The main objective of this study is to develop a State-level real business cycle (</w:t>
      </w:r>
      <w:smartTag w:uri="urn:schemas-microsoft-com:office:smarttags" w:element="stockticker">
        <w:r w:rsidRPr="001F035A">
          <w:t>RBC</w:t>
        </w:r>
      </w:smartTag>
      <w:r w:rsidRPr="001F035A">
        <w:t xml:space="preserve">) model with fiscal policy to examine the effects of </w:t>
      </w:r>
      <w:r w:rsidR="00B43254">
        <w:t>BSF</w:t>
      </w:r>
      <w:r w:rsidRPr="001F035A">
        <w:t xml:space="preserve">s on the stability of government expenditures and the State level business cycles.  </w:t>
      </w:r>
    </w:p>
    <w:p w:rsidR="00C05320" w:rsidRPr="001F035A" w:rsidRDefault="00B43254" w:rsidP="00C30B64">
      <w:pPr>
        <w:spacing w:before="120" w:after="120" w:line="480" w:lineRule="auto"/>
        <w:ind w:firstLine="720"/>
        <w:jc w:val="both"/>
      </w:pPr>
      <w:r>
        <w:t>While S</w:t>
      </w:r>
      <w:r w:rsidR="00C05320" w:rsidRPr="001F035A">
        <w:t xml:space="preserve">tate </w:t>
      </w:r>
      <w:r>
        <w:t>BSF</w:t>
      </w:r>
      <w:r w:rsidR="00C05320" w:rsidRPr="001F035A">
        <w:t xml:space="preserve">s are intended to provide insurance to the consumers of state-provided public services, they may impart a countercyclical externality on the macroeconomy.  Generally, </w:t>
      </w:r>
      <w:r>
        <w:t>BSF</w:t>
      </w:r>
      <w:r w:rsidR="00C05320" w:rsidRPr="001F035A">
        <w:t xml:space="preserve"> balances are accumulated during periods of economic expansion, dampening economic growth, and are then expended during contraction, stimulating the economy.  Annual increments to reserve funds are admittedly modest in size, but cumulatively they can be substantial.  For example, in 2006 </w:t>
      </w:r>
      <w:r>
        <w:t>BSF</w:t>
      </w:r>
      <w:r w:rsidR="00C05320" w:rsidRPr="001F035A">
        <w:t xml:space="preserve"> balances, along with idle general fund balances, approached 0.5 percent of gross domestic product.  Some have suggested that the states develop even much larger reserve balances, which would increase the potential impact of this State policy on the </w:t>
      </w:r>
      <w:proofErr w:type="gramStart"/>
      <w:r w:rsidR="00C05320" w:rsidRPr="001F035A">
        <w:t xml:space="preserve">macroeconomy </w:t>
      </w:r>
      <w:r w:rsidR="0051003D">
        <w:t>.</w:t>
      </w:r>
      <w:proofErr w:type="gramEnd"/>
    </w:p>
    <w:p w:rsidR="00C05320" w:rsidRPr="001F035A" w:rsidRDefault="00C05320" w:rsidP="00C30B64">
      <w:pPr>
        <w:spacing w:before="120" w:after="120" w:line="480" w:lineRule="auto"/>
        <w:ind w:firstLine="720"/>
        <w:jc w:val="both"/>
      </w:pPr>
      <w:r w:rsidRPr="001F035A">
        <w:tab/>
        <w:t xml:space="preserve">If state </w:t>
      </w:r>
      <w:r w:rsidR="00B43254">
        <w:t>BSF</w:t>
      </w:r>
      <w:r w:rsidRPr="001F035A">
        <w:t xml:space="preserve"> policies prove to have consequences for macroeconomic performance, this may call into question the view of Musgrave (1959) and others who have concluded that the stabilization function of government is best placed in the hands of the central government.  Moreover, there may be implications for federal monetary and fiscal policy.  If federal policymakers fail to take state fiscal behavior into account, they may overshoot policy targets with aggressive stimulus policies in downturns and policies to dampen growth during expansions.</w:t>
      </w:r>
    </w:p>
    <w:p w:rsidR="00C05320" w:rsidRPr="001F035A" w:rsidRDefault="00C05320" w:rsidP="00C30B64">
      <w:pPr>
        <w:spacing w:before="120" w:after="120" w:line="480" w:lineRule="auto"/>
        <w:ind w:firstLine="720"/>
        <w:jc w:val="both"/>
      </w:pPr>
      <w:r w:rsidRPr="001F035A">
        <w:t xml:space="preserve">Empirical evidence has shown that BSFs are an effective means to reduce fiscal stress in lean years and dampen the political business cycle. Relevant studies include Russell and Holcombe (1996), Douglas and </w:t>
      </w:r>
      <w:proofErr w:type="spellStart"/>
      <w:r w:rsidRPr="001F035A">
        <w:t>Gaddie</w:t>
      </w:r>
      <w:proofErr w:type="spellEnd"/>
      <w:r w:rsidRPr="001F035A">
        <w:t xml:space="preserve"> (2002), </w:t>
      </w:r>
      <w:proofErr w:type="spellStart"/>
      <w:r w:rsidRPr="001F035A">
        <w:t>Yilin</w:t>
      </w:r>
      <w:proofErr w:type="spellEnd"/>
      <w:r w:rsidRPr="001F035A">
        <w:t xml:space="preserve"> (2003), </w:t>
      </w:r>
      <w:proofErr w:type="spellStart"/>
      <w:r w:rsidRPr="001F035A">
        <w:t>Fatas</w:t>
      </w:r>
      <w:proofErr w:type="spellEnd"/>
      <w:r w:rsidRPr="001F035A">
        <w:t xml:space="preserve"> (2006) and Rose (2006). Unfortunately there are no empirical studies investigating the effect of the BSF on the business cycle in a systematic way.</w:t>
      </w:r>
      <w:r w:rsidRPr="001F035A">
        <w:rPr>
          <w:rStyle w:val="FootnoteReference"/>
        </w:rPr>
        <w:footnoteReference w:id="28"/>
      </w:r>
      <w:r w:rsidRPr="001F035A">
        <w:t xml:space="preserve"> In addition, there are no studies that evaluate the role of BSFs on business cycle volatility. The latter issue has many important implications for state economies, the national economy in general and the monetary union member countries.</w:t>
      </w:r>
      <w:r w:rsidRPr="001F035A">
        <w:rPr>
          <w:vertAlign w:val="superscript"/>
        </w:rPr>
        <w:t xml:space="preserve"> </w:t>
      </w:r>
      <w:r w:rsidRPr="001F035A">
        <w:t xml:space="preserve">Issues related to procyclicality of governments have received tremendous attention among researchers recently due to the limited ability of the monetary authority to counter the economic downturn, caused by the massive onslaught of the financial crises all over the world (see </w:t>
      </w:r>
      <w:proofErr w:type="spellStart"/>
      <w:r w:rsidRPr="001F035A">
        <w:t>Baunsgaard</w:t>
      </w:r>
      <w:proofErr w:type="spellEnd"/>
      <w:r w:rsidRPr="001F035A">
        <w:t xml:space="preserve">, and </w:t>
      </w:r>
      <w:proofErr w:type="spellStart"/>
      <w:r w:rsidRPr="001F035A">
        <w:t>Symansky</w:t>
      </w:r>
      <w:proofErr w:type="spellEnd"/>
      <w:r w:rsidRPr="001F035A">
        <w:t xml:space="preserve"> (2009)). </w:t>
      </w:r>
    </w:p>
    <w:p w:rsidR="00C05320" w:rsidRPr="001F035A" w:rsidRDefault="00C05320" w:rsidP="00C30B64">
      <w:pPr>
        <w:spacing w:before="120" w:after="120" w:line="480" w:lineRule="auto"/>
        <w:ind w:firstLine="720"/>
        <w:jc w:val="both"/>
      </w:pPr>
      <w:r w:rsidRPr="001F035A">
        <w:t xml:space="preserve">In this paper, the real business cycle model with fiscal policy is extended to incorporate a BSF. We aim to address many important concerns. One of the main purposes of this study is to evaluate the effects of BSFs on the government budgets in terms of government procyclicality and persistence of spending. Second, we evaluate the effect of a BSF on the business cycle characteristics of a typical state economy. Finally, we provide some welfare analysis and evaluate the costs of establishing the BSF. Our model benefits from the studies by </w:t>
      </w:r>
      <w:proofErr w:type="spellStart"/>
      <w:r w:rsidRPr="001F035A">
        <w:t>Malley</w:t>
      </w:r>
      <w:proofErr w:type="spellEnd"/>
      <w:r w:rsidRPr="001F035A">
        <w:t xml:space="preserve">, </w:t>
      </w:r>
      <w:proofErr w:type="spellStart"/>
      <w:r w:rsidRPr="001F035A">
        <w:t>Philippopoulos</w:t>
      </w:r>
      <w:proofErr w:type="spellEnd"/>
      <w:r w:rsidRPr="001F035A">
        <w:t xml:space="preserve"> and </w:t>
      </w:r>
      <w:proofErr w:type="spellStart"/>
      <w:r w:rsidRPr="001F035A">
        <w:t>Woitek</w:t>
      </w:r>
      <w:proofErr w:type="spellEnd"/>
      <w:r w:rsidRPr="001F035A">
        <w:t xml:space="preserve"> (2009) and Scott and </w:t>
      </w:r>
      <w:proofErr w:type="spellStart"/>
      <w:r w:rsidRPr="001F035A">
        <w:t>Glomm</w:t>
      </w:r>
      <w:proofErr w:type="spellEnd"/>
      <w:r w:rsidRPr="001F035A">
        <w:t xml:space="preserve"> (2000) in terms of a few modeling features.  In terms of tax policies, our model adopts distortionary tax policies and fixed allocation of government revenues. These two assumptions are necessary to highlight the effect of adopting the BSF as an additional government instrument.</w:t>
      </w:r>
    </w:p>
    <w:p w:rsidR="00C05320" w:rsidRPr="001F035A" w:rsidRDefault="00C05320" w:rsidP="00C30B64">
      <w:pPr>
        <w:spacing w:before="120" w:after="120" w:line="480" w:lineRule="auto"/>
        <w:ind w:firstLine="720"/>
        <w:jc w:val="both"/>
      </w:pPr>
      <w:r w:rsidRPr="001F035A">
        <w:t xml:space="preserve">Upon calibration, our model economy captures the effects of BSFs significantly well. The overall findings are as follows. First, the stabilization fund allows the government mitigates its current expenditures procyclicality. The volatility of current spending with a BSF is 3.1 percentage points less than current spending in an identical economy without a BSF. The persistence of current expenditure is also improved by the BSF by 1.2 percentage points. Total spending in an economy with a BSF compared to an economy without a BSF is 11.4 percentage points more volatile. The second group of findings is related to the effect of BSFs on the State business cycle. Here we find a significant impact of the BSF on smoothing the business cycle. In particular, we find that the aggregate volatility in real income with a BSF decreases by 3.9 percentage points, and aggregate income persistence increases by 1.2 percentage points.  In a state economy with a BSF, employment gains more stability and persistence. The BSF also reduces the volatility of private consumption by 1.2 percentage points but has no effect on the procyclicality and persistence of private consumption. Last but not least, we find that a BSF yields smoother household utility over the business cycle and reduces the dependence of household utility on the aggregate income fluctuations by a small amount. </w:t>
      </w:r>
    </w:p>
    <w:p w:rsidR="00C05320" w:rsidRPr="002C7859" w:rsidRDefault="00C05320" w:rsidP="00C30B64">
      <w:pPr>
        <w:spacing w:before="120" w:after="120" w:line="480" w:lineRule="auto"/>
        <w:ind w:firstLine="720"/>
        <w:jc w:val="both"/>
      </w:pPr>
      <w:r w:rsidRPr="001F035A">
        <w:t xml:space="preserve">The rest of the paper is organized as follows.  A brief background along with some anecdotal evidences on BSFs in the context of the American states is outlined in Section 2. A complete real business cycle model of a state economy along with an optimal BSF rule is developed in Section 3. In Section 4, we discuss the parameter values and solution technique used for our stochastic calibration of the model economy. We report our important results in Section 5 followed by some concluding remarks in Section 6. </w:t>
      </w:r>
    </w:p>
    <w:p w:rsidR="002C7859" w:rsidRPr="00EE6912" w:rsidRDefault="002C7859" w:rsidP="0019589A">
      <w:pPr>
        <w:pStyle w:val="Heading2"/>
        <w:numPr>
          <w:ilvl w:val="1"/>
          <w:numId w:val="3"/>
        </w:numPr>
        <w:spacing w:after="240" w:line="480" w:lineRule="auto"/>
        <w:jc w:val="left"/>
        <w:rPr>
          <w:b w:val="0"/>
          <w:bCs w:val="0"/>
        </w:rPr>
      </w:pPr>
      <w:bookmarkStart w:id="34" w:name="_Toc285478025"/>
      <w:r w:rsidRPr="00EE6912">
        <w:rPr>
          <w:b w:val="0"/>
          <w:bCs w:val="0"/>
        </w:rPr>
        <w:t>Background</w:t>
      </w:r>
      <w:bookmarkEnd w:id="34"/>
    </w:p>
    <w:p w:rsidR="00C05320" w:rsidRPr="001F035A" w:rsidRDefault="00C05320" w:rsidP="00C30B64">
      <w:pPr>
        <w:spacing w:before="120" w:after="120" w:line="480" w:lineRule="auto"/>
        <w:ind w:firstLine="720"/>
        <w:jc w:val="both"/>
      </w:pPr>
      <w:r w:rsidRPr="001F035A">
        <w:t>The conventional among macroeconomists view is that subnational governments should not pursue countercyclical stabilization policies.  Musgrave (1959) made this case based on the practical issues of policy coordination that would arise across the potentially large set of subnational government units.  Moreover, it could be argued that states and localities cannot be effective in pursuing countercyclical stabilization policies, because they generally face balanced budget restrictions that limit the scope of deficit finance and subnational budget multipliers are small relative to the multipliers for a national economy.</w:t>
      </w:r>
    </w:p>
    <w:p w:rsidR="00C05320" w:rsidRPr="001F035A" w:rsidRDefault="00C05320" w:rsidP="00C30B64">
      <w:pPr>
        <w:spacing w:before="120" w:after="120" w:line="480" w:lineRule="auto"/>
        <w:ind w:firstLine="720"/>
        <w:jc w:val="both"/>
      </w:pPr>
      <w:r w:rsidRPr="001F035A">
        <w:t xml:space="preserve">Despite the conventional logic, the fact is that State and local fiscal policies may have consequences for macroeconomic performance.  In the midst of the Great Depression, State and local governments contributed to the downturn in economic activity through their use of procyclical tax and expenditure policies.  Of course this was not the goal of their fiscal policy, but an unintended consequence.  Hansen and </w:t>
      </w:r>
      <w:proofErr w:type="spellStart"/>
      <w:r w:rsidRPr="001F035A">
        <w:t>Perloff</w:t>
      </w:r>
      <w:proofErr w:type="spellEnd"/>
      <w:r w:rsidRPr="001F035A">
        <w:t xml:space="preserve"> (1944) have examined subnational fiscal policies during the Great Depression and periods of economic expansion, together refer to this procyclical behavior as “Fiscal Perversity in Boom and Depression.”  A similar pattern has emerged over the course of the recent recession began in December 2007, offering some support for providing federal fiscal assistance to the states.</w:t>
      </w:r>
    </w:p>
    <w:p w:rsidR="00C05320" w:rsidRPr="001F035A" w:rsidRDefault="00C05320" w:rsidP="00C30B64">
      <w:pPr>
        <w:spacing w:before="120" w:after="120" w:line="480" w:lineRule="auto"/>
        <w:ind w:firstLine="720"/>
        <w:jc w:val="both"/>
      </w:pPr>
      <w:r w:rsidRPr="001F035A">
        <w:t>On the other hand, some programs, like State unemployment insurance systems, impart a countercyclical influence on the State’s business cycle, as trust fund balances accumulate during periods of expansion and are then drawn down when workers become unemployed during a contraction.  This again is an unintended consequence since the goal of the unemployment insurance is to provide social insurance to individuals, not to stimulate the macro economy.</w:t>
      </w:r>
    </w:p>
    <w:p w:rsidR="00C05320" w:rsidRPr="001F035A" w:rsidRDefault="00C05320" w:rsidP="00C30B64">
      <w:pPr>
        <w:spacing w:before="120" w:after="120" w:line="480" w:lineRule="auto"/>
        <w:ind w:firstLine="720"/>
        <w:jc w:val="both"/>
      </w:pPr>
      <w:r w:rsidRPr="001F035A">
        <w:t xml:space="preserve">Anecdotal evidence like that presented by Hansen and </w:t>
      </w:r>
      <w:proofErr w:type="spellStart"/>
      <w:r w:rsidRPr="001F035A">
        <w:t>Perloff</w:t>
      </w:r>
      <w:proofErr w:type="spellEnd"/>
      <w:r w:rsidRPr="001F035A">
        <w:t xml:space="preserve"> supports the perversity hypothesis.  For example, </w:t>
      </w:r>
      <w:proofErr w:type="spellStart"/>
      <w:r w:rsidRPr="001F035A">
        <w:t>Lav</w:t>
      </w:r>
      <w:proofErr w:type="spellEnd"/>
      <w:r w:rsidRPr="001F035A">
        <w:t xml:space="preserve"> and </w:t>
      </w:r>
      <w:proofErr w:type="spellStart"/>
      <w:r w:rsidRPr="001F035A">
        <w:t>Berube</w:t>
      </w:r>
      <w:proofErr w:type="spellEnd"/>
      <w:r w:rsidRPr="001F035A">
        <w:t xml:space="preserve"> (1999) point to $27 billion in tax increases and a wide range of service cuts in the 1989-92 </w:t>
      </w:r>
      <w:proofErr w:type="gramStart"/>
      <w:r w:rsidRPr="001F035A">
        <w:t>window</w:t>
      </w:r>
      <w:proofErr w:type="gramEnd"/>
      <w:r w:rsidRPr="001F035A">
        <w:t xml:space="preserve">, which included a slowdown and the recession of 1991.  Fox and Murray (1997) note $1.6 billion in procyclical state tax cuts during the strong expansion year of 1994.  A small and more rigorous body of empirical research has emerged since the 1960s to examine the extent to which State fiscal policy has had a procyclical or countercyclical influence on the macro economy.  </w:t>
      </w:r>
      <w:proofErr w:type="spellStart"/>
      <w:r w:rsidRPr="001F035A">
        <w:t>Rafuse</w:t>
      </w:r>
      <w:proofErr w:type="spellEnd"/>
      <w:r w:rsidRPr="001F035A">
        <w:t xml:space="preserve"> (1965) examined both revenue and spending and concluded that they each have a stabilizing influence on the macroeconomy.  </w:t>
      </w:r>
      <w:proofErr w:type="spellStart"/>
      <w:r w:rsidRPr="001F035A">
        <w:t>Matoon</w:t>
      </w:r>
      <w:proofErr w:type="spellEnd"/>
      <w:r w:rsidRPr="001F035A">
        <w:t xml:space="preserve"> and </w:t>
      </w:r>
      <w:proofErr w:type="spellStart"/>
      <w:r w:rsidRPr="001F035A">
        <w:t>Testa</w:t>
      </w:r>
      <w:proofErr w:type="spellEnd"/>
      <w:r w:rsidRPr="001F035A">
        <w:t xml:space="preserve"> (1992) concluded that State policy was countercyclical in economic downturns.  Recent evidence from the National Association of State Budget Officers and the National League of Cities points to </w:t>
      </w:r>
      <w:proofErr w:type="spellStart"/>
      <w:r w:rsidRPr="001F035A">
        <w:t>contractionary</w:t>
      </w:r>
      <w:proofErr w:type="spellEnd"/>
      <w:r w:rsidRPr="001F035A">
        <w:t xml:space="preserve"> policies over the course of the Great Recession.</w:t>
      </w:r>
    </w:p>
    <w:p w:rsidR="00C05320" w:rsidRPr="001F035A" w:rsidRDefault="00C05320" w:rsidP="00C30B64">
      <w:pPr>
        <w:spacing w:before="120" w:after="120" w:line="480" w:lineRule="auto"/>
        <w:ind w:firstLine="720"/>
        <w:jc w:val="both"/>
      </w:pPr>
      <w:r w:rsidRPr="001F035A">
        <w:t xml:space="preserve">The more specific question addressed here is the extent to which State </w:t>
      </w:r>
      <w:r w:rsidR="00B43254">
        <w:t>BSF</w:t>
      </w:r>
      <w:r w:rsidRPr="001F035A">
        <w:t>s have a countercyclical influence on the State’s macroeconomy business cycle.  Public sector entities have likely maintained budget reserve funds in various forms since the early formation of governments, but it wasn’t until the 1980s that American States developed formal BSFs.</w:t>
      </w:r>
      <w:r w:rsidRPr="001F035A">
        <w:rPr>
          <w:rStyle w:val="FootnoteReference"/>
        </w:rPr>
        <w:footnoteReference w:id="29"/>
      </w:r>
      <w:r w:rsidRPr="001F035A">
        <w:t xml:space="preserve">  In the early years of fund accumulation (i.e. the 1980s) it was not clear what guided the States to their choice of a fund balance.  Joyce (2001) discusses the so-called “5 percent target” which calls for </w:t>
      </w:r>
      <w:r w:rsidR="00B43254">
        <w:t>BSF</w:t>
      </w:r>
      <w:r w:rsidRPr="001F035A">
        <w:t xml:space="preserve"> balances to equal 5 percent of general fund expenditures.  But Joyce cannot trace this target back to an original source.  </w:t>
      </w:r>
    </w:p>
    <w:p w:rsidR="00C05320" w:rsidRPr="00DA1DA6" w:rsidRDefault="00C05320" w:rsidP="00C30B64">
      <w:pPr>
        <w:spacing w:before="120" w:after="120" w:line="480" w:lineRule="auto"/>
        <w:ind w:firstLine="720"/>
        <w:jc w:val="both"/>
      </w:pPr>
      <w:r w:rsidRPr="001F035A">
        <w:t xml:space="preserve">Joyce (2001) and others have sought to identify the optimal size of a </w:t>
      </w:r>
      <w:r w:rsidR="00B43254">
        <w:t>BSF</w:t>
      </w:r>
      <w:r w:rsidRPr="001F035A">
        <w:t xml:space="preserve"> based on the unique characteristics of the States by using different objective functions.  As one would expect, the optimal balances that emerge from this work differ widely.  For example, Wagner and Elder (2007) conclude that the optimal saving rate is on average in the range of 2.5-2.8 percent.  </w:t>
      </w:r>
      <w:proofErr w:type="spellStart"/>
      <w:r w:rsidRPr="001F035A">
        <w:t>Lav</w:t>
      </w:r>
      <w:proofErr w:type="spellEnd"/>
      <w:r w:rsidRPr="001F035A">
        <w:t xml:space="preserve"> and </w:t>
      </w:r>
      <w:proofErr w:type="spellStart"/>
      <w:r w:rsidRPr="001F035A">
        <w:t>Berube</w:t>
      </w:r>
      <w:proofErr w:type="spellEnd"/>
      <w:r w:rsidRPr="001F035A">
        <w:t xml:space="preserve"> (1999), on the other hand, indicate that several states would need to have reserve funds in excess of 25 percent to smooth spending; this conclusion was reached well before the most recent recession and subsequent crisis in subnational government finances in the U.S.  Bond rating agencies have argued that the states should have balances in the 5-10 percent range, but this too pre-dates the recession.  Given the recent recession and speed at which </w:t>
      </w:r>
      <w:r w:rsidR="00B43254">
        <w:t>BSF</w:t>
      </w:r>
      <w:r w:rsidRPr="001F035A">
        <w:t xml:space="preserve"> balances were brought down, it is likely that they will grow significantly in size in the years ahead, potentially increasing their effects on macroeconomic performance.</w:t>
      </w:r>
    </w:p>
    <w:p w:rsidR="002C7859" w:rsidRPr="00EE6912" w:rsidRDefault="002C7859" w:rsidP="0019589A">
      <w:pPr>
        <w:pStyle w:val="Heading2"/>
        <w:numPr>
          <w:ilvl w:val="1"/>
          <w:numId w:val="3"/>
        </w:numPr>
        <w:spacing w:after="240" w:line="480" w:lineRule="auto"/>
        <w:jc w:val="left"/>
        <w:rPr>
          <w:b w:val="0"/>
          <w:bCs w:val="0"/>
        </w:rPr>
      </w:pPr>
      <w:bookmarkStart w:id="35" w:name="_Toc285478026"/>
      <w:r w:rsidRPr="00EE6912">
        <w:rPr>
          <w:b w:val="0"/>
          <w:bCs w:val="0"/>
        </w:rPr>
        <w:t>The Model</w:t>
      </w:r>
      <w:bookmarkEnd w:id="35"/>
      <w:r w:rsidRPr="00EE6912">
        <w:rPr>
          <w:b w:val="0"/>
          <w:bCs w:val="0"/>
        </w:rPr>
        <w:t xml:space="preserve"> </w:t>
      </w:r>
    </w:p>
    <w:p w:rsidR="00C05320" w:rsidRPr="00DA1DA6" w:rsidRDefault="00C05320" w:rsidP="00C30B64">
      <w:pPr>
        <w:spacing w:before="120" w:after="120" w:line="480" w:lineRule="auto"/>
        <w:ind w:firstLine="720"/>
        <w:jc w:val="both"/>
      </w:pPr>
      <w:r w:rsidRPr="001F035A">
        <w:t xml:space="preserve">Bellow we describe the model that we intend to develop for a State economy. We design a RBC type model to capture the dynamic effects of BSFs in terms of state business cycles. To accomplish this we need first to develop a baseline model without a BSF and then extend the baseline model to include a government managing BSF.  In the baseline model economy as we show later </w:t>
      </w:r>
      <w:r w:rsidR="0051003D" w:rsidRPr="001F035A">
        <w:t>households</w:t>
      </w:r>
      <w:r w:rsidRPr="001F035A">
        <w:t xml:space="preserve"> have the access to private managed financial funds, their decisions for saving is derived optimally to guarantee household’s consumption smoothing. In the construction of the BSF the assumed benevolent State government needs to set an optimal rule that govern the BSF policies</w:t>
      </w:r>
      <w:r>
        <w:t>.</w:t>
      </w:r>
      <w:r w:rsidRPr="001F035A">
        <w:t xml:space="preserve"> </w:t>
      </w:r>
      <w:r>
        <w:t xml:space="preserve">Hence, </w:t>
      </w:r>
      <w:r w:rsidRPr="001F035A">
        <w:t xml:space="preserve">it should be consistent with </w:t>
      </w:r>
      <w:proofErr w:type="gramStart"/>
      <w:r w:rsidRPr="001F035A">
        <w:t>households</w:t>
      </w:r>
      <w:proofErr w:type="gramEnd"/>
      <w:r w:rsidRPr="001F035A">
        <w:t xml:space="preserve"> incentives for consumption smoothing.  </w:t>
      </w:r>
    </w:p>
    <w:p w:rsidR="00DA1DA6" w:rsidRPr="00EE6912" w:rsidRDefault="00DA1DA6" w:rsidP="0019589A">
      <w:pPr>
        <w:pStyle w:val="Heading2"/>
        <w:numPr>
          <w:ilvl w:val="2"/>
          <w:numId w:val="3"/>
        </w:numPr>
        <w:spacing w:after="240" w:line="480" w:lineRule="auto"/>
        <w:jc w:val="left"/>
        <w:rPr>
          <w:b w:val="0"/>
          <w:bCs w:val="0"/>
        </w:rPr>
      </w:pPr>
      <w:r w:rsidRPr="00EE6912">
        <w:rPr>
          <w:b w:val="0"/>
          <w:bCs w:val="0"/>
        </w:rPr>
        <w:t xml:space="preserve"> </w:t>
      </w:r>
      <w:bookmarkStart w:id="36" w:name="_Toc285478027"/>
      <w:r w:rsidRPr="00EE6912">
        <w:rPr>
          <w:b w:val="0"/>
          <w:bCs w:val="0"/>
        </w:rPr>
        <w:t xml:space="preserve">The Model Economy </w:t>
      </w:r>
      <w:r w:rsidR="00895D79" w:rsidRPr="00EE6912">
        <w:rPr>
          <w:b w:val="0"/>
          <w:bCs w:val="0"/>
        </w:rPr>
        <w:t>without BSF (Baseline Economy)</w:t>
      </w:r>
      <w:bookmarkEnd w:id="36"/>
    </w:p>
    <w:p w:rsidR="00C05320" w:rsidRPr="002C7859" w:rsidRDefault="00C05320" w:rsidP="00C30B64">
      <w:pPr>
        <w:spacing w:before="240" w:after="240" w:line="480" w:lineRule="auto"/>
        <w:ind w:firstLine="720"/>
        <w:jc w:val="both"/>
      </w:pPr>
      <w:r w:rsidRPr="001F035A">
        <w:t>The baseline model economy is populated by a unit measure of infinitely lived households. Each household is endowed with one unit of time and has identical preferences over a private consumption good, a publicly provided consumption service and working hours. The government levies distorting income and consumption taxes and uses the revenues to finance its spending on public investment, consumption services, and transfer payments. The state government implements a period-by-period balanced-budget rule and at the same time administrates a BSF. The stabilization fund is being financed from the government current revenues. During the expansion of the macroeconomy, the government allocates part of its tax revenues to accumulate reserves in the BSF while during contraction times the government uses the BSF to offset the shortfall in its tax revenues. Thus, the BSF not only reduces the need for spending cuts or tax increases during an economic downturns it also limit the government size during the expansions of the business cycle.  However, the accumulation and disbursement of the BSF needs to follow a specified rule by which we prevent discretionary behavior of the government and guarantee an efficient use of these funds. We suggest that the government applies the households saving rule which guarantees that savings in the BSF will be used for the benefit of households’ consumption smoothing in addition to the positive effect of the BSF on reducing the procyclicality of its spending.</w:t>
      </w:r>
    </w:p>
    <w:p w:rsidR="002C7859" w:rsidRPr="00EE6912" w:rsidRDefault="002C7859" w:rsidP="0019589A">
      <w:pPr>
        <w:pStyle w:val="Heading2"/>
        <w:numPr>
          <w:ilvl w:val="3"/>
          <w:numId w:val="3"/>
        </w:numPr>
        <w:tabs>
          <w:tab w:val="left" w:pos="1350"/>
          <w:tab w:val="left" w:pos="1440"/>
        </w:tabs>
        <w:spacing w:after="240" w:line="480" w:lineRule="auto"/>
        <w:ind w:left="720"/>
        <w:jc w:val="left"/>
        <w:rPr>
          <w:b w:val="0"/>
          <w:bCs w:val="0"/>
        </w:rPr>
      </w:pPr>
      <w:bookmarkStart w:id="37" w:name="_Toc285478028"/>
      <w:r w:rsidRPr="00EE6912">
        <w:rPr>
          <w:b w:val="0"/>
          <w:bCs w:val="0"/>
        </w:rPr>
        <w:t>Households</w:t>
      </w:r>
      <w:bookmarkEnd w:id="37"/>
    </w:p>
    <w:p w:rsidR="00C05320" w:rsidRPr="001F035A" w:rsidRDefault="00C05320" w:rsidP="00C30B64">
      <w:pPr>
        <w:spacing w:before="240" w:after="240" w:line="480" w:lineRule="auto"/>
        <w:ind w:firstLine="720"/>
        <w:jc w:val="both"/>
      </w:pPr>
      <w:r w:rsidRPr="001F035A">
        <w:t>Private agents (households and firms) are assumed to take fiscal policies as given when making optimal decisions. The representative household maximizes the expected lifetime utility:</w:t>
      </w:r>
    </w:p>
    <w:p w:rsidR="00C05320" w:rsidRPr="00AD1AA7" w:rsidRDefault="00B40D39" w:rsidP="00AD1AA7">
      <w:pPr>
        <w:autoSpaceDE w:val="0"/>
        <w:autoSpaceDN w:val="0"/>
        <w:adjustRightInd w:val="0"/>
        <w:spacing w:before="120" w:after="120" w:line="480" w:lineRule="auto"/>
        <w:ind w:left="720" w:firstLine="720"/>
        <w:jc w:val="right"/>
        <w:rPr>
          <w:position w:val="-10"/>
        </w:rPr>
      </w:pPr>
      <w:r w:rsidRPr="00B40D39">
        <w:rPr>
          <w:position w:val="-26"/>
        </w:rPr>
        <w:object w:dxaOrig="2200" w:dyaOrig="620">
          <v:shape id="_x0000_i1783" type="#_x0000_t75" style="width:109.65pt;height:32.65pt" o:ole="">
            <v:imagedata r:id="rId444" o:title=""/>
          </v:shape>
          <o:OLEObject Type="Embed" ProgID="Equation.DSMT4" ShapeID="_x0000_i1783" DrawAspect="Content" ObjectID="_1359267169" r:id="rId445"/>
        </w:object>
      </w:r>
      <w:r w:rsidR="00C05320" w:rsidRPr="00AD1AA7">
        <w:rPr>
          <w:position w:val="-10"/>
        </w:rPr>
        <w:t xml:space="preserve"> ,                                                        (</w:t>
      </w:r>
      <w:r w:rsidR="0019589A" w:rsidRPr="00AD1AA7">
        <w:rPr>
          <w:position w:val="-10"/>
        </w:rPr>
        <w:t>3.</w:t>
      </w:r>
      <w:r w:rsidR="00C05320" w:rsidRPr="00AD1AA7">
        <w:rPr>
          <w:position w:val="-10"/>
        </w:rPr>
        <w:t>1)</w:t>
      </w:r>
    </w:p>
    <w:p w:rsidR="00C05320" w:rsidRPr="001F035A" w:rsidRDefault="00C05320" w:rsidP="00C30B64">
      <w:pPr>
        <w:spacing w:before="240" w:after="240" w:line="480" w:lineRule="auto"/>
        <w:jc w:val="both"/>
      </w:pPr>
      <w:proofErr w:type="gramStart"/>
      <w:r w:rsidRPr="001F035A">
        <w:t>where</w:t>
      </w:r>
      <w:proofErr w:type="gramEnd"/>
      <w:r w:rsidRPr="001F035A">
        <w:t xml:space="preserve"> </w:t>
      </w:r>
      <w:r w:rsidRPr="001F035A">
        <w:rPr>
          <w:position w:val="-10"/>
        </w:rPr>
        <w:object w:dxaOrig="260" w:dyaOrig="320">
          <v:shape id="_x0000_i1247" type="#_x0000_t75" style="width:13.4pt;height:16.75pt" o:ole="">
            <v:imagedata r:id="rId446" o:title=""/>
          </v:shape>
          <o:OLEObject Type="Embed" ProgID="Equation.DSMT4" ShapeID="_x0000_i1247" DrawAspect="Content" ObjectID="_1359267170" r:id="rId447"/>
        </w:object>
      </w:r>
      <w:r w:rsidRPr="001F035A">
        <w:t>is the expectation operator conditional on the information available at time</w:t>
      </w:r>
      <w:r w:rsidRPr="001F035A">
        <w:rPr>
          <w:position w:val="-6"/>
        </w:rPr>
        <w:object w:dxaOrig="139" w:dyaOrig="240">
          <v:shape id="_x0000_i1248" type="#_x0000_t75" style="width:5.85pt;height:13.4pt" o:ole="">
            <v:imagedata r:id="rId448" o:title=""/>
          </v:shape>
          <o:OLEObject Type="Embed" ProgID="Equation.DSMT4" ShapeID="_x0000_i1248" DrawAspect="Content" ObjectID="_1359267171" r:id="rId449"/>
        </w:object>
      </w:r>
      <w:r w:rsidRPr="001F035A">
        <w:t xml:space="preserve">, </w:t>
      </w:r>
      <w:r w:rsidRPr="001F035A">
        <w:rPr>
          <w:position w:val="-12"/>
        </w:rPr>
        <w:object w:dxaOrig="859" w:dyaOrig="360">
          <v:shape id="_x0000_i1249" type="#_x0000_t75" style="width:41pt;height:19.25pt" o:ole="">
            <v:imagedata r:id="rId450" o:title=""/>
          </v:shape>
          <o:OLEObject Type="Embed" ProgID="Equation.DSMT4" ShapeID="_x0000_i1249" DrawAspect="Content" ObjectID="_1359267172" r:id="rId451"/>
        </w:object>
      </w:r>
      <w:r w:rsidRPr="001F035A">
        <w:t xml:space="preserve"> is the subjective discount factor. The household consumes </w:t>
      </w:r>
      <w:r w:rsidRPr="001F035A">
        <w:rPr>
          <w:position w:val="-12"/>
        </w:rPr>
        <w:object w:dxaOrig="279" w:dyaOrig="360">
          <v:shape id="_x0000_i1250" type="#_x0000_t75" style="width:13.4pt;height:17.6pt" o:ole="">
            <v:imagedata r:id="rId452" o:title=""/>
          </v:shape>
          <o:OLEObject Type="Embed" ProgID="Equation.DSMT4" ShapeID="_x0000_i1250" DrawAspect="Content" ObjectID="_1359267173" r:id="rId453"/>
        </w:object>
      </w:r>
      <w:r w:rsidR="00AB7C8D" w:rsidRPr="001F035A">
        <w:fldChar w:fldCharType="begin"/>
      </w:r>
      <w:r w:rsidRPr="001F035A">
        <w:instrText xml:space="preserve"> QUOTE </w:instrText>
      </w:r>
      <w:r w:rsidRPr="001F035A">
        <w:rPr>
          <w:noProof/>
        </w:rPr>
        <w:drawing>
          <wp:inline distT="0" distB="0" distL="0" distR="0">
            <wp:extent cx="172720" cy="146685"/>
            <wp:effectExtent l="1905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4" cstate="print">
                      <a:clrChange>
                        <a:clrFrom>
                          <a:srgbClr val="FFFFFF"/>
                        </a:clrFrom>
                        <a:clrTo>
                          <a:srgbClr val="FFFFFF">
                            <a:alpha val="0"/>
                          </a:srgbClr>
                        </a:clrTo>
                      </a:clrChange>
                    </a:blip>
                    <a:srcRect/>
                    <a:stretch>
                      <a:fillRect/>
                    </a:stretch>
                  </pic:blipFill>
                  <pic:spPr bwMode="auto">
                    <a:xfrm>
                      <a:off x="0" y="0"/>
                      <a:ext cx="172720" cy="146685"/>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end"/>
      </w:r>
      <w:r w:rsidRPr="001F035A">
        <w:t xml:space="preserve"> (a CES index of private good</w:t>
      </w:r>
      <w:r w:rsidRPr="001F035A">
        <w:rPr>
          <w:position w:val="-12"/>
        </w:rPr>
        <w:object w:dxaOrig="220" w:dyaOrig="360">
          <v:shape id="_x0000_i1251" type="#_x0000_t75" style="width:13.4pt;height:17.6pt" o:ole="">
            <v:imagedata r:id="rId455" o:title=""/>
          </v:shape>
          <o:OLEObject Type="Embed" ProgID="Equation.DSMT4" ShapeID="_x0000_i1251" DrawAspect="Content" ObjectID="_1359267174" r:id="rId456"/>
        </w:object>
      </w:r>
      <w:r w:rsidRPr="001F035A">
        <w:t>and publicly provided services</w:t>
      </w:r>
      <w:r w:rsidR="00AB7C8D" w:rsidRPr="001F035A">
        <w:fldChar w:fldCharType="begin"/>
      </w:r>
      <w:r w:rsidRPr="001F035A">
        <w:instrText xml:space="preserve"> QUOTE </w:instrText>
      </w:r>
      <w:r w:rsidRPr="001F035A">
        <w:rPr>
          <w:noProof/>
        </w:rPr>
        <w:drawing>
          <wp:inline distT="0" distB="0" distL="0" distR="0">
            <wp:extent cx="180975" cy="146685"/>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7" cstate="print">
                      <a:clrChange>
                        <a:clrFrom>
                          <a:srgbClr val="FFFFFF"/>
                        </a:clrFrom>
                        <a:clrTo>
                          <a:srgbClr val="FFFFFF">
                            <a:alpha val="0"/>
                          </a:srgbClr>
                        </a:clrTo>
                      </a:clrChange>
                    </a:blip>
                    <a:srcRect/>
                    <a:stretch>
                      <a:fillRect/>
                    </a:stretch>
                  </pic:blipFill>
                  <pic:spPr bwMode="auto">
                    <a:xfrm>
                      <a:off x="0" y="0"/>
                      <a:ext cx="180975" cy="146685"/>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separate"/>
      </w:r>
      <w:r w:rsidRPr="001F035A">
        <w:rPr>
          <w:position w:val="-10"/>
        </w:rPr>
        <w:object w:dxaOrig="200" w:dyaOrig="320">
          <v:shape id="_x0000_i1252" type="#_x0000_t75" style="width:9.2pt;height:16.75pt" o:ole="">
            <v:imagedata r:id="rId458" o:title=""/>
          </v:shape>
          <o:OLEObject Type="Embed" ProgID="Equation.DSMT4" ShapeID="_x0000_i1252" DrawAspect="Content" ObjectID="_1359267175" r:id="rId459"/>
        </w:object>
      </w:r>
      <w:r w:rsidR="00AB7C8D" w:rsidRPr="001F035A">
        <w:fldChar w:fldCharType="end"/>
      </w:r>
      <w:r w:rsidRPr="001F035A">
        <w:t>) and works</w:t>
      </w:r>
      <w:r w:rsidRPr="001F035A">
        <w:rPr>
          <w:position w:val="-10"/>
        </w:rPr>
        <w:object w:dxaOrig="220" w:dyaOrig="320">
          <v:shape id="_x0000_i1253" type="#_x0000_t75" style="width:9.2pt;height:16.75pt" o:ole="">
            <v:imagedata r:id="rId460" o:title=""/>
          </v:shape>
          <o:OLEObject Type="Embed" ProgID="Equation.DSMT4" ShapeID="_x0000_i1253" DrawAspect="Content" ObjectID="_1359267176" r:id="rId461"/>
        </w:object>
      </w:r>
      <w:r w:rsidRPr="001F035A">
        <w:t xml:space="preserve">hours of its total time endowment.  For consistency with macroeconomic data in terms of observed persistence household’s decisions on working hours </w:t>
      </w:r>
      <w:r w:rsidRPr="001F035A">
        <w:rPr>
          <w:position w:val="-12"/>
        </w:rPr>
        <w:object w:dxaOrig="240" w:dyaOrig="360">
          <v:shape id="_x0000_i1254" type="#_x0000_t75" style="width:13.4pt;height:17.6pt" o:ole="">
            <v:imagedata r:id="rId462" o:title=""/>
          </v:shape>
          <o:OLEObject Type="Embed" ProgID="Equation.DSMT4" ShapeID="_x0000_i1254" DrawAspect="Content" ObjectID="_1359267177" r:id="rId463"/>
        </w:object>
      </w:r>
      <w:r w:rsidRPr="001F035A">
        <w:t xml:space="preserve">and private consumption </w:t>
      </w:r>
      <w:r w:rsidRPr="001F035A">
        <w:rPr>
          <w:position w:val="-12"/>
        </w:rPr>
        <w:object w:dxaOrig="220" w:dyaOrig="360">
          <v:shape id="_x0000_i1255" type="#_x0000_t75" style="width:13.4pt;height:17.6pt" o:ole="">
            <v:imagedata r:id="rId455" o:title=""/>
          </v:shape>
          <o:OLEObject Type="Embed" ProgID="Equation.DSMT4" ShapeID="_x0000_i1255" DrawAspect="Content" ObjectID="_1359267178" r:id="rId464"/>
        </w:object>
      </w:r>
      <w:r w:rsidRPr="001F035A">
        <w:t>are assumed to be subject to habit formation. We refer to habit intensity in labor by</w:t>
      </w:r>
      <w:r w:rsidRPr="001F035A">
        <w:rPr>
          <w:position w:val="-12"/>
        </w:rPr>
        <w:object w:dxaOrig="900" w:dyaOrig="360">
          <v:shape id="_x0000_i1256" type="#_x0000_t75" style="width:46.9pt;height:19.25pt" o:ole="">
            <v:imagedata r:id="rId465" o:title=""/>
          </v:shape>
          <o:OLEObject Type="Embed" ProgID="Equation.DSMT4" ShapeID="_x0000_i1256" DrawAspect="Content" ObjectID="_1359267179" r:id="rId466"/>
        </w:object>
      </w:r>
      <w:r w:rsidRPr="001F035A">
        <w:t xml:space="preserve">.  The CES index of consumption </w:t>
      </w:r>
      <w:r w:rsidR="00AB7C8D" w:rsidRPr="001F035A">
        <w:fldChar w:fldCharType="begin"/>
      </w:r>
      <w:r w:rsidRPr="001F035A">
        <w:instrText xml:space="preserve"> QUOTE </w:instrText>
      </w:r>
      <w:r w:rsidRPr="001F035A">
        <w:rPr>
          <w:noProof/>
        </w:rPr>
        <w:drawing>
          <wp:inline distT="0" distB="0" distL="0" distR="0">
            <wp:extent cx="172720" cy="146685"/>
            <wp:effectExtent l="1905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4" cstate="print">
                      <a:clrChange>
                        <a:clrFrom>
                          <a:srgbClr val="FFFFFF"/>
                        </a:clrFrom>
                        <a:clrTo>
                          <a:srgbClr val="FFFFFF">
                            <a:alpha val="0"/>
                          </a:srgbClr>
                        </a:clrTo>
                      </a:clrChange>
                    </a:blip>
                    <a:srcRect/>
                    <a:stretch>
                      <a:fillRect/>
                    </a:stretch>
                  </pic:blipFill>
                  <pic:spPr bwMode="auto">
                    <a:xfrm>
                      <a:off x="0" y="0"/>
                      <a:ext cx="172720" cy="146685"/>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separate"/>
      </w:r>
      <w:r w:rsidRPr="001F035A">
        <w:rPr>
          <w:position w:val="-12"/>
        </w:rPr>
        <w:object w:dxaOrig="279" w:dyaOrig="360">
          <v:shape id="_x0000_i1257" type="#_x0000_t75" style="width:13.4pt;height:17.6pt" o:ole="">
            <v:imagedata r:id="rId452" o:title=""/>
          </v:shape>
          <o:OLEObject Type="Embed" ProgID="Equation.DSMT4" ShapeID="_x0000_i1257" DrawAspect="Content" ObjectID="_1359267180" r:id="rId467"/>
        </w:object>
      </w:r>
      <w:r w:rsidR="00AB7C8D" w:rsidRPr="001F035A">
        <w:fldChar w:fldCharType="end"/>
      </w:r>
      <w:r w:rsidRPr="001F035A">
        <w:t xml:space="preserve"> is written as follows: </w:t>
      </w:r>
    </w:p>
    <w:p w:rsidR="00C05320" w:rsidRPr="00AD1AA7" w:rsidRDefault="00C05320" w:rsidP="00AD1AA7">
      <w:pPr>
        <w:autoSpaceDE w:val="0"/>
        <w:autoSpaceDN w:val="0"/>
        <w:adjustRightInd w:val="0"/>
        <w:spacing w:before="120" w:after="120" w:line="480" w:lineRule="auto"/>
        <w:ind w:left="720" w:firstLine="720"/>
        <w:jc w:val="right"/>
        <w:rPr>
          <w:position w:val="-10"/>
        </w:rPr>
      </w:pPr>
      <w:r w:rsidRPr="00AD1AA7">
        <w:rPr>
          <w:position w:val="-10"/>
        </w:rPr>
        <w:t xml:space="preserve">      </w:t>
      </w:r>
      <w:r w:rsidR="00B40D39" w:rsidRPr="00B40D39">
        <w:rPr>
          <w:position w:val="-32"/>
        </w:rPr>
        <w:object w:dxaOrig="2940" w:dyaOrig="880">
          <v:shape id="_x0000_i1785" type="#_x0000_t75" style="width:146.5pt;height:41.85pt" o:ole="">
            <v:imagedata r:id="rId468" o:title=""/>
          </v:shape>
          <o:OLEObject Type="Embed" ProgID="Equation.DSMT4" ShapeID="_x0000_i1785" DrawAspect="Content" ObjectID="_1359267181" r:id="rId469"/>
        </w:object>
      </w:r>
      <w:r w:rsidR="0019589A" w:rsidRPr="00AD1AA7">
        <w:rPr>
          <w:position w:val="-10"/>
        </w:rPr>
        <w:t xml:space="preserve"> ,   </w:t>
      </w:r>
      <w:r w:rsidRPr="00AD1AA7">
        <w:rPr>
          <w:position w:val="-10"/>
        </w:rPr>
        <w:t xml:space="preserve">                                           (</w:t>
      </w:r>
      <w:r w:rsidR="0019589A" w:rsidRPr="00AD1AA7">
        <w:rPr>
          <w:position w:val="-10"/>
        </w:rPr>
        <w:t>3.</w:t>
      </w:r>
      <w:r w:rsidRPr="00AD1AA7">
        <w:rPr>
          <w:position w:val="-10"/>
        </w:rPr>
        <w:t>2)</w:t>
      </w:r>
    </w:p>
    <w:p w:rsidR="00C05320" w:rsidRPr="001F035A" w:rsidRDefault="00C05320" w:rsidP="001415CA">
      <w:pPr>
        <w:spacing w:before="240" w:after="240" w:line="480" w:lineRule="auto"/>
        <w:jc w:val="both"/>
      </w:pPr>
      <w:proofErr w:type="gramStart"/>
      <w:r w:rsidRPr="001F035A">
        <w:t>where</w:t>
      </w:r>
      <w:proofErr w:type="gramEnd"/>
      <w:r w:rsidRPr="001F035A">
        <w:t xml:space="preserve"> </w:t>
      </w:r>
      <w:r w:rsidRPr="001F035A">
        <w:rPr>
          <w:position w:val="-12"/>
        </w:rPr>
        <w:object w:dxaOrig="900" w:dyaOrig="360">
          <v:shape id="_x0000_i1259" type="#_x0000_t75" style="width:46.9pt;height:19.25pt" o:ole="">
            <v:imagedata r:id="rId470" o:title=""/>
          </v:shape>
          <o:OLEObject Type="Embed" ProgID="Equation.DSMT4" ShapeID="_x0000_i1259" DrawAspect="Content" ObjectID="_1359267182" r:id="rId471"/>
        </w:object>
      </w:r>
      <w:r w:rsidRPr="001F035A">
        <w:t xml:space="preserve"> is the habit intensity in private consumption, </w:t>
      </w:r>
      <w:r w:rsidRPr="001F035A">
        <w:rPr>
          <w:position w:val="-10"/>
        </w:rPr>
        <w:object w:dxaOrig="520" w:dyaOrig="300">
          <v:shape id="_x0000_i1260" type="#_x0000_t75" style="width:25.1pt;height:13.4pt" o:ole="">
            <v:imagedata r:id="rId472" o:title=""/>
          </v:shape>
          <o:OLEObject Type="Embed" ProgID="Equation.DSMT4" ShapeID="_x0000_i1260" DrawAspect="Content" ObjectID="_1359267183" r:id="rId473"/>
        </w:object>
      </w:r>
      <w:r w:rsidRPr="001F035A">
        <w:t xml:space="preserve"> is a scaling parameter that maintains the ratio of private consumption to public service consumption in the model economy equal to its observed counterpart in the actual state economy.   The </w:t>
      </w:r>
      <w:r w:rsidR="0019589A">
        <w:t>parameter</w:t>
      </w:r>
      <w:r w:rsidRPr="001F035A">
        <w:rPr>
          <w:position w:val="-10"/>
        </w:rPr>
        <w:object w:dxaOrig="540" w:dyaOrig="300">
          <v:shape id="_x0000_i1261" type="#_x0000_t75" style="width:28.45pt;height:13.4pt" o:ole="">
            <v:imagedata r:id="rId474" o:title=""/>
          </v:shape>
          <o:OLEObject Type="Embed" ProgID="Equation.DSMT4" ShapeID="_x0000_i1261" DrawAspect="Content" ObjectID="_1359267184" r:id="rId475"/>
        </w:object>
      </w:r>
      <w:r w:rsidR="0019589A">
        <w:t>reflects the intra</w:t>
      </w:r>
      <w:r w:rsidRPr="001F035A">
        <w:t>period elasticity of substitution between private consumption and the consumption of public services.</w:t>
      </w:r>
      <w:r w:rsidRPr="001F035A">
        <w:rPr>
          <w:rStyle w:val="FootnoteReference"/>
        </w:rPr>
        <w:footnoteReference w:id="30"/>
      </w:r>
      <w:r w:rsidRPr="001F035A">
        <w:t xml:space="preserve">  In this study we use the following preference of the household:</w:t>
      </w:r>
      <w:r w:rsidRPr="001F035A">
        <w:rPr>
          <w:rStyle w:val="FootnoteReference"/>
        </w:rPr>
        <w:footnoteReference w:id="31"/>
      </w:r>
      <w:r w:rsidRPr="001F035A">
        <w:t xml:space="preserve"> </w:t>
      </w:r>
    </w:p>
    <w:p w:rsidR="00C05320" w:rsidRPr="001F035A" w:rsidRDefault="00C05320" w:rsidP="00AD1AA7">
      <w:pPr>
        <w:autoSpaceDE w:val="0"/>
        <w:autoSpaceDN w:val="0"/>
        <w:adjustRightInd w:val="0"/>
        <w:spacing w:before="120" w:after="120" w:line="480" w:lineRule="auto"/>
        <w:ind w:left="720" w:firstLine="720"/>
        <w:jc w:val="right"/>
      </w:pPr>
      <w:r w:rsidRPr="001F035A">
        <w:t xml:space="preserve">    </w:t>
      </w:r>
      <w:r w:rsidR="00B40D39" w:rsidRPr="00B40D39">
        <w:rPr>
          <w:position w:val="-24"/>
        </w:rPr>
        <w:object w:dxaOrig="3760" w:dyaOrig="600">
          <v:shape id="_x0000_i1787" type="#_x0000_t75" style="width:185.85pt;height:32.65pt" o:ole="">
            <v:imagedata r:id="rId476" o:title=""/>
          </v:shape>
          <o:OLEObject Type="Embed" ProgID="Equation.DSMT4" ShapeID="_x0000_i1787" DrawAspect="Content" ObjectID="_1359267185" r:id="rId477"/>
        </w:object>
      </w:r>
      <w:r w:rsidRPr="00AD1AA7">
        <w:rPr>
          <w:position w:val="-10"/>
        </w:rPr>
        <w:t xml:space="preserve"> .                                       (</w:t>
      </w:r>
      <w:r w:rsidR="00604586" w:rsidRPr="00AD1AA7">
        <w:rPr>
          <w:position w:val="-10"/>
        </w:rPr>
        <w:t>3.</w:t>
      </w:r>
      <w:r w:rsidRPr="00AD1AA7">
        <w:rPr>
          <w:position w:val="-10"/>
        </w:rPr>
        <w:t>3)</w:t>
      </w:r>
    </w:p>
    <w:p w:rsidR="00C05320" w:rsidRPr="001F035A" w:rsidRDefault="00C05320" w:rsidP="00C30B64">
      <w:pPr>
        <w:spacing w:before="240" w:after="240" w:line="480" w:lineRule="auto"/>
        <w:ind w:firstLine="720"/>
        <w:jc w:val="both"/>
      </w:pPr>
      <w:r w:rsidRPr="001F035A">
        <w:t xml:space="preserve">The parameter </w:t>
      </w:r>
      <w:r w:rsidRPr="001F035A">
        <w:rPr>
          <w:position w:val="-6"/>
        </w:rPr>
        <w:object w:dxaOrig="540" w:dyaOrig="260">
          <v:shape id="_x0000_i1263" type="#_x0000_t75" style="width:28.45pt;height:13.4pt" o:ole="">
            <v:imagedata r:id="rId478" o:title=""/>
          </v:shape>
          <o:OLEObject Type="Embed" ProgID="Equation.DSMT4" ShapeID="_x0000_i1263" DrawAspect="Content" ObjectID="_1359267186" r:id="rId479"/>
        </w:object>
      </w:r>
      <w:r w:rsidRPr="001F035A">
        <w:t xml:space="preserve"> measures the intertemporal elasticity of substitution and </w:t>
      </w:r>
      <w:r w:rsidR="00AB7C8D" w:rsidRPr="001F035A">
        <w:fldChar w:fldCharType="begin"/>
      </w:r>
      <w:r w:rsidRPr="001F035A">
        <w:instrText xml:space="preserve"> QUOTE </w:instrText>
      </w:r>
      <w:r w:rsidRPr="001F035A">
        <w:rPr>
          <w:noProof/>
        </w:rPr>
        <w:drawing>
          <wp:inline distT="0" distB="0" distL="0" distR="0">
            <wp:extent cx="387985" cy="28448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0" cstate="print">
                      <a:clrChange>
                        <a:clrFrom>
                          <a:srgbClr val="FFFFFF"/>
                        </a:clrFrom>
                        <a:clrTo>
                          <a:srgbClr val="FFFFFF">
                            <a:alpha val="0"/>
                          </a:srgbClr>
                        </a:clrTo>
                      </a:clrChange>
                    </a:blip>
                    <a:srcRect/>
                    <a:stretch>
                      <a:fillRect/>
                    </a:stretch>
                  </pic:blipFill>
                  <pic:spPr bwMode="auto">
                    <a:xfrm>
                      <a:off x="0" y="0"/>
                      <a:ext cx="387985" cy="284480"/>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separate"/>
      </w:r>
      <w:r w:rsidRPr="001F035A">
        <w:rPr>
          <w:position w:val="-22"/>
        </w:rPr>
        <w:object w:dxaOrig="540" w:dyaOrig="580">
          <v:shape id="_x0000_i1264" type="#_x0000_t75" style="width:28.45pt;height:30.15pt" o:ole="">
            <v:imagedata r:id="rId481" o:title=""/>
          </v:shape>
          <o:OLEObject Type="Embed" ProgID="Equation.DSMT4" ShapeID="_x0000_i1264" DrawAspect="Content" ObjectID="_1359267187" r:id="rId482"/>
        </w:object>
      </w:r>
      <w:r w:rsidR="00AB7C8D" w:rsidRPr="001F035A">
        <w:fldChar w:fldCharType="end"/>
      </w:r>
      <w:r w:rsidRPr="001F035A">
        <w:t xml:space="preserve"> </w:t>
      </w:r>
      <w:r w:rsidRPr="001F035A">
        <w:rPr>
          <w:position w:val="-6"/>
        </w:rPr>
        <w:t xml:space="preserve"> </w:t>
      </w:r>
      <w:r w:rsidRPr="001F035A">
        <w:t>measures the elasticity of labor supply. The utility function is increasing in current period consumption of private good and public services and decreasing in current period employment level. As a result of habit formation, the utility is decreasing in the previous period’s consumption of private good and increasing in previous period hours worked. The household allocates its disposable income into private good consumption, investment and purchases of financial assets. Accordingly, the household dynamic budget constraint is defined as follows:</w:t>
      </w:r>
    </w:p>
    <w:p w:rsidR="00C05320" w:rsidRPr="001F035A" w:rsidRDefault="00C05320" w:rsidP="00AD1AA7">
      <w:pPr>
        <w:autoSpaceDE w:val="0"/>
        <w:autoSpaceDN w:val="0"/>
        <w:adjustRightInd w:val="0"/>
        <w:spacing w:before="120" w:after="120" w:line="480" w:lineRule="auto"/>
        <w:ind w:left="720" w:firstLine="720"/>
        <w:jc w:val="right"/>
      </w:pPr>
      <w:r w:rsidRPr="001F035A">
        <w:t xml:space="preserve">    </w:t>
      </w:r>
      <w:r w:rsidRPr="00AD1AA7">
        <w:rPr>
          <w:position w:val="-10"/>
        </w:rPr>
        <w:object w:dxaOrig="3200" w:dyaOrig="420">
          <v:shape id="_x0000_i1265" type="#_x0000_t75" style="width:160.75pt;height:24.3pt" o:ole="">
            <v:imagedata r:id="rId483" o:title=""/>
          </v:shape>
          <o:OLEObject Type="Embed" ProgID="Equation.DSMT4" ShapeID="_x0000_i1265" DrawAspect="Content" ObjectID="_1359267188" r:id="rId484"/>
        </w:object>
      </w:r>
      <w:r w:rsidRPr="00AD1AA7">
        <w:rPr>
          <w:position w:val="-10"/>
        </w:rPr>
        <w:t xml:space="preserve">        </w:t>
      </w:r>
      <w:r w:rsidR="00A9497E" w:rsidRPr="00AD1AA7">
        <w:rPr>
          <w:position w:val="-10"/>
        </w:rPr>
        <w:t xml:space="preserve">      </w:t>
      </w:r>
      <w:r w:rsidRPr="00AD1AA7">
        <w:rPr>
          <w:position w:val="-10"/>
        </w:rPr>
        <w:t xml:space="preserve">                            (</w:t>
      </w:r>
      <w:r w:rsidR="00604586" w:rsidRPr="00AD1AA7">
        <w:rPr>
          <w:position w:val="-10"/>
        </w:rPr>
        <w:t>3.</w:t>
      </w:r>
      <w:r w:rsidRPr="00AD1AA7">
        <w:rPr>
          <w:position w:val="-10"/>
        </w:rPr>
        <w:t>4)</w:t>
      </w:r>
    </w:p>
    <w:p w:rsidR="00C05320" w:rsidRPr="001F035A" w:rsidRDefault="00C05320" w:rsidP="001415CA">
      <w:pPr>
        <w:autoSpaceDE w:val="0"/>
        <w:autoSpaceDN w:val="0"/>
        <w:adjustRightInd w:val="0"/>
        <w:spacing w:before="240" w:after="240" w:line="480" w:lineRule="auto"/>
        <w:jc w:val="both"/>
      </w:pPr>
      <w:r w:rsidRPr="001F035A">
        <w:t xml:space="preserve">The left hand side of this equation measures the disposable income of the household, where </w:t>
      </w:r>
      <w:r w:rsidRPr="001F035A">
        <w:rPr>
          <w:position w:val="-16"/>
        </w:rPr>
        <w:object w:dxaOrig="920" w:dyaOrig="420">
          <v:shape id="_x0000_i1266" type="#_x0000_t75" style="width:46.9pt;height:22.6pt" o:ole="">
            <v:imagedata r:id="rId485" o:title=""/>
          </v:shape>
          <o:OLEObject Type="Embed" ProgID="Equation.DSMT4" ShapeID="_x0000_i1266" DrawAspect="Content" ObjectID="_1359267189" r:id="rId486"/>
        </w:object>
      </w:r>
      <w:r w:rsidRPr="001F035A">
        <w:t xml:space="preserve">is the after tax aggregate income, and </w:t>
      </w:r>
      <w:r w:rsidRPr="001F035A">
        <w:rPr>
          <w:position w:val="-6"/>
        </w:rPr>
        <w:object w:dxaOrig="260" w:dyaOrig="300">
          <v:shape id="_x0000_i1267" type="#_x0000_t75" style="width:13.4pt;height:15.9pt" o:ole="">
            <v:imagedata r:id="rId487" o:title=""/>
          </v:shape>
          <o:OLEObject Type="Embed" ProgID="Equation.DSMT4" ShapeID="_x0000_i1267" DrawAspect="Content" ObjectID="_1359267190" r:id="rId488"/>
        </w:object>
      </w:r>
      <w:r w:rsidRPr="001F035A">
        <w:t>rate is income tax rate which we assume to be fixed over the business cycle. In addition household receives positive lump sum government transfers</w:t>
      </w:r>
      <w:r w:rsidRPr="001F035A">
        <w:rPr>
          <w:position w:val="-10"/>
        </w:rPr>
        <w:object w:dxaOrig="220" w:dyaOrig="320">
          <v:shape id="_x0000_i1268" type="#_x0000_t75" style="width:8.35pt;height:16.75pt" o:ole="">
            <v:imagedata r:id="rId489" o:title=""/>
          </v:shape>
          <o:OLEObject Type="Embed" ProgID="Equation.DSMT4" ShapeID="_x0000_i1268" DrawAspect="Content" ObjectID="_1359267191" r:id="rId490"/>
        </w:object>
      </w:r>
      <w:r w:rsidRPr="001F035A">
        <w:t>. The right is the household aggregate expenditure on of the private good consumption</w:t>
      </w:r>
      <w:r w:rsidRPr="001F035A">
        <w:rPr>
          <w:position w:val="-10"/>
        </w:rPr>
        <w:object w:dxaOrig="220" w:dyaOrig="320">
          <v:shape id="_x0000_i1269" type="#_x0000_t75" style="width:9.2pt;height:16.75pt" o:ole="">
            <v:imagedata r:id="rId491" o:title=""/>
          </v:shape>
          <o:OLEObject Type="Embed" ProgID="Equation.DSMT4" ShapeID="_x0000_i1269" DrawAspect="Content" ObjectID="_1359267192" r:id="rId492"/>
        </w:object>
      </w:r>
      <w:r w:rsidRPr="001F035A">
        <w:t>, which is taxed at a rate</w:t>
      </w:r>
      <w:r w:rsidRPr="001F035A">
        <w:rPr>
          <w:position w:val="-6"/>
        </w:rPr>
        <w:object w:dxaOrig="240" w:dyaOrig="300">
          <v:shape id="_x0000_i1270" type="#_x0000_t75" style="width:13.4pt;height:16.75pt" o:ole="">
            <v:imagedata r:id="rId493" o:title=""/>
          </v:shape>
          <o:OLEObject Type="Embed" ProgID="Equation.DSMT4" ShapeID="_x0000_i1270" DrawAspect="Content" ObjectID="_1359267193" r:id="rId494"/>
        </w:object>
      </w:r>
      <w:r w:rsidRPr="001F035A">
        <w:t>, investment</w:t>
      </w:r>
      <w:r w:rsidRPr="001F035A">
        <w:rPr>
          <w:position w:val="-10"/>
        </w:rPr>
        <w:object w:dxaOrig="220" w:dyaOrig="320">
          <v:shape id="_x0000_i1271" type="#_x0000_t75" style="width:8.35pt;height:16.75pt" o:ole="">
            <v:imagedata r:id="rId495" o:title=""/>
          </v:shape>
          <o:OLEObject Type="Embed" ProgID="Equation.DSMT4" ShapeID="_x0000_i1271" DrawAspect="Content" ObjectID="_1359267194" r:id="rId496"/>
        </w:object>
      </w:r>
      <w:r w:rsidRPr="001F035A">
        <w:t xml:space="preserve"> , and household’s net purchases of financial</w:t>
      </w:r>
      <w:r w:rsidRPr="001F035A">
        <w:rPr>
          <w:position w:val="-10"/>
        </w:rPr>
        <w:object w:dxaOrig="300" w:dyaOrig="320">
          <v:shape id="_x0000_i1272" type="#_x0000_t75" style="width:15.9pt;height:16.75pt" o:ole="">
            <v:imagedata r:id="rId497" o:title=""/>
          </v:shape>
          <o:OLEObject Type="Embed" ProgID="Equation.DSMT4" ShapeID="_x0000_i1272" DrawAspect="Content" ObjectID="_1359267195" r:id="rId498"/>
        </w:object>
      </w:r>
      <w:r w:rsidRPr="001F035A">
        <w:t xml:space="preserve">. Following various RBC models, we assume that investment follows the following process: </w:t>
      </w:r>
    </w:p>
    <w:p w:rsidR="00C05320" w:rsidRPr="00AD1AA7" w:rsidRDefault="00C05320" w:rsidP="00AD1AA7">
      <w:pPr>
        <w:autoSpaceDE w:val="0"/>
        <w:autoSpaceDN w:val="0"/>
        <w:adjustRightInd w:val="0"/>
        <w:spacing w:before="120" w:after="120" w:line="480" w:lineRule="auto"/>
        <w:ind w:left="720" w:firstLine="720"/>
        <w:jc w:val="right"/>
        <w:rPr>
          <w:position w:val="-10"/>
        </w:rPr>
      </w:pPr>
      <w:r w:rsidRPr="00AD1AA7">
        <w:rPr>
          <w:position w:val="-10"/>
        </w:rPr>
        <w:object w:dxaOrig="3760" w:dyaOrig="400">
          <v:shape id="_x0000_i1273" type="#_x0000_t75" style="width:181.65pt;height:22.6pt" o:ole="">
            <v:imagedata r:id="rId499" o:title=""/>
          </v:shape>
          <o:OLEObject Type="Embed" ProgID="Equation.DSMT4" ShapeID="_x0000_i1273" DrawAspect="Content" ObjectID="_1359267196" r:id="rId500"/>
        </w:object>
      </w:r>
      <w:r w:rsidR="00604586" w:rsidRPr="00AD1AA7">
        <w:rPr>
          <w:position w:val="-10"/>
        </w:rPr>
        <w:t xml:space="preserve">                      </w:t>
      </w:r>
      <w:r w:rsidRPr="00AD1AA7">
        <w:rPr>
          <w:position w:val="-10"/>
        </w:rPr>
        <w:t xml:space="preserve">                 (</w:t>
      </w:r>
      <w:r w:rsidR="00604586" w:rsidRPr="00AD1AA7">
        <w:rPr>
          <w:position w:val="-10"/>
        </w:rPr>
        <w:t>3.</w:t>
      </w:r>
      <w:r w:rsidRPr="00AD1AA7">
        <w:rPr>
          <w:position w:val="-10"/>
        </w:rPr>
        <w:t>5)</w:t>
      </w:r>
    </w:p>
    <w:p w:rsidR="00C05320" w:rsidRPr="001F035A" w:rsidRDefault="00C05320" w:rsidP="001415CA">
      <w:pPr>
        <w:autoSpaceDE w:val="0"/>
        <w:autoSpaceDN w:val="0"/>
        <w:adjustRightInd w:val="0"/>
        <w:spacing w:before="240" w:after="240" w:line="480" w:lineRule="auto"/>
        <w:jc w:val="both"/>
      </w:pPr>
      <w:proofErr w:type="gramStart"/>
      <w:r w:rsidRPr="001F035A">
        <w:t>where</w:t>
      </w:r>
      <w:proofErr w:type="gramEnd"/>
      <w:r w:rsidRPr="001F035A">
        <w:t xml:space="preserve"> </w:t>
      </w:r>
      <w:r w:rsidRPr="001F035A">
        <w:rPr>
          <w:position w:val="-10"/>
        </w:rPr>
        <w:object w:dxaOrig="220" w:dyaOrig="320">
          <v:shape id="_x0000_i1274" type="#_x0000_t75" style="width:9.2pt;height:16.75pt" o:ole="">
            <v:imagedata r:id="rId501" o:title=""/>
          </v:shape>
          <o:OLEObject Type="Embed" ProgID="Equation.DSMT4" ShapeID="_x0000_i1274" DrawAspect="Content" ObjectID="_1359267197" r:id="rId502"/>
        </w:object>
      </w:r>
      <w:r w:rsidRPr="001F035A">
        <w:t>is the total holding of firm capital and</w:t>
      </w:r>
      <w:r w:rsidRPr="001F035A">
        <w:rPr>
          <w:position w:val="-10"/>
        </w:rPr>
        <w:object w:dxaOrig="880" w:dyaOrig="320">
          <v:shape id="_x0000_i1275" type="#_x0000_t75" style="width:46.05pt;height:15.9pt" o:ole="">
            <v:imagedata r:id="rId503" o:title=""/>
          </v:shape>
          <o:OLEObject Type="Embed" ProgID="Equation.DSMT4" ShapeID="_x0000_i1275" DrawAspect="Content" ObjectID="_1359267198" r:id="rId504"/>
        </w:object>
      </w:r>
      <w:r w:rsidRPr="001F035A">
        <w:t>is the average per period depreciation rate of capital. The last term in the above equation is the adjustment cost, assumed to be convex in the rate of change in capital stock with an adjustment parameter of</w:t>
      </w:r>
      <w:r w:rsidRPr="001F035A">
        <w:rPr>
          <w:position w:val="-10"/>
        </w:rPr>
        <w:object w:dxaOrig="240" w:dyaOrig="320">
          <v:shape id="_x0000_i1276" type="#_x0000_t75" style="width:13.4pt;height:16.75pt" o:ole="">
            <v:imagedata r:id="rId505" o:title=""/>
          </v:shape>
          <o:OLEObject Type="Embed" ProgID="Equation.DSMT4" ShapeID="_x0000_i1276" DrawAspect="Content" ObjectID="_1359267199" r:id="rId506"/>
        </w:object>
      </w:r>
      <w:r w:rsidRPr="001F035A">
        <w:t>.</w:t>
      </w:r>
      <w:r w:rsidRPr="001F035A">
        <w:rPr>
          <w:rStyle w:val="FootnoteReference"/>
        </w:rPr>
        <w:footnoteReference w:id="32"/>
      </w:r>
      <w:r w:rsidRPr="001F035A">
        <w:t xml:space="preserve">  Similarly, the model assumes portfolio adjustment costs. Hence, net total spending on financial asset holdings</w:t>
      </w:r>
      <w:r w:rsidRPr="001F035A">
        <w:rPr>
          <w:position w:val="-10"/>
        </w:rPr>
        <w:object w:dxaOrig="279" w:dyaOrig="300">
          <v:shape id="_x0000_i1277" type="#_x0000_t75" style="width:13.4pt;height:15.9pt" o:ole="">
            <v:imagedata r:id="rId507" o:title=""/>
          </v:shape>
          <o:OLEObject Type="Embed" ProgID="Equation.DSMT4" ShapeID="_x0000_i1277" DrawAspect="Content" ObjectID="_1359267200" r:id="rId508"/>
        </w:object>
      </w:r>
      <w:r w:rsidRPr="001F035A">
        <w:t xml:space="preserve">is expressed as follows: </w:t>
      </w:r>
    </w:p>
    <w:p w:rsidR="00C05320" w:rsidRPr="00AD1AA7" w:rsidRDefault="00C05320" w:rsidP="00AD1AA7">
      <w:pPr>
        <w:autoSpaceDE w:val="0"/>
        <w:autoSpaceDN w:val="0"/>
        <w:adjustRightInd w:val="0"/>
        <w:spacing w:before="120" w:after="120" w:line="480" w:lineRule="auto"/>
        <w:ind w:left="720" w:firstLine="720"/>
        <w:jc w:val="right"/>
        <w:rPr>
          <w:position w:val="-10"/>
        </w:rPr>
      </w:pPr>
      <w:r w:rsidRPr="00AD1AA7">
        <w:rPr>
          <w:position w:val="-10"/>
        </w:rPr>
        <w:object w:dxaOrig="3140" w:dyaOrig="400">
          <v:shape id="_x0000_i1278" type="#_x0000_t75" style="width:141.5pt;height:22.6pt" o:ole="">
            <v:imagedata r:id="rId509" o:title=""/>
          </v:shape>
          <o:OLEObject Type="Embed" ProgID="Equation.DSMT4" ShapeID="_x0000_i1278" DrawAspect="Content" ObjectID="_1359267201" r:id="rId510"/>
        </w:object>
      </w:r>
      <w:r w:rsidRPr="00AD1AA7">
        <w:rPr>
          <w:position w:val="-10"/>
        </w:rPr>
        <w:t xml:space="preserve">                                             (</w:t>
      </w:r>
      <w:r w:rsidR="00604586" w:rsidRPr="00AD1AA7">
        <w:rPr>
          <w:position w:val="-10"/>
        </w:rPr>
        <w:t>3.</w:t>
      </w:r>
      <w:r w:rsidRPr="00AD1AA7">
        <w:rPr>
          <w:position w:val="-10"/>
        </w:rPr>
        <w:t>6)</w:t>
      </w:r>
    </w:p>
    <w:p w:rsidR="00C05320" w:rsidRPr="001F035A" w:rsidRDefault="00C05320" w:rsidP="001415CA">
      <w:pPr>
        <w:autoSpaceDE w:val="0"/>
        <w:autoSpaceDN w:val="0"/>
        <w:adjustRightInd w:val="0"/>
        <w:spacing w:before="240" w:after="240" w:line="480" w:lineRule="auto"/>
        <w:jc w:val="both"/>
      </w:pPr>
      <w:proofErr w:type="gramStart"/>
      <w:r w:rsidRPr="001F035A">
        <w:t>where</w:t>
      </w:r>
      <w:proofErr w:type="gramEnd"/>
      <w:r w:rsidRPr="001F035A">
        <w:rPr>
          <w:position w:val="-10"/>
        </w:rPr>
        <w:object w:dxaOrig="279" w:dyaOrig="320">
          <v:shape id="_x0000_i1279" type="#_x0000_t75" style="width:16.75pt;height:16.75pt" o:ole="">
            <v:imagedata r:id="rId511" o:title=""/>
          </v:shape>
          <o:OLEObject Type="Embed" ProgID="Equation.DSMT4" ShapeID="_x0000_i1279" DrawAspect="Content" ObjectID="_1359267202" r:id="rId512"/>
        </w:object>
      </w:r>
      <w:r w:rsidRPr="001F035A">
        <w:rPr>
          <w:position w:val="-14"/>
        </w:rPr>
        <w:t xml:space="preserve"> </w:t>
      </w:r>
      <w:r w:rsidRPr="001F035A">
        <w:t>is the net balance of one period financial assets at the beginning of the period. The financial asset that is being purchased at the beginning of the period is due at the end of the period at a price</w:t>
      </w:r>
      <w:r w:rsidRPr="001F035A">
        <w:rPr>
          <w:position w:val="-10"/>
        </w:rPr>
        <w:object w:dxaOrig="920" w:dyaOrig="320">
          <v:shape id="_x0000_i1280" type="#_x0000_t75" style="width:43.55pt;height:16.75pt" o:ole="">
            <v:imagedata r:id="rId513" o:title=""/>
          </v:shape>
          <o:OLEObject Type="Embed" ProgID="Equation.DSMT4" ShapeID="_x0000_i1280" DrawAspect="Content" ObjectID="_1359267203" r:id="rId514"/>
        </w:object>
      </w:r>
      <w:r w:rsidRPr="001F035A">
        <w:rPr>
          <w:position w:val="-10"/>
        </w:rPr>
        <w:t xml:space="preserve"> </w:t>
      </w:r>
      <w:r w:rsidRPr="001F035A">
        <w:t xml:space="preserve">Here </w:t>
      </w:r>
      <w:r w:rsidRPr="001F035A">
        <w:rPr>
          <w:position w:val="-10"/>
        </w:rPr>
        <w:object w:dxaOrig="260" w:dyaOrig="320">
          <v:shape id="_x0000_i1281" type="#_x0000_t75" style="width:13.4pt;height:16.75pt" o:ole="">
            <v:imagedata r:id="rId515" o:title=""/>
          </v:shape>
          <o:OLEObject Type="Embed" ProgID="Equation.DSMT4" ShapeID="_x0000_i1281" DrawAspect="Content" ObjectID="_1359267204" r:id="rId516"/>
        </w:object>
      </w:r>
      <w:r w:rsidRPr="001F035A">
        <w:t xml:space="preserve">is the gross interest rate that is being determined outside the state. The state does not have any monetary policy to conduct and interest rates are assumed to be given.  The term </w:t>
      </w:r>
      <w:r w:rsidRPr="001F035A">
        <w:rPr>
          <w:position w:val="-10"/>
        </w:rPr>
        <w:object w:dxaOrig="620" w:dyaOrig="320">
          <v:shape id="_x0000_i1282" type="#_x0000_t75" style="width:31pt;height:16.75pt" o:ole="">
            <v:imagedata r:id="rId517" o:title=""/>
          </v:shape>
          <o:OLEObject Type="Embed" ProgID="Equation.DSMT4" ShapeID="_x0000_i1282" DrawAspect="Content" ObjectID="_1359267205" r:id="rId518"/>
        </w:object>
      </w:r>
      <w:r w:rsidRPr="001F035A">
        <w:t xml:space="preserve"> is the portfolio adjustment parameter.</w:t>
      </w:r>
      <w:r w:rsidRPr="001F035A">
        <w:rPr>
          <w:rStyle w:val="FootnoteReference"/>
        </w:rPr>
        <w:footnoteReference w:id="33"/>
      </w:r>
      <w:r w:rsidRPr="001F035A">
        <w:t xml:space="preserve">  </w:t>
      </w:r>
    </w:p>
    <w:p w:rsidR="00C05320" w:rsidRPr="001F035A" w:rsidRDefault="00C05320" w:rsidP="001415CA">
      <w:pPr>
        <w:autoSpaceDE w:val="0"/>
        <w:autoSpaceDN w:val="0"/>
        <w:adjustRightInd w:val="0"/>
        <w:spacing w:before="240" w:after="240" w:line="480" w:lineRule="auto"/>
        <w:ind w:firstLine="720"/>
        <w:jc w:val="both"/>
        <w:rPr>
          <w:position w:val="-14"/>
        </w:rPr>
      </w:pPr>
      <w:r w:rsidRPr="001F035A">
        <w:t>The firm uses three inputs: private capital, public capital and labor, to produce one unit of output according to the following Cobb-Douglas technology:</w:t>
      </w:r>
    </w:p>
    <w:p w:rsidR="00C05320" w:rsidRPr="00AD1AA7" w:rsidRDefault="00B40D39" w:rsidP="00AD1AA7">
      <w:pPr>
        <w:autoSpaceDE w:val="0"/>
        <w:autoSpaceDN w:val="0"/>
        <w:adjustRightInd w:val="0"/>
        <w:spacing w:before="120" w:after="120" w:line="480" w:lineRule="auto"/>
        <w:ind w:left="720" w:firstLine="720"/>
        <w:jc w:val="right"/>
        <w:rPr>
          <w:position w:val="-10"/>
        </w:rPr>
      </w:pPr>
      <w:r w:rsidRPr="00B40D39">
        <w:rPr>
          <w:position w:val="-12"/>
        </w:rPr>
        <w:object w:dxaOrig="1800" w:dyaOrig="360">
          <v:shape id="_x0000_i1789" type="#_x0000_t75" style="width:88.75pt;height:19.25pt" o:ole="">
            <v:imagedata r:id="rId519" o:title=""/>
          </v:shape>
          <o:OLEObject Type="Embed" ProgID="Equation.DSMT4" ShapeID="_x0000_i1789" DrawAspect="Content" ObjectID="_1359267206" r:id="rId520"/>
        </w:object>
      </w:r>
      <w:r w:rsidR="00C05320" w:rsidRPr="00AD1AA7">
        <w:rPr>
          <w:position w:val="-10"/>
        </w:rPr>
        <w:t xml:space="preserve">,       </w:t>
      </w:r>
      <w:r w:rsidR="00A9497E" w:rsidRPr="00AD1AA7">
        <w:rPr>
          <w:position w:val="-10"/>
        </w:rPr>
        <w:t xml:space="preserve">               </w:t>
      </w:r>
      <w:r w:rsidR="00604586" w:rsidRPr="00AD1AA7">
        <w:rPr>
          <w:position w:val="-10"/>
        </w:rPr>
        <w:t xml:space="preserve">       </w:t>
      </w:r>
      <w:r w:rsidR="00C05320" w:rsidRPr="00AD1AA7">
        <w:rPr>
          <w:position w:val="-10"/>
        </w:rPr>
        <w:t xml:space="preserve">      </w:t>
      </w:r>
      <w:r w:rsidR="00604586" w:rsidRPr="00AD1AA7">
        <w:rPr>
          <w:position w:val="-10"/>
        </w:rPr>
        <w:t xml:space="preserve">  </w:t>
      </w:r>
      <w:r w:rsidR="00C05320" w:rsidRPr="00AD1AA7">
        <w:rPr>
          <w:position w:val="-10"/>
        </w:rPr>
        <w:t xml:space="preserve">                  (</w:t>
      </w:r>
      <w:r w:rsidR="00604586" w:rsidRPr="00AD1AA7">
        <w:rPr>
          <w:position w:val="-10"/>
        </w:rPr>
        <w:t>3.</w:t>
      </w:r>
      <w:r w:rsidR="00C05320" w:rsidRPr="00AD1AA7">
        <w:rPr>
          <w:position w:val="-10"/>
        </w:rPr>
        <w:t>7)</w:t>
      </w:r>
    </w:p>
    <w:p w:rsidR="00C05320" w:rsidRPr="001F035A" w:rsidRDefault="00C05320" w:rsidP="001415CA">
      <w:pPr>
        <w:autoSpaceDE w:val="0"/>
        <w:autoSpaceDN w:val="0"/>
        <w:adjustRightInd w:val="0"/>
        <w:spacing w:before="240" w:after="240" w:line="480" w:lineRule="auto"/>
        <w:jc w:val="both"/>
      </w:pPr>
      <w:proofErr w:type="gramStart"/>
      <w:r w:rsidRPr="001F035A">
        <w:t>where</w:t>
      </w:r>
      <w:proofErr w:type="gramEnd"/>
      <w:r w:rsidRPr="001F035A">
        <w:t xml:space="preserve"> </w:t>
      </w:r>
      <w:r w:rsidRPr="001F035A">
        <w:rPr>
          <w:position w:val="-12"/>
        </w:rPr>
        <w:object w:dxaOrig="240" w:dyaOrig="360">
          <v:shape id="_x0000_i1284" type="#_x0000_t75" style="width:13.4pt;height:17.6pt" o:ole="">
            <v:imagedata r:id="rId521" o:title=""/>
          </v:shape>
          <o:OLEObject Type="Embed" ProgID="Equation.DSMT4" ShapeID="_x0000_i1284" DrawAspect="Content" ObjectID="_1359267207" r:id="rId522"/>
        </w:object>
      </w:r>
      <w:r w:rsidRPr="001F035A">
        <w:t xml:space="preserve">represents technical progress and is assumed to follow a first order autoregressive process: </w:t>
      </w:r>
    </w:p>
    <w:p w:rsidR="00C05320" w:rsidRPr="00AD1AA7" w:rsidRDefault="00D73135" w:rsidP="00AD1AA7">
      <w:pPr>
        <w:autoSpaceDE w:val="0"/>
        <w:autoSpaceDN w:val="0"/>
        <w:adjustRightInd w:val="0"/>
        <w:spacing w:before="120" w:after="120" w:line="480" w:lineRule="auto"/>
        <w:ind w:left="720" w:firstLine="720"/>
        <w:jc w:val="right"/>
        <w:rPr>
          <w:position w:val="-10"/>
        </w:rPr>
      </w:pPr>
      <w:r w:rsidRPr="00D73135">
        <w:rPr>
          <w:position w:val="-16"/>
        </w:rPr>
        <w:object w:dxaOrig="3840" w:dyaOrig="420">
          <v:shape id="_x0000_i1791" type="#_x0000_t75" style="width:191.7pt;height:24.3pt" o:ole="">
            <v:imagedata r:id="rId523" o:title=""/>
          </v:shape>
          <o:OLEObject Type="Embed" ProgID="Equation.DSMT4" ShapeID="_x0000_i1791" DrawAspect="Content" ObjectID="_1359267208" r:id="rId524"/>
        </w:object>
      </w:r>
      <w:r w:rsidR="00A9497E" w:rsidRPr="00AD1AA7">
        <w:rPr>
          <w:position w:val="-10"/>
        </w:rPr>
        <w:t xml:space="preserve">       </w:t>
      </w:r>
      <w:r w:rsidR="00604586" w:rsidRPr="00AD1AA7">
        <w:rPr>
          <w:position w:val="-10"/>
        </w:rPr>
        <w:t xml:space="preserve">     </w:t>
      </w:r>
      <w:r w:rsidR="00C05320" w:rsidRPr="00AD1AA7">
        <w:rPr>
          <w:position w:val="-10"/>
        </w:rPr>
        <w:t xml:space="preserve">                      (</w:t>
      </w:r>
      <w:r w:rsidR="00604586" w:rsidRPr="00AD1AA7">
        <w:rPr>
          <w:position w:val="-10"/>
        </w:rPr>
        <w:t>3.</w:t>
      </w:r>
      <w:r w:rsidR="00C05320" w:rsidRPr="00AD1AA7">
        <w:rPr>
          <w:position w:val="-10"/>
        </w:rPr>
        <w:t>8)</w:t>
      </w:r>
    </w:p>
    <w:p w:rsidR="00C05320" w:rsidRPr="001F035A" w:rsidRDefault="00C05320" w:rsidP="001415CA">
      <w:pPr>
        <w:autoSpaceDE w:val="0"/>
        <w:autoSpaceDN w:val="0"/>
        <w:adjustRightInd w:val="0"/>
        <w:spacing w:before="240" w:after="240" w:line="480" w:lineRule="auto"/>
        <w:jc w:val="both"/>
      </w:pPr>
      <w:r w:rsidRPr="001F035A">
        <w:t>The persistence of technology is measured by</w:t>
      </w:r>
      <w:r w:rsidRPr="001F035A">
        <w:rPr>
          <w:position w:val="-10"/>
        </w:rPr>
        <w:object w:dxaOrig="279" w:dyaOrig="320">
          <v:shape id="_x0000_i1286" type="#_x0000_t75" style="width:13.4pt;height:16.75pt" o:ole="">
            <v:imagedata r:id="rId525" o:title=""/>
          </v:shape>
          <o:OLEObject Type="Embed" ProgID="Equation.DSMT4" ShapeID="_x0000_i1286" DrawAspect="Content" ObjectID="_1359267209" r:id="rId526"/>
        </w:object>
      </w:r>
      <w:r w:rsidRPr="001F035A">
        <w:t>, and the innovation to the technology is measured by</w:t>
      </w:r>
      <w:r w:rsidR="00D73135" w:rsidRPr="001F035A">
        <w:rPr>
          <w:position w:val="-12"/>
        </w:rPr>
        <w:object w:dxaOrig="279" w:dyaOrig="380">
          <v:shape id="_x0000_i1287" type="#_x0000_t75" style="width:16.75pt;height:20.95pt" o:ole="">
            <v:imagedata r:id="rId527" o:title=""/>
          </v:shape>
          <o:OLEObject Type="Embed" ProgID="Equation.DSMT4" ShapeID="_x0000_i1287" DrawAspect="Content" ObjectID="_1359267210" r:id="rId528"/>
        </w:object>
      </w:r>
      <w:r w:rsidRPr="001F035A">
        <w:t xml:space="preserve">. The total capital in the production process </w:t>
      </w:r>
      <w:r w:rsidRPr="001F035A">
        <w:rPr>
          <w:position w:val="-10"/>
        </w:rPr>
        <w:object w:dxaOrig="279" w:dyaOrig="320">
          <v:shape id="_x0000_i1288" type="#_x0000_t75" style="width:13.4pt;height:16.75pt" o:ole="">
            <v:imagedata r:id="rId529" o:title=""/>
          </v:shape>
          <o:OLEObject Type="Embed" ProgID="Equation.DSMT4" ShapeID="_x0000_i1288" DrawAspect="Content" ObjectID="_1359267211" r:id="rId530"/>
        </w:object>
      </w:r>
      <w:r w:rsidRPr="001F035A">
        <w:t xml:space="preserve">is a CES index of private capital </w:t>
      </w:r>
      <w:r w:rsidR="00AB7C8D" w:rsidRPr="001F035A">
        <w:fldChar w:fldCharType="begin"/>
      </w:r>
      <w:r w:rsidRPr="001F035A">
        <w:instrText xml:space="preserve"> QUOTE </w:instrText>
      </w:r>
      <w:r w:rsidRPr="001F035A">
        <w:rPr>
          <w:noProof/>
        </w:rPr>
        <w:drawing>
          <wp:inline distT="0" distB="0" distL="0" distR="0">
            <wp:extent cx="267335" cy="155575"/>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1" cstate="print">
                      <a:clrChange>
                        <a:clrFrom>
                          <a:srgbClr val="FFFFFF"/>
                        </a:clrFrom>
                        <a:clrTo>
                          <a:srgbClr val="FFFFFF">
                            <a:alpha val="0"/>
                          </a:srgbClr>
                        </a:clrTo>
                      </a:clrChange>
                    </a:blip>
                    <a:srcRect/>
                    <a:stretch>
                      <a:fillRect/>
                    </a:stretch>
                  </pic:blipFill>
                  <pic:spPr bwMode="auto">
                    <a:xfrm>
                      <a:off x="0" y="0"/>
                      <a:ext cx="267335" cy="155575"/>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separate"/>
      </w:r>
      <w:r w:rsidRPr="001F035A">
        <w:rPr>
          <w:position w:val="-10"/>
        </w:rPr>
        <w:object w:dxaOrig="220" w:dyaOrig="320">
          <v:shape id="_x0000_i1289" type="#_x0000_t75" style="width:9.2pt;height:16.75pt" o:ole="">
            <v:imagedata r:id="rId532" o:title=""/>
          </v:shape>
          <o:OLEObject Type="Embed" ProgID="Equation.DSMT4" ShapeID="_x0000_i1289" DrawAspect="Content" ObjectID="_1359267212" r:id="rId533"/>
        </w:object>
      </w:r>
      <w:r w:rsidR="00AB7C8D" w:rsidRPr="001F035A">
        <w:fldChar w:fldCharType="end"/>
      </w:r>
      <w:r w:rsidRPr="001F035A">
        <w:t xml:space="preserve"> and public capital </w:t>
      </w:r>
      <w:r w:rsidR="00AB7C8D" w:rsidRPr="001F035A">
        <w:fldChar w:fldCharType="begin"/>
      </w:r>
      <w:r w:rsidRPr="001F035A">
        <w:instrText xml:space="preserve"> QUOTE </w:instrText>
      </w:r>
      <w:r w:rsidRPr="001F035A">
        <w:rPr>
          <w:noProof/>
        </w:rPr>
        <w:drawing>
          <wp:inline distT="0" distB="0" distL="0" distR="0">
            <wp:extent cx="267335" cy="14668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4" cstate="print">
                      <a:clrChange>
                        <a:clrFrom>
                          <a:srgbClr val="FFFFFF"/>
                        </a:clrFrom>
                        <a:clrTo>
                          <a:srgbClr val="FFFFFF">
                            <a:alpha val="0"/>
                          </a:srgbClr>
                        </a:clrTo>
                      </a:clrChange>
                    </a:blip>
                    <a:srcRect/>
                    <a:stretch>
                      <a:fillRect/>
                    </a:stretch>
                  </pic:blipFill>
                  <pic:spPr bwMode="auto">
                    <a:xfrm>
                      <a:off x="0" y="0"/>
                      <a:ext cx="267335" cy="146685"/>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separate"/>
      </w:r>
      <w:r w:rsidRPr="001F035A">
        <w:rPr>
          <w:position w:val="-10"/>
        </w:rPr>
        <w:object w:dxaOrig="260" w:dyaOrig="320">
          <v:shape id="_x0000_i1290" type="#_x0000_t75" style="width:13.4pt;height:16.75pt" o:ole="">
            <v:imagedata r:id="rId535" o:title=""/>
          </v:shape>
          <o:OLEObject Type="Embed" ProgID="Equation.DSMT4" ShapeID="_x0000_i1290" DrawAspect="Content" ObjectID="_1359267213" r:id="rId536"/>
        </w:object>
      </w:r>
      <w:r w:rsidR="00AB7C8D" w:rsidRPr="001F035A">
        <w:fldChar w:fldCharType="end"/>
      </w:r>
      <w:r w:rsidRPr="001F035A">
        <w:t xml:space="preserve"> and is assumed to follow this function form:</w:t>
      </w:r>
    </w:p>
    <w:p w:rsidR="00C05320" w:rsidRPr="001F035A" w:rsidRDefault="00C05320" w:rsidP="00AD1AA7">
      <w:pPr>
        <w:autoSpaceDE w:val="0"/>
        <w:autoSpaceDN w:val="0"/>
        <w:adjustRightInd w:val="0"/>
        <w:spacing w:before="120" w:after="120" w:line="480" w:lineRule="auto"/>
        <w:ind w:left="720" w:firstLine="720"/>
        <w:jc w:val="right"/>
      </w:pPr>
      <w:r w:rsidRPr="001F035A">
        <w:t xml:space="preserve">  </w:t>
      </w:r>
      <w:r w:rsidR="00D73135" w:rsidRPr="00D73135">
        <w:rPr>
          <w:position w:val="-32"/>
        </w:rPr>
        <w:object w:dxaOrig="2200" w:dyaOrig="880">
          <v:shape id="_x0000_i1794" type="#_x0000_t75" style="width:109.65pt;height:46.9pt" o:ole="">
            <v:imagedata r:id="rId537" o:title=""/>
          </v:shape>
          <o:OLEObject Type="Embed" ProgID="Equation.DSMT4" ShapeID="_x0000_i1794" DrawAspect="Content" ObjectID="_1359267214" r:id="rId538"/>
        </w:object>
      </w:r>
      <w:r w:rsidR="00A9497E" w:rsidRPr="00AD1AA7">
        <w:rPr>
          <w:position w:val="-10"/>
        </w:rPr>
        <w:t xml:space="preserve">           </w:t>
      </w:r>
      <w:r w:rsidR="00604586" w:rsidRPr="00AD1AA7">
        <w:rPr>
          <w:position w:val="-10"/>
        </w:rPr>
        <w:t xml:space="preserve">            </w:t>
      </w:r>
      <w:r w:rsidRPr="00AD1AA7">
        <w:rPr>
          <w:position w:val="-10"/>
        </w:rPr>
        <w:t xml:space="preserve">                         (</w:t>
      </w:r>
      <w:r w:rsidR="00604586" w:rsidRPr="00AD1AA7">
        <w:rPr>
          <w:position w:val="-10"/>
        </w:rPr>
        <w:t>3.</w:t>
      </w:r>
      <w:r w:rsidRPr="00AD1AA7">
        <w:rPr>
          <w:position w:val="-10"/>
        </w:rPr>
        <w:t>9)</w:t>
      </w:r>
    </w:p>
    <w:p w:rsidR="00C05320" w:rsidRPr="00B462B5" w:rsidRDefault="00C05320" w:rsidP="001415CA">
      <w:pPr>
        <w:autoSpaceDE w:val="0"/>
        <w:autoSpaceDN w:val="0"/>
        <w:adjustRightInd w:val="0"/>
        <w:spacing w:before="240" w:after="240" w:line="480" w:lineRule="auto"/>
        <w:jc w:val="both"/>
      </w:pPr>
      <w:proofErr w:type="gramStart"/>
      <w:r w:rsidRPr="001F035A">
        <w:t>where</w:t>
      </w:r>
      <w:proofErr w:type="gramEnd"/>
      <w:r w:rsidRPr="001F035A">
        <w:t xml:space="preserve"> </w:t>
      </w:r>
      <w:r w:rsidRPr="001F035A">
        <w:rPr>
          <w:position w:val="-10"/>
        </w:rPr>
        <w:object w:dxaOrig="540" w:dyaOrig="300">
          <v:shape id="_x0000_i1292" type="#_x0000_t75" style="width:28.45pt;height:13.4pt" o:ole="">
            <v:imagedata r:id="rId539" o:title=""/>
          </v:shape>
          <o:OLEObject Type="Embed" ProgID="Equation.DSMT4" ShapeID="_x0000_i1292" DrawAspect="Content" ObjectID="_1359267215" r:id="rId540"/>
        </w:object>
      </w:r>
      <w:r w:rsidRPr="001F035A">
        <w:t xml:space="preserve"> is the intra-period elasticity of substitution between the two inputs. </w:t>
      </w:r>
      <w:r w:rsidRPr="001F035A">
        <w:rPr>
          <w:rStyle w:val="FootnoteReference"/>
        </w:rPr>
        <w:footnoteReference w:id="34"/>
      </w:r>
      <w:r w:rsidRPr="001F035A">
        <w:t xml:space="preserve"> The parameter </w:t>
      </w:r>
      <w:r w:rsidRPr="001F035A">
        <w:rPr>
          <w:position w:val="-10"/>
        </w:rPr>
        <w:object w:dxaOrig="560" w:dyaOrig="320">
          <v:shape id="_x0000_i1293" type="#_x0000_t75" style="width:30.15pt;height:15.9pt" o:ole="">
            <v:imagedata r:id="rId541" o:title=""/>
          </v:shape>
          <o:OLEObject Type="Embed" ProgID="Equation.DSMT4" ShapeID="_x0000_i1293" DrawAspect="Content" ObjectID="_1359267216" r:id="rId542"/>
        </w:object>
      </w:r>
      <w:r w:rsidRPr="001F035A">
        <w:t xml:space="preserve"> is a scaling parameter that takes its value from the actual ratio of public capital to private capital which can be estimated from the historical data. </w:t>
      </w:r>
    </w:p>
    <w:p w:rsidR="002C7859" w:rsidRPr="00EE6912" w:rsidRDefault="002C7859" w:rsidP="0019589A">
      <w:pPr>
        <w:pStyle w:val="Heading2"/>
        <w:numPr>
          <w:ilvl w:val="3"/>
          <w:numId w:val="3"/>
        </w:numPr>
        <w:tabs>
          <w:tab w:val="left" w:pos="1350"/>
          <w:tab w:val="left" w:pos="1440"/>
        </w:tabs>
        <w:spacing w:after="240" w:line="480" w:lineRule="auto"/>
        <w:ind w:left="720"/>
        <w:jc w:val="left"/>
        <w:rPr>
          <w:b w:val="0"/>
          <w:bCs w:val="0"/>
        </w:rPr>
      </w:pPr>
      <w:bookmarkStart w:id="38" w:name="_Toc285478029"/>
      <w:r w:rsidRPr="00EE6912">
        <w:rPr>
          <w:b w:val="0"/>
          <w:bCs w:val="0"/>
        </w:rPr>
        <w:t>Government</w:t>
      </w:r>
      <w:bookmarkEnd w:id="38"/>
    </w:p>
    <w:p w:rsidR="00C05320" w:rsidRPr="001F035A" w:rsidRDefault="00C05320" w:rsidP="001415CA">
      <w:pPr>
        <w:autoSpaceDE w:val="0"/>
        <w:autoSpaceDN w:val="0"/>
        <w:adjustRightInd w:val="0"/>
        <w:spacing w:before="240" w:after="240" w:line="480" w:lineRule="auto"/>
        <w:ind w:firstLine="720"/>
        <w:jc w:val="both"/>
      </w:pPr>
      <w:r w:rsidRPr="001F035A">
        <w:t xml:space="preserve">The role of the government is to collect taxes and use the tax revenues for transfer payments, infrastructure investment, and the provision of utility enhancing services. Like </w:t>
      </w:r>
      <w:proofErr w:type="spellStart"/>
      <w:r w:rsidRPr="001F035A">
        <w:t>Barro</w:t>
      </w:r>
      <w:proofErr w:type="spellEnd"/>
      <w:r w:rsidRPr="001F035A">
        <w:t xml:space="preserve"> (1990), Lucas (1990) and </w:t>
      </w:r>
      <w:proofErr w:type="spellStart"/>
      <w:r w:rsidRPr="001F035A">
        <w:t>Glomm</w:t>
      </w:r>
      <w:proofErr w:type="spellEnd"/>
      <w:r w:rsidRPr="001F035A">
        <w:t xml:space="preserve"> and </w:t>
      </w:r>
      <w:proofErr w:type="spellStart"/>
      <w:r w:rsidRPr="001F035A">
        <w:t>Ravikumar</w:t>
      </w:r>
      <w:proofErr w:type="spellEnd"/>
      <w:r w:rsidRPr="001F035A">
        <w:t xml:space="preserve"> (1994), we assume the State government maintains a balanced budget period by period, that is</w:t>
      </w:r>
    </w:p>
    <w:p w:rsidR="00C05320" w:rsidRPr="001F035A" w:rsidRDefault="00C05320" w:rsidP="00AD1AA7">
      <w:pPr>
        <w:autoSpaceDE w:val="0"/>
        <w:autoSpaceDN w:val="0"/>
        <w:adjustRightInd w:val="0"/>
        <w:spacing w:before="120" w:after="120" w:line="480" w:lineRule="auto"/>
        <w:ind w:left="720" w:firstLine="720"/>
        <w:jc w:val="right"/>
      </w:pPr>
      <w:r w:rsidRPr="001F035A">
        <w:rPr>
          <w:position w:val="-10"/>
        </w:rPr>
        <w:object w:dxaOrig="2120" w:dyaOrig="340">
          <v:shape id="_x0000_i1294" type="#_x0000_t75" style="width:105.5pt;height:16.75pt" o:ole="">
            <v:imagedata r:id="rId543" o:title=""/>
          </v:shape>
          <o:OLEObject Type="Embed" ProgID="Equation.DSMT4" ShapeID="_x0000_i1294" DrawAspect="Content" ObjectID="_1359267217" r:id="rId544"/>
        </w:object>
      </w:r>
      <w:r w:rsidRPr="001F035A">
        <w:t xml:space="preserve">                                                       (</w:t>
      </w:r>
      <w:r w:rsidR="00A9497E">
        <w:t>3.</w:t>
      </w:r>
      <w:r w:rsidRPr="001F035A">
        <w:t>10)</w:t>
      </w:r>
    </w:p>
    <w:p w:rsidR="00C05320" w:rsidRPr="001F035A" w:rsidRDefault="00C05320" w:rsidP="00941CB9">
      <w:pPr>
        <w:autoSpaceDE w:val="0"/>
        <w:autoSpaceDN w:val="0"/>
        <w:adjustRightInd w:val="0"/>
        <w:spacing w:before="240" w:after="240" w:line="480" w:lineRule="auto"/>
        <w:jc w:val="both"/>
      </w:pPr>
      <w:r w:rsidRPr="001F035A">
        <w:t>The left side of (</w:t>
      </w:r>
      <w:r w:rsidR="00604586">
        <w:t>3.</w:t>
      </w:r>
      <w:r w:rsidRPr="001F035A">
        <w:t xml:space="preserve">10) is the total tax revenue of the State government equals the total government expenditure </w:t>
      </w:r>
      <w:proofErr w:type="gramStart"/>
      <w:r w:rsidRPr="001F035A">
        <w:t>to  right</w:t>
      </w:r>
      <w:proofErr w:type="gramEnd"/>
      <w:r w:rsidRPr="001F035A">
        <w:t xml:space="preserve"> side. Total revenues of the government assumed to be allocated into three expenditure categories. </w:t>
      </w:r>
      <w:r w:rsidR="00AB7C8D" w:rsidRPr="001F035A">
        <w:fldChar w:fldCharType="begin"/>
      </w:r>
      <w:r w:rsidRPr="001F035A">
        <w:instrText xml:space="preserve"> QUOTE </w:instrText>
      </w:r>
      <w:r w:rsidRPr="001F035A">
        <w:rPr>
          <w:noProof/>
        </w:rPr>
        <w:drawing>
          <wp:inline distT="0" distB="0" distL="0" distR="0">
            <wp:extent cx="163830" cy="146685"/>
            <wp:effectExtent l="1905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5" cstate="print">
                      <a:clrChange>
                        <a:clrFrom>
                          <a:srgbClr val="FFFFFF"/>
                        </a:clrFrom>
                        <a:clrTo>
                          <a:srgbClr val="FFFFFF">
                            <a:alpha val="0"/>
                          </a:srgbClr>
                        </a:clrTo>
                      </a:clrChange>
                    </a:blip>
                    <a:srcRect/>
                    <a:stretch>
                      <a:fillRect/>
                    </a:stretch>
                  </pic:blipFill>
                  <pic:spPr bwMode="auto">
                    <a:xfrm>
                      <a:off x="0" y="0"/>
                      <a:ext cx="163830" cy="146685"/>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end"/>
      </w:r>
      <w:r w:rsidRPr="001F035A">
        <w:t xml:space="preserve"> First is the government expenditure on utility enhancing public services, denoted</w:t>
      </w:r>
      <w:r w:rsidRPr="001F035A">
        <w:rPr>
          <w:position w:val="-10"/>
        </w:rPr>
        <w:object w:dxaOrig="200" w:dyaOrig="320">
          <v:shape id="_x0000_i1295" type="#_x0000_t75" style="width:9.2pt;height:16.75pt" o:ole="">
            <v:imagedata r:id="rId546" o:title=""/>
          </v:shape>
          <o:OLEObject Type="Embed" ProgID="Equation.DSMT4" ShapeID="_x0000_i1295" DrawAspect="Content" ObjectID="_1359267218" r:id="rId547"/>
        </w:object>
      </w:r>
      <w:r w:rsidRPr="001F035A">
        <w:t>. This type of expenditure provides households with direct utility. As specified in 3 above we assume that private consumption good the public consumption service are two substitute goods, hence smoothing government provision of public consumption services will also enhance households consumption smoothing. Second</w:t>
      </w:r>
      <w:r w:rsidR="00941CB9">
        <w:t>,</w:t>
      </w:r>
      <w:r w:rsidRPr="001F035A">
        <w:t xml:space="preserve"> </w:t>
      </w:r>
      <w:r w:rsidR="00941CB9">
        <w:t xml:space="preserve">it is assumed that </w:t>
      </w:r>
      <w:r w:rsidRPr="001F035A">
        <w:t xml:space="preserve">the State government is interested in income equality among its </w:t>
      </w:r>
      <w:r w:rsidR="00941CB9">
        <w:t xml:space="preserve">constituents. Hence, the government spends </w:t>
      </w:r>
      <w:r w:rsidR="00941CB9" w:rsidRPr="001F035A">
        <w:rPr>
          <w:position w:val="-10"/>
        </w:rPr>
        <w:object w:dxaOrig="220" w:dyaOrig="320">
          <v:shape id="_x0000_i1296" type="#_x0000_t75" style="width:9.2pt;height:16.75pt" o:ole="">
            <v:imagedata r:id="rId548" o:title=""/>
          </v:shape>
          <o:OLEObject Type="Embed" ProgID="Equation.DSMT4" ShapeID="_x0000_i1296" DrawAspect="Content" ObjectID="_1359267219" r:id="rId549"/>
        </w:object>
      </w:r>
      <w:r w:rsidR="00941CB9">
        <w:rPr>
          <w:position w:val="-10"/>
        </w:rPr>
        <w:t xml:space="preserve"> </w:t>
      </w:r>
      <w:r w:rsidRPr="001F035A">
        <w:t xml:space="preserve">in form of </w:t>
      </w:r>
      <w:r w:rsidR="00941CB9">
        <w:t xml:space="preserve">positive </w:t>
      </w:r>
      <w:r w:rsidRPr="001F035A">
        <w:t xml:space="preserve">private transfer to households. The last expenditure category is the government investment in public capital </w:t>
      </w:r>
      <w:r w:rsidR="00AB7C8D" w:rsidRPr="001F035A">
        <w:fldChar w:fldCharType="begin"/>
      </w:r>
      <w:r w:rsidRPr="001F035A">
        <w:instrText xml:space="preserve"> QUOTE </w:instrText>
      </w:r>
      <w:r w:rsidRPr="001F035A">
        <w:rPr>
          <w:noProof/>
        </w:rPr>
        <w:drawing>
          <wp:inline distT="0" distB="0" distL="0" distR="0">
            <wp:extent cx="276225" cy="146685"/>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50" cstate="print">
                      <a:clrChange>
                        <a:clrFrom>
                          <a:srgbClr val="FFFFFF"/>
                        </a:clrFrom>
                        <a:clrTo>
                          <a:srgbClr val="FFFFFF">
                            <a:alpha val="0"/>
                          </a:srgbClr>
                        </a:clrTo>
                      </a:clrChange>
                    </a:blip>
                    <a:srcRect/>
                    <a:stretch>
                      <a:fillRect/>
                    </a:stretch>
                  </pic:blipFill>
                  <pic:spPr bwMode="auto">
                    <a:xfrm>
                      <a:off x="0" y="0"/>
                      <a:ext cx="276225" cy="146685"/>
                    </a:xfrm>
                    <a:prstGeom prst="rect">
                      <a:avLst/>
                    </a:prstGeom>
                    <a:noFill/>
                    <a:ln w="9525">
                      <a:noFill/>
                      <a:miter lim="800000"/>
                      <a:headEnd/>
                      <a:tailEnd/>
                    </a:ln>
                  </pic:spPr>
                </pic:pic>
              </a:graphicData>
            </a:graphic>
          </wp:inline>
        </w:drawing>
      </w:r>
      <w:r w:rsidRPr="001F035A">
        <w:instrText xml:space="preserve"> </w:instrText>
      </w:r>
      <w:r w:rsidR="00AB7C8D" w:rsidRPr="001F035A">
        <w:fldChar w:fldCharType="separate"/>
      </w:r>
      <w:r w:rsidRPr="001F035A">
        <w:rPr>
          <w:noProof/>
          <w:position w:val="-10"/>
        </w:rPr>
        <w:object w:dxaOrig="260" w:dyaOrig="320">
          <v:shape id="_x0000_i1297" type="#_x0000_t75" style="width:13.4pt;height:16.75pt" o:ole="">
            <v:imagedata r:id="rId551" o:title=""/>
          </v:shape>
          <o:OLEObject Type="Embed" ProgID="Equation.DSMT4" ShapeID="_x0000_i1297" DrawAspect="Content" ObjectID="_1359267220" r:id="rId552"/>
        </w:object>
      </w:r>
      <w:r w:rsidR="00AB7C8D" w:rsidRPr="001F035A">
        <w:fldChar w:fldCharType="end"/>
      </w:r>
      <w:r w:rsidRPr="001F035A">
        <w:t xml:space="preserve"> that provides the private sector with substitute productive capital as in (</w:t>
      </w:r>
      <w:r w:rsidR="00604586">
        <w:t>3.</w:t>
      </w:r>
      <w:r w:rsidRPr="001F035A">
        <w:t>9) above. The transition of public capital</w:t>
      </w:r>
      <w:r w:rsidRPr="001F035A">
        <w:rPr>
          <w:position w:val="-10"/>
        </w:rPr>
        <w:t xml:space="preserve"> </w:t>
      </w:r>
      <w:r w:rsidRPr="001F035A">
        <w:t>can be described by</w:t>
      </w:r>
    </w:p>
    <w:p w:rsidR="00C05320" w:rsidRPr="00AD1AA7" w:rsidRDefault="00D73135" w:rsidP="00AD1AA7">
      <w:pPr>
        <w:autoSpaceDE w:val="0"/>
        <w:autoSpaceDN w:val="0"/>
        <w:adjustRightInd w:val="0"/>
        <w:spacing w:before="120" w:after="120" w:line="480" w:lineRule="auto"/>
        <w:ind w:left="720" w:firstLine="720"/>
        <w:jc w:val="right"/>
        <w:rPr>
          <w:position w:val="-10"/>
        </w:rPr>
      </w:pPr>
      <w:r w:rsidRPr="00D73135">
        <w:rPr>
          <w:position w:val="-14"/>
        </w:rPr>
        <w:object w:dxaOrig="2079" w:dyaOrig="380">
          <v:shape id="_x0000_i1796" type="#_x0000_t75" style="width:95.45pt;height:17.6pt" o:ole="">
            <v:imagedata r:id="rId553" o:title=""/>
          </v:shape>
          <o:OLEObject Type="Embed" ProgID="Equation.DSMT4" ShapeID="_x0000_i1796" DrawAspect="Content" ObjectID="_1359267221" r:id="rId554"/>
        </w:object>
      </w:r>
      <w:r w:rsidR="00C05320" w:rsidRPr="00AD1AA7">
        <w:rPr>
          <w:position w:val="-10"/>
        </w:rPr>
        <w:t xml:space="preserve">   </w:t>
      </w:r>
      <w:r w:rsidR="00A9497E" w:rsidRPr="00AD1AA7">
        <w:rPr>
          <w:position w:val="-10"/>
        </w:rPr>
        <w:t xml:space="preserve">                              </w:t>
      </w:r>
      <w:r w:rsidR="00C05320" w:rsidRPr="00AD1AA7">
        <w:rPr>
          <w:position w:val="-10"/>
        </w:rPr>
        <w:t xml:space="preserve">                     (</w:t>
      </w:r>
      <w:r w:rsidR="00A9497E" w:rsidRPr="00AD1AA7">
        <w:rPr>
          <w:position w:val="-10"/>
        </w:rPr>
        <w:t>3.</w:t>
      </w:r>
      <w:r w:rsidR="00C05320" w:rsidRPr="00AD1AA7">
        <w:rPr>
          <w:position w:val="-10"/>
        </w:rPr>
        <w:t>11)</w:t>
      </w:r>
    </w:p>
    <w:p w:rsidR="00C05320" w:rsidRPr="001F035A" w:rsidRDefault="00C05320" w:rsidP="001415CA">
      <w:pPr>
        <w:spacing w:before="240" w:after="240" w:line="480" w:lineRule="auto"/>
        <w:jc w:val="both"/>
      </w:pPr>
      <w:proofErr w:type="gramStart"/>
      <w:r w:rsidRPr="001F035A">
        <w:t>where</w:t>
      </w:r>
      <w:proofErr w:type="gramEnd"/>
      <w:r w:rsidRPr="001F035A">
        <w:t xml:space="preserve"> </w:t>
      </w:r>
      <w:r w:rsidRPr="001F035A">
        <w:rPr>
          <w:position w:val="-10"/>
        </w:rPr>
        <w:object w:dxaOrig="260" w:dyaOrig="320">
          <v:shape id="_x0000_i1299" type="#_x0000_t75" style="width:13.4pt;height:16.75pt" o:ole="">
            <v:imagedata r:id="rId555" o:title=""/>
          </v:shape>
          <o:OLEObject Type="Embed" ProgID="Equation.DSMT4" ShapeID="_x0000_i1299" DrawAspect="Content" ObjectID="_1359267222" r:id="rId556"/>
        </w:object>
      </w:r>
      <w:r w:rsidRPr="001F035A">
        <w:t xml:space="preserve">is the public capital stock at the beginning of the period and </w:t>
      </w:r>
      <w:r w:rsidR="00D73135" w:rsidRPr="001F035A">
        <w:rPr>
          <w:position w:val="-14"/>
        </w:rPr>
        <w:object w:dxaOrig="279" w:dyaOrig="360">
          <v:shape id="_x0000_i1300" type="#_x0000_t75" style="width:20.95pt;height:18.4pt" o:ole="">
            <v:imagedata r:id="rId557" o:title=""/>
          </v:shape>
          <o:OLEObject Type="Embed" ProgID="Equation.DSMT4" ShapeID="_x0000_i1300" DrawAspect="Content" ObjectID="_1359267223" r:id="rId558"/>
        </w:object>
      </w:r>
      <w:r w:rsidRPr="001F035A">
        <w:t xml:space="preserve">is the per period rate of depreciation on that stock. </w:t>
      </w:r>
    </w:p>
    <w:p w:rsidR="00AD1AA7" w:rsidRDefault="00C05320" w:rsidP="001415CA">
      <w:pPr>
        <w:spacing w:before="240" w:after="240" w:line="480" w:lineRule="auto"/>
        <w:jc w:val="both"/>
        <w:rPr>
          <w:position w:val="-16"/>
        </w:rPr>
      </w:pPr>
      <w:r w:rsidRPr="001F035A">
        <w:t xml:space="preserve">We assume that the government allocates its expenditures in fixed proportion. For example, </w:t>
      </w:r>
      <w:r w:rsidRPr="001F035A">
        <w:rPr>
          <w:position w:val="-10"/>
        </w:rPr>
        <w:object w:dxaOrig="900" w:dyaOrig="320">
          <v:shape id="_x0000_i1301" type="#_x0000_t75" style="width:46.9pt;height:16.75pt" o:ole="">
            <v:imagedata r:id="rId559" o:title=""/>
          </v:shape>
          <o:OLEObject Type="Embed" ProgID="Equation.DSMT4" ShapeID="_x0000_i1301" DrawAspect="Content" ObjectID="_1359267224" r:id="rId560"/>
        </w:object>
      </w:r>
      <w:r w:rsidRPr="001F035A">
        <w:t>is the proportion of government revenue used for the economic stabilization function similarly</w:t>
      </w:r>
      <w:r w:rsidRPr="001F035A">
        <w:rPr>
          <w:position w:val="-10"/>
        </w:rPr>
        <w:object w:dxaOrig="920" w:dyaOrig="320">
          <v:shape id="_x0000_i1302" type="#_x0000_t75" style="width:46.9pt;height:16.75pt" o:ole="">
            <v:imagedata r:id="rId561" o:title=""/>
          </v:shape>
          <o:OLEObject Type="Embed" ProgID="Equation.DSMT4" ShapeID="_x0000_i1302" DrawAspect="Content" ObjectID="_1359267225" r:id="rId562"/>
        </w:object>
      </w:r>
      <w:r w:rsidRPr="001F035A">
        <w:t xml:space="preserve">is the proportion of government revenue used for the welfare enhancing function and </w:t>
      </w:r>
      <w:r w:rsidRPr="001F035A">
        <w:rPr>
          <w:position w:val="-12"/>
        </w:rPr>
        <w:object w:dxaOrig="1219" w:dyaOrig="360">
          <v:shape id="_x0000_i1303" type="#_x0000_t75" style="width:62.8pt;height:16.75pt" o:ole="">
            <v:imagedata r:id="rId563" o:title=""/>
          </v:shape>
          <o:OLEObject Type="Embed" ProgID="Equation.DSMT4" ShapeID="_x0000_i1303" DrawAspect="Content" ObjectID="_1359267226" r:id="rId564"/>
        </w:object>
      </w:r>
      <w:r w:rsidRPr="001F035A">
        <w:t>is the proportion that is allocated for income redistribution. In particular</w:t>
      </w:r>
    </w:p>
    <w:p w:rsidR="00C05320" w:rsidRPr="00AD1AA7" w:rsidRDefault="00D73135" w:rsidP="00AD1AA7">
      <w:pPr>
        <w:autoSpaceDE w:val="0"/>
        <w:autoSpaceDN w:val="0"/>
        <w:adjustRightInd w:val="0"/>
        <w:spacing w:before="120" w:after="120" w:line="480" w:lineRule="auto"/>
        <w:ind w:left="720" w:firstLine="720"/>
        <w:jc w:val="right"/>
        <w:rPr>
          <w:position w:val="-10"/>
        </w:rPr>
      </w:pPr>
      <w:r w:rsidRPr="00D73135">
        <w:rPr>
          <w:position w:val="-16"/>
        </w:rPr>
        <w:object w:dxaOrig="1980" w:dyaOrig="440">
          <v:shape id="_x0000_i1800" type="#_x0000_t75" style="width:109.65pt;height:17.6pt" o:ole="">
            <v:imagedata r:id="rId565" o:title=""/>
          </v:shape>
          <o:OLEObject Type="Embed" ProgID="Equation.DSMT4" ShapeID="_x0000_i1800" DrawAspect="Content" ObjectID="_1359267227" r:id="rId566"/>
        </w:object>
      </w:r>
      <w:r w:rsidR="00C05320" w:rsidRPr="00AD1AA7">
        <w:rPr>
          <w:position w:val="-10"/>
        </w:rPr>
        <w:t xml:space="preserve"> ,         </w:t>
      </w:r>
      <w:r w:rsidR="00A9497E" w:rsidRPr="00AD1AA7">
        <w:rPr>
          <w:position w:val="-10"/>
        </w:rPr>
        <w:t xml:space="preserve">    </w:t>
      </w:r>
      <w:r w:rsidR="00C05320" w:rsidRPr="00AD1AA7">
        <w:rPr>
          <w:position w:val="-10"/>
        </w:rPr>
        <w:t xml:space="preserve">                                      (</w:t>
      </w:r>
      <w:r w:rsidR="00A9497E" w:rsidRPr="00AD1AA7">
        <w:rPr>
          <w:position w:val="-10"/>
        </w:rPr>
        <w:t>3.</w:t>
      </w:r>
      <w:r w:rsidR="00C05320" w:rsidRPr="00AD1AA7">
        <w:rPr>
          <w:position w:val="-10"/>
        </w:rPr>
        <w:t>12)</w:t>
      </w:r>
    </w:p>
    <w:p w:rsidR="00AD1AA7" w:rsidRPr="00AD1AA7" w:rsidRDefault="00D73135" w:rsidP="00AD1AA7">
      <w:pPr>
        <w:autoSpaceDE w:val="0"/>
        <w:autoSpaceDN w:val="0"/>
        <w:adjustRightInd w:val="0"/>
        <w:spacing w:before="120" w:after="120" w:line="480" w:lineRule="auto"/>
        <w:ind w:left="720" w:firstLine="720"/>
        <w:jc w:val="right"/>
        <w:rPr>
          <w:position w:val="-10"/>
        </w:rPr>
      </w:pPr>
      <w:r w:rsidRPr="00D73135">
        <w:rPr>
          <w:position w:val="-16"/>
        </w:rPr>
        <w:object w:dxaOrig="1960" w:dyaOrig="440">
          <v:shape id="_x0000_i1802" type="#_x0000_t75" style="width:108.85pt;height:17.6pt" o:ole="">
            <v:imagedata r:id="rId567" o:title=""/>
          </v:shape>
          <o:OLEObject Type="Embed" ProgID="Equation.DSMT4" ShapeID="_x0000_i1802" DrawAspect="Content" ObjectID="_1359267228" r:id="rId568"/>
        </w:object>
      </w:r>
      <w:r w:rsidR="00AD1AA7" w:rsidRPr="00AD1AA7">
        <w:rPr>
          <w:position w:val="-10"/>
        </w:rPr>
        <w:t xml:space="preserve"> ,                                                   (3.13)</w:t>
      </w:r>
    </w:p>
    <w:p w:rsidR="00C05320" w:rsidRPr="00AD1AA7" w:rsidRDefault="00D73135" w:rsidP="00AD1AA7">
      <w:pPr>
        <w:autoSpaceDE w:val="0"/>
        <w:autoSpaceDN w:val="0"/>
        <w:adjustRightInd w:val="0"/>
        <w:spacing w:before="120" w:after="120" w:line="480" w:lineRule="auto"/>
        <w:ind w:left="720" w:firstLine="720"/>
        <w:jc w:val="right"/>
        <w:rPr>
          <w:position w:val="-10"/>
        </w:rPr>
      </w:pPr>
      <w:r w:rsidRPr="00D73135">
        <w:rPr>
          <w:position w:val="-16"/>
        </w:rPr>
        <w:object w:dxaOrig="3000" w:dyaOrig="440">
          <v:shape id="_x0000_i1804" type="#_x0000_t75" style="width:161.6pt;height:17.6pt" o:ole="">
            <v:imagedata r:id="rId569" o:title=""/>
          </v:shape>
          <o:OLEObject Type="Embed" ProgID="Equation.DSMT4" ShapeID="_x0000_i1804" DrawAspect="Content" ObjectID="_1359267229" r:id="rId570"/>
        </w:object>
      </w:r>
      <w:r w:rsidR="00A9497E" w:rsidRPr="00AD1AA7">
        <w:rPr>
          <w:position w:val="-10"/>
        </w:rPr>
        <w:t xml:space="preserve">          </w:t>
      </w:r>
      <w:r w:rsidR="00C05320" w:rsidRPr="00AD1AA7">
        <w:rPr>
          <w:position w:val="-10"/>
        </w:rPr>
        <w:t xml:space="preserve">                                  (</w:t>
      </w:r>
      <w:r w:rsidR="00A9497E" w:rsidRPr="00AD1AA7">
        <w:rPr>
          <w:position w:val="-10"/>
        </w:rPr>
        <w:t>3.</w:t>
      </w:r>
      <w:r w:rsidR="00C05320" w:rsidRPr="00AD1AA7">
        <w:rPr>
          <w:position w:val="-10"/>
        </w:rPr>
        <w:t>14)</w:t>
      </w:r>
    </w:p>
    <w:p w:rsidR="00C05320" w:rsidRPr="00B462B5" w:rsidRDefault="00C05320" w:rsidP="00D73135">
      <w:pPr>
        <w:spacing w:before="240" w:after="240" w:line="480" w:lineRule="auto"/>
        <w:jc w:val="both"/>
      </w:pPr>
      <w:r w:rsidRPr="001F035A">
        <w:rPr>
          <w:b/>
          <w:bCs/>
        </w:rPr>
        <w:t xml:space="preserve"> </w:t>
      </w:r>
      <w:r w:rsidRPr="001F035A">
        <w:t>The allocation of government spending among the three types of spending, i.e.</w:t>
      </w:r>
      <w:r w:rsidRPr="001F035A">
        <w:rPr>
          <w:position w:val="-8"/>
        </w:rPr>
        <w:object w:dxaOrig="660" w:dyaOrig="279">
          <v:shape id="_x0000_i1307" type="#_x0000_t75" style="width:33.5pt;height:13.4pt" o:ole="">
            <v:imagedata r:id="rId571" o:title=""/>
          </v:shape>
          <o:OLEObject Type="Embed" ProgID="Equation.DSMT4" ShapeID="_x0000_i1307" DrawAspect="Content" ObjectID="_1359267230" r:id="rId572"/>
        </w:object>
      </w:r>
      <w:r w:rsidRPr="001F035A">
        <w:t xml:space="preserve">, is assumed to reflect the taste or priority for each objective. To keep our analysis focus on the importance of the BSF we shall assume that all government instruments including the tax </w:t>
      </w:r>
      <w:r w:rsidR="001A5B92" w:rsidRPr="001F035A">
        <w:t>rates</w:t>
      </w:r>
      <w:r w:rsidR="001A5B92">
        <w:t xml:space="preserve"> (</w:t>
      </w:r>
      <w:r w:rsidRPr="001F035A">
        <w:rPr>
          <w:position w:val="-6"/>
        </w:rPr>
        <w:object w:dxaOrig="260" w:dyaOrig="300">
          <v:shape id="_x0000_i1308" type="#_x0000_t75" style="width:13.4pt;height:15.9pt" o:ole="">
            <v:imagedata r:id="rId573" o:title=""/>
          </v:shape>
          <o:OLEObject Type="Embed" ProgID="Equation.DSMT4" ShapeID="_x0000_i1308" DrawAspect="Content" ObjectID="_1359267231" r:id="rId574"/>
        </w:object>
      </w:r>
      <w:r w:rsidR="001A5B92">
        <w:t>and</w:t>
      </w:r>
      <w:r w:rsidRPr="001F035A">
        <w:rPr>
          <w:position w:val="-6"/>
        </w:rPr>
        <w:object w:dxaOrig="240" w:dyaOrig="300">
          <v:shape id="_x0000_i1309" type="#_x0000_t75" style="width:13.4pt;height:15.9pt" o:ole="">
            <v:imagedata r:id="rId575" o:title=""/>
          </v:shape>
          <o:OLEObject Type="Embed" ProgID="Equation.DSMT4" ShapeID="_x0000_i1309" DrawAspect="Content" ObjectID="_1359267232" r:id="rId576"/>
        </w:object>
      </w:r>
      <w:r w:rsidR="001A5B92">
        <w:t>) and</w:t>
      </w:r>
      <w:r w:rsidRPr="001F035A">
        <w:t xml:space="preserve"> the </w:t>
      </w:r>
      <w:r w:rsidR="00D73135" w:rsidRPr="001F035A">
        <w:t>expenditures</w:t>
      </w:r>
      <w:r w:rsidR="00D73135">
        <w:t>’</w:t>
      </w:r>
      <w:r w:rsidR="00D73135" w:rsidRPr="001F035A">
        <w:t xml:space="preserve"> </w:t>
      </w:r>
      <w:r w:rsidRPr="001F035A">
        <w:t>allocation</w:t>
      </w:r>
      <w:r w:rsidR="00D73135">
        <w:t>s</w:t>
      </w:r>
      <w:r w:rsidRPr="001F035A">
        <w:t xml:space="preserve"> </w:t>
      </w:r>
      <w:r w:rsidR="00D73135">
        <w:t>(</w:t>
      </w:r>
      <w:r w:rsidRPr="001F035A">
        <w:rPr>
          <w:position w:val="-6"/>
        </w:rPr>
        <w:object w:dxaOrig="320" w:dyaOrig="260">
          <v:shape id="_x0000_i1310" type="#_x0000_t75" style="width:16.75pt;height:13.4pt" o:ole="">
            <v:imagedata r:id="rId577" o:title=""/>
          </v:shape>
          <o:OLEObject Type="Embed" ProgID="Equation.DSMT4" ShapeID="_x0000_i1310" DrawAspect="Content" ObjectID="_1359267233" r:id="rId578"/>
        </w:object>
      </w:r>
      <w:r w:rsidRPr="001F035A">
        <w:t xml:space="preserve"> and</w:t>
      </w:r>
      <w:r w:rsidR="00D73135" w:rsidRPr="001F035A">
        <w:rPr>
          <w:position w:val="-6"/>
        </w:rPr>
        <w:object w:dxaOrig="360" w:dyaOrig="260">
          <v:shape id="_x0000_i1820" type="#_x0000_t75" style="width:17.6pt;height:13.4pt" o:ole="">
            <v:imagedata r:id="rId579" o:title=""/>
          </v:shape>
          <o:OLEObject Type="Embed" ProgID="Equation.DSMT4" ShapeID="_x0000_i1820" DrawAspect="Content" ObjectID="_1359267234" r:id="rId580"/>
        </w:object>
      </w:r>
      <w:r w:rsidRPr="001F035A">
        <w:t xml:space="preserve"> </w:t>
      </w:r>
      <w:r w:rsidR="00D73135">
        <w:t>)</w:t>
      </w:r>
      <w:r w:rsidR="00D73135">
        <w:rPr>
          <w:position w:val="-6"/>
        </w:rPr>
        <w:t xml:space="preserve"> </w:t>
      </w:r>
      <w:r w:rsidRPr="001F035A">
        <w:t xml:space="preserve">are time invariant parameters. In other words the only instrument available for the government is the BSF which become an automatic stabilizer once the State government adopts the optimal rule that we derive bellow. </w:t>
      </w:r>
    </w:p>
    <w:p w:rsidR="00336D54" w:rsidRPr="00EE6912" w:rsidRDefault="00895D79" w:rsidP="00A9497E">
      <w:pPr>
        <w:pStyle w:val="Heading2"/>
        <w:numPr>
          <w:ilvl w:val="3"/>
          <w:numId w:val="3"/>
        </w:numPr>
        <w:tabs>
          <w:tab w:val="left" w:pos="1350"/>
          <w:tab w:val="left" w:pos="1440"/>
        </w:tabs>
        <w:spacing w:after="240" w:line="480" w:lineRule="auto"/>
        <w:ind w:left="720"/>
        <w:jc w:val="left"/>
        <w:rPr>
          <w:b w:val="0"/>
          <w:bCs w:val="0"/>
        </w:rPr>
      </w:pPr>
      <w:bookmarkStart w:id="39" w:name="_Toc285478030"/>
      <w:r w:rsidRPr="00EE6912">
        <w:rPr>
          <w:b w:val="0"/>
          <w:bCs w:val="0"/>
        </w:rPr>
        <w:t>The Optimal Conditions</w:t>
      </w:r>
      <w:bookmarkEnd w:id="39"/>
    </w:p>
    <w:p w:rsidR="00C05320" w:rsidRPr="001F035A" w:rsidRDefault="00C05320" w:rsidP="001415CA">
      <w:pPr>
        <w:spacing w:before="240" w:after="240" w:line="480" w:lineRule="auto"/>
        <w:ind w:firstLine="720"/>
        <w:jc w:val="both"/>
      </w:pPr>
      <w:r w:rsidRPr="001F035A">
        <w:t>Household’s objective is to maximize its lifetime expected utility (</w:t>
      </w:r>
      <w:r w:rsidR="00604586">
        <w:t>3.</w:t>
      </w:r>
      <w:r w:rsidRPr="001F035A">
        <w:t>1) subject to its budget constraint (</w:t>
      </w:r>
      <w:r w:rsidR="00604586">
        <w:t>3.</w:t>
      </w:r>
      <w:r w:rsidRPr="001F035A">
        <w:t>4). In each period household decides; the amount of consumption of private good, hours worked, the next period holding of fiscal capital and financial assets. Solving the household’s problem we obtain the following first order conditions:</w:t>
      </w:r>
    </w:p>
    <w:p w:rsidR="00C05320" w:rsidRPr="001F035A" w:rsidRDefault="00C05320" w:rsidP="001A5B92">
      <w:pPr>
        <w:autoSpaceDE w:val="0"/>
        <w:autoSpaceDN w:val="0"/>
        <w:adjustRightInd w:val="0"/>
        <w:spacing w:before="120" w:after="120" w:line="480" w:lineRule="auto"/>
        <w:jc w:val="right"/>
      </w:pPr>
      <w:r w:rsidRPr="001F035A">
        <w:t xml:space="preserve">  </w:t>
      </w:r>
      <w:r w:rsidRPr="001F035A">
        <w:rPr>
          <w:position w:val="-56"/>
        </w:rPr>
        <w:object w:dxaOrig="5840" w:dyaOrig="1219">
          <v:shape id="_x0000_i1312" type="#_x0000_t75" style="width:304.75pt;height:55.25pt" o:ole="">
            <v:imagedata r:id="rId581" o:title=""/>
          </v:shape>
          <o:OLEObject Type="Embed" ProgID="Equation.DSMT4" ShapeID="_x0000_i1312" DrawAspect="Content" ObjectID="_1359267235" r:id="rId582"/>
        </w:object>
      </w:r>
      <w:r w:rsidRPr="001F035A">
        <w:t xml:space="preserve">                      (</w:t>
      </w:r>
      <w:r w:rsidR="00A9497E">
        <w:t>3.</w:t>
      </w:r>
      <w:r w:rsidRPr="001F035A">
        <w:t>15)</w:t>
      </w:r>
    </w:p>
    <w:p w:rsidR="00C05320" w:rsidRPr="001F035A" w:rsidRDefault="00C05320" w:rsidP="001A5B92">
      <w:pPr>
        <w:autoSpaceDE w:val="0"/>
        <w:autoSpaceDN w:val="0"/>
        <w:adjustRightInd w:val="0"/>
        <w:spacing w:before="120" w:after="120" w:line="480" w:lineRule="auto"/>
        <w:jc w:val="right"/>
      </w:pPr>
      <w:r w:rsidRPr="001F035A">
        <w:rPr>
          <w:position w:val="-54"/>
        </w:rPr>
        <w:object w:dxaOrig="6220" w:dyaOrig="1180">
          <v:shape id="_x0000_i1313" type="#_x0000_t75" style="width:320.65pt;height:47.7pt" o:ole="">
            <v:imagedata r:id="rId583" o:title=""/>
          </v:shape>
          <o:OLEObject Type="Embed" ProgID="Equation.DSMT4" ShapeID="_x0000_i1313" DrawAspect="Content" ObjectID="_1359267236" r:id="rId584"/>
        </w:object>
      </w:r>
      <w:r w:rsidRPr="001F035A">
        <w:t xml:space="preserve">                        (</w:t>
      </w:r>
      <w:r w:rsidR="00A9497E">
        <w:t>3.</w:t>
      </w:r>
      <w:r w:rsidRPr="001F035A">
        <w:t>16)</w:t>
      </w:r>
    </w:p>
    <w:p w:rsidR="00C05320" w:rsidRPr="001F035A" w:rsidRDefault="00C05320" w:rsidP="001A5B92">
      <w:pPr>
        <w:autoSpaceDE w:val="0"/>
        <w:autoSpaceDN w:val="0"/>
        <w:adjustRightInd w:val="0"/>
        <w:spacing w:before="120" w:after="120" w:line="480" w:lineRule="auto"/>
        <w:jc w:val="right"/>
      </w:pPr>
      <w:r w:rsidRPr="001F035A">
        <w:rPr>
          <w:position w:val="-30"/>
        </w:rPr>
        <w:object w:dxaOrig="6180" w:dyaOrig="700">
          <v:shape id="_x0000_i1314" type="#_x0000_t75" style="width:321.5pt;height:30.15pt" o:ole="">
            <v:imagedata r:id="rId585" o:title=""/>
          </v:shape>
          <o:OLEObject Type="Embed" ProgID="Equation.DSMT4" ShapeID="_x0000_i1314" DrawAspect="Content" ObjectID="_1359267237" r:id="rId586"/>
        </w:object>
      </w:r>
      <w:r w:rsidRPr="001F035A">
        <w:t xml:space="preserve">                (</w:t>
      </w:r>
      <w:r w:rsidR="00A9497E">
        <w:t>3.</w:t>
      </w:r>
      <w:r w:rsidRPr="001F035A">
        <w:t>17)</w:t>
      </w:r>
    </w:p>
    <w:p w:rsidR="00C05320" w:rsidRPr="001F035A" w:rsidRDefault="001A5B92" w:rsidP="001A5B92">
      <w:pPr>
        <w:autoSpaceDE w:val="0"/>
        <w:autoSpaceDN w:val="0"/>
        <w:adjustRightInd w:val="0"/>
        <w:spacing w:before="120" w:after="120" w:line="480" w:lineRule="auto"/>
        <w:jc w:val="right"/>
      </w:pPr>
      <w:r w:rsidRPr="001F035A">
        <w:rPr>
          <w:position w:val="-16"/>
        </w:rPr>
        <w:object w:dxaOrig="3100" w:dyaOrig="440">
          <v:shape id="_x0000_i1822" type="#_x0000_t75" style="width:178.35pt;height:17.6pt" o:ole="">
            <v:imagedata r:id="rId587" o:title=""/>
          </v:shape>
          <o:OLEObject Type="Embed" ProgID="Equation.DSMT4" ShapeID="_x0000_i1822" DrawAspect="Content" ObjectID="_1359267238" r:id="rId588"/>
        </w:object>
      </w:r>
      <w:r w:rsidR="00C05320" w:rsidRPr="001F035A">
        <w:t xml:space="preserve">                                                (</w:t>
      </w:r>
      <w:r w:rsidR="00A9497E">
        <w:t>3.</w:t>
      </w:r>
      <w:r w:rsidR="00C05320" w:rsidRPr="001F035A">
        <w:t>18)</w:t>
      </w:r>
    </w:p>
    <w:p w:rsidR="00C05320" w:rsidRDefault="00C05320" w:rsidP="001415CA">
      <w:pPr>
        <w:spacing w:before="240" w:after="240" w:line="480" w:lineRule="auto"/>
        <w:jc w:val="both"/>
      </w:pPr>
      <w:proofErr w:type="gramStart"/>
      <w:r w:rsidRPr="001F035A">
        <w:t>where</w:t>
      </w:r>
      <w:proofErr w:type="gramEnd"/>
      <w:r w:rsidRPr="001F035A">
        <w:t xml:space="preserve"> </w:t>
      </w:r>
      <w:r w:rsidRPr="001F035A">
        <w:rPr>
          <w:position w:val="-10"/>
        </w:rPr>
        <w:object w:dxaOrig="320" w:dyaOrig="320">
          <v:shape id="_x0000_i1316" type="#_x0000_t75" style="width:17.6pt;height:16.75pt" o:ole="">
            <v:imagedata r:id="rId589" o:title=""/>
          </v:shape>
          <o:OLEObject Type="Embed" ProgID="Equation.DSMT4" ShapeID="_x0000_i1316" DrawAspect="Content" ObjectID="_1359267239" r:id="rId590"/>
        </w:object>
      </w:r>
      <w:r w:rsidRPr="001F035A">
        <w:t>is the Lagrangian multiplier associated with the budget constraint . The Euler equations (</w:t>
      </w:r>
      <w:r w:rsidR="00A9497E">
        <w:t>3.</w:t>
      </w:r>
      <w:r w:rsidRPr="001F035A">
        <w:t>15)-(</w:t>
      </w:r>
      <w:r w:rsidR="00A9497E">
        <w:t>3.</w:t>
      </w:r>
      <w:r w:rsidRPr="001F035A">
        <w:t xml:space="preserve">18) equate the marginal benefits and costs due to household’s optimal choices in terms of consumption, hours, capital and financial asset accumulation. A detailed discussion is avoided for the sake of brevity.  </w:t>
      </w:r>
    </w:p>
    <w:p w:rsidR="002C7859" w:rsidRPr="00EE6912" w:rsidRDefault="006A384F" w:rsidP="0019589A">
      <w:pPr>
        <w:pStyle w:val="Heading2"/>
        <w:numPr>
          <w:ilvl w:val="2"/>
          <w:numId w:val="3"/>
        </w:numPr>
        <w:spacing w:after="240" w:line="480" w:lineRule="auto"/>
        <w:jc w:val="left"/>
        <w:rPr>
          <w:b w:val="0"/>
          <w:bCs w:val="0"/>
        </w:rPr>
      </w:pPr>
      <w:bookmarkStart w:id="40" w:name="_Toc285478031"/>
      <w:r w:rsidRPr="00EE6912">
        <w:rPr>
          <w:b w:val="0"/>
          <w:bCs w:val="0"/>
        </w:rPr>
        <w:t>The Model Economy with BSF</w:t>
      </w:r>
      <w:bookmarkEnd w:id="40"/>
    </w:p>
    <w:p w:rsidR="00DE6899" w:rsidRPr="001F035A" w:rsidRDefault="00DE6899" w:rsidP="00A9497E">
      <w:pPr>
        <w:autoSpaceDE w:val="0"/>
        <w:autoSpaceDN w:val="0"/>
        <w:adjustRightInd w:val="0"/>
        <w:spacing w:line="480" w:lineRule="auto"/>
        <w:ind w:firstLine="720"/>
        <w:jc w:val="both"/>
      </w:pPr>
      <w:r w:rsidRPr="001F035A">
        <w:t xml:space="preserve">In this section we establish a stabilization fund as part of the government budget. During the expansion of the state economy, the state government is required to allocate part of its total tax revenues to the stabilization fund, which will be used during the contraction. The BSF is intended to stabilize government expenditure over the business cycle. Sustaining government expenditure in the downturn may compensate households by providing them with public consumption services that is substitute to the private good. It also helps the firm by providing it with additional productive public capital to substitute for the fall in their private capital purchases which also sustain the marginal product of labor or labor demand of the firms. Hence, the BSF is designed to provide a kind of insurance to all agents in the economy during bad economic times. </w:t>
      </w:r>
    </w:p>
    <w:p w:rsidR="002C7859" w:rsidRPr="00EE6912" w:rsidRDefault="002C7859" w:rsidP="00A9497E">
      <w:pPr>
        <w:pStyle w:val="Heading2"/>
        <w:numPr>
          <w:ilvl w:val="3"/>
          <w:numId w:val="3"/>
        </w:numPr>
        <w:spacing w:after="240" w:line="480" w:lineRule="auto"/>
        <w:ind w:left="720"/>
        <w:jc w:val="left"/>
        <w:rPr>
          <w:b w:val="0"/>
          <w:bCs w:val="0"/>
        </w:rPr>
      </w:pPr>
      <w:bookmarkStart w:id="41" w:name="_Toc285478032"/>
      <w:r w:rsidRPr="00EE6912">
        <w:rPr>
          <w:b w:val="0"/>
          <w:bCs w:val="0"/>
        </w:rPr>
        <w:t>Optimal BSF Rule</w:t>
      </w:r>
      <w:bookmarkEnd w:id="41"/>
      <w:r w:rsidRPr="00EE6912">
        <w:rPr>
          <w:b w:val="0"/>
          <w:bCs w:val="0"/>
        </w:rPr>
        <w:t xml:space="preserve"> </w:t>
      </w:r>
    </w:p>
    <w:p w:rsidR="00DE6899" w:rsidRPr="001F035A" w:rsidRDefault="00DE6899" w:rsidP="00A9497E">
      <w:pPr>
        <w:spacing w:line="480" w:lineRule="auto"/>
        <w:ind w:firstLine="720"/>
        <w:jc w:val="both"/>
      </w:pPr>
      <w:r w:rsidRPr="001F035A">
        <w:t>The state government is managing the BSF in terms of accumulation and disbursement. The optimal savings rule should be consistent with households’ behavior. The guiding rule for government saving requires the government to follow rules that are consistent with household’s objective to smooth its consumption over the business cycle. Otherwise, the government saving decision could be subject to the discretion of the budget planner, which might generate negative effects on the state economy.</w:t>
      </w:r>
      <w:r w:rsidRPr="001F035A">
        <w:rPr>
          <w:rStyle w:val="FootnoteReference"/>
        </w:rPr>
        <w:footnoteReference w:id="35"/>
      </w:r>
      <w:r w:rsidRPr="001F035A">
        <w:t xml:space="preserve">  For example, overstating the need for more BSF results in current spending cuts that in turn reduce household’s welfare, slow down production and widen the income gap among households. Similarly, overusing disbursements from the stabilization fund depletes the fund before it reaches its goals and leads to more volatile government spending and welfare loss. It also amplifies the political business cycle at that point. Since households are making optimal decisions, given all the information available to them, we suggest the government applies household’s saving rules when it makes its budget allocation decisions. In particular, the government sector faces the following optimal condition while making other spending decisions:  </w:t>
      </w:r>
    </w:p>
    <w:p w:rsidR="00DE6899" w:rsidRPr="001F035A" w:rsidRDefault="0019589A" w:rsidP="001415CA">
      <w:pPr>
        <w:autoSpaceDE w:val="0"/>
        <w:autoSpaceDN w:val="0"/>
        <w:adjustRightInd w:val="0"/>
        <w:spacing w:before="120" w:after="120" w:line="480" w:lineRule="auto"/>
        <w:jc w:val="right"/>
      </w:pPr>
      <w:r w:rsidRPr="001F035A">
        <w:rPr>
          <w:position w:val="-16"/>
        </w:rPr>
        <w:object w:dxaOrig="3159" w:dyaOrig="440">
          <v:shape id="_x0000_i1317" type="#_x0000_t75" style="width:166.6pt;height:16.75pt" o:ole="">
            <v:imagedata r:id="rId591" o:title=""/>
          </v:shape>
          <o:OLEObject Type="Embed" ProgID="Equation.DSMT4" ShapeID="_x0000_i1317" DrawAspect="Content" ObjectID="_1359267240" r:id="rId592"/>
        </w:object>
      </w:r>
      <w:r w:rsidR="00DE6899" w:rsidRPr="001F035A">
        <w:t xml:space="preserve">                                               (</w:t>
      </w:r>
      <w:r w:rsidR="00A9497E">
        <w:t>3.</w:t>
      </w:r>
      <w:r w:rsidR="00DE6899" w:rsidRPr="001F035A">
        <w:t>19)</w:t>
      </w:r>
    </w:p>
    <w:p w:rsidR="00DE6899" w:rsidRPr="001F035A" w:rsidRDefault="00DE6899" w:rsidP="00DE6899">
      <w:pPr>
        <w:spacing w:before="240" w:after="240" w:line="480" w:lineRule="auto"/>
        <w:rPr>
          <w:b/>
          <w:bCs/>
          <w:sz w:val="28"/>
          <w:szCs w:val="28"/>
        </w:rPr>
      </w:pPr>
      <w:r w:rsidRPr="001F035A">
        <w:t>Given (19), we implicitly assume that the government is voluntarily acting to maximize household’s expected utility.</w:t>
      </w:r>
    </w:p>
    <w:p w:rsidR="002C7859" w:rsidRPr="00EE6912" w:rsidRDefault="006A384F" w:rsidP="0019589A">
      <w:pPr>
        <w:pStyle w:val="Heading2"/>
        <w:numPr>
          <w:ilvl w:val="3"/>
          <w:numId w:val="3"/>
        </w:numPr>
        <w:spacing w:after="240" w:line="480" w:lineRule="auto"/>
        <w:ind w:left="720"/>
        <w:jc w:val="left"/>
        <w:rPr>
          <w:b w:val="0"/>
          <w:bCs w:val="0"/>
        </w:rPr>
      </w:pPr>
      <w:bookmarkStart w:id="42" w:name="_Toc285478033"/>
      <w:r w:rsidRPr="00EE6912">
        <w:rPr>
          <w:b w:val="0"/>
          <w:bCs w:val="0"/>
        </w:rPr>
        <w:t>Government</w:t>
      </w:r>
      <w:r w:rsidR="002C7859" w:rsidRPr="00EE6912">
        <w:rPr>
          <w:b w:val="0"/>
          <w:bCs w:val="0"/>
        </w:rPr>
        <w:t xml:space="preserve"> Current and Capital Spending</w:t>
      </w:r>
      <w:bookmarkEnd w:id="42"/>
      <w:r w:rsidR="002C7859" w:rsidRPr="00EE6912">
        <w:rPr>
          <w:b w:val="0"/>
          <w:bCs w:val="0"/>
        </w:rPr>
        <w:t xml:space="preserve"> </w:t>
      </w:r>
    </w:p>
    <w:p w:rsidR="00DE6899" w:rsidRPr="001F035A" w:rsidRDefault="00DE6899" w:rsidP="00A9497E">
      <w:pPr>
        <w:spacing w:line="480" w:lineRule="auto"/>
        <w:ind w:firstLine="720"/>
        <w:jc w:val="both"/>
      </w:pPr>
      <w:r w:rsidRPr="001F035A">
        <w:t>The government sector with BSF is governed by the following modified budget constraint along with 19 which regulates the disbursement or accumulation of resources from/in BSF:</w:t>
      </w:r>
    </w:p>
    <w:p w:rsidR="00DE6899" w:rsidRPr="001F035A" w:rsidRDefault="001A5B92" w:rsidP="00DE6899">
      <w:pPr>
        <w:spacing w:line="480" w:lineRule="auto"/>
        <w:ind w:firstLine="720"/>
        <w:jc w:val="right"/>
      </w:pPr>
      <w:r w:rsidRPr="001A5B92">
        <w:rPr>
          <w:position w:val="-12"/>
        </w:rPr>
        <w:object w:dxaOrig="2820" w:dyaOrig="380">
          <v:shape id="_x0000_i1826" type="#_x0000_t75" style="width:139.8pt;height:18.4pt" o:ole="">
            <v:imagedata r:id="rId593" o:title=""/>
          </v:shape>
          <o:OLEObject Type="Embed" ProgID="Equation.DSMT4" ShapeID="_x0000_i1826" DrawAspect="Content" ObjectID="_1359267241" r:id="rId594"/>
        </w:object>
      </w:r>
      <w:r w:rsidR="00DE6899" w:rsidRPr="001F035A">
        <w:t xml:space="preserve">                                                        (</w:t>
      </w:r>
      <w:r w:rsidR="00A9497E">
        <w:t>3.</w:t>
      </w:r>
      <w:r w:rsidR="00DE6899" w:rsidRPr="001F035A">
        <w:t>20)</w:t>
      </w:r>
    </w:p>
    <w:p w:rsidR="00DE6899" w:rsidRPr="001F035A" w:rsidRDefault="00DE6899" w:rsidP="001415CA">
      <w:pPr>
        <w:spacing w:before="240" w:after="240" w:line="480" w:lineRule="auto"/>
        <w:jc w:val="both"/>
      </w:pPr>
      <w:proofErr w:type="gramStart"/>
      <w:r w:rsidRPr="001F035A">
        <w:t>where</w:t>
      </w:r>
      <w:proofErr w:type="gramEnd"/>
      <w:r w:rsidRPr="001F035A">
        <w:t xml:space="preserve"> </w:t>
      </w:r>
      <w:r w:rsidRPr="001F035A">
        <w:rPr>
          <w:position w:val="-10"/>
        </w:rPr>
        <w:object w:dxaOrig="300" w:dyaOrig="320">
          <v:shape id="_x0000_i1319" type="#_x0000_t75" style="width:16.75pt;height:16.75pt" o:ole="">
            <v:imagedata r:id="rId595" o:title=""/>
          </v:shape>
          <o:OLEObject Type="Embed" ProgID="Equation.DSMT4" ShapeID="_x0000_i1319" DrawAspect="Content" ObjectID="_1359267242" r:id="rId596"/>
        </w:object>
      </w:r>
      <w:r w:rsidRPr="001F035A">
        <w:t>is still defined as by equation (6). The government revenues on the right side of equation (</w:t>
      </w:r>
      <w:r w:rsidR="00A9497E">
        <w:t>3.</w:t>
      </w:r>
      <w:r w:rsidRPr="001F035A">
        <w:t>20) consist of current income or tax revenues</w:t>
      </w:r>
      <w:r w:rsidRPr="001F035A">
        <w:rPr>
          <w:position w:val="-16"/>
        </w:rPr>
        <w:object w:dxaOrig="1180" w:dyaOrig="420">
          <v:shape id="_x0000_i1320" type="#_x0000_t75" style="width:62.8pt;height:19.25pt" o:ole="">
            <v:imagedata r:id="rId597" o:title=""/>
          </v:shape>
          <o:OLEObject Type="Embed" ProgID="Equation.DSMT4" ShapeID="_x0000_i1320" DrawAspect="Content" ObjectID="_1359267243" r:id="rId598"/>
        </w:object>
      </w:r>
      <w:r w:rsidRPr="001F035A">
        <w:t xml:space="preserve"> in addition to capital income or net disbursement from the stabilization fund</w:t>
      </w:r>
      <w:r w:rsidRPr="001F035A">
        <w:rPr>
          <w:position w:val="-10"/>
        </w:rPr>
        <w:object w:dxaOrig="300" w:dyaOrig="320">
          <v:shape id="_x0000_i1321" type="#_x0000_t75" style="width:16.75pt;height:16.75pt" o:ole="">
            <v:imagedata r:id="rId599" o:title=""/>
          </v:shape>
          <o:OLEObject Type="Embed" ProgID="Equation.DSMT4" ShapeID="_x0000_i1321" DrawAspect="Content" ObjectID="_1359267244" r:id="rId600"/>
        </w:object>
      </w:r>
      <w:r w:rsidRPr="001F035A">
        <w:t xml:space="preserve">. </w:t>
      </w:r>
    </w:p>
    <w:p w:rsidR="00DE6899" w:rsidRDefault="00DE6899" w:rsidP="00A9497E">
      <w:pPr>
        <w:autoSpaceDE w:val="0"/>
        <w:autoSpaceDN w:val="0"/>
        <w:adjustRightInd w:val="0"/>
        <w:spacing w:line="480" w:lineRule="auto"/>
        <w:ind w:firstLine="720"/>
        <w:jc w:val="both"/>
      </w:pPr>
      <w:r w:rsidRPr="001F035A">
        <w:t>In the baseline model we have already explained how the government’s current-plus-capital revenues are used to finance its three functions. With BSF the equations that determine the allocation of government are modified as follow:</w:t>
      </w:r>
    </w:p>
    <w:p w:rsidR="001415CA" w:rsidRPr="001F035A" w:rsidRDefault="001415CA" w:rsidP="00A9497E">
      <w:pPr>
        <w:autoSpaceDE w:val="0"/>
        <w:autoSpaceDN w:val="0"/>
        <w:adjustRightInd w:val="0"/>
        <w:spacing w:line="480" w:lineRule="auto"/>
        <w:ind w:firstLine="720"/>
        <w:jc w:val="both"/>
      </w:pPr>
    </w:p>
    <w:p w:rsidR="00DE6899" w:rsidRPr="001F035A" w:rsidRDefault="00DE6899" w:rsidP="00DE6899">
      <w:pPr>
        <w:spacing w:line="480" w:lineRule="auto"/>
        <w:ind w:firstLine="720"/>
        <w:jc w:val="right"/>
      </w:pPr>
      <w:r w:rsidRPr="001F035A">
        <w:rPr>
          <w:position w:val="-16"/>
        </w:rPr>
        <w:object w:dxaOrig="2280" w:dyaOrig="420">
          <v:shape id="_x0000_i1322" type="#_x0000_t75" style="width:113.85pt;height:24.3pt" o:ole="">
            <v:imagedata r:id="rId601" o:title=""/>
          </v:shape>
          <o:OLEObject Type="Embed" ProgID="Equation.DSMT4" ShapeID="_x0000_i1322" DrawAspect="Content" ObjectID="_1359267245" r:id="rId602"/>
        </w:object>
      </w:r>
      <w:r w:rsidRPr="001F035A">
        <w:t xml:space="preserve">                                                           (</w:t>
      </w:r>
      <w:r w:rsidR="00A9497E">
        <w:t>3.</w:t>
      </w:r>
      <w:r w:rsidRPr="001F035A">
        <w:t>21)</w:t>
      </w:r>
    </w:p>
    <w:p w:rsidR="00DE6899" w:rsidRPr="001F035A" w:rsidRDefault="00DE6899" w:rsidP="00DE6899">
      <w:pPr>
        <w:spacing w:line="480" w:lineRule="auto"/>
        <w:ind w:firstLine="720"/>
        <w:jc w:val="right"/>
      </w:pPr>
      <w:r w:rsidRPr="001F035A">
        <w:rPr>
          <w:position w:val="-16"/>
        </w:rPr>
        <w:object w:dxaOrig="2260" w:dyaOrig="420">
          <v:shape id="_x0000_i1323" type="#_x0000_t75" style="width:113.85pt;height:24.3pt" o:ole="">
            <v:imagedata r:id="rId603" o:title=""/>
          </v:shape>
          <o:OLEObject Type="Embed" ProgID="Equation.DSMT4" ShapeID="_x0000_i1323" DrawAspect="Content" ObjectID="_1359267246" r:id="rId604"/>
        </w:object>
      </w:r>
      <w:r w:rsidRPr="001F035A">
        <w:t xml:space="preserve">                                                           (</w:t>
      </w:r>
      <w:r w:rsidR="00A9497E">
        <w:t>3.</w:t>
      </w:r>
      <w:r w:rsidRPr="001F035A">
        <w:t>22)</w:t>
      </w:r>
    </w:p>
    <w:p w:rsidR="00DE6899" w:rsidRPr="001F035A" w:rsidRDefault="00DE6899" w:rsidP="00DE6899">
      <w:pPr>
        <w:spacing w:line="480" w:lineRule="auto"/>
        <w:ind w:firstLine="720"/>
        <w:jc w:val="right"/>
      </w:pPr>
      <w:r w:rsidRPr="001F035A">
        <w:rPr>
          <w:position w:val="-16"/>
        </w:rPr>
        <w:object w:dxaOrig="3180" w:dyaOrig="420">
          <v:shape id="_x0000_i1324" type="#_x0000_t75" style="width:157.4pt;height:24.3pt" o:ole="">
            <v:imagedata r:id="rId605" o:title=""/>
          </v:shape>
          <o:OLEObject Type="Embed" ProgID="Equation.DSMT4" ShapeID="_x0000_i1324" DrawAspect="Content" ObjectID="_1359267247" r:id="rId606"/>
        </w:object>
      </w:r>
      <w:r w:rsidRPr="001F035A">
        <w:t xml:space="preserve">         </w:t>
      </w:r>
      <w:r w:rsidR="001415CA">
        <w:t xml:space="preserve">  </w:t>
      </w:r>
      <w:r w:rsidRPr="001F035A">
        <w:t xml:space="preserve">                                   (</w:t>
      </w:r>
      <w:r w:rsidR="00A9497E">
        <w:t>3.</w:t>
      </w:r>
      <w:r w:rsidRPr="001F035A">
        <w:t>23)</w:t>
      </w:r>
    </w:p>
    <w:p w:rsidR="006C2851" w:rsidRPr="00EE6912" w:rsidRDefault="00895D79" w:rsidP="0019589A">
      <w:pPr>
        <w:pStyle w:val="Heading2"/>
        <w:numPr>
          <w:ilvl w:val="3"/>
          <w:numId w:val="3"/>
        </w:numPr>
        <w:spacing w:after="240" w:line="480" w:lineRule="auto"/>
        <w:ind w:hanging="1440"/>
        <w:jc w:val="left"/>
        <w:rPr>
          <w:b w:val="0"/>
          <w:bCs w:val="0"/>
        </w:rPr>
      </w:pPr>
      <w:bookmarkStart w:id="43" w:name="_Toc285478034"/>
      <w:r w:rsidRPr="00EE6912">
        <w:rPr>
          <w:b w:val="0"/>
          <w:bCs w:val="0"/>
        </w:rPr>
        <w:t>Aggregate Resource Constraint</w:t>
      </w:r>
      <w:bookmarkEnd w:id="43"/>
    </w:p>
    <w:p w:rsidR="00DE6899" w:rsidRPr="001F035A" w:rsidRDefault="00DE6899" w:rsidP="001415CA">
      <w:pPr>
        <w:spacing w:before="240" w:after="240" w:line="480" w:lineRule="auto"/>
        <w:ind w:firstLine="720"/>
        <w:jc w:val="both"/>
      </w:pPr>
      <w:r w:rsidRPr="001F035A">
        <w:t xml:space="preserve">By combining the budget constraints of the households and the government we must always have </w:t>
      </w:r>
      <w:r w:rsidRPr="001F035A">
        <w:rPr>
          <w:position w:val="-10"/>
        </w:rPr>
        <w:object w:dxaOrig="1600" w:dyaOrig="300">
          <v:shape id="_x0000_i1325" type="#_x0000_t75" style="width:79.55pt;height:16.75pt" o:ole="">
            <v:imagedata r:id="rId607" o:title=""/>
          </v:shape>
          <o:OLEObject Type="Embed" ProgID="Equation.DSMT4" ShapeID="_x0000_i1325" DrawAspect="Content" ObjectID="_1359267248" r:id="rId608"/>
        </w:object>
      </w:r>
      <w:r w:rsidRPr="001F035A">
        <w:t>with or without the stabilization funds. Have an identical aggregate resource constraints is important to validate the comparison of the two macro economies, i.e. with and without BSF. Accordingly the modified household’s budget constraint is given by:</w:t>
      </w:r>
    </w:p>
    <w:p w:rsidR="00DE6899" w:rsidRPr="001F035A" w:rsidRDefault="00DE6899" w:rsidP="00DE6899">
      <w:pPr>
        <w:spacing w:line="480" w:lineRule="auto"/>
        <w:ind w:firstLine="720"/>
        <w:jc w:val="right"/>
      </w:pPr>
      <w:r w:rsidRPr="001F035A">
        <w:rPr>
          <w:position w:val="-16"/>
        </w:rPr>
        <w:object w:dxaOrig="2680" w:dyaOrig="420">
          <v:shape id="_x0000_i1326" type="#_x0000_t75" style="width:134.8pt;height:24.3pt" o:ole="">
            <v:imagedata r:id="rId609" o:title=""/>
          </v:shape>
          <o:OLEObject Type="Embed" ProgID="Equation.DSMT4" ShapeID="_x0000_i1326" DrawAspect="Content" ObjectID="_1359267249" r:id="rId610"/>
        </w:object>
      </w:r>
      <w:r w:rsidRPr="001F035A">
        <w:t>.                                                  (</w:t>
      </w:r>
      <w:r w:rsidR="00A9497E">
        <w:t>3.</w:t>
      </w:r>
      <w:r w:rsidRPr="001F035A">
        <w:t>24)</w:t>
      </w:r>
    </w:p>
    <w:p w:rsidR="00DE6899" w:rsidRPr="00604586" w:rsidRDefault="00DE6899" w:rsidP="001415CA">
      <w:pPr>
        <w:pStyle w:val="FootnoteText"/>
        <w:spacing w:before="240" w:after="240" w:line="480" w:lineRule="auto"/>
        <w:ind w:firstLine="720"/>
        <w:jc w:val="both"/>
        <w:rPr>
          <w:rFonts w:ascii="Times New Roman" w:hAnsi="Times New Roman"/>
          <w:sz w:val="24"/>
          <w:szCs w:val="24"/>
        </w:rPr>
      </w:pPr>
      <w:r w:rsidRPr="00604586">
        <w:rPr>
          <w:rFonts w:ascii="Times New Roman" w:hAnsi="Times New Roman"/>
          <w:sz w:val="24"/>
          <w:szCs w:val="24"/>
        </w:rPr>
        <w:t xml:space="preserve">It should be noted that in this modified model, government savings (in the form of the BSF) is replacing a part of private sector savings. Hence, even when the government is behaving optimally regarding its stabilization fund policies, the two models will yield different results. This is very crucial in our model. In the baseline model, savings are spent based on households’ priorities while in the economy with BSF, the savings are spent based on the state government priorities. This completes the basic description of our models with and without BSF. </w:t>
      </w:r>
    </w:p>
    <w:p w:rsidR="002C7859" w:rsidRPr="00EE6912" w:rsidRDefault="002C7859" w:rsidP="0019589A">
      <w:pPr>
        <w:pStyle w:val="Heading2"/>
        <w:numPr>
          <w:ilvl w:val="1"/>
          <w:numId w:val="3"/>
        </w:numPr>
        <w:spacing w:after="240" w:line="480" w:lineRule="auto"/>
        <w:jc w:val="left"/>
        <w:rPr>
          <w:b w:val="0"/>
          <w:bCs w:val="0"/>
        </w:rPr>
      </w:pPr>
      <w:bookmarkStart w:id="44" w:name="_Toc285478035"/>
      <w:r w:rsidRPr="00EE6912">
        <w:rPr>
          <w:b w:val="0"/>
          <w:bCs w:val="0"/>
        </w:rPr>
        <w:t>Calibration and Solutions</w:t>
      </w:r>
      <w:bookmarkEnd w:id="44"/>
    </w:p>
    <w:p w:rsidR="00DE6899" w:rsidRPr="001F035A" w:rsidRDefault="00DE6899" w:rsidP="00DE6899">
      <w:pPr>
        <w:spacing w:line="480" w:lineRule="auto"/>
        <w:ind w:firstLine="720"/>
        <w:jc w:val="both"/>
      </w:pPr>
      <w:r w:rsidRPr="001F035A">
        <w:t xml:space="preserve">Calibration of the State economy requires the selection of various parameters that is unavailable for at the State level, we overcome this problem by making a few simplifying assumptions. First important assumption is that State’s government expenditures and revenues include all in-State, both State government plus and national government. This assumption not only helps simplifying the model, by avoiding the distinction between State level and national level, it also underscores the rule of the BSF in reducing the cost the business cycle at the national level. Since BSF is offsetting the shortage of government revenues resulted in from the downturn of the cycle, then the national level intervention will be to offset the shortage of the aggregate revenues after it counts for the withdraws from the BSF. Second, we assume that our State economy is having identical business cycle features like the one observed at the national level. Hence we calibrate our model in such a way as to replicate the national level business cycle stylized features. </w:t>
      </w:r>
    </w:p>
    <w:p w:rsidR="00DE6899" w:rsidRPr="001F035A" w:rsidRDefault="00DE6899" w:rsidP="001415CA">
      <w:pPr>
        <w:spacing w:before="240" w:after="240" w:line="480" w:lineRule="auto"/>
        <w:ind w:firstLine="720"/>
        <w:jc w:val="both"/>
      </w:pPr>
      <w:r w:rsidRPr="001F035A">
        <w:t>Each period is taken to be a quarter. Following the important RBC studies, we set the capital share</w:t>
      </w:r>
      <w:r w:rsidRPr="001F035A">
        <w:rPr>
          <w:position w:val="-6"/>
        </w:rPr>
        <w:object w:dxaOrig="220" w:dyaOrig="220">
          <v:shape id="_x0000_i1327" type="#_x0000_t75" style="width:9.2pt;height:9.2pt" o:ole="">
            <v:imagedata r:id="rId611" o:title=""/>
          </v:shape>
          <o:OLEObject Type="Embed" ProgID="Equation.DSMT4" ShapeID="_x0000_i1327" DrawAspect="Content" ObjectID="_1359267250" r:id="rId612"/>
        </w:object>
      </w:r>
      <w:r w:rsidRPr="001F035A">
        <w:t xml:space="preserve"> to be </w:t>
      </w:r>
      <w:r w:rsidRPr="001F035A">
        <w:rPr>
          <w:position w:val="-6"/>
        </w:rPr>
        <w:object w:dxaOrig="499" w:dyaOrig="279">
          <v:shape id="_x0000_i1328" type="#_x0000_t75" style="width:25.95pt;height:13.4pt" o:ole="">
            <v:imagedata r:id="rId613" o:title=""/>
          </v:shape>
          <o:OLEObject Type="Embed" ProgID="Equation.DSMT4" ShapeID="_x0000_i1328" DrawAspect="Content" ObjectID="_1359267251" r:id="rId614"/>
        </w:object>
      </w:r>
      <w:r w:rsidRPr="001F035A">
        <w:t xml:space="preserve">and the steady state depreciation rate of capital </w:t>
      </w:r>
      <w:r w:rsidRPr="001F035A">
        <w:rPr>
          <w:position w:val="-10"/>
        </w:rPr>
        <w:object w:dxaOrig="260" w:dyaOrig="320">
          <v:shape id="_x0000_i1329" type="#_x0000_t75" style="width:13.4pt;height:13.4pt" o:ole="">
            <v:imagedata r:id="rId615" o:title=""/>
          </v:shape>
          <o:OLEObject Type="Embed" ProgID="Equation.DSMT4" ShapeID="_x0000_i1329" DrawAspect="Content" ObjectID="_1359267252" r:id="rId616"/>
        </w:object>
      </w:r>
      <w:r w:rsidRPr="001F035A">
        <w:t xml:space="preserve">to be 0.015.  The steady state employment </w:t>
      </w:r>
      <w:r w:rsidRPr="001F035A">
        <w:rPr>
          <w:position w:val="-6"/>
        </w:rPr>
        <w:object w:dxaOrig="200" w:dyaOrig="279">
          <v:shape id="_x0000_i1330" type="#_x0000_t75" style="width:13.4pt;height:13.4pt" o:ole="">
            <v:imagedata r:id="rId617" o:title=""/>
          </v:shape>
          <o:OLEObject Type="Embed" ProgID="Equation.DSMT4" ShapeID="_x0000_i1330" DrawAspect="Content" ObjectID="_1359267253" r:id="rId618"/>
        </w:object>
      </w:r>
      <w:r w:rsidRPr="001F035A">
        <w:t>is normalized to 30 percent of the total time endowment. Since there is no specific estimate for the elasticity of substitution between private consumption and public services, we set</w:t>
      </w:r>
      <w:r w:rsidRPr="001F035A">
        <w:rPr>
          <w:position w:val="-10"/>
        </w:rPr>
        <w:object w:dxaOrig="680" w:dyaOrig="300">
          <v:shape id="_x0000_i1331" type="#_x0000_t75" style="width:32.65pt;height:16.75pt" o:ole="">
            <v:imagedata r:id="rId619" o:title=""/>
          </v:shape>
          <o:OLEObject Type="Embed" ProgID="Equation.DSMT4" ShapeID="_x0000_i1331" DrawAspect="Content" ObjectID="_1359267254" r:id="rId620"/>
        </w:object>
      </w:r>
      <w:r w:rsidRPr="001F035A">
        <w:t xml:space="preserve">, which implies that the two types of consumption are moderately substitutes. The elasticity of substitution between private and public capital is assumed to be 1.12 as in </w:t>
      </w:r>
      <w:proofErr w:type="spellStart"/>
      <w:r w:rsidRPr="001F035A">
        <w:t>Baier</w:t>
      </w:r>
      <w:proofErr w:type="spellEnd"/>
      <w:r w:rsidRPr="001F035A">
        <w:t xml:space="preserve"> and </w:t>
      </w:r>
      <w:proofErr w:type="spellStart"/>
      <w:r w:rsidRPr="001F035A">
        <w:t>Glomm</w:t>
      </w:r>
      <w:proofErr w:type="spellEnd"/>
      <w:r w:rsidRPr="001F035A">
        <w:t xml:space="preserve"> (2000).  We set the risk aversion parameter </w:t>
      </w:r>
      <w:r w:rsidRPr="001F035A">
        <w:rPr>
          <w:position w:val="-6"/>
        </w:rPr>
        <w:object w:dxaOrig="220" w:dyaOrig="200">
          <v:shape id="_x0000_i1332" type="#_x0000_t75" style="width:9.2pt;height:9.2pt" o:ole="">
            <v:imagedata r:id="rId621" o:title=""/>
          </v:shape>
          <o:OLEObject Type="Embed" ProgID="Equation.DSMT4" ShapeID="_x0000_i1332" DrawAspect="Content" ObjectID="_1359267255" r:id="rId622"/>
        </w:object>
      </w:r>
      <w:r w:rsidRPr="001F035A">
        <w:t xml:space="preserve"> as equals to 0.5. The labor elasticity parameter </w:t>
      </w:r>
      <w:r w:rsidRPr="001F035A">
        <w:rPr>
          <w:position w:val="-6"/>
        </w:rPr>
        <w:object w:dxaOrig="700" w:dyaOrig="260">
          <v:shape id="_x0000_i1333" type="#_x0000_t75" style="width:34.35pt;height:13.4pt" o:ole="">
            <v:imagedata r:id="rId623" o:title=""/>
          </v:shape>
          <o:OLEObject Type="Embed" ProgID="Equation.DSMT4" ShapeID="_x0000_i1333" DrawAspect="Content" ObjectID="_1359267256" r:id="rId624"/>
        </w:object>
      </w:r>
      <w:r w:rsidRPr="001F035A">
        <w:t xml:space="preserve"> is chosen to match the observed labor volatility in the US business cycle. Habit parameters in consumption and hours are set to match with the observed persistence in these variables in US business cycle data and at the same time it helps matching with the corresponding correlation between output and these variables in the actual data.</w:t>
      </w:r>
      <w:r w:rsidRPr="001F035A">
        <w:rPr>
          <w:rStyle w:val="FootnoteReference"/>
        </w:rPr>
        <w:footnoteReference w:id="36"/>
      </w:r>
      <w:r w:rsidRPr="001F035A">
        <w:t xml:space="preserve">   The value of the labor parameter </w:t>
      </w:r>
      <w:r w:rsidR="001A5B92" w:rsidRPr="001F035A">
        <w:rPr>
          <w:position w:val="-10"/>
        </w:rPr>
        <w:object w:dxaOrig="900" w:dyaOrig="300">
          <v:shape id="_x0000_i1334" type="#_x0000_t75" style="width:45.2pt;height:15.05pt" o:ole="">
            <v:imagedata r:id="rId625" o:title=""/>
          </v:shape>
          <o:OLEObject Type="Embed" ProgID="Equation.DSMT4" ShapeID="_x0000_i1334" DrawAspect="Content" ObjectID="_1359267257" r:id="rId626"/>
        </w:object>
      </w:r>
      <w:r w:rsidRPr="001F035A">
        <w:t xml:space="preserve"> is set to ensure that the steady state level of employment is 30 percent of the time endowment, given other parameters values. The long run real quarterly interest rate is set to</w:t>
      </w:r>
      <w:r w:rsidRPr="001F035A">
        <w:rPr>
          <w:position w:val="-12"/>
        </w:rPr>
        <w:object w:dxaOrig="1219" w:dyaOrig="400">
          <v:shape id="_x0000_i1335" type="#_x0000_t75" style="width:62.8pt;height:19.25pt" o:ole="">
            <v:imagedata r:id="rId627" o:title=""/>
          </v:shape>
          <o:OLEObject Type="Embed" ProgID="Equation.DSMT4" ShapeID="_x0000_i1335" DrawAspect="Content" ObjectID="_1359267258" r:id="rId628"/>
        </w:object>
      </w:r>
      <w:r w:rsidRPr="001F035A">
        <w:t xml:space="preserve">.  Given the interest rate and the assumption of zero growth rate in equilibrium (in per-capita terms), the consistent value of the subjective discount factor </w:t>
      </w:r>
      <w:r w:rsidRPr="001F035A">
        <w:rPr>
          <w:position w:val="-10"/>
        </w:rPr>
        <w:object w:dxaOrig="240" w:dyaOrig="300">
          <v:shape id="_x0000_i1336" type="#_x0000_t75" style="width:13.4pt;height:13.4pt" o:ole="">
            <v:imagedata r:id="rId629" o:title=""/>
          </v:shape>
          <o:OLEObject Type="Embed" ProgID="Equation.DSMT4" ShapeID="_x0000_i1336" DrawAspect="Content" ObjectID="_1359267259" r:id="rId630"/>
        </w:object>
      </w:r>
      <w:r w:rsidRPr="001F035A">
        <w:t>is</w:t>
      </w:r>
      <w:r w:rsidRPr="001F035A">
        <w:rPr>
          <w:position w:val="-6"/>
        </w:rPr>
        <w:object w:dxaOrig="639" w:dyaOrig="300">
          <v:shape id="_x0000_i1337" type="#_x0000_t75" style="width:33.5pt;height:13.4pt" o:ole="">
            <v:imagedata r:id="rId631" o:title=""/>
          </v:shape>
          <o:OLEObject Type="Embed" ProgID="Equation.DSMT4" ShapeID="_x0000_i1337" DrawAspect="Content" ObjectID="_1359267260" r:id="rId632"/>
        </w:object>
      </w:r>
      <w:r w:rsidRPr="001F035A">
        <w:t>. Government size is set to 20 percent of total output where</w:t>
      </w:r>
      <w:r w:rsidRPr="001F035A">
        <w:rPr>
          <w:position w:val="-6"/>
        </w:rPr>
        <w:object w:dxaOrig="160" w:dyaOrig="200">
          <v:shape id="_x0000_i1338" type="#_x0000_t75" style="width:9.2pt;height:9.2pt" o:ole="">
            <v:imagedata r:id="rId633" o:title=""/>
          </v:shape>
          <o:OLEObject Type="Embed" ProgID="Equation.DSMT4" ShapeID="_x0000_i1338" DrawAspect="Content" ObjectID="_1359267261" r:id="rId634"/>
        </w:object>
      </w:r>
      <w:r w:rsidRPr="001F035A">
        <w:t>to ratio</w:t>
      </w:r>
      <w:r w:rsidRPr="001F035A">
        <w:rPr>
          <w:position w:val="-10"/>
        </w:rPr>
        <w:object w:dxaOrig="200" w:dyaOrig="240">
          <v:shape id="_x0000_i1339" type="#_x0000_t75" style="width:9.2pt;height:13.4pt" o:ole="">
            <v:imagedata r:id="rId635" o:title=""/>
          </v:shape>
          <o:OLEObject Type="Embed" ProgID="Equation.DSMT4" ShapeID="_x0000_i1339" DrawAspect="Content" ObjectID="_1359267262" r:id="rId636"/>
        </w:object>
      </w:r>
      <w:r w:rsidR="001A5B92" w:rsidRPr="001F035A">
        <w:rPr>
          <w:position w:val="-12"/>
        </w:rPr>
        <w:object w:dxaOrig="400" w:dyaOrig="340">
          <v:shape id="_x0000_i1340" type="#_x0000_t75" style="width:20.1pt;height:17.6pt" o:ole="">
            <v:imagedata r:id="rId637" o:title=""/>
          </v:shape>
          <o:OLEObject Type="Embed" ProgID="Equation.DSMT4" ShapeID="_x0000_i1340" DrawAspect="Content" ObjectID="_1359267263" r:id="rId638"/>
        </w:object>
      </w:r>
      <w:r w:rsidRPr="001F035A">
        <w:t xml:space="preserve">is 15 percent while </w:t>
      </w:r>
      <w:r w:rsidRPr="001F035A">
        <w:rPr>
          <w:position w:val="-10"/>
        </w:rPr>
        <w:object w:dxaOrig="200" w:dyaOrig="240">
          <v:shape id="_x0000_i1341" type="#_x0000_t75" style="width:7.55pt;height:13.4pt" o:ole="">
            <v:imagedata r:id="rId639" o:title=""/>
          </v:shape>
          <o:OLEObject Type="Embed" ProgID="Equation.DSMT4" ShapeID="_x0000_i1341" DrawAspect="Content" ObjectID="_1359267264" r:id="rId640"/>
        </w:object>
      </w:r>
      <w:r w:rsidRPr="001F035A">
        <w:t xml:space="preserve"> to </w:t>
      </w:r>
      <w:r w:rsidRPr="001F035A">
        <w:rPr>
          <w:position w:val="-10"/>
        </w:rPr>
        <w:object w:dxaOrig="200" w:dyaOrig="240">
          <v:shape id="_x0000_i1342" type="#_x0000_t75" style="width:9.2pt;height:13.4pt" o:ole="">
            <v:imagedata r:id="rId641" o:title=""/>
          </v:shape>
          <o:OLEObject Type="Embed" ProgID="Equation.DSMT4" ShapeID="_x0000_i1342" DrawAspect="Content" ObjectID="_1359267265" r:id="rId642"/>
        </w:object>
      </w:r>
      <w:r w:rsidRPr="001F035A">
        <w:rPr>
          <w:position w:val="-12"/>
        </w:rPr>
        <w:object w:dxaOrig="440" w:dyaOrig="340">
          <v:shape id="_x0000_i1343" type="#_x0000_t75" style="width:22.6pt;height:16.75pt" o:ole="">
            <v:imagedata r:id="rId643" o:title=""/>
          </v:shape>
          <o:OLEObject Type="Embed" ProgID="Equation.DSMT4" ShapeID="_x0000_i1343" DrawAspect="Content" ObjectID="_1359267266" r:id="rId644"/>
        </w:object>
      </w:r>
      <w:r w:rsidRPr="001F035A">
        <w:t>ratio is 5 percent. The size of the BSF at steady state is 10 percent of total government size. The rest of the parameters used in the</w:t>
      </w:r>
      <w:r w:rsidR="00DC394E">
        <w:t xml:space="preserve"> model are summarized in Table A.11</w:t>
      </w:r>
      <w:r w:rsidRPr="001F035A">
        <w:t>.</w:t>
      </w:r>
    </w:p>
    <w:p w:rsidR="00DE6899" w:rsidRPr="001F035A" w:rsidRDefault="00DE6899" w:rsidP="001415CA">
      <w:pPr>
        <w:autoSpaceDE w:val="0"/>
        <w:autoSpaceDN w:val="0"/>
        <w:adjustRightInd w:val="0"/>
        <w:spacing w:before="240" w:after="240" w:line="480" w:lineRule="auto"/>
        <w:ind w:firstLine="720"/>
        <w:jc w:val="both"/>
      </w:pPr>
      <w:r w:rsidRPr="001F035A">
        <w:t xml:space="preserve">Both models are solved for identical long-run steady-state values, using similar parameter values. Following Campbell (1994), we log linearized and approximated each model around their identical steady state values. However, the two models provide different off-steady state dynamics. Needless to say, we are particularly interested in understanding these differences to gauge the role of the BSF in the state economy. As we mentioned earlier, the aggregate level resource constraints are identical in both models. However, the budget constraints of the households and the government are different in the two models. For example, in the model economy without BSF consumption smoothing requires household to choose their saving and investment plan to insure itself against future income fluctuations and the fluctuations in the government provision of public goods. Needless to say, we are particularly interested in understanding these differences to gauge the role of the BSF in the State economy. </w:t>
      </w:r>
    </w:p>
    <w:p w:rsidR="00DE6899" w:rsidRPr="001F035A" w:rsidRDefault="00DE6899" w:rsidP="001415CA">
      <w:pPr>
        <w:spacing w:before="240" w:after="240" w:line="480" w:lineRule="auto"/>
        <w:ind w:firstLine="720"/>
        <w:jc w:val="both"/>
      </w:pPr>
      <w:r w:rsidRPr="001F035A">
        <w:t>The solution to the model without the BSF is a set of stochastic processes for endogenous variables</w:t>
      </w:r>
      <w:r w:rsidRPr="001F035A">
        <w:rPr>
          <w:position w:val="-14"/>
        </w:rPr>
        <w:object w:dxaOrig="3080" w:dyaOrig="420">
          <v:shape id="_x0000_i1344" type="#_x0000_t75" style="width:153.2pt;height:19.25pt" o:ole="">
            <v:imagedata r:id="rId645" o:title=""/>
          </v:shape>
          <o:OLEObject Type="Embed" ProgID="Equation.DSMT4" ShapeID="_x0000_i1344" DrawAspect="Content" ObjectID="_1359267267" r:id="rId646"/>
        </w:object>
      </w:r>
      <w:r w:rsidRPr="001F035A">
        <w:t xml:space="preserve"> that satisfies the household’s budget constraint (equation </w:t>
      </w:r>
      <w:r w:rsidR="00A9497E">
        <w:t>3.</w:t>
      </w:r>
      <w:r w:rsidRPr="001F035A">
        <w:t xml:space="preserve">4), private investment (equation </w:t>
      </w:r>
      <w:r w:rsidR="00A9497E">
        <w:t>3.</w:t>
      </w:r>
      <w:r w:rsidRPr="001F035A">
        <w:t xml:space="preserve">5), the transition equation for financial asset holdings (equation </w:t>
      </w:r>
      <w:r w:rsidR="00A9497E">
        <w:t>3.</w:t>
      </w:r>
      <w:r w:rsidRPr="001F035A">
        <w:t xml:space="preserve">6), the production technology (as defined in equations </w:t>
      </w:r>
      <w:r w:rsidR="00A9497E">
        <w:t>3.</w:t>
      </w:r>
      <w:r w:rsidRPr="001F035A">
        <w:t xml:space="preserve">7, </w:t>
      </w:r>
      <w:r w:rsidR="00A9497E">
        <w:t>3.</w:t>
      </w:r>
      <w:r w:rsidRPr="001F035A">
        <w:t xml:space="preserve">8 and </w:t>
      </w:r>
      <w:r w:rsidR="00A9497E">
        <w:t>3.</w:t>
      </w:r>
      <w:r w:rsidRPr="001F035A">
        <w:t xml:space="preserve">9), the government’s budget constraint (equation </w:t>
      </w:r>
      <w:r w:rsidR="00A9497E">
        <w:t>3.</w:t>
      </w:r>
      <w:r w:rsidRPr="001F035A">
        <w:t xml:space="preserve">10) , the transition equation defining public capital (equation </w:t>
      </w:r>
      <w:r w:rsidR="00A9497E">
        <w:t>3.</w:t>
      </w:r>
      <w:r w:rsidRPr="001F035A">
        <w:t xml:space="preserve">11), the government’s spending allocation rules (as defined in equations </w:t>
      </w:r>
      <w:r w:rsidR="00A9497E">
        <w:t>3.</w:t>
      </w:r>
      <w:r w:rsidRPr="001F035A">
        <w:t xml:space="preserve">12, </w:t>
      </w:r>
      <w:r w:rsidR="00A9497E">
        <w:t>3.</w:t>
      </w:r>
      <w:r w:rsidRPr="001F035A">
        <w:t xml:space="preserve">13 and </w:t>
      </w:r>
      <w:r w:rsidR="00A9497E">
        <w:t>3.</w:t>
      </w:r>
      <w:r w:rsidRPr="001F035A">
        <w:t xml:space="preserve">14), the household’s optimal conditions (expressed in equations </w:t>
      </w:r>
      <w:r w:rsidR="00A9497E">
        <w:t>3.</w:t>
      </w:r>
      <w:r w:rsidRPr="001F035A">
        <w:t>15-</w:t>
      </w:r>
      <w:r w:rsidR="00A9497E">
        <w:t>3.</w:t>
      </w:r>
      <w:r w:rsidRPr="001F035A">
        <w:t>18), given the government’s instruments</w:t>
      </w:r>
      <w:r w:rsidRPr="001F035A">
        <w:rPr>
          <w:position w:val="-16"/>
        </w:rPr>
        <w:object w:dxaOrig="1359" w:dyaOrig="420">
          <v:shape id="_x0000_i1345" type="#_x0000_t75" style="width:71.15pt;height:24.3pt" o:ole="">
            <v:imagedata r:id="rId647" o:title=""/>
          </v:shape>
          <o:OLEObject Type="Embed" ProgID="Equation.DSMT4" ShapeID="_x0000_i1345" DrawAspect="Content" ObjectID="_1359267268" r:id="rId648"/>
        </w:object>
      </w:r>
      <w:r w:rsidRPr="001F035A">
        <w:t>, the initial conditions</w:t>
      </w:r>
      <w:r w:rsidRPr="001F035A">
        <w:rPr>
          <w:position w:val="-12"/>
        </w:rPr>
        <w:object w:dxaOrig="2120" w:dyaOrig="360">
          <v:shape id="_x0000_i1346" type="#_x0000_t75" style="width:113.85pt;height:16.75pt" o:ole="">
            <v:imagedata r:id="rId649" o:title=""/>
          </v:shape>
          <o:OLEObject Type="Embed" ProgID="Equation.DSMT4" ShapeID="_x0000_i1346" DrawAspect="Content" ObjectID="_1359267269" r:id="rId650"/>
        </w:object>
      </w:r>
      <w:r w:rsidRPr="001F035A">
        <w:t xml:space="preserve">, and the economy-wide cross sectional output </w:t>
      </w:r>
      <w:r w:rsidRPr="001F035A">
        <w:rPr>
          <w:position w:val="-10"/>
        </w:rPr>
        <w:object w:dxaOrig="240" w:dyaOrig="320">
          <v:shape id="_x0000_i1347" type="#_x0000_t75" style="width:9.2pt;height:16.75pt" o:ole="">
            <v:imagedata r:id="rId651" o:title=""/>
          </v:shape>
          <o:OLEObject Type="Embed" ProgID="Equation.DSMT4" ShapeID="_x0000_i1347" DrawAspect="Content" ObjectID="_1359267270" r:id="rId652"/>
        </w:object>
      </w:r>
      <w:r w:rsidRPr="001F035A">
        <w:t xml:space="preserve">.  </w:t>
      </w:r>
    </w:p>
    <w:p w:rsidR="00DE6899" w:rsidRPr="001F035A" w:rsidRDefault="00DE6899" w:rsidP="001415CA">
      <w:pPr>
        <w:spacing w:before="240" w:after="240" w:line="480" w:lineRule="auto"/>
        <w:ind w:firstLine="720"/>
        <w:jc w:val="both"/>
      </w:pPr>
      <w:r w:rsidRPr="001F035A">
        <w:t>With the BSF, the solution is a set of stochastic processes for endogenous variables</w:t>
      </w:r>
      <w:r w:rsidRPr="001F035A">
        <w:rPr>
          <w:position w:val="-14"/>
        </w:rPr>
        <w:object w:dxaOrig="3120" w:dyaOrig="420">
          <v:shape id="_x0000_i1348" type="#_x0000_t75" style="width:157.4pt;height:19.25pt" o:ole="">
            <v:imagedata r:id="rId653" o:title=""/>
          </v:shape>
          <o:OLEObject Type="Embed" ProgID="Equation.DSMT4" ShapeID="_x0000_i1348" DrawAspect="Content" ObjectID="_1359267271" r:id="rId654"/>
        </w:object>
      </w:r>
      <w:r w:rsidRPr="001F035A">
        <w:t xml:space="preserve"> that satisfies the household’s modified budget constraint (equation 24), the transition equation for private capital (equation </w:t>
      </w:r>
      <w:r w:rsidR="00A9497E">
        <w:t>3.</w:t>
      </w:r>
      <w:r w:rsidRPr="001F035A">
        <w:t xml:space="preserve">5), the transition equation for financial asset holding (equation </w:t>
      </w:r>
      <w:r w:rsidR="00A9497E">
        <w:t>3.</w:t>
      </w:r>
      <w:r w:rsidRPr="001F035A">
        <w:t xml:space="preserve">6), the production technology (as defined in equations </w:t>
      </w:r>
      <w:r w:rsidR="00A9497E">
        <w:t>3.</w:t>
      </w:r>
      <w:r w:rsidRPr="001F035A">
        <w:t xml:space="preserve">7, </w:t>
      </w:r>
      <w:r w:rsidR="00A9497E">
        <w:t>3.</w:t>
      </w:r>
      <w:r w:rsidRPr="001F035A">
        <w:t xml:space="preserve">8 and </w:t>
      </w:r>
      <w:r w:rsidR="00A9497E">
        <w:t>3.</w:t>
      </w:r>
      <w:r w:rsidRPr="001F035A">
        <w:t xml:space="preserve">9), the modified government’s budget constraint (equation </w:t>
      </w:r>
      <w:r w:rsidR="00A9497E">
        <w:t>3.</w:t>
      </w:r>
      <w:r w:rsidRPr="001F035A">
        <w:t xml:space="preserve">20) , the transition equation for public capital (equation </w:t>
      </w:r>
      <w:r w:rsidR="00A9497E">
        <w:t>3.</w:t>
      </w:r>
      <w:r w:rsidRPr="001F035A">
        <w:t xml:space="preserve">11), the government’s modified spending allocation rules (equations </w:t>
      </w:r>
      <w:r w:rsidR="00A9497E">
        <w:t>3.</w:t>
      </w:r>
      <w:r w:rsidRPr="001F035A">
        <w:t xml:space="preserve">21, </w:t>
      </w:r>
      <w:r w:rsidR="00604586">
        <w:t>3.</w:t>
      </w:r>
      <w:r w:rsidRPr="001F035A">
        <w:t xml:space="preserve">22 and </w:t>
      </w:r>
      <w:r w:rsidR="00A9497E">
        <w:t>3.</w:t>
      </w:r>
      <w:r w:rsidRPr="001F035A">
        <w:t xml:space="preserve">23), the first order conditions obtained from the households optimization problem (equations </w:t>
      </w:r>
      <w:r w:rsidR="00A9497E">
        <w:t>3.</w:t>
      </w:r>
      <w:r w:rsidRPr="001F035A">
        <w:t>15-</w:t>
      </w:r>
      <w:r w:rsidR="00A9497E">
        <w:t>3.</w:t>
      </w:r>
      <w:r w:rsidRPr="001F035A">
        <w:t>18), given the government’s instruments</w:t>
      </w:r>
      <w:r w:rsidRPr="001F035A">
        <w:rPr>
          <w:position w:val="-16"/>
        </w:rPr>
        <w:object w:dxaOrig="1359" w:dyaOrig="420">
          <v:shape id="_x0000_i1349" type="#_x0000_t75" style="width:71.15pt;height:24.3pt" o:ole="">
            <v:imagedata r:id="rId655" o:title=""/>
          </v:shape>
          <o:OLEObject Type="Embed" ProgID="Equation.DSMT4" ShapeID="_x0000_i1349" DrawAspect="Content" ObjectID="_1359267272" r:id="rId656"/>
        </w:object>
      </w:r>
      <w:r w:rsidRPr="001F035A">
        <w:t>, the initial conditions</w:t>
      </w:r>
      <w:r w:rsidRPr="001F035A">
        <w:rPr>
          <w:position w:val="-12"/>
        </w:rPr>
        <w:object w:dxaOrig="2120" w:dyaOrig="360">
          <v:shape id="_x0000_i1350" type="#_x0000_t75" style="width:113.85pt;height:16.75pt" o:ole="">
            <v:imagedata r:id="rId649" o:title=""/>
          </v:shape>
          <o:OLEObject Type="Embed" ProgID="Equation.DSMT4" ShapeID="_x0000_i1350" DrawAspect="Content" ObjectID="_1359267273" r:id="rId657"/>
        </w:object>
      </w:r>
      <w:r w:rsidRPr="001F035A">
        <w:t xml:space="preserve"> , and economy-wide cross sectional output </w:t>
      </w:r>
      <w:r w:rsidRPr="001F035A">
        <w:rPr>
          <w:position w:val="-10"/>
        </w:rPr>
        <w:object w:dxaOrig="240" w:dyaOrig="320">
          <v:shape id="_x0000_i1351" type="#_x0000_t75" style="width:9.2pt;height:16.75pt" o:ole="">
            <v:imagedata r:id="rId658" o:title=""/>
          </v:shape>
          <o:OLEObject Type="Embed" ProgID="Equation.DSMT4" ShapeID="_x0000_i1351" DrawAspect="Content" ObjectID="_1359267274" r:id="rId659"/>
        </w:object>
      </w:r>
      <w:r w:rsidRPr="001F035A">
        <w:t xml:space="preserve">. </w:t>
      </w:r>
    </w:p>
    <w:p w:rsidR="00DE6899" w:rsidRPr="006C2851" w:rsidRDefault="00DE6899" w:rsidP="000E42D7">
      <w:pPr>
        <w:spacing w:before="240" w:after="240" w:line="480" w:lineRule="auto"/>
        <w:jc w:val="both"/>
      </w:pPr>
      <w:r w:rsidRPr="001F035A">
        <w:t xml:space="preserve">The approximated log-linearized system consists of rational difference equations that can be solved using the method of the undetermined coefficient (see </w:t>
      </w:r>
      <w:proofErr w:type="spellStart"/>
      <w:r w:rsidRPr="001F035A">
        <w:t>Uhlig</w:t>
      </w:r>
      <w:proofErr w:type="spellEnd"/>
      <w:r w:rsidRPr="001F035A">
        <w:t xml:space="preserve"> (1999) for details). In the following, we use the solutions for both models to simulate and calculate the impulse response functions to exogenous technology shocks.</w:t>
      </w:r>
      <w:r w:rsidR="000E42D7">
        <w:t xml:space="preserve"> </w:t>
      </w:r>
      <w:r w:rsidR="000E42D7" w:rsidRPr="00292728">
        <w:t xml:space="preserve">The </w:t>
      </w:r>
      <w:r w:rsidR="000E42D7">
        <w:t xml:space="preserve">detailed </w:t>
      </w:r>
      <w:r w:rsidR="000E42D7" w:rsidRPr="00292728">
        <w:t>linearized form of the model and its solution</w:t>
      </w:r>
      <w:r w:rsidR="000E42D7">
        <w:t>s</w:t>
      </w:r>
      <w:r w:rsidR="000E42D7" w:rsidRPr="00292728">
        <w:t xml:space="preserve"> are</w:t>
      </w:r>
      <w:r w:rsidR="000E42D7">
        <w:t xml:space="preserve"> </w:t>
      </w:r>
      <w:r w:rsidR="000E42D7" w:rsidRPr="00292728">
        <w:t xml:space="preserve">appended </w:t>
      </w:r>
      <w:r w:rsidR="000E42D7">
        <w:t>the Technical Note C3.</w:t>
      </w:r>
    </w:p>
    <w:p w:rsidR="005D4E99" w:rsidRPr="00EE6912" w:rsidRDefault="005D4E99" w:rsidP="00A9497E">
      <w:pPr>
        <w:pStyle w:val="Heading2"/>
        <w:numPr>
          <w:ilvl w:val="1"/>
          <w:numId w:val="3"/>
        </w:numPr>
        <w:spacing w:after="240" w:line="480" w:lineRule="auto"/>
        <w:jc w:val="both"/>
        <w:rPr>
          <w:b w:val="0"/>
          <w:bCs w:val="0"/>
        </w:rPr>
      </w:pPr>
      <w:bookmarkStart w:id="45" w:name="_Toc285478036"/>
      <w:r w:rsidRPr="00EE6912">
        <w:rPr>
          <w:b w:val="0"/>
          <w:bCs w:val="0"/>
        </w:rPr>
        <w:t>Results</w:t>
      </w:r>
      <w:bookmarkEnd w:id="45"/>
    </w:p>
    <w:p w:rsidR="00DE6899" w:rsidRPr="001F035A" w:rsidRDefault="00DE6899" w:rsidP="001415CA">
      <w:pPr>
        <w:tabs>
          <w:tab w:val="left" w:pos="4860"/>
        </w:tabs>
        <w:autoSpaceDE w:val="0"/>
        <w:autoSpaceDN w:val="0"/>
        <w:adjustRightInd w:val="0"/>
        <w:spacing w:before="240" w:after="240" w:line="480" w:lineRule="auto"/>
        <w:ind w:firstLine="720"/>
        <w:jc w:val="both"/>
      </w:pPr>
      <w:r w:rsidRPr="001F035A">
        <w:t xml:space="preserve">In this section, we report the main results upon solving the stochastic dynamic models and report the impulse response functions of the main macroeconomic variables to one-time technology shocks.  By doing so, we can clearly explain the differences in the dynamics of the two states.  Characterizing the dynamics of each model is important for many reasons. First, it helps budget planners to make dynamic decisions about the usage of BSFs given the observed economic fluctuations. Second, it fosters an understanding of the dynamic co-movement between the different macro aggregates. We simulate both of the models using identical parameter values as reported in Table </w:t>
      </w:r>
      <w:r w:rsidR="00DC394E">
        <w:t>A.1</w:t>
      </w:r>
      <w:r w:rsidRPr="001F035A">
        <w:t xml:space="preserve">1 and obtain the second moments that describe the main business cycle features of each economy.  The importance of the BSF is also evaluated from three different perspectives. First, we examine its effect on the government budget in terms of stability, volatility, procyclicality and persistence. Second, we evaluate the effects of the BSF on the business cycle characteristics of the state economy. Finally, we also examine the effect of the BSF on household welfare. </w:t>
      </w:r>
    </w:p>
    <w:p w:rsidR="00DE6899" w:rsidRPr="001F035A" w:rsidRDefault="00DC394E" w:rsidP="001415CA">
      <w:pPr>
        <w:tabs>
          <w:tab w:val="left" w:pos="4860"/>
        </w:tabs>
        <w:autoSpaceDE w:val="0"/>
        <w:autoSpaceDN w:val="0"/>
        <w:adjustRightInd w:val="0"/>
        <w:spacing w:before="240" w:after="240" w:line="480" w:lineRule="auto"/>
        <w:ind w:firstLine="720"/>
        <w:jc w:val="both"/>
      </w:pPr>
      <w:r>
        <w:t>Figure B.9</w:t>
      </w:r>
      <w:r w:rsidR="00DE6899" w:rsidRPr="001F035A">
        <w:t xml:space="preserve"> depicts the impulse response function to a technology shock with the parameter values described in the previous section. The solid line represents the response of government expenditure in the baseline economy while the dashed line represents the economy with the BSF. On impact, the shock has no effect on equilibrium government spending. Government expenditures increase due to the positive effect of the shock on income and consumption and gradually slowdown to reach its steady state level as the shock vanishes. The response of total government expenditure in the economy with a BSF is much slower compared to the baseline economy. The reason is that once the positive shock is realized the BSF administration automatically withholds part of the total government revenues in the BSF account.  As a result, the government can spend only a proportion of its tax revenues. As the shock vanishes, the amount allocated to the BSF decreases faster than the slowdown in total revenues. This pushes post-government expenditure above its current revenue yield during the slowdown of total revenues. We must note here that the amplitude of total expenditure with a BSF is higher compared to the baseline model even though the government’s current expenditure with BSF is smoother than the baseline model. Thi</w:t>
      </w:r>
      <w:r>
        <w:t>s is clearly evident in Figure B.10</w:t>
      </w:r>
      <w:r w:rsidR="00DE6899" w:rsidRPr="001F035A">
        <w:t>. The reason for the lower amplitude of current expenditure with the BSF is the smoother income tax revenues and the smoother consumption tax revenues due to smooth</w:t>
      </w:r>
      <w:r>
        <w:t>er output response (see Figure B.11</w:t>
      </w:r>
      <w:r w:rsidR="00DE6899" w:rsidRPr="001F035A">
        <w:t>) and smoother consu</w:t>
      </w:r>
      <w:r>
        <w:t>mption adjustments (see Figure B.12</w:t>
      </w:r>
      <w:r w:rsidR="00DE6899" w:rsidRPr="001F035A">
        <w:t xml:space="preserve">), given that the tax rates are unchanged. </w:t>
      </w:r>
    </w:p>
    <w:p w:rsidR="00DE6899" w:rsidRPr="001F035A" w:rsidRDefault="00DE6899" w:rsidP="001415CA">
      <w:pPr>
        <w:tabs>
          <w:tab w:val="left" w:pos="4860"/>
        </w:tabs>
        <w:autoSpaceDE w:val="0"/>
        <w:autoSpaceDN w:val="0"/>
        <w:adjustRightInd w:val="0"/>
        <w:spacing w:before="240" w:after="240" w:line="480" w:lineRule="auto"/>
        <w:ind w:firstLine="720"/>
        <w:jc w:val="both"/>
      </w:pPr>
      <w:r w:rsidRPr="001F035A">
        <w:t>Since the budget stabilization fund has the effect of smoothing the relative amount spent on public infrastructure during good times, we expect that output will be smoother too. However, since private capital is a substitute for public capital, the positive effect of the productivity shock on private capital is offset by the loss in public capital. This is why investment becomes more volatile with the BSF compared</w:t>
      </w:r>
      <w:r w:rsidR="00DC394E">
        <w:t xml:space="preserve"> to the baseline model (Figure B.14</w:t>
      </w:r>
      <w:r w:rsidRPr="001F035A">
        <w:t>). Note that the increase in private capital after the productivity shock cannot fully offset the slowdown in public investment. This is why the immediate response of the output in the economy with the BSF is slightly less than the output response</w:t>
      </w:r>
      <w:r w:rsidR="00DC394E">
        <w:t xml:space="preserve"> in the baseline model. Figure B.13</w:t>
      </w:r>
      <w:r w:rsidRPr="001F035A">
        <w:t xml:space="preserve"> shows that the employment adjustment is smoother in an economy with BSF. The reason behind the stability gain in employment is the improved stability in the labor market with BSF.  Since household is substituting leisure the consumption (of private and public goods), the enhanced stability in consumption necessarily stabilizes the demand for leisure (the labor supply). The effect of the BSF on stabilizing labor demand is uncertain since private capital becomes more volatile (as noted above) while public capital becomes more stable. Hence, the effect on the marginal product of labor is uncertain. </w:t>
      </w:r>
      <w:r w:rsidR="00F060A2" w:rsidRPr="001F035A">
        <w:t>However, the</w:t>
      </w:r>
      <w:r w:rsidRPr="001F035A">
        <w:t xml:space="preserve"> simulation results in Table </w:t>
      </w:r>
      <w:proofErr w:type="gramStart"/>
      <w:r w:rsidR="00DC394E">
        <w:t>A.</w:t>
      </w:r>
      <w:r w:rsidR="00604586">
        <w:t>1</w:t>
      </w:r>
      <w:r w:rsidRPr="001F035A">
        <w:t>2,</w:t>
      </w:r>
      <w:proofErr w:type="gramEnd"/>
      <w:r w:rsidRPr="001F035A">
        <w:t xml:space="preserve"> show that the equilibrium employment becomes more stable with BSF than it is otherwise. </w:t>
      </w:r>
    </w:p>
    <w:p w:rsidR="00DE6899" w:rsidRPr="001F035A" w:rsidRDefault="00DE6899" w:rsidP="001415CA">
      <w:pPr>
        <w:tabs>
          <w:tab w:val="left" w:pos="4860"/>
        </w:tabs>
        <w:autoSpaceDE w:val="0"/>
        <w:autoSpaceDN w:val="0"/>
        <w:adjustRightInd w:val="0"/>
        <w:spacing w:before="240" w:after="240" w:line="480" w:lineRule="auto"/>
        <w:ind w:firstLine="720"/>
        <w:jc w:val="both"/>
      </w:pPr>
      <w:r w:rsidRPr="001F035A">
        <w:t xml:space="preserve">Table </w:t>
      </w:r>
      <w:r w:rsidR="00DC394E">
        <w:t>A.</w:t>
      </w:r>
      <w:r w:rsidR="00604586">
        <w:t>1</w:t>
      </w:r>
      <w:r w:rsidRPr="001F035A">
        <w:t>2 also shows that the volatility of the current government spending in an economy with a BSF is 3.1 percentage points less than in its counterpart economy without BSF. The persistence of current expenditure also improves with the BSF by 1.2 percent.  Total spending in an economy with a BSF is 11.4 percentage points more volatile than current spending without a BSF.</w:t>
      </w:r>
    </w:p>
    <w:p w:rsidR="00DE6899" w:rsidRPr="001F035A" w:rsidRDefault="00DE6899" w:rsidP="001415CA">
      <w:pPr>
        <w:tabs>
          <w:tab w:val="left" w:pos="4860"/>
        </w:tabs>
        <w:autoSpaceDE w:val="0"/>
        <w:autoSpaceDN w:val="0"/>
        <w:adjustRightInd w:val="0"/>
        <w:spacing w:before="240" w:after="240" w:line="480" w:lineRule="auto"/>
        <w:ind w:firstLine="720"/>
        <w:jc w:val="both"/>
      </w:pPr>
      <w:r w:rsidRPr="001F035A">
        <w:t>The BSF has a significant effect on smoothing the business cycle. In particular, we find that the aggregate real income fluctuations with the BSF decrease by 2.7 percent and the persistence of output increases by 1.2 percent.  We also find that the BSF yields a more stable and persistent employment process and a more volatile and less persistent private investment process. The BSF also reduces the volatility of private consumption by 1.2 percent but has no effect on the procyclicality and persistence of private consumption.</w:t>
      </w:r>
    </w:p>
    <w:p w:rsidR="00DE6899" w:rsidRPr="001F035A" w:rsidRDefault="00DE6899" w:rsidP="001415CA">
      <w:pPr>
        <w:tabs>
          <w:tab w:val="left" w:pos="4860"/>
        </w:tabs>
        <w:autoSpaceDE w:val="0"/>
        <w:autoSpaceDN w:val="0"/>
        <w:adjustRightInd w:val="0"/>
        <w:spacing w:before="240" w:after="240" w:line="480" w:lineRule="auto"/>
        <w:ind w:firstLine="720"/>
        <w:jc w:val="both"/>
      </w:pPr>
      <w:r w:rsidRPr="001F035A">
        <w:t xml:space="preserve">The government with a BSF decides on spending these funds according to its priorities. However, in the baseline model, with private saving funds, household uses these funds to switch its purchasing power across time. Accordingly deposits or the withdrawals from these funds have only income effects on household’s demand. In the alternative model with the existing BSF, savings will have a substitution effect due to the changes it causes in the provision of public consumption services and public capital. The income effect in the later case will be limited the amount of change in the transfer payments of the State government. The reduced income effect of savings will also stabilize the labor supply. With these discrepancies between the two macro economies one may have concerns about the wealth effect of the BSF. However, as in Table </w:t>
      </w:r>
      <w:r w:rsidR="00DC394E">
        <w:t>A.</w:t>
      </w:r>
      <w:r w:rsidR="00604586">
        <w:t>1</w:t>
      </w:r>
      <w:r w:rsidRPr="001F035A">
        <w:t>2, we find interesting results. The BSF yields smoother household utility over the business cycle and reduces slightly the dependence of household’s utility on the aggregate income fluctuations. In other world, the BSF results in limiting the expansion of household’s welfare during the expansion period.</w:t>
      </w:r>
    </w:p>
    <w:p w:rsidR="00CB479E" w:rsidRPr="00EE6912" w:rsidRDefault="005D4E99" w:rsidP="00A9497E">
      <w:pPr>
        <w:pStyle w:val="Heading2"/>
        <w:numPr>
          <w:ilvl w:val="1"/>
          <w:numId w:val="3"/>
        </w:numPr>
        <w:tabs>
          <w:tab w:val="left" w:pos="4860"/>
        </w:tabs>
        <w:autoSpaceDE w:val="0"/>
        <w:autoSpaceDN w:val="0"/>
        <w:adjustRightInd w:val="0"/>
        <w:spacing w:after="240" w:line="480" w:lineRule="auto"/>
        <w:jc w:val="both"/>
        <w:rPr>
          <w:b w:val="0"/>
          <w:bCs w:val="0"/>
        </w:rPr>
      </w:pPr>
      <w:bookmarkStart w:id="46" w:name="_Toc285478037"/>
      <w:r w:rsidRPr="00EE6912">
        <w:rPr>
          <w:b w:val="0"/>
          <w:bCs w:val="0"/>
        </w:rPr>
        <w:t>Conclusion</w:t>
      </w:r>
      <w:bookmarkEnd w:id="46"/>
    </w:p>
    <w:p w:rsidR="00DE6899" w:rsidRPr="001F035A" w:rsidRDefault="00DE6899" w:rsidP="001415CA">
      <w:pPr>
        <w:tabs>
          <w:tab w:val="left" w:pos="4860"/>
        </w:tabs>
        <w:autoSpaceDE w:val="0"/>
        <w:autoSpaceDN w:val="0"/>
        <w:adjustRightInd w:val="0"/>
        <w:spacing w:before="240" w:after="240" w:line="480" w:lineRule="auto"/>
        <w:ind w:firstLine="720"/>
        <w:jc w:val="both"/>
      </w:pPr>
      <w:r w:rsidRPr="001F035A">
        <w:t xml:space="preserve">The recent global financial and fiscal crises have led to more interest in countercyclical fiscal policies to mitigate the macroeconomic business cycle. This is especially important in light of the perceived weaknesses of the U.S. fiscal stimulus program.  One important fiscal instrument available to state governments is the BSF, which may help States’ governments reducing the procyclicality in their total revenues and at the same time enhancing the countercyclicality of their aggregate expenditure and reduces the cost of the national level intervention to mitigate the aggregate business cycle of the US economy. The central question that we ask here is whether or not BSFs can mitigate the business cycles in the State economies. To answer this question, we have developed a real business cycle model in which government spending is important for three reasons; direct welfare enhancing, income distribution and productivity enhancing). Based on an optimal rule that we derived for government savings in the BSF, we find that the BSF stabilizes the government’s current spending (financed by tax revenues) and improves its persistence. Total government spending becomes significantly less procyclical. More importantly, we find that the States’ BSFs reduces business cycle fluctuations in general, smoothes utility and reduces its dependence on current income. Our model should serve as a micro foundation for an activist government and strongly recommends the establishment of BSFs. Given this foundation, our future research aims at examining the optimal size of the BSF for different States. </w:t>
      </w:r>
    </w:p>
    <w:p w:rsidR="003966E8" w:rsidRPr="00A55804" w:rsidRDefault="003966E8" w:rsidP="00786F2D">
      <w:pPr>
        <w:pStyle w:val="StyleHeading1Centered"/>
        <w:jc w:val="left"/>
        <w:rPr>
          <w:rFonts w:asciiTheme="majorBidi" w:hAnsiTheme="majorBidi" w:cstheme="majorBidi"/>
        </w:rPr>
      </w:pPr>
    </w:p>
    <w:p w:rsidR="003966E8" w:rsidRPr="00A55804" w:rsidRDefault="003966E8" w:rsidP="00786F2D">
      <w:pPr>
        <w:pStyle w:val="StyleHeading1Centered"/>
        <w:jc w:val="left"/>
        <w:rPr>
          <w:rFonts w:asciiTheme="majorBidi" w:hAnsiTheme="majorBidi" w:cstheme="majorBidi"/>
        </w:rPr>
      </w:pPr>
    </w:p>
    <w:p w:rsidR="003966E8" w:rsidRPr="00A55804" w:rsidRDefault="003966E8" w:rsidP="00786F2D">
      <w:pPr>
        <w:pStyle w:val="StyleHeading1Centered"/>
        <w:jc w:val="left"/>
        <w:rPr>
          <w:rFonts w:asciiTheme="majorBidi" w:hAnsiTheme="majorBidi" w:cstheme="majorBidi"/>
        </w:rPr>
      </w:pPr>
    </w:p>
    <w:p w:rsidR="003966E8" w:rsidRPr="00A55804" w:rsidRDefault="003966E8" w:rsidP="00786F2D">
      <w:pPr>
        <w:pStyle w:val="StyleHeading1Centered"/>
        <w:jc w:val="left"/>
        <w:rPr>
          <w:rFonts w:asciiTheme="majorBidi" w:hAnsiTheme="majorBidi" w:cstheme="majorBidi"/>
        </w:rPr>
      </w:pPr>
    </w:p>
    <w:p w:rsidR="003966E8" w:rsidRPr="00A55804" w:rsidRDefault="003966E8" w:rsidP="00786F2D">
      <w:pPr>
        <w:pStyle w:val="StyleHeading1Centered"/>
        <w:jc w:val="left"/>
        <w:rPr>
          <w:rFonts w:asciiTheme="majorBidi" w:hAnsiTheme="majorBidi" w:cstheme="majorBidi"/>
        </w:rPr>
      </w:pPr>
    </w:p>
    <w:p w:rsidR="003966E8" w:rsidRPr="00A55804" w:rsidRDefault="003966E8" w:rsidP="00786F2D">
      <w:pPr>
        <w:pStyle w:val="StyleHeading1Centered"/>
        <w:jc w:val="left"/>
        <w:rPr>
          <w:rFonts w:asciiTheme="majorBidi" w:hAnsiTheme="majorBidi" w:cstheme="majorBidi"/>
        </w:rPr>
      </w:pPr>
    </w:p>
    <w:p w:rsidR="003966E8" w:rsidRDefault="003966E8"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EE6912" w:rsidRDefault="00EE6912" w:rsidP="00786F2D">
      <w:pPr>
        <w:pStyle w:val="StyleHeading1Centered"/>
        <w:jc w:val="left"/>
        <w:rPr>
          <w:rFonts w:asciiTheme="majorBidi" w:hAnsiTheme="majorBidi" w:cstheme="majorBidi"/>
        </w:rPr>
      </w:pPr>
    </w:p>
    <w:p w:rsidR="00835214" w:rsidRDefault="00835214" w:rsidP="00786F2D">
      <w:pPr>
        <w:pStyle w:val="StyleHeading1Centered"/>
        <w:jc w:val="left"/>
        <w:rPr>
          <w:rFonts w:asciiTheme="majorBidi" w:hAnsiTheme="majorBidi" w:cstheme="majorBidi"/>
        </w:rPr>
      </w:pPr>
    </w:p>
    <w:p w:rsidR="00835214" w:rsidRDefault="00835214" w:rsidP="00786F2D">
      <w:pPr>
        <w:pStyle w:val="StyleHeading1Centered"/>
        <w:jc w:val="left"/>
        <w:rPr>
          <w:rFonts w:asciiTheme="majorBidi" w:hAnsiTheme="majorBidi" w:cstheme="majorBidi"/>
        </w:rPr>
      </w:pPr>
    </w:p>
    <w:p w:rsidR="00211C57" w:rsidRDefault="00211C57" w:rsidP="00211C57"/>
    <w:p w:rsidR="00211C57" w:rsidRPr="00211C57" w:rsidRDefault="00211C57" w:rsidP="00211C57"/>
    <w:p w:rsidR="0051003D" w:rsidRDefault="0051003D" w:rsidP="00EE1FD7">
      <w:pPr>
        <w:pStyle w:val="Heading1"/>
        <w:jc w:val="center"/>
        <w:rPr>
          <w:rFonts w:asciiTheme="majorBidi" w:hAnsiTheme="majorBidi"/>
          <w:b w:val="0"/>
          <w:bCs w:val="0"/>
          <w:color w:val="auto"/>
          <w:sz w:val="48"/>
          <w:szCs w:val="48"/>
        </w:rPr>
      </w:pPr>
    </w:p>
    <w:p w:rsidR="0051003D" w:rsidRDefault="0051003D" w:rsidP="00EE1FD7">
      <w:pPr>
        <w:pStyle w:val="Heading1"/>
        <w:jc w:val="center"/>
        <w:rPr>
          <w:rFonts w:asciiTheme="majorBidi" w:hAnsiTheme="majorBidi"/>
          <w:b w:val="0"/>
          <w:bCs w:val="0"/>
          <w:color w:val="auto"/>
          <w:sz w:val="48"/>
          <w:szCs w:val="48"/>
        </w:rPr>
      </w:pPr>
    </w:p>
    <w:p w:rsidR="0051003D" w:rsidRDefault="0051003D" w:rsidP="00EE1FD7">
      <w:pPr>
        <w:pStyle w:val="Heading1"/>
        <w:jc w:val="center"/>
        <w:rPr>
          <w:rFonts w:asciiTheme="majorBidi" w:hAnsiTheme="majorBidi"/>
          <w:b w:val="0"/>
          <w:bCs w:val="0"/>
          <w:color w:val="auto"/>
          <w:sz w:val="48"/>
          <w:szCs w:val="48"/>
        </w:rPr>
      </w:pPr>
    </w:p>
    <w:p w:rsidR="0051003D" w:rsidRDefault="0051003D" w:rsidP="00EE1FD7">
      <w:pPr>
        <w:pStyle w:val="Heading1"/>
        <w:jc w:val="center"/>
        <w:rPr>
          <w:rFonts w:asciiTheme="majorBidi" w:hAnsiTheme="majorBidi"/>
          <w:b w:val="0"/>
          <w:bCs w:val="0"/>
          <w:color w:val="auto"/>
          <w:sz w:val="48"/>
          <w:szCs w:val="48"/>
        </w:rPr>
      </w:pPr>
    </w:p>
    <w:p w:rsidR="00625317" w:rsidRPr="00A55804" w:rsidRDefault="00625317" w:rsidP="00EE1FD7">
      <w:pPr>
        <w:pStyle w:val="Heading1"/>
        <w:jc w:val="center"/>
        <w:rPr>
          <w:rFonts w:asciiTheme="majorBidi" w:eastAsiaTheme="minorEastAsia" w:hAnsiTheme="majorBidi"/>
          <w:sz w:val="36"/>
          <w:szCs w:val="36"/>
          <w:lang w:eastAsia="zh-CN"/>
        </w:rPr>
      </w:pPr>
      <w:bookmarkStart w:id="47" w:name="_Toc285478038"/>
      <w:r w:rsidRPr="00EE1FD7">
        <w:rPr>
          <w:rFonts w:asciiTheme="majorBidi" w:hAnsiTheme="majorBidi"/>
          <w:b w:val="0"/>
          <w:bCs w:val="0"/>
          <w:color w:val="auto"/>
          <w:sz w:val="48"/>
          <w:szCs w:val="48"/>
        </w:rPr>
        <w:t>Bibliography</w:t>
      </w:r>
      <w:bookmarkEnd w:id="47"/>
    </w:p>
    <w:p w:rsidR="00DC5BC8" w:rsidRPr="00A55804" w:rsidRDefault="00DC5BC8" w:rsidP="00385F1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rPr>
      </w:pPr>
      <w:r w:rsidRPr="00A55804">
        <w:rPr>
          <w:rFonts w:asciiTheme="majorBidi" w:hAnsiTheme="majorBidi" w:cstheme="majorBidi"/>
          <w:sz w:val="28"/>
          <w:szCs w:val="28"/>
        </w:rPr>
        <w:br w:type="page"/>
      </w:r>
    </w:p>
    <w:tbl>
      <w:tblPr>
        <w:tblW w:w="10348" w:type="dxa"/>
        <w:tblCellMar>
          <w:left w:w="0" w:type="dxa"/>
          <w:right w:w="0" w:type="dxa"/>
        </w:tblCellMar>
        <w:tblLook w:val="04A0"/>
      </w:tblPr>
      <w:tblGrid>
        <w:gridCol w:w="10348"/>
      </w:tblGrid>
      <w:tr w:rsidR="004C05AB" w:rsidTr="004C05AB">
        <w:trPr>
          <w:trHeight w:val="315"/>
        </w:trPr>
        <w:tc>
          <w:tcPr>
            <w:tcW w:w="10348" w:type="dxa"/>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Default="004C05AB" w:rsidP="004C05AB">
            <w:pPr>
              <w:rPr>
                <w:color w:val="000000"/>
              </w:rPr>
            </w:pP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Abel, A., 1990. Asset prices under habit formation and catching up with the joneses, American Economic Review, 80 38–42.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Agénor</w:t>
            </w:r>
            <w:proofErr w:type="spellEnd"/>
            <w:r w:rsidRPr="004C05AB">
              <w:t xml:space="preserve">, P., </w:t>
            </w:r>
            <w:proofErr w:type="spellStart"/>
            <w:r w:rsidRPr="004C05AB">
              <w:t>Aizenman</w:t>
            </w:r>
            <w:proofErr w:type="spellEnd"/>
            <w:r w:rsidRPr="004C05AB">
              <w:t>, J., 2004.  Savings and the terms of trade under borrowing constraints. Journal of International Economics, 63 321–340.</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Aguiar</w:t>
            </w:r>
            <w:proofErr w:type="spellEnd"/>
            <w:r w:rsidRPr="004C05AB">
              <w:t xml:space="preserve">, M., </w:t>
            </w:r>
            <w:proofErr w:type="spellStart"/>
            <w:r w:rsidRPr="004C05AB">
              <w:t>Gopinath</w:t>
            </w:r>
            <w:proofErr w:type="spellEnd"/>
            <w:r w:rsidRPr="004C05AB">
              <w:t>, G., 2007. Emerging market business cycles: the cycle is the trend. Journal of Political Economy, 115 1 69–102.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Backus, D., Kehoe, P., 1992. International evidence on the historical properties of business cycles. American Economic Review, 82 4 864–88.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Baier</w:t>
            </w:r>
            <w:proofErr w:type="spellEnd"/>
            <w:r w:rsidRPr="004C05AB">
              <w:t xml:space="preserve"> S., </w:t>
            </w:r>
            <w:proofErr w:type="spellStart"/>
            <w:r w:rsidRPr="004C05AB">
              <w:t>Glomm</w:t>
            </w:r>
            <w:proofErr w:type="spellEnd"/>
            <w:r w:rsidRPr="004C05AB">
              <w:t xml:space="preserve"> G., 2000. Long-run growth and welfare effects of public policies with distortionary taxation. Journal of Economic Dynamics &amp; Control, 25 2007–2042.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Balassone</w:t>
            </w:r>
            <w:proofErr w:type="gramStart"/>
            <w:r w:rsidRPr="004C05AB">
              <w:t>,F</w:t>
            </w:r>
            <w:proofErr w:type="spellEnd"/>
            <w:proofErr w:type="gramEnd"/>
            <w:r w:rsidRPr="004C05AB">
              <w:t xml:space="preserve">., Franco, D., </w:t>
            </w:r>
            <w:proofErr w:type="spellStart"/>
            <w:r w:rsidRPr="004C05AB">
              <w:t>Zotteri</w:t>
            </w:r>
            <w:proofErr w:type="spellEnd"/>
            <w:r w:rsidRPr="004C05AB">
              <w:t xml:space="preserve">, S., 2007. Rainy day funds: can they make a difference in Europe? </w:t>
            </w:r>
            <w:proofErr w:type="spellStart"/>
            <w:r w:rsidRPr="004C05AB">
              <w:t>Banca</w:t>
            </w:r>
            <w:proofErr w:type="spellEnd"/>
            <w:r w:rsidRPr="004C05AB">
              <w:t xml:space="preserve"> </w:t>
            </w:r>
            <w:proofErr w:type="spellStart"/>
            <w:r w:rsidRPr="004C05AB">
              <w:t>d’Italia</w:t>
            </w:r>
            <w:proofErr w:type="spellEnd"/>
            <w:r w:rsidRPr="004C05AB">
              <w:t>, Occasional Papers 11.</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Barro</w:t>
            </w:r>
            <w:proofErr w:type="spellEnd"/>
            <w:r w:rsidRPr="004C05AB">
              <w:t xml:space="preserve"> R., 1990.  Government spending in a simple model of endogenous growth.  Journal of Political Economy, 98 103–125.</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Basu</w:t>
            </w:r>
            <w:proofErr w:type="spellEnd"/>
            <w:r w:rsidRPr="004C05AB">
              <w:t>, S., Kimball, M., 1997. Cyclical productivity and unobserved input variation. NBER WP 5915.</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Baunsgaard</w:t>
            </w:r>
            <w:proofErr w:type="spellEnd"/>
            <w:r w:rsidRPr="004C05AB">
              <w:t xml:space="preserve">, T., </w:t>
            </w:r>
            <w:proofErr w:type="spellStart"/>
            <w:r w:rsidRPr="004C05AB">
              <w:t>Symansky</w:t>
            </w:r>
            <w:proofErr w:type="spellEnd"/>
            <w:r w:rsidRPr="004C05AB">
              <w:t>, S., 2009. Automatic fiscal stabilizers: how can they be enhanced without increasing the size of government? IMF, SPN 23.</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Baxter, D., Farr, D., 2001. Variable factor utilization and international business cycles. NBER, WP 8392. </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Bernanke, B., 1985. Adjustment costs, durables, and aggregate consumption. Journal </w:t>
            </w:r>
            <w:proofErr w:type="gramStart"/>
            <w:r w:rsidRPr="004C05AB">
              <w:t>of  Monetary</w:t>
            </w:r>
            <w:proofErr w:type="gramEnd"/>
            <w:r w:rsidRPr="004C05AB">
              <w:t xml:space="preserve">  Economics, 15 1 41–68.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Broda</w:t>
            </w:r>
            <w:proofErr w:type="spellEnd"/>
            <w:r w:rsidRPr="004C05AB">
              <w:t>, C., 2004. Terms of trade and exchange rate regimes in developing countries. Journal of International Economics, 63 31–58.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Burnside, A., </w:t>
            </w:r>
            <w:proofErr w:type="spellStart"/>
            <w:r w:rsidRPr="004C05AB">
              <w:t>Eichenbaum</w:t>
            </w:r>
            <w:proofErr w:type="spellEnd"/>
            <w:r w:rsidRPr="004C05AB">
              <w:t>, M., 1996. Factor-hoarding and the propagation of business-cycle shocks. American Economic Review, 86 1154–74.</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Burnside, A., </w:t>
            </w:r>
            <w:proofErr w:type="spellStart"/>
            <w:r w:rsidRPr="004C05AB">
              <w:t>Eichenbaum</w:t>
            </w:r>
            <w:proofErr w:type="spellEnd"/>
            <w:r w:rsidRPr="004C05AB">
              <w:t xml:space="preserve">, M., </w:t>
            </w:r>
            <w:proofErr w:type="spellStart"/>
            <w:r w:rsidRPr="004C05AB">
              <w:t>Rebelo</w:t>
            </w:r>
            <w:proofErr w:type="spellEnd"/>
            <w:r w:rsidRPr="004C05AB">
              <w:t>, S., 1993. Labor hoarding and the business cycle. Journal of Political Economy, 101, 245–73.</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Campbell, J., 1994. Inspecting the mechanism: an analytical approach to the stochastic growth model. Journal of Monetary Economics, 33 463–506.</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Campbell, J., Cochrane, J., 1999. By force of habit: a consumption based explanation of aggregate stock market behavior. Journal of Political Economy, 107 205–51.</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Campbell, J.Y., 1994. Inspecting the mechanism: an analytical approach to the stochastic growth model. Journal of Monetary Economics, 33 463–506.</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 </w:t>
            </w:r>
            <w:proofErr w:type="spellStart"/>
            <w:r w:rsidRPr="004C05AB">
              <w:t>Cashin</w:t>
            </w:r>
            <w:proofErr w:type="spellEnd"/>
            <w:r w:rsidRPr="004C05AB">
              <w:t xml:space="preserve">, P., </w:t>
            </w:r>
            <w:proofErr w:type="spellStart"/>
            <w:r w:rsidRPr="004C05AB">
              <w:t>Mcdermott</w:t>
            </w:r>
            <w:proofErr w:type="spellEnd"/>
            <w:r w:rsidRPr="004C05AB">
              <w:t>, C., 2002. Terms of trade shocks and the current account: evidence from five industrial countries. Open Economies Review, 13 219–235.</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Constantinides</w:t>
            </w:r>
            <w:proofErr w:type="spellEnd"/>
            <w:r w:rsidRPr="004C05AB">
              <w:t xml:space="preserve">, G., 1990. Habit formation: A resolution </w:t>
            </w:r>
            <w:proofErr w:type="spellStart"/>
            <w:r w:rsidRPr="004C05AB">
              <w:t>to</w:t>
            </w:r>
            <w:proofErr w:type="spellEnd"/>
            <w:r w:rsidRPr="004C05AB">
              <w:t xml:space="preserve"> of the equity premium puzzle. Journal of Political Economy, 98 519–543.</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Constantinides</w:t>
            </w:r>
            <w:proofErr w:type="spellEnd"/>
            <w:r w:rsidRPr="004C05AB">
              <w:t xml:space="preserve">, G., </w:t>
            </w:r>
            <w:proofErr w:type="spellStart"/>
            <w:r w:rsidRPr="004C05AB">
              <w:t>Ferson</w:t>
            </w:r>
            <w:proofErr w:type="spellEnd"/>
            <w:r w:rsidRPr="004C05AB">
              <w:t xml:space="preserve">, W., 1991. Habit persistence and durability in aggregate consumption. Journal of Financial Economics, 29 199–240.  </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Correia</w:t>
            </w:r>
            <w:proofErr w:type="spellEnd"/>
            <w:r w:rsidRPr="004C05AB">
              <w:t xml:space="preserve">, I., </w:t>
            </w:r>
            <w:proofErr w:type="spellStart"/>
            <w:r w:rsidRPr="004C05AB">
              <w:t>Neves</w:t>
            </w:r>
            <w:proofErr w:type="spellEnd"/>
            <w:r w:rsidRPr="004C05AB">
              <w:t xml:space="preserve">, J., </w:t>
            </w:r>
            <w:proofErr w:type="spellStart"/>
            <w:r w:rsidRPr="004C05AB">
              <w:t>Rebelo</w:t>
            </w:r>
            <w:proofErr w:type="spellEnd"/>
            <w:r w:rsidRPr="004C05AB">
              <w:t xml:space="preserve"> S., 1995. Business cycles in a small open economy. European Economic Review, 39 1089–1113.</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Douglas, J., </w:t>
            </w:r>
            <w:proofErr w:type="spellStart"/>
            <w:r w:rsidRPr="004C05AB">
              <w:t>Gaddie</w:t>
            </w:r>
            <w:proofErr w:type="spellEnd"/>
            <w:r w:rsidRPr="004C05AB">
              <w:t xml:space="preserve">, R., 2002.  State Rainy Day Funds and fiscal crises: Rainy Day Funds and the 1990–1990 </w:t>
            </w:r>
            <w:proofErr w:type="gramStart"/>
            <w:r w:rsidRPr="004C05AB">
              <w:t>recession</w:t>
            </w:r>
            <w:proofErr w:type="gramEnd"/>
            <w:r w:rsidRPr="004C05AB">
              <w:t xml:space="preserve"> revisited.  Public budgeting and finance, 22 1 19–30.</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Eicher</w:t>
            </w:r>
            <w:proofErr w:type="gramStart"/>
            <w:r w:rsidRPr="004C05AB">
              <w:t>,T</w:t>
            </w:r>
            <w:proofErr w:type="spellEnd"/>
            <w:proofErr w:type="gramEnd"/>
            <w:r w:rsidRPr="004C05AB">
              <w:t xml:space="preserve">., Schubert, S., </w:t>
            </w:r>
            <w:proofErr w:type="spellStart"/>
            <w:r w:rsidRPr="004C05AB">
              <w:t>Turnovesky</w:t>
            </w:r>
            <w:proofErr w:type="spellEnd"/>
            <w:r w:rsidRPr="004C05AB">
              <w:t>, S., 2008. Dynamic effects of the trade shocks: The impact on debt and growth. Journal of International Money and Finance, 27 876–896.</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Engel, C., Wang J., 2011. International trade in durable goods: understanding volatility, cyclicality, and elasticities. Journal of International Economics, (Forthcoming).</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Fatas</w:t>
            </w:r>
            <w:proofErr w:type="spellEnd"/>
            <w:r w:rsidRPr="004C05AB">
              <w:t xml:space="preserve">, A., </w:t>
            </w:r>
            <w:proofErr w:type="spellStart"/>
            <w:r w:rsidRPr="004C05AB">
              <w:t>Mihov</w:t>
            </w:r>
            <w:proofErr w:type="spellEnd"/>
            <w:r w:rsidRPr="004C05AB">
              <w:t xml:space="preserve"> I., 2006. The macroeconomic effects of fiscal rules in the US States.  Journal of Public Economics, 90 101–117.</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Ferson</w:t>
            </w:r>
            <w:proofErr w:type="spellEnd"/>
            <w:r w:rsidRPr="004C05AB">
              <w:t xml:space="preserve">, W.E., </w:t>
            </w:r>
            <w:proofErr w:type="spellStart"/>
            <w:r w:rsidRPr="004C05AB">
              <w:t>Constantinides</w:t>
            </w:r>
            <w:proofErr w:type="spellEnd"/>
            <w:r w:rsidRPr="004C05AB">
              <w:t>, G.M., 1991. Habit persistence and durability in aggregate consumption: empirical tests. Journal of Financial Economics, 29 199–240.</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Fox, W. F. and Murray, M.N., 1997.  Intergovernmental aspects of growth and stabilization policy.  In Intergovernmental Fiscal Relations, edited by Ronald C. Fisher.  Boston: </w:t>
            </w:r>
            <w:proofErr w:type="spellStart"/>
            <w:r w:rsidRPr="004C05AB">
              <w:t>Kluwer</w:t>
            </w:r>
            <w:proofErr w:type="spellEnd"/>
            <w:r w:rsidRPr="004C05AB">
              <w:t xml:space="preserve"> Academic Publishers.</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Fuhrer, J., Klein, M., 1998. Risky habits: On risk sharing, habit formation, and the interpretation of international consumption correlation. NBER, WP 6735.</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Gali</w:t>
            </w:r>
            <w:proofErr w:type="spellEnd"/>
            <w:r w:rsidRPr="004C05AB">
              <w:t>, J., 1993. Variability of durable and non-durable consumption: evidence for six OECD countries. Review of Economics and Statistics, 75 418–428.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Garcia-</w:t>
            </w:r>
            <w:proofErr w:type="spellStart"/>
            <w:r w:rsidRPr="004C05AB">
              <w:t>Cicco</w:t>
            </w:r>
            <w:proofErr w:type="spellEnd"/>
            <w:r w:rsidRPr="004C05AB">
              <w:t xml:space="preserve">, J., </w:t>
            </w:r>
            <w:proofErr w:type="spellStart"/>
            <w:r w:rsidRPr="004C05AB">
              <w:t>Pancrazi</w:t>
            </w:r>
            <w:proofErr w:type="spellEnd"/>
            <w:r w:rsidRPr="004C05AB">
              <w:t xml:space="preserve">, </w:t>
            </w:r>
            <w:proofErr w:type="spellStart"/>
            <w:r w:rsidRPr="004C05AB">
              <w:t>R.</w:t>
            </w:r>
            <w:proofErr w:type="gramStart"/>
            <w:r w:rsidRPr="004C05AB">
              <w:t>,Uribe</w:t>
            </w:r>
            <w:proofErr w:type="spellEnd"/>
            <w:proofErr w:type="gramEnd"/>
            <w:r w:rsidRPr="004C05AB">
              <w:t xml:space="preserve"> M., 2010. Real business cycles in emerging countries. American Economic Review.</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Glomm</w:t>
            </w:r>
            <w:proofErr w:type="spellEnd"/>
            <w:r w:rsidRPr="004C05AB">
              <w:t xml:space="preserve">, G., </w:t>
            </w:r>
            <w:proofErr w:type="spellStart"/>
            <w:r w:rsidRPr="004C05AB">
              <w:t>Ravikumar</w:t>
            </w:r>
            <w:proofErr w:type="spellEnd"/>
            <w:r w:rsidRPr="004C05AB">
              <w:t>, B., 1997.  Public government expenditures and long-run Growth. Journal of Economic Dynamics and Control, 21 183–204.</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Greenwood, J., </w:t>
            </w:r>
            <w:proofErr w:type="spellStart"/>
            <w:r w:rsidRPr="004C05AB">
              <w:t>Hercowitz</w:t>
            </w:r>
            <w:proofErr w:type="spellEnd"/>
            <w:r w:rsidRPr="004C05AB">
              <w:t xml:space="preserve"> Z., Huffman, G., 1988. Investment capacity utilization and the real business cycle. American Economic Review, 78 402–417.</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Gregorio, J.</w:t>
            </w:r>
            <w:proofErr w:type="gramStart"/>
            <w:r w:rsidRPr="004C05AB">
              <w:t xml:space="preserve">,  </w:t>
            </w:r>
            <w:proofErr w:type="spellStart"/>
            <w:r w:rsidRPr="004C05AB">
              <w:t>Guidotti</w:t>
            </w:r>
            <w:proofErr w:type="spellEnd"/>
            <w:proofErr w:type="gramEnd"/>
            <w:r w:rsidRPr="004C05AB">
              <w:t xml:space="preserve">, P., </w:t>
            </w:r>
            <w:proofErr w:type="spellStart"/>
            <w:r w:rsidRPr="004C05AB">
              <w:t>Vegh</w:t>
            </w:r>
            <w:proofErr w:type="spellEnd"/>
            <w:r w:rsidRPr="004C05AB">
              <w:t>, C., 1998.Inflation stabilization and the consumption of durable goods. The Economic Journal, 108 105–131.</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Gruber, J., 2004. A present value test of habits and the current account. Journal of Monetary Economics, 51 1495–1507.</w:t>
            </w:r>
          </w:p>
        </w:tc>
      </w:tr>
      <w:tr w:rsidR="004C05AB" w:rsidTr="004C05AB">
        <w:trPr>
          <w:trHeight w:val="300"/>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AB7C8D" w:rsidP="001D6940">
            <w:pPr>
              <w:autoSpaceDE w:val="0"/>
              <w:autoSpaceDN w:val="0"/>
              <w:adjustRightInd w:val="0"/>
              <w:spacing w:after="120"/>
              <w:ind w:left="720" w:hanging="634"/>
              <w:jc w:val="both"/>
            </w:pPr>
            <w:hyperlink r:id="rId660" w:history="1">
              <w:proofErr w:type="spellStart"/>
              <w:r w:rsidR="004C05AB" w:rsidRPr="004C05AB">
                <w:t>Guo</w:t>
              </w:r>
              <w:proofErr w:type="spellEnd"/>
              <w:r w:rsidR="004C05AB" w:rsidRPr="004C05AB">
                <w:t xml:space="preserve"> J.T., </w:t>
              </w:r>
              <w:proofErr w:type="spellStart"/>
              <w:r w:rsidR="004C05AB" w:rsidRPr="004C05AB">
                <w:t>Janko</w:t>
              </w:r>
              <w:proofErr w:type="spellEnd"/>
              <w:r w:rsidR="004C05AB" w:rsidRPr="004C05AB">
                <w:t xml:space="preserve"> Z., 2009. Reexamination of real business cycles in a small open economy. Sothern Economic Journal, 76 1 165–182.</w:t>
              </w:r>
            </w:hyperlink>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Hansen, H., </w:t>
            </w:r>
            <w:proofErr w:type="spellStart"/>
            <w:r w:rsidRPr="004C05AB">
              <w:t>Perloff</w:t>
            </w:r>
            <w:proofErr w:type="spellEnd"/>
            <w:r w:rsidRPr="004C05AB">
              <w:t>, S., 1994.  State and Local finance in the national economy.  W.W. Norton and Company, New York.</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Harberger, A., 1950. Currency depreciation, income, and the balance of trade. Journal of Political Economy, 58 47-60.</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Heaton, J., 1993. The interaction between time non-separable preferences and time aggregation. Econometrica, 63 681–717.</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Iscan</w:t>
            </w:r>
            <w:proofErr w:type="spellEnd"/>
            <w:r w:rsidRPr="004C05AB">
              <w:t>, T., 2002.  Present value tests of the current account with durables consumption. Journal of International Money and Finance, 21 385–412.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Joyce, P., 2001.  What’s so magical about five percent? A nationwide look at factors that Influence the optimal size of State Rainy Day Funds?  Public Budgeting and Finance, 62–87.</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King, R., </w:t>
            </w:r>
            <w:proofErr w:type="spellStart"/>
            <w:r w:rsidRPr="004C05AB">
              <w:t>Plosser</w:t>
            </w:r>
            <w:proofErr w:type="spellEnd"/>
            <w:r w:rsidRPr="004C05AB">
              <w:t xml:space="preserve">, C., </w:t>
            </w:r>
            <w:proofErr w:type="spellStart"/>
            <w:r w:rsidRPr="004C05AB">
              <w:t>Rebelo</w:t>
            </w:r>
            <w:proofErr w:type="spellEnd"/>
            <w:r w:rsidRPr="004C05AB">
              <w:t xml:space="preserve"> S. 1988. Production, growth and business cycles, I: the basic neoclassical model. Journal of Monetary Economics 21,196–232.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Kose</w:t>
            </w:r>
            <w:proofErr w:type="spellEnd"/>
            <w:r w:rsidRPr="004C05AB">
              <w:t>, M.A., 2002. Explaining business cycles in small open economies: How much do world prices matter?  Journal of International Economics, 56 299–327.</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Krol</w:t>
            </w:r>
            <w:proofErr w:type="spellEnd"/>
            <w:r w:rsidRPr="004C05AB">
              <w:t xml:space="preserve">, R., </w:t>
            </w:r>
            <w:proofErr w:type="spellStart"/>
            <w:r w:rsidRPr="004C05AB">
              <w:t>Svorny</w:t>
            </w:r>
            <w:proofErr w:type="spellEnd"/>
            <w:r w:rsidRPr="004C05AB">
              <w:t xml:space="preserve"> S., 2007. Budget rules and State business cycles. Public Finance Review, 35 4 530–544.</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Lansing, K.</w:t>
            </w:r>
            <w:proofErr w:type="gramStart"/>
            <w:r w:rsidRPr="004C05AB">
              <w:t>,1998</w:t>
            </w:r>
            <w:proofErr w:type="gramEnd"/>
            <w:r w:rsidRPr="004C05AB">
              <w:t>. Optimal fiscal policy in a business cycle model with public capital. Canadian Journal of Economics 31 37–364.</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Laursen</w:t>
            </w:r>
            <w:proofErr w:type="spellEnd"/>
            <w:r w:rsidRPr="004C05AB">
              <w:t>, S., Metzler L., 1950. Flexible exchange rates and the theory of employment. Review of Economics and Statistics, 32 281–299.</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Lav</w:t>
            </w:r>
            <w:proofErr w:type="spellEnd"/>
            <w:r w:rsidRPr="004C05AB">
              <w:t xml:space="preserve">, J., </w:t>
            </w:r>
            <w:proofErr w:type="spellStart"/>
            <w:r w:rsidRPr="004C05AB">
              <w:t>Berube</w:t>
            </w:r>
            <w:proofErr w:type="spellEnd"/>
            <w:r w:rsidRPr="004C05AB">
              <w:t>, A., 1999. When it rains it pours: a look at the adequacy of State Rainy Day Funds and budget reserves. State Tax Notes, 1639–1659.</w:t>
            </w:r>
          </w:p>
        </w:tc>
      </w:tr>
      <w:tr w:rsidR="004C05AB" w:rsidTr="004C05AB">
        <w:trPr>
          <w:trHeight w:val="300"/>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AB7C8D" w:rsidP="001D6940">
            <w:pPr>
              <w:autoSpaceDE w:val="0"/>
              <w:autoSpaceDN w:val="0"/>
              <w:adjustRightInd w:val="0"/>
              <w:spacing w:after="120"/>
              <w:ind w:left="720" w:hanging="634"/>
              <w:jc w:val="both"/>
            </w:pPr>
            <w:hyperlink r:id="rId661" w:history="1">
              <w:r w:rsidR="004C05AB" w:rsidRPr="004C05AB">
                <w:t>Lav, J., Hudgins, E., 2008.  Facing deficits, many States are imposing cuts that hurt vulnerable residents, Center on Budget and Policy Priorities. Available at: http://www.cbpp.org/3-13-08sfp.htm.</w:t>
              </w:r>
            </w:hyperlink>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Letendre, M., 2004. Capital utilization and habit formation in a small open economy. </w:t>
            </w:r>
            <w:proofErr w:type="gramStart"/>
            <w:r w:rsidRPr="004C05AB">
              <w:t>Canadian  Journal</w:t>
            </w:r>
            <w:proofErr w:type="gramEnd"/>
            <w:r w:rsidRPr="004C05AB">
              <w:t xml:space="preserve"> of Economics, 37 721–741.</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Levinson, A., 1998. Balanced budgets and business cycles: evidence from the states. National Tax Journal, 51 715–32.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Levinson, A., 2007. Budget rules and State business cycles a comment.  Public Finance Review, 35 545–549.</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Lucas R., 1990. Supply-side economics: an analytical review. Oxford Economic Papers, 2 293–316.</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Malley</w:t>
            </w:r>
            <w:proofErr w:type="spellEnd"/>
            <w:r w:rsidRPr="004C05AB">
              <w:t xml:space="preserve"> J., </w:t>
            </w:r>
            <w:proofErr w:type="spellStart"/>
            <w:r w:rsidRPr="004C05AB">
              <w:t>Philippopoulos</w:t>
            </w:r>
            <w:proofErr w:type="spellEnd"/>
            <w:r w:rsidRPr="004C05AB">
              <w:t xml:space="preserve">, A., </w:t>
            </w:r>
            <w:proofErr w:type="spellStart"/>
            <w:r w:rsidRPr="004C05AB">
              <w:t>Woitek</w:t>
            </w:r>
            <w:proofErr w:type="spellEnd"/>
            <w:r w:rsidRPr="004C05AB">
              <w:t xml:space="preserve"> U., 2009. To react or not? Technology stocks, fiscal policy and welfare in the EU-3.  European Economic Review, 53 689–714.</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Mattoon, K., </w:t>
            </w:r>
            <w:proofErr w:type="spellStart"/>
            <w:r w:rsidRPr="004C05AB">
              <w:t>Testa</w:t>
            </w:r>
            <w:proofErr w:type="spellEnd"/>
            <w:r w:rsidRPr="004C05AB">
              <w:t>, W., 1992. State and Local governments’ reaction to recession. Economic perspectives, 19–27.</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Mendoza, E., 1991. Real business cycles in a small open economy.  American Economic Review, 81 797–818.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Mendoza, E., 1995. The terms of trade, the real exchange rate, and economic fluctuations. International Economic Review, 36 101–137.</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Mohsin</w:t>
            </w:r>
            <w:proofErr w:type="spellEnd"/>
            <w:r w:rsidRPr="004C05AB">
              <w:t>, M., 2006. Durability in consumption and the dynamics of the current account. Journal of Economic Dynamics &amp; Control, 30 143–162.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Musgrave, A., 1959. The theory of public finance.  McGraw-Hill Book Company, New York.</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Naik</w:t>
            </w:r>
            <w:proofErr w:type="spellEnd"/>
            <w:r w:rsidRPr="004C05AB">
              <w:t>, N., Moore, M., 1996. Habit formation and intertemporal substitution in individual food consumption. Review of Economics and Statistics, 78 321–-328.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Neumeyer, A., Perri F., 2005. Business cycles in emerging economies: the role of interest rates. Journal of Monetary Economics, 52 345–80.</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Obstfeld</w:t>
            </w:r>
            <w:proofErr w:type="spellEnd"/>
            <w:r w:rsidRPr="004C05AB">
              <w:t xml:space="preserve">, M., 1982. Aggregate spending and the tot: Is there a </w:t>
            </w:r>
            <w:proofErr w:type="spellStart"/>
            <w:r w:rsidRPr="004C05AB">
              <w:t>Laursen</w:t>
            </w:r>
            <w:proofErr w:type="spellEnd"/>
            <w:r w:rsidRPr="004C05AB">
              <w:t>–Metzler effect? Quarterly Journal of Economics, 97 251–270.</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Ogaki, M., Reinhart, C., 1998. Measuring intertemporal substitution: the role of durable goods. Journal of Political Economy, 106 5 1078–1098.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Otto, G., 2003. Terms of trade shocks and the balance of trade: is there a Harberger-</w:t>
            </w:r>
            <w:proofErr w:type="spellStart"/>
            <w:r w:rsidRPr="004C05AB">
              <w:t>Laursen</w:t>
            </w:r>
            <w:proofErr w:type="spellEnd"/>
            <w:r w:rsidRPr="004C05AB">
              <w:t>-Metzler effect. Journal of International Money and Finance, 22 155–184.</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Persson</w:t>
            </w:r>
            <w:proofErr w:type="spellEnd"/>
            <w:r w:rsidRPr="004C05AB">
              <w:t xml:space="preserve">, T., </w:t>
            </w:r>
            <w:proofErr w:type="spellStart"/>
            <w:r w:rsidRPr="004C05AB">
              <w:t>Svensson</w:t>
            </w:r>
            <w:proofErr w:type="spellEnd"/>
            <w:r w:rsidRPr="004C05AB">
              <w:t xml:space="preserve"> L. 1985. Current account dynamics and the terms of trade: Harberger-</w:t>
            </w:r>
            <w:proofErr w:type="spellStart"/>
            <w:r w:rsidRPr="004C05AB">
              <w:t>Laursen</w:t>
            </w:r>
            <w:proofErr w:type="spellEnd"/>
            <w:r w:rsidRPr="004C05AB">
              <w:t>-Metzler effect two generations later. Journal of Political Economics, 93 43–65.</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Rafuse</w:t>
            </w:r>
            <w:proofErr w:type="spellEnd"/>
            <w:r w:rsidRPr="004C05AB">
              <w:t>, W., 1965. Cyclical behavior of State and Local finances.  In essays in fiscal federalism, edited by Richard A. Musgrave. The Brookings Institution, Washington, DC.</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Rose, S., 2006. Do fiscal rules dampen the political business cycle?  Public Choice, 128 407–431.</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Rose, S., 2008. The political manipulation of U.S. State Rainy Day Funds under rules versus discretion.  State Politics and Policy Quarterly, 8 2 150–176.</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Schmitt-</w:t>
            </w:r>
            <w:proofErr w:type="spellStart"/>
            <w:r w:rsidRPr="004C05AB">
              <w:t>Grohe</w:t>
            </w:r>
            <w:proofErr w:type="spellEnd"/>
            <w:r w:rsidRPr="004C05AB">
              <w:t>, S., Uribe, M., 2003. Closing small open economy models. Journal of International Economics, 61163–185.</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Soble</w:t>
            </w:r>
            <w:proofErr w:type="spellEnd"/>
            <w:r w:rsidRPr="004C05AB">
              <w:t>, R. Holcombe, S., 1996. The impact of State Rainy Day Funds in easing State fiscal crises during the 1990–1991 Recession.  Public Budgeting and Finance, 16 3 28–48.</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 </w:t>
            </w:r>
            <w:proofErr w:type="spellStart"/>
            <w:r w:rsidRPr="004C05AB">
              <w:t>Spatafora</w:t>
            </w:r>
            <w:proofErr w:type="spellEnd"/>
            <w:r w:rsidRPr="004C05AB">
              <w:t xml:space="preserve">, N., Warner, A., 1999. Macroeconomic and </w:t>
            </w:r>
            <w:proofErr w:type="spellStart"/>
            <w:r w:rsidRPr="004C05AB">
              <w:t>sectoral</w:t>
            </w:r>
            <w:proofErr w:type="spellEnd"/>
            <w:r w:rsidRPr="004C05AB">
              <w:t xml:space="preserve"> effects of terms-of-trade </w:t>
            </w:r>
            <w:proofErr w:type="gramStart"/>
            <w:r w:rsidRPr="004C05AB">
              <w:t>shocks :</w:t>
            </w:r>
            <w:proofErr w:type="gramEnd"/>
            <w:r w:rsidRPr="004C05AB">
              <w:t xml:space="preserve"> the experience of the oil-exporting developing countries. IMF, WP 134.</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Svensson</w:t>
            </w:r>
            <w:proofErr w:type="spellEnd"/>
            <w:r w:rsidRPr="004C05AB">
              <w:t xml:space="preserve">, L., </w:t>
            </w:r>
            <w:proofErr w:type="spellStart"/>
            <w:r w:rsidRPr="004C05AB">
              <w:t>Razin</w:t>
            </w:r>
            <w:proofErr w:type="spellEnd"/>
            <w:r w:rsidRPr="004C05AB">
              <w:t>, A., 1983. The terms of trade and the current account: The Harberger–</w:t>
            </w:r>
            <w:proofErr w:type="spellStart"/>
            <w:r w:rsidRPr="004C05AB">
              <w:t>Laursen</w:t>
            </w:r>
            <w:proofErr w:type="spellEnd"/>
            <w:r w:rsidRPr="004C05AB">
              <w:t>–Metzler effect. Journal of Political Economy, 91 97–125.</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Uhlig</w:t>
            </w:r>
            <w:proofErr w:type="spellEnd"/>
            <w:r w:rsidRPr="004C05AB">
              <w:t>, H.A., 1999. Toolkit for analyzing nonlinear Dynamic Stochastic Model.  In</w:t>
            </w:r>
            <w:r>
              <w:t xml:space="preserve"> </w:t>
            </w:r>
            <w:r w:rsidRPr="004C05AB">
              <w:t xml:space="preserve">Computational Methods for the Study of Dynamic Economies, edited by R. </w:t>
            </w:r>
            <w:proofErr w:type="spellStart"/>
            <w:r w:rsidRPr="004C05AB">
              <w:t>Maromon</w:t>
            </w:r>
            <w:proofErr w:type="spellEnd"/>
            <w:r w:rsidRPr="004C05AB">
              <w:t xml:space="preserve"> and A. Scott, Oxford University Press, 30–61.</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Uribe, M., 2002. The price-consumption puzzle of currency pegs. Journal of Monetary Economics, 49 533–569.</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Uribe, M., 2006. Lectures in Open Economy Macroeconomics.  Columbia University, Manuscript.</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Uribe, M., </w:t>
            </w:r>
            <w:proofErr w:type="spellStart"/>
            <w:proofErr w:type="gramStart"/>
            <w:r w:rsidRPr="004C05AB">
              <w:t>Yue</w:t>
            </w:r>
            <w:proofErr w:type="spellEnd"/>
            <w:r w:rsidRPr="004C05AB">
              <w:t>.,</w:t>
            </w:r>
            <w:proofErr w:type="gramEnd"/>
            <w:r w:rsidRPr="004C05AB">
              <w:t xml:space="preserve"> V., 2006. Country Spreads and Emerging Countries: Who Drives Whom? Journal of International Economics, 69 3 6–36.</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Wagner, A., Elder, E., 2007.  Revenue cycles and the distribution of shortfalls in U.S. States: implications for an ‘Optimal’ Rainy Day Fund.  National Tax Journal, 60 727–742.</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r w:rsidRPr="004C05AB">
              <w:t xml:space="preserve">Wagner, A., </w:t>
            </w:r>
            <w:proofErr w:type="spellStart"/>
            <w:r w:rsidRPr="004C05AB">
              <w:t>Sobel</w:t>
            </w:r>
            <w:proofErr w:type="spellEnd"/>
            <w:r w:rsidRPr="004C05AB">
              <w:t>, R., 2006.  State Budget Stabilization Fund adoption: preparing for the next recession or circumventing fiscal constraints?  Public Choice, 126 177–99.</w:t>
            </w:r>
          </w:p>
        </w:tc>
      </w:tr>
      <w:tr w:rsidR="004C05AB" w:rsidTr="004C05AB">
        <w:trPr>
          <w:trHeight w:val="315"/>
        </w:trPr>
        <w:tc>
          <w:tcPr>
            <w:tcW w:w="0" w:type="auto"/>
            <w:tcBorders>
              <w:top w:val="nil"/>
              <w:left w:val="nil"/>
              <w:bottom w:val="nil"/>
              <w:right w:val="nil"/>
            </w:tcBorders>
            <w:shd w:val="clear" w:color="auto" w:fill="auto"/>
            <w:noWrap/>
            <w:tcMar>
              <w:top w:w="21" w:type="dxa"/>
              <w:left w:w="967" w:type="dxa"/>
              <w:bottom w:w="0" w:type="dxa"/>
              <w:right w:w="21" w:type="dxa"/>
            </w:tcMar>
            <w:vAlign w:val="bottom"/>
            <w:hideMark/>
          </w:tcPr>
          <w:p w:rsidR="004C05AB" w:rsidRPr="004C05AB" w:rsidRDefault="004C05AB" w:rsidP="001D6940">
            <w:pPr>
              <w:autoSpaceDE w:val="0"/>
              <w:autoSpaceDN w:val="0"/>
              <w:adjustRightInd w:val="0"/>
              <w:spacing w:after="120"/>
              <w:ind w:left="720" w:hanging="634"/>
              <w:jc w:val="both"/>
            </w:pPr>
            <w:proofErr w:type="spellStart"/>
            <w:r w:rsidRPr="004C05AB">
              <w:t>Yilin</w:t>
            </w:r>
            <w:proofErr w:type="spellEnd"/>
            <w:r w:rsidRPr="004C05AB">
              <w:t>, H., 2003. What stabilizes State general fund spending during downturns: Budget Stabilization Fund, General Fund unreserved undesignated balance, or both? Public Budgeting and Finance, 23 3 64–91.</w:t>
            </w:r>
          </w:p>
        </w:tc>
      </w:tr>
    </w:tbl>
    <w:p w:rsidR="00DC5BC8" w:rsidRDefault="00DC5BC8" w:rsidP="0062531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8"/>
          <w:szCs w:val="28"/>
        </w:rPr>
      </w:pPr>
      <w:r>
        <w:rPr>
          <w:rFonts w:ascii="Arial" w:hAnsi="Arial" w:cs="Arial"/>
        </w:rPr>
        <w:br w:type="page"/>
      </w:r>
    </w:p>
    <w:p w:rsidR="00DC5BC8" w:rsidRDefault="00DC5BC8"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DC5BC8" w:rsidRDefault="00DC5BC8"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DC5BC8" w:rsidRDefault="00DC5BC8"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DC5BC8" w:rsidRDefault="00DC5BC8"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A55804" w:rsidRDefault="00A55804"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A55804" w:rsidRDefault="00A55804"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A55804" w:rsidRDefault="00A55804"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A55804" w:rsidRDefault="00A55804"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6F7337" w:rsidRDefault="006F7337"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6F7337" w:rsidRDefault="006F7337"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6F7337" w:rsidRDefault="006F7337"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6F7337" w:rsidRPr="00EE1FD7" w:rsidRDefault="006F7337" w:rsidP="00EE1FD7">
      <w:pPr>
        <w:pStyle w:val="Heading1"/>
        <w:jc w:val="center"/>
        <w:rPr>
          <w:rFonts w:asciiTheme="majorBidi" w:hAnsiTheme="majorBidi"/>
          <w:b w:val="0"/>
          <w:bCs w:val="0"/>
          <w:color w:val="auto"/>
          <w:sz w:val="48"/>
          <w:szCs w:val="48"/>
        </w:rPr>
      </w:pPr>
    </w:p>
    <w:p w:rsidR="006F7337" w:rsidRDefault="006F7337"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DC5BC8" w:rsidRPr="006F7337" w:rsidRDefault="00625317" w:rsidP="006F7337">
      <w:pPr>
        <w:pStyle w:val="Heading1"/>
        <w:jc w:val="center"/>
        <w:rPr>
          <w:rFonts w:asciiTheme="majorBidi" w:hAnsiTheme="majorBidi"/>
          <w:b w:val="0"/>
          <w:bCs w:val="0"/>
          <w:color w:val="auto"/>
          <w:sz w:val="48"/>
          <w:szCs w:val="48"/>
        </w:rPr>
      </w:pPr>
      <w:bookmarkStart w:id="48" w:name="_Toc285478039"/>
      <w:r w:rsidRPr="006F7337">
        <w:rPr>
          <w:rFonts w:asciiTheme="majorBidi" w:hAnsiTheme="majorBidi"/>
          <w:b w:val="0"/>
          <w:bCs w:val="0"/>
          <w:color w:val="auto"/>
          <w:sz w:val="48"/>
          <w:szCs w:val="48"/>
        </w:rPr>
        <w:t>Appendices</w:t>
      </w:r>
      <w:bookmarkEnd w:id="48"/>
    </w:p>
    <w:p w:rsidR="00DC5BC8" w:rsidRDefault="00DC5BC8"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DC5BC8" w:rsidRDefault="00DC5BC8"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DC5BC8" w:rsidRDefault="00DC5BC8" w:rsidP="00DC5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p>
    <w:p w:rsidR="00625317" w:rsidRDefault="00DC5BC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Pr>
          <w:rFonts w:ascii="Arial" w:hAnsi="Arial" w:cs="Arial"/>
        </w:rPr>
        <w:br w:type="page"/>
      </w:r>
    </w:p>
    <w:p w:rsidR="006B19BC" w:rsidRDefault="006B19B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D134B7" w:rsidRDefault="00D134B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385F19" w:rsidRDefault="00C94108" w:rsidP="00D7460A">
      <w:pPr>
        <w:pStyle w:val="Heading1"/>
        <w:numPr>
          <w:ilvl w:val="0"/>
          <w:numId w:val="1"/>
        </w:numPr>
        <w:ind w:left="720" w:hanging="720"/>
        <w:rPr>
          <w:rFonts w:asciiTheme="majorBidi" w:hAnsiTheme="majorBidi"/>
          <w:b w:val="0"/>
          <w:bCs w:val="0"/>
          <w:color w:val="auto"/>
          <w:sz w:val="48"/>
          <w:szCs w:val="48"/>
        </w:rPr>
      </w:pPr>
      <w:bookmarkStart w:id="49" w:name="_Toc285478040"/>
      <w:r w:rsidRPr="009D464A">
        <w:rPr>
          <w:rFonts w:asciiTheme="majorBidi" w:hAnsiTheme="majorBidi"/>
          <w:b w:val="0"/>
          <w:bCs w:val="0"/>
          <w:color w:val="auto"/>
          <w:sz w:val="48"/>
          <w:szCs w:val="48"/>
        </w:rPr>
        <w:t>Tables</w:t>
      </w:r>
      <w:bookmarkEnd w:id="49"/>
    </w:p>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p w:rsidR="00C94108" w:rsidRDefault="00C94108" w:rsidP="00385F19"/>
    <w:tbl>
      <w:tblPr>
        <w:tblW w:w="396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837"/>
        <w:gridCol w:w="885"/>
        <w:gridCol w:w="886"/>
        <w:gridCol w:w="885"/>
        <w:gridCol w:w="1029"/>
        <w:gridCol w:w="885"/>
        <w:gridCol w:w="1193"/>
      </w:tblGrid>
      <w:tr w:rsidR="00625317" w:rsidRPr="00562E96" w:rsidTr="00085BE7">
        <w:trPr>
          <w:trHeight w:hRule="exact" w:val="720"/>
          <w:jc w:val="center"/>
        </w:trPr>
        <w:tc>
          <w:tcPr>
            <w:tcW w:w="5000" w:type="pct"/>
            <w:gridSpan w:val="7"/>
            <w:tcBorders>
              <w:top w:val="nil"/>
              <w:left w:val="nil"/>
              <w:bottom w:val="single" w:sz="4" w:space="0" w:color="auto"/>
              <w:right w:val="nil"/>
            </w:tcBorders>
          </w:tcPr>
          <w:p w:rsidR="009A7248" w:rsidRPr="00085BE7" w:rsidRDefault="00181849" w:rsidP="00085BE7">
            <w:pPr>
              <w:pStyle w:val="Caption"/>
              <w:rPr>
                <w:b w:val="0"/>
                <w:sz w:val="24"/>
                <w:szCs w:val="24"/>
              </w:rPr>
            </w:pPr>
            <w:bookmarkStart w:id="50" w:name="_Toc284613301"/>
            <w:bookmarkStart w:id="51" w:name="_Toc284614791"/>
            <w:bookmarkStart w:id="52" w:name="_Toc285392582"/>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00785AC1" w:rsidRPr="00085BE7">
              <w:rPr>
                <w:b w:val="0"/>
                <w:sz w:val="24"/>
                <w:szCs w:val="24"/>
              </w:rPr>
              <w:instrText xml:space="preserve"> SEQ Table \* ARABIC \* Arabic </w:instrText>
            </w:r>
            <w:r w:rsidR="00AB7C8D" w:rsidRPr="00085BE7">
              <w:rPr>
                <w:b w:val="0"/>
                <w:sz w:val="24"/>
                <w:szCs w:val="24"/>
              </w:rPr>
              <w:fldChar w:fldCharType="separate"/>
            </w:r>
            <w:r w:rsidR="00531AB5">
              <w:rPr>
                <w:b w:val="0"/>
                <w:noProof/>
                <w:sz w:val="24"/>
                <w:szCs w:val="24"/>
              </w:rPr>
              <w:t>1</w:t>
            </w:r>
            <w:r w:rsidR="00AB7C8D" w:rsidRPr="00085BE7">
              <w:rPr>
                <w:b w:val="0"/>
                <w:sz w:val="24"/>
                <w:szCs w:val="24"/>
              </w:rPr>
              <w:fldChar w:fldCharType="end"/>
            </w:r>
            <w:r w:rsidRPr="00085BE7">
              <w:rPr>
                <w:b w:val="0"/>
                <w:sz w:val="24"/>
                <w:szCs w:val="24"/>
              </w:rPr>
              <w:t xml:space="preserve">: </w:t>
            </w:r>
            <w:r w:rsidR="00A13655" w:rsidRPr="00085BE7">
              <w:rPr>
                <w:b w:val="0"/>
                <w:sz w:val="24"/>
                <w:szCs w:val="24"/>
              </w:rPr>
              <w:t>Pair</w:t>
            </w:r>
            <w:r w:rsidR="00625317" w:rsidRPr="00085BE7">
              <w:rPr>
                <w:b w:val="0"/>
                <w:sz w:val="24"/>
                <w:szCs w:val="24"/>
              </w:rPr>
              <w:t>wise Correlation Coefficients</w:t>
            </w:r>
            <w:bookmarkEnd w:id="50"/>
            <w:bookmarkEnd w:id="51"/>
            <w:bookmarkEnd w:id="52"/>
            <w:r w:rsidR="009A7248" w:rsidRPr="00085BE7">
              <w:rPr>
                <w:b w:val="0"/>
                <w:sz w:val="24"/>
                <w:szCs w:val="24"/>
              </w:rPr>
              <w:t xml:space="preserve"> </w:t>
            </w:r>
          </w:p>
          <w:p w:rsidR="0039681B" w:rsidRPr="00A13655" w:rsidRDefault="0039681B" w:rsidP="0039681B"/>
          <w:p w:rsidR="00625317" w:rsidRPr="00A13655" w:rsidRDefault="00625317" w:rsidP="009A7248">
            <w:pPr>
              <w:pStyle w:val="Caption"/>
              <w:jc w:val="center"/>
              <w:rPr>
                <w:rFonts w:asciiTheme="majorBidi" w:hAnsiTheme="majorBidi" w:cstheme="majorBidi"/>
                <w:b w:val="0"/>
                <w:sz w:val="28"/>
                <w:szCs w:val="28"/>
              </w:rPr>
            </w:pPr>
          </w:p>
        </w:tc>
      </w:tr>
      <w:tr w:rsidR="00625317" w:rsidRPr="00562E96" w:rsidTr="0093597F">
        <w:trPr>
          <w:trHeight w:hRule="exact" w:val="432"/>
          <w:jc w:val="center"/>
        </w:trPr>
        <w:tc>
          <w:tcPr>
            <w:tcW w:w="1209" w:type="pct"/>
            <w:tcBorders>
              <w:top w:val="single" w:sz="4" w:space="0" w:color="auto"/>
              <w:left w:val="nil"/>
              <w:bottom w:val="single" w:sz="4" w:space="0" w:color="auto"/>
              <w:right w:val="nil"/>
            </w:tcBorders>
            <w:vAlign w:val="bottom"/>
          </w:tcPr>
          <w:p w:rsidR="00625317" w:rsidRPr="00123B09" w:rsidRDefault="00625317" w:rsidP="00625317">
            <w:pPr>
              <w:spacing w:line="480" w:lineRule="auto"/>
              <w:jc w:val="center"/>
              <w:rPr>
                <w:rFonts w:ascii="Book Antiqua" w:hAnsi="Book Antiqua"/>
                <w:sz w:val="20"/>
                <w:szCs w:val="20"/>
              </w:rPr>
            </w:pPr>
          </w:p>
        </w:tc>
        <w:tc>
          <w:tcPr>
            <w:tcW w:w="582" w:type="pct"/>
            <w:tcBorders>
              <w:top w:val="single" w:sz="4" w:space="0" w:color="auto"/>
              <w:left w:val="nil"/>
              <w:bottom w:val="single" w:sz="4" w:space="0" w:color="auto"/>
              <w:right w:val="nil"/>
            </w:tcBorders>
            <w:vAlign w:val="bottom"/>
          </w:tcPr>
          <w:p w:rsidR="00625317" w:rsidRPr="00A13655" w:rsidRDefault="00625317" w:rsidP="00625317">
            <w:pPr>
              <w:jc w:val="center"/>
              <w:rPr>
                <w:rFonts w:ascii="Book Antiqua" w:hAnsi="Book Antiqua"/>
                <w:color w:val="000000"/>
                <w:sz w:val="20"/>
                <w:szCs w:val="20"/>
              </w:rPr>
            </w:pPr>
            <w:r w:rsidRPr="00A13655">
              <w:rPr>
                <w:rFonts w:ascii="Book Antiqua" w:hAnsi="Book Antiqua"/>
                <w:color w:val="000000"/>
                <w:sz w:val="20"/>
                <w:szCs w:val="20"/>
              </w:rPr>
              <w:t>y</w:t>
            </w:r>
          </w:p>
        </w:tc>
        <w:tc>
          <w:tcPr>
            <w:tcW w:w="583" w:type="pct"/>
            <w:tcBorders>
              <w:top w:val="single" w:sz="4" w:space="0" w:color="auto"/>
              <w:left w:val="nil"/>
              <w:bottom w:val="single" w:sz="4" w:space="0" w:color="auto"/>
              <w:right w:val="nil"/>
            </w:tcBorders>
            <w:vAlign w:val="bottom"/>
          </w:tcPr>
          <w:p w:rsidR="00625317" w:rsidRPr="00A13655" w:rsidRDefault="00625317" w:rsidP="00625317">
            <w:pPr>
              <w:jc w:val="center"/>
              <w:rPr>
                <w:rFonts w:ascii="Book Antiqua" w:hAnsi="Book Antiqua"/>
                <w:color w:val="000000"/>
                <w:sz w:val="20"/>
                <w:szCs w:val="20"/>
              </w:rPr>
            </w:pPr>
            <w:r w:rsidRPr="00A13655">
              <w:rPr>
                <w:rFonts w:ascii="Book Antiqua" w:hAnsi="Book Antiqua"/>
                <w:color w:val="000000"/>
                <w:sz w:val="20"/>
                <w:szCs w:val="20"/>
              </w:rPr>
              <w:t>c</w:t>
            </w:r>
          </w:p>
        </w:tc>
        <w:tc>
          <w:tcPr>
            <w:tcW w:w="582" w:type="pct"/>
            <w:tcBorders>
              <w:top w:val="single" w:sz="4" w:space="0" w:color="auto"/>
              <w:left w:val="nil"/>
              <w:bottom w:val="single" w:sz="4" w:space="0" w:color="auto"/>
              <w:right w:val="nil"/>
            </w:tcBorders>
            <w:vAlign w:val="bottom"/>
          </w:tcPr>
          <w:p w:rsidR="00625317" w:rsidRPr="00A13655" w:rsidRDefault="00625317" w:rsidP="00625317">
            <w:pPr>
              <w:jc w:val="center"/>
              <w:rPr>
                <w:rFonts w:ascii="Book Antiqua" w:hAnsi="Book Antiqua"/>
                <w:color w:val="000000"/>
                <w:sz w:val="20"/>
                <w:szCs w:val="20"/>
              </w:rPr>
            </w:pPr>
            <w:r w:rsidRPr="00A13655">
              <w:rPr>
                <w:rFonts w:ascii="Book Antiqua" w:hAnsi="Book Antiqua"/>
                <w:color w:val="000000"/>
                <w:sz w:val="20"/>
                <w:szCs w:val="20"/>
              </w:rPr>
              <w:t>d</w:t>
            </w:r>
          </w:p>
        </w:tc>
        <w:tc>
          <w:tcPr>
            <w:tcW w:w="677" w:type="pct"/>
            <w:tcBorders>
              <w:top w:val="single" w:sz="4" w:space="0" w:color="auto"/>
              <w:left w:val="nil"/>
              <w:bottom w:val="single" w:sz="4" w:space="0" w:color="auto"/>
              <w:right w:val="nil"/>
            </w:tcBorders>
            <w:vAlign w:val="bottom"/>
          </w:tcPr>
          <w:p w:rsidR="00625317" w:rsidRPr="00A13655" w:rsidRDefault="00625317" w:rsidP="00625317">
            <w:pPr>
              <w:jc w:val="center"/>
              <w:rPr>
                <w:rFonts w:ascii="Book Antiqua" w:hAnsi="Book Antiqua"/>
                <w:color w:val="000000"/>
                <w:sz w:val="20"/>
                <w:szCs w:val="20"/>
              </w:rPr>
            </w:pPr>
            <w:r w:rsidRPr="00A13655">
              <w:rPr>
                <w:rFonts w:ascii="Book Antiqua" w:hAnsi="Book Antiqua"/>
                <w:color w:val="000000"/>
                <w:sz w:val="20"/>
                <w:szCs w:val="20"/>
              </w:rPr>
              <w:t>h</w:t>
            </w:r>
          </w:p>
        </w:tc>
        <w:tc>
          <w:tcPr>
            <w:tcW w:w="582" w:type="pct"/>
            <w:tcBorders>
              <w:top w:val="single" w:sz="4" w:space="0" w:color="auto"/>
              <w:left w:val="nil"/>
              <w:bottom w:val="single" w:sz="4" w:space="0" w:color="auto"/>
              <w:right w:val="nil"/>
            </w:tcBorders>
            <w:vAlign w:val="bottom"/>
          </w:tcPr>
          <w:p w:rsidR="00625317" w:rsidRPr="00A13655" w:rsidRDefault="00625317" w:rsidP="00625317">
            <w:pPr>
              <w:jc w:val="center"/>
              <w:rPr>
                <w:rFonts w:ascii="Book Antiqua" w:hAnsi="Book Antiqua"/>
                <w:color w:val="000000"/>
                <w:sz w:val="20"/>
                <w:szCs w:val="20"/>
              </w:rPr>
            </w:pPr>
            <w:proofErr w:type="spellStart"/>
            <w:r w:rsidRPr="00A13655">
              <w:rPr>
                <w:rFonts w:ascii="Book Antiqua" w:hAnsi="Book Antiqua"/>
                <w:color w:val="000000"/>
                <w:sz w:val="20"/>
                <w:szCs w:val="20"/>
              </w:rPr>
              <w:t>i</w:t>
            </w:r>
            <w:proofErr w:type="spellEnd"/>
          </w:p>
        </w:tc>
        <w:tc>
          <w:tcPr>
            <w:tcW w:w="785" w:type="pct"/>
            <w:tcBorders>
              <w:top w:val="single" w:sz="4" w:space="0" w:color="auto"/>
              <w:left w:val="nil"/>
              <w:bottom w:val="single" w:sz="4" w:space="0" w:color="auto"/>
              <w:right w:val="nil"/>
            </w:tcBorders>
            <w:vAlign w:val="bottom"/>
          </w:tcPr>
          <w:p w:rsidR="00625317" w:rsidRPr="00123B09" w:rsidRDefault="00625317" w:rsidP="00625317">
            <w:pPr>
              <w:jc w:val="center"/>
              <w:rPr>
                <w:rFonts w:ascii="Book Antiqua" w:hAnsi="Book Antiqua"/>
                <w:color w:val="000000"/>
                <w:sz w:val="20"/>
                <w:szCs w:val="20"/>
              </w:rPr>
            </w:pPr>
            <w:proofErr w:type="spellStart"/>
            <w:r w:rsidRPr="00123B09">
              <w:rPr>
                <w:rFonts w:ascii="Book Antiqua" w:hAnsi="Book Antiqua"/>
                <w:color w:val="000000"/>
                <w:sz w:val="20"/>
                <w:szCs w:val="20"/>
              </w:rPr>
              <w:t>tby</w:t>
            </w:r>
            <w:proofErr w:type="spellEnd"/>
          </w:p>
        </w:tc>
      </w:tr>
      <w:tr w:rsidR="00625317" w:rsidRPr="00562E96" w:rsidTr="0093597F">
        <w:trPr>
          <w:trHeight w:hRule="exact" w:val="144"/>
          <w:jc w:val="center"/>
        </w:trPr>
        <w:tc>
          <w:tcPr>
            <w:tcW w:w="1209" w:type="pct"/>
            <w:tcBorders>
              <w:top w:val="single" w:sz="4" w:space="0" w:color="auto"/>
              <w:left w:val="nil"/>
              <w:bottom w:val="nil"/>
              <w:right w:val="nil"/>
            </w:tcBorders>
          </w:tcPr>
          <w:p w:rsidR="00625317" w:rsidRPr="000D7A7D" w:rsidRDefault="00625317" w:rsidP="00625317">
            <w:pPr>
              <w:jc w:val="center"/>
              <w:rPr>
                <w:rFonts w:ascii="Book Antiqua" w:hAnsi="Book Antiqua"/>
                <w:color w:val="000000"/>
                <w:sz w:val="20"/>
                <w:szCs w:val="20"/>
              </w:rPr>
            </w:pPr>
          </w:p>
        </w:tc>
        <w:tc>
          <w:tcPr>
            <w:tcW w:w="582"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583"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582"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677"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582"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785" w:type="pct"/>
            <w:tcBorders>
              <w:top w:val="single" w:sz="4" w:space="0" w:color="auto"/>
              <w:left w:val="nil"/>
              <w:bottom w:val="nil"/>
              <w:right w:val="nil"/>
            </w:tcBorders>
          </w:tcPr>
          <w:p w:rsidR="00625317" w:rsidRPr="000D7A7D" w:rsidRDefault="00625317" w:rsidP="00625317">
            <w:pPr>
              <w:jc w:val="center"/>
              <w:rPr>
                <w:rFonts w:ascii="Book Antiqua" w:hAnsi="Book Antiqua"/>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r w:rsidRPr="00722F72">
              <w:rPr>
                <w:color w:val="000000"/>
                <w:sz w:val="20"/>
                <w:szCs w:val="20"/>
              </w:rPr>
              <w:t>c</w:t>
            </w: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0.82</w:t>
            </w:r>
          </w:p>
        </w:tc>
        <w:tc>
          <w:tcPr>
            <w:tcW w:w="583"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677"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3"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677"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shd w:val="clear" w:color="auto" w:fill="FFFFFF" w:themeFill="background1"/>
            <w:vAlign w:val="center"/>
          </w:tcPr>
          <w:p w:rsidR="00625317" w:rsidRPr="00722F72" w:rsidRDefault="00625317" w:rsidP="00625317">
            <w:pPr>
              <w:jc w:val="center"/>
              <w:rPr>
                <w:color w:val="000000"/>
                <w:sz w:val="20"/>
                <w:szCs w:val="20"/>
              </w:rPr>
            </w:pPr>
            <w:r w:rsidRPr="00722F72">
              <w:rPr>
                <w:color w:val="000000"/>
                <w:sz w:val="20"/>
                <w:szCs w:val="20"/>
              </w:rPr>
              <w:t>d</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0.83</w:t>
            </w:r>
          </w:p>
        </w:tc>
        <w:tc>
          <w:tcPr>
            <w:tcW w:w="583"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0.70</w:t>
            </w:r>
          </w:p>
        </w:tc>
        <w:tc>
          <w:tcPr>
            <w:tcW w:w="582" w:type="pct"/>
            <w:tcBorders>
              <w:top w:val="nil"/>
              <w:left w:val="nil"/>
              <w:bottom w:val="nil"/>
              <w:right w:val="nil"/>
            </w:tcBorders>
            <w:shd w:val="clear" w:color="auto" w:fill="auto"/>
          </w:tcPr>
          <w:p w:rsidR="00625317" w:rsidRPr="00A13655" w:rsidRDefault="00625317" w:rsidP="00625317">
            <w:pPr>
              <w:jc w:val="center"/>
              <w:rPr>
                <w:color w:val="000000"/>
                <w:sz w:val="20"/>
                <w:szCs w:val="20"/>
              </w:rPr>
            </w:pPr>
          </w:p>
        </w:tc>
        <w:tc>
          <w:tcPr>
            <w:tcW w:w="677"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shd w:val="clear" w:color="auto" w:fill="FFFFFF" w:themeFill="background1"/>
            <w:vAlign w:val="center"/>
          </w:tcPr>
          <w:p w:rsidR="00625317" w:rsidRPr="00722F72" w:rsidRDefault="00625317" w:rsidP="00625317">
            <w:pPr>
              <w:jc w:val="center"/>
              <w:rPr>
                <w:color w:val="000000"/>
                <w:sz w:val="20"/>
                <w:szCs w:val="20"/>
              </w:rPr>
            </w:pP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(0.00)</w:t>
            </w:r>
          </w:p>
        </w:tc>
        <w:tc>
          <w:tcPr>
            <w:tcW w:w="583"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(0.00)</w:t>
            </w:r>
          </w:p>
        </w:tc>
        <w:tc>
          <w:tcPr>
            <w:tcW w:w="582" w:type="pct"/>
            <w:tcBorders>
              <w:top w:val="nil"/>
              <w:left w:val="nil"/>
              <w:bottom w:val="nil"/>
              <w:right w:val="nil"/>
            </w:tcBorders>
            <w:shd w:val="clear" w:color="auto" w:fill="auto"/>
          </w:tcPr>
          <w:p w:rsidR="00625317" w:rsidRPr="00A13655" w:rsidRDefault="00625317" w:rsidP="00625317">
            <w:pPr>
              <w:jc w:val="center"/>
              <w:rPr>
                <w:color w:val="000000"/>
                <w:sz w:val="20"/>
                <w:szCs w:val="20"/>
              </w:rPr>
            </w:pPr>
          </w:p>
        </w:tc>
        <w:tc>
          <w:tcPr>
            <w:tcW w:w="677"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r w:rsidRPr="00722F72">
              <w:rPr>
                <w:color w:val="000000"/>
                <w:sz w:val="20"/>
                <w:szCs w:val="20"/>
              </w:rPr>
              <w:t>h</w:t>
            </w: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0.88</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0.85</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0.79</w:t>
            </w:r>
          </w:p>
        </w:tc>
        <w:tc>
          <w:tcPr>
            <w:tcW w:w="677"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(0.00)</w:t>
            </w:r>
          </w:p>
        </w:tc>
        <w:tc>
          <w:tcPr>
            <w:tcW w:w="677" w:type="pct"/>
            <w:tcBorders>
              <w:top w:val="nil"/>
              <w:left w:val="nil"/>
              <w:bottom w:val="nil"/>
              <w:right w:val="nil"/>
            </w:tcBorders>
          </w:tcPr>
          <w:p w:rsidR="00625317" w:rsidRPr="00A13655"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proofErr w:type="spellStart"/>
            <w:r w:rsidRPr="00722F72">
              <w:rPr>
                <w:color w:val="000000"/>
                <w:sz w:val="20"/>
                <w:szCs w:val="20"/>
              </w:rPr>
              <w:t>i</w:t>
            </w:r>
            <w:proofErr w:type="spellEnd"/>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0.77</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0.80</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0.71</w:t>
            </w:r>
          </w:p>
        </w:tc>
        <w:tc>
          <w:tcPr>
            <w:tcW w:w="677"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0.77</w:t>
            </w: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(0.00)</w:t>
            </w:r>
          </w:p>
        </w:tc>
        <w:tc>
          <w:tcPr>
            <w:tcW w:w="677"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2" w:type="pct"/>
            <w:tcBorders>
              <w:top w:val="nil"/>
              <w:left w:val="nil"/>
              <w:bottom w:val="nil"/>
              <w:right w:val="nil"/>
            </w:tcBorders>
          </w:tcPr>
          <w:p w:rsidR="00625317" w:rsidRPr="00A13655" w:rsidRDefault="00625317" w:rsidP="00625317">
            <w:pPr>
              <w:jc w:val="center"/>
              <w:rPr>
                <w:color w:val="000000"/>
                <w:sz w:val="20"/>
                <w:szCs w:val="20"/>
              </w:rPr>
            </w:pP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proofErr w:type="spellStart"/>
            <w:r w:rsidRPr="00722F72">
              <w:rPr>
                <w:color w:val="000000"/>
                <w:sz w:val="20"/>
                <w:szCs w:val="20"/>
              </w:rPr>
              <w:t>tby</w:t>
            </w:r>
            <w:proofErr w:type="spellEnd"/>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-0.29</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-0.49</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-0.44</w:t>
            </w:r>
          </w:p>
        </w:tc>
        <w:tc>
          <w:tcPr>
            <w:tcW w:w="677"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-0.41</w:t>
            </w: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-0.65</w:t>
            </w: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(0.00)</w:t>
            </w:r>
          </w:p>
        </w:tc>
        <w:tc>
          <w:tcPr>
            <w:tcW w:w="677"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(0.00)</w:t>
            </w:r>
          </w:p>
        </w:tc>
        <w:tc>
          <w:tcPr>
            <w:tcW w:w="785" w:type="pct"/>
            <w:tcBorders>
              <w:top w:val="nil"/>
              <w:left w:val="nil"/>
              <w:bottom w:val="nil"/>
              <w:right w:val="nil"/>
            </w:tcBorders>
          </w:tcPr>
          <w:p w:rsidR="00625317" w:rsidRPr="00722F72" w:rsidRDefault="00625317" w:rsidP="00625317">
            <w:pPr>
              <w:jc w:val="center"/>
              <w:rPr>
                <w:color w:val="000000"/>
                <w:sz w:val="20"/>
                <w:szCs w:val="20"/>
              </w:rPr>
            </w:pPr>
          </w:p>
        </w:tc>
      </w:tr>
      <w:tr w:rsidR="00625317" w:rsidRPr="00562E96" w:rsidTr="0093597F">
        <w:trPr>
          <w:trHeight w:hRule="exact" w:val="288"/>
          <w:jc w:val="center"/>
        </w:trPr>
        <w:tc>
          <w:tcPr>
            <w:tcW w:w="1209" w:type="pct"/>
            <w:tcBorders>
              <w:top w:val="nil"/>
              <w:left w:val="nil"/>
              <w:bottom w:val="nil"/>
              <w:right w:val="nil"/>
            </w:tcBorders>
            <w:vAlign w:val="center"/>
          </w:tcPr>
          <w:p w:rsidR="00625317" w:rsidRPr="00722F72" w:rsidRDefault="00625317" w:rsidP="00625317">
            <w:pPr>
              <w:jc w:val="center"/>
              <w:rPr>
                <w:color w:val="000000"/>
                <w:sz w:val="20"/>
                <w:szCs w:val="20"/>
              </w:rPr>
            </w:pPr>
            <w:r w:rsidRPr="00722F72">
              <w:rPr>
                <w:color w:val="000000"/>
                <w:sz w:val="20"/>
                <w:szCs w:val="20"/>
              </w:rPr>
              <w:t>cay</w:t>
            </w: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-0.07</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-0.08</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-0.28</w:t>
            </w:r>
          </w:p>
        </w:tc>
        <w:tc>
          <w:tcPr>
            <w:tcW w:w="677"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-0.17</w:t>
            </w: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-0.17</w:t>
            </w:r>
          </w:p>
        </w:tc>
        <w:tc>
          <w:tcPr>
            <w:tcW w:w="785" w:type="pct"/>
            <w:tcBorders>
              <w:top w:val="nil"/>
              <w:left w:val="nil"/>
              <w:bottom w:val="nil"/>
              <w:right w:val="nil"/>
            </w:tcBorders>
          </w:tcPr>
          <w:p w:rsidR="00625317" w:rsidRPr="00722F72" w:rsidRDefault="00625317" w:rsidP="00625317">
            <w:pPr>
              <w:jc w:val="center"/>
              <w:rPr>
                <w:color w:val="000000"/>
                <w:sz w:val="20"/>
                <w:szCs w:val="20"/>
              </w:rPr>
            </w:pPr>
            <w:r w:rsidRPr="00722F72">
              <w:rPr>
                <w:color w:val="000000"/>
                <w:sz w:val="20"/>
                <w:szCs w:val="20"/>
              </w:rPr>
              <w:t>0.38</w:t>
            </w:r>
          </w:p>
        </w:tc>
      </w:tr>
      <w:tr w:rsidR="00625317" w:rsidRPr="00562E96" w:rsidTr="0093597F">
        <w:trPr>
          <w:trHeight w:hRule="exact" w:val="288"/>
          <w:jc w:val="center"/>
        </w:trPr>
        <w:tc>
          <w:tcPr>
            <w:tcW w:w="1209" w:type="pct"/>
            <w:tcBorders>
              <w:top w:val="nil"/>
              <w:left w:val="nil"/>
              <w:bottom w:val="nil"/>
              <w:right w:val="nil"/>
            </w:tcBorders>
          </w:tcPr>
          <w:p w:rsidR="00625317" w:rsidRPr="00722F72" w:rsidRDefault="00625317" w:rsidP="00625317">
            <w:pPr>
              <w:jc w:val="center"/>
              <w:rPr>
                <w:color w:val="000000"/>
                <w:sz w:val="20"/>
                <w:szCs w:val="20"/>
              </w:rPr>
            </w:pP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(0.49)</w:t>
            </w:r>
          </w:p>
        </w:tc>
        <w:tc>
          <w:tcPr>
            <w:tcW w:w="583"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(0.42)</w:t>
            </w:r>
          </w:p>
        </w:tc>
        <w:tc>
          <w:tcPr>
            <w:tcW w:w="582" w:type="pct"/>
            <w:tcBorders>
              <w:top w:val="nil"/>
              <w:left w:val="nil"/>
              <w:bottom w:val="nil"/>
              <w:right w:val="nil"/>
            </w:tcBorders>
            <w:shd w:val="clear" w:color="auto" w:fill="D9D9D9"/>
          </w:tcPr>
          <w:p w:rsidR="00625317" w:rsidRPr="00A13655" w:rsidRDefault="00625317" w:rsidP="00625317">
            <w:pPr>
              <w:jc w:val="center"/>
              <w:rPr>
                <w:color w:val="000000"/>
                <w:sz w:val="20"/>
                <w:szCs w:val="20"/>
              </w:rPr>
            </w:pPr>
            <w:r w:rsidRPr="00A13655">
              <w:rPr>
                <w:color w:val="000000"/>
                <w:sz w:val="20"/>
                <w:szCs w:val="20"/>
              </w:rPr>
              <w:t>(0.00)</w:t>
            </w:r>
          </w:p>
        </w:tc>
        <w:tc>
          <w:tcPr>
            <w:tcW w:w="677"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(0.06)</w:t>
            </w:r>
          </w:p>
        </w:tc>
        <w:tc>
          <w:tcPr>
            <w:tcW w:w="582" w:type="pct"/>
            <w:tcBorders>
              <w:top w:val="nil"/>
              <w:left w:val="nil"/>
              <w:bottom w:val="nil"/>
              <w:right w:val="nil"/>
            </w:tcBorders>
          </w:tcPr>
          <w:p w:rsidR="00625317" w:rsidRPr="00A13655" w:rsidRDefault="00625317" w:rsidP="00625317">
            <w:pPr>
              <w:jc w:val="center"/>
              <w:rPr>
                <w:color w:val="000000"/>
                <w:sz w:val="20"/>
                <w:szCs w:val="20"/>
              </w:rPr>
            </w:pPr>
            <w:r w:rsidRPr="00A13655">
              <w:rPr>
                <w:color w:val="000000"/>
                <w:sz w:val="20"/>
                <w:szCs w:val="20"/>
              </w:rPr>
              <w:t>(0.06)</w:t>
            </w:r>
          </w:p>
        </w:tc>
        <w:tc>
          <w:tcPr>
            <w:tcW w:w="785" w:type="pct"/>
            <w:tcBorders>
              <w:top w:val="nil"/>
              <w:left w:val="nil"/>
              <w:bottom w:val="nil"/>
              <w:right w:val="nil"/>
            </w:tcBorders>
          </w:tcPr>
          <w:p w:rsidR="00625317" w:rsidRPr="00722F72" w:rsidRDefault="00625317" w:rsidP="00625317">
            <w:pPr>
              <w:jc w:val="center"/>
              <w:rPr>
                <w:color w:val="000000"/>
                <w:sz w:val="20"/>
                <w:szCs w:val="20"/>
              </w:rPr>
            </w:pPr>
            <w:r w:rsidRPr="00722F72">
              <w:rPr>
                <w:color w:val="000000"/>
                <w:sz w:val="20"/>
                <w:szCs w:val="20"/>
              </w:rPr>
              <w:t>(0.00)</w:t>
            </w:r>
          </w:p>
        </w:tc>
      </w:tr>
      <w:tr w:rsidR="00625317" w:rsidRPr="00562E96" w:rsidTr="0093597F">
        <w:trPr>
          <w:trHeight w:hRule="exact" w:val="144"/>
          <w:jc w:val="center"/>
        </w:trPr>
        <w:tc>
          <w:tcPr>
            <w:tcW w:w="1209" w:type="pct"/>
            <w:tcBorders>
              <w:top w:val="nil"/>
              <w:left w:val="nil"/>
              <w:bottom w:val="single" w:sz="4" w:space="0" w:color="auto"/>
              <w:right w:val="nil"/>
            </w:tcBorders>
          </w:tcPr>
          <w:p w:rsidR="00625317" w:rsidRPr="00722F72" w:rsidRDefault="00625317" w:rsidP="00625317">
            <w:pPr>
              <w:jc w:val="center"/>
              <w:rPr>
                <w:color w:val="000000"/>
                <w:sz w:val="20"/>
                <w:szCs w:val="20"/>
              </w:rPr>
            </w:pPr>
          </w:p>
        </w:tc>
        <w:tc>
          <w:tcPr>
            <w:tcW w:w="582" w:type="pct"/>
            <w:tcBorders>
              <w:top w:val="nil"/>
              <w:left w:val="nil"/>
              <w:bottom w:val="single" w:sz="4" w:space="0" w:color="auto"/>
              <w:right w:val="nil"/>
            </w:tcBorders>
          </w:tcPr>
          <w:p w:rsidR="00625317" w:rsidRPr="00A13655" w:rsidRDefault="00625317" w:rsidP="00625317">
            <w:pPr>
              <w:jc w:val="center"/>
              <w:rPr>
                <w:color w:val="000000"/>
                <w:sz w:val="20"/>
                <w:szCs w:val="20"/>
              </w:rPr>
            </w:pPr>
          </w:p>
        </w:tc>
        <w:tc>
          <w:tcPr>
            <w:tcW w:w="583" w:type="pct"/>
            <w:tcBorders>
              <w:top w:val="nil"/>
              <w:left w:val="nil"/>
              <w:bottom w:val="single" w:sz="4" w:space="0" w:color="auto"/>
              <w:right w:val="nil"/>
            </w:tcBorders>
          </w:tcPr>
          <w:p w:rsidR="00625317" w:rsidRPr="00A13655" w:rsidRDefault="00625317" w:rsidP="00625317">
            <w:pPr>
              <w:jc w:val="center"/>
              <w:rPr>
                <w:color w:val="000000"/>
                <w:sz w:val="20"/>
                <w:szCs w:val="20"/>
              </w:rPr>
            </w:pPr>
          </w:p>
        </w:tc>
        <w:tc>
          <w:tcPr>
            <w:tcW w:w="582" w:type="pct"/>
            <w:tcBorders>
              <w:top w:val="nil"/>
              <w:left w:val="nil"/>
              <w:bottom w:val="single" w:sz="4" w:space="0" w:color="auto"/>
              <w:right w:val="nil"/>
            </w:tcBorders>
            <w:shd w:val="clear" w:color="auto" w:fill="FFFFFF" w:themeFill="background1"/>
          </w:tcPr>
          <w:p w:rsidR="00625317" w:rsidRPr="00A13655" w:rsidRDefault="00625317" w:rsidP="00625317">
            <w:pPr>
              <w:jc w:val="center"/>
              <w:rPr>
                <w:color w:val="000000"/>
                <w:sz w:val="20"/>
                <w:szCs w:val="20"/>
              </w:rPr>
            </w:pPr>
          </w:p>
        </w:tc>
        <w:tc>
          <w:tcPr>
            <w:tcW w:w="677" w:type="pct"/>
            <w:tcBorders>
              <w:top w:val="nil"/>
              <w:left w:val="nil"/>
              <w:bottom w:val="single" w:sz="4" w:space="0" w:color="auto"/>
              <w:right w:val="nil"/>
            </w:tcBorders>
          </w:tcPr>
          <w:p w:rsidR="00625317" w:rsidRPr="00A13655" w:rsidRDefault="00625317" w:rsidP="00625317">
            <w:pPr>
              <w:jc w:val="center"/>
              <w:rPr>
                <w:color w:val="000000"/>
                <w:sz w:val="20"/>
                <w:szCs w:val="20"/>
              </w:rPr>
            </w:pPr>
          </w:p>
        </w:tc>
        <w:tc>
          <w:tcPr>
            <w:tcW w:w="582" w:type="pct"/>
            <w:tcBorders>
              <w:top w:val="nil"/>
              <w:left w:val="nil"/>
              <w:bottom w:val="single" w:sz="4" w:space="0" w:color="auto"/>
              <w:right w:val="nil"/>
            </w:tcBorders>
          </w:tcPr>
          <w:p w:rsidR="00625317" w:rsidRPr="00A13655" w:rsidRDefault="00625317" w:rsidP="00625317">
            <w:pPr>
              <w:jc w:val="center"/>
              <w:rPr>
                <w:color w:val="000000"/>
                <w:sz w:val="20"/>
                <w:szCs w:val="20"/>
              </w:rPr>
            </w:pPr>
          </w:p>
        </w:tc>
        <w:tc>
          <w:tcPr>
            <w:tcW w:w="785" w:type="pct"/>
            <w:tcBorders>
              <w:top w:val="nil"/>
              <w:left w:val="nil"/>
              <w:bottom w:val="single" w:sz="4" w:space="0" w:color="auto"/>
              <w:right w:val="nil"/>
            </w:tcBorders>
          </w:tcPr>
          <w:p w:rsidR="00625317" w:rsidRPr="00722F72" w:rsidRDefault="00625317" w:rsidP="00625317">
            <w:pPr>
              <w:jc w:val="center"/>
              <w:rPr>
                <w:color w:val="000000"/>
                <w:sz w:val="20"/>
                <w:szCs w:val="20"/>
              </w:rPr>
            </w:pPr>
          </w:p>
        </w:tc>
      </w:tr>
      <w:tr w:rsidR="00625317" w:rsidRPr="00562E96" w:rsidTr="0093597F">
        <w:trPr>
          <w:trHeight w:hRule="exact" w:val="144"/>
          <w:jc w:val="center"/>
        </w:trPr>
        <w:tc>
          <w:tcPr>
            <w:tcW w:w="1209" w:type="pct"/>
            <w:tcBorders>
              <w:top w:val="single" w:sz="4" w:space="0" w:color="auto"/>
              <w:left w:val="nil"/>
              <w:bottom w:val="nil"/>
              <w:right w:val="nil"/>
            </w:tcBorders>
          </w:tcPr>
          <w:p w:rsidR="00625317" w:rsidRPr="000D7A7D" w:rsidRDefault="00625317" w:rsidP="00625317">
            <w:pPr>
              <w:jc w:val="center"/>
              <w:rPr>
                <w:rFonts w:ascii="Book Antiqua" w:hAnsi="Book Antiqua"/>
                <w:color w:val="000000"/>
                <w:sz w:val="20"/>
                <w:szCs w:val="20"/>
              </w:rPr>
            </w:pPr>
          </w:p>
        </w:tc>
        <w:tc>
          <w:tcPr>
            <w:tcW w:w="582"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583"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582" w:type="pct"/>
            <w:tcBorders>
              <w:top w:val="single" w:sz="4" w:space="0" w:color="auto"/>
              <w:left w:val="nil"/>
              <w:bottom w:val="nil"/>
              <w:right w:val="nil"/>
            </w:tcBorders>
            <w:shd w:val="clear" w:color="auto" w:fill="FFFFFF" w:themeFill="background1"/>
          </w:tcPr>
          <w:p w:rsidR="00625317" w:rsidRPr="00A13655" w:rsidRDefault="00625317" w:rsidP="00625317">
            <w:pPr>
              <w:jc w:val="center"/>
              <w:rPr>
                <w:rFonts w:ascii="Book Antiqua" w:hAnsi="Book Antiqua"/>
                <w:color w:val="000000"/>
                <w:sz w:val="20"/>
                <w:szCs w:val="20"/>
              </w:rPr>
            </w:pPr>
          </w:p>
        </w:tc>
        <w:tc>
          <w:tcPr>
            <w:tcW w:w="677"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582" w:type="pct"/>
            <w:tcBorders>
              <w:top w:val="single" w:sz="4" w:space="0" w:color="auto"/>
              <w:left w:val="nil"/>
              <w:bottom w:val="nil"/>
              <w:right w:val="nil"/>
            </w:tcBorders>
          </w:tcPr>
          <w:p w:rsidR="00625317" w:rsidRPr="00A13655" w:rsidRDefault="00625317" w:rsidP="00625317">
            <w:pPr>
              <w:jc w:val="center"/>
              <w:rPr>
                <w:rFonts w:ascii="Book Antiqua" w:hAnsi="Book Antiqua"/>
                <w:color w:val="000000"/>
                <w:sz w:val="20"/>
                <w:szCs w:val="20"/>
              </w:rPr>
            </w:pPr>
          </w:p>
        </w:tc>
        <w:tc>
          <w:tcPr>
            <w:tcW w:w="785" w:type="pct"/>
            <w:tcBorders>
              <w:top w:val="single" w:sz="4" w:space="0" w:color="auto"/>
              <w:left w:val="nil"/>
              <w:bottom w:val="nil"/>
              <w:right w:val="nil"/>
            </w:tcBorders>
          </w:tcPr>
          <w:p w:rsidR="00625317" w:rsidRPr="000D7A7D" w:rsidRDefault="00625317" w:rsidP="00625317">
            <w:pPr>
              <w:jc w:val="center"/>
              <w:rPr>
                <w:rFonts w:ascii="Book Antiqua" w:hAnsi="Book Antiqua"/>
                <w:color w:val="000000"/>
                <w:sz w:val="20"/>
                <w:szCs w:val="20"/>
              </w:rPr>
            </w:pPr>
          </w:p>
        </w:tc>
      </w:tr>
      <w:tr w:rsidR="00625317" w:rsidRPr="00562E96" w:rsidTr="0093597F">
        <w:trPr>
          <w:trHeight w:hRule="exact" w:val="1798"/>
          <w:jc w:val="center"/>
        </w:trPr>
        <w:tc>
          <w:tcPr>
            <w:tcW w:w="5000" w:type="pct"/>
            <w:gridSpan w:val="7"/>
            <w:tcBorders>
              <w:top w:val="nil"/>
              <w:left w:val="nil"/>
              <w:bottom w:val="nil"/>
              <w:right w:val="nil"/>
            </w:tcBorders>
          </w:tcPr>
          <w:p w:rsidR="00625317" w:rsidRPr="00A13655" w:rsidRDefault="00625317" w:rsidP="00625317">
            <w:pPr>
              <w:autoSpaceDE w:val="0"/>
              <w:autoSpaceDN w:val="0"/>
              <w:adjustRightInd w:val="0"/>
              <w:jc w:val="both"/>
              <w:rPr>
                <w:rFonts w:ascii="Book Antiqua" w:hAnsi="Book Antiqua"/>
                <w:color w:val="000000"/>
              </w:rPr>
            </w:pPr>
            <w:r w:rsidRPr="00A13655">
              <w:rPr>
                <w:sz w:val="20"/>
                <w:szCs w:val="20"/>
              </w:rPr>
              <w:t xml:space="preserve">Note: The sample period covers from 1981:Q1 to 2009:Q4. The data used are in real and per capita terms. They are logged (except for trade-balance-output and current-account-output ratios) and HP filtered with smoothing parameter 1600. </w:t>
            </w:r>
            <w:r w:rsidRPr="00A13655">
              <w:rPr>
                <w:color w:val="000000"/>
                <w:sz w:val="20"/>
                <w:szCs w:val="20"/>
              </w:rPr>
              <w:t>Standard errors are reported inside the brackets</w:t>
            </w:r>
            <w:r w:rsidRPr="00A13655">
              <w:rPr>
                <w:sz w:val="20"/>
                <w:szCs w:val="20"/>
              </w:rPr>
              <w:t>.</w:t>
            </w:r>
          </w:p>
        </w:tc>
      </w:tr>
    </w:tbl>
    <w:p w:rsidR="00625317" w:rsidRDefault="00625317" w:rsidP="00625317">
      <w:pPr>
        <w:snapToGrid w:val="0"/>
        <w:spacing w:line="480" w:lineRule="auto"/>
        <w:ind w:left="360"/>
        <w:jc w:val="lowKashida"/>
        <w:rPr>
          <w:rFonts w:ascii="Book Antiqua" w:hAnsi="Book Antiqua" w:cs="AdvMc_Times-i"/>
          <w:b/>
          <w:sz w:val="28"/>
          <w:szCs w:val="28"/>
        </w:rPr>
      </w:pPr>
    </w:p>
    <w:p w:rsidR="006B19BC" w:rsidRDefault="006B19BC" w:rsidP="00625317">
      <w:pPr>
        <w:snapToGrid w:val="0"/>
        <w:spacing w:line="480" w:lineRule="auto"/>
        <w:ind w:left="360"/>
        <w:jc w:val="lowKashida"/>
        <w:rPr>
          <w:rFonts w:ascii="Book Antiqua" w:hAnsi="Book Antiqua" w:cs="AdvMc_Times-i"/>
          <w:b/>
          <w:sz w:val="28"/>
          <w:szCs w:val="28"/>
        </w:rPr>
      </w:pPr>
    </w:p>
    <w:p w:rsidR="00085BE7" w:rsidRDefault="00085BE7" w:rsidP="00625317">
      <w:pPr>
        <w:snapToGrid w:val="0"/>
        <w:spacing w:line="480" w:lineRule="auto"/>
        <w:ind w:left="360"/>
        <w:jc w:val="lowKashida"/>
        <w:rPr>
          <w:rFonts w:ascii="Book Antiqua" w:hAnsi="Book Antiqua" w:cs="AdvMc_Times-i"/>
          <w:b/>
          <w:sz w:val="28"/>
          <w:szCs w:val="28"/>
        </w:rPr>
      </w:pPr>
    </w:p>
    <w:p w:rsidR="0093597F" w:rsidRDefault="0093597F" w:rsidP="00625317">
      <w:pPr>
        <w:snapToGrid w:val="0"/>
        <w:spacing w:line="480" w:lineRule="auto"/>
        <w:ind w:left="360"/>
        <w:jc w:val="lowKashida"/>
        <w:rPr>
          <w:rFonts w:ascii="Book Antiqua" w:hAnsi="Book Antiqua" w:cs="AdvMc_Times-i"/>
          <w:b/>
          <w:sz w:val="28"/>
          <w:szCs w:val="28"/>
        </w:rPr>
      </w:pPr>
    </w:p>
    <w:p w:rsidR="0093597F" w:rsidRDefault="0093597F" w:rsidP="00625317">
      <w:pPr>
        <w:snapToGrid w:val="0"/>
        <w:spacing w:line="480" w:lineRule="auto"/>
        <w:ind w:left="360"/>
        <w:jc w:val="lowKashida"/>
        <w:rPr>
          <w:rFonts w:ascii="Book Antiqua" w:hAnsi="Book Antiqua" w:cs="AdvMc_Times-i"/>
          <w:b/>
          <w:sz w:val="28"/>
          <w:szCs w:val="28"/>
        </w:rPr>
      </w:pPr>
    </w:p>
    <w:p w:rsidR="0093597F" w:rsidRDefault="0093597F" w:rsidP="00625317">
      <w:pPr>
        <w:snapToGrid w:val="0"/>
        <w:spacing w:line="480" w:lineRule="auto"/>
        <w:ind w:left="360"/>
        <w:jc w:val="lowKashida"/>
        <w:rPr>
          <w:rFonts w:ascii="Book Antiqua" w:hAnsi="Book Antiqua" w:cs="AdvMc_Times-i"/>
          <w:b/>
          <w:sz w:val="28"/>
          <w:szCs w:val="28"/>
        </w:rPr>
      </w:pPr>
    </w:p>
    <w:p w:rsidR="006B19BC" w:rsidRDefault="006B19BC" w:rsidP="00625317">
      <w:pPr>
        <w:snapToGrid w:val="0"/>
        <w:spacing w:line="480" w:lineRule="auto"/>
        <w:ind w:left="360"/>
        <w:jc w:val="lowKashida"/>
        <w:rPr>
          <w:rFonts w:ascii="Book Antiqua" w:hAnsi="Book Antiqua" w:cs="AdvMc_Times-i"/>
          <w:b/>
          <w:sz w:val="28"/>
          <w:szCs w:val="28"/>
        </w:rPr>
      </w:pPr>
    </w:p>
    <w:p w:rsidR="0093597F" w:rsidRDefault="0093597F" w:rsidP="00625317">
      <w:pPr>
        <w:snapToGrid w:val="0"/>
        <w:spacing w:line="480" w:lineRule="auto"/>
        <w:ind w:left="360"/>
        <w:jc w:val="lowKashida"/>
        <w:rPr>
          <w:rFonts w:ascii="Book Antiqua" w:hAnsi="Book Antiqua" w:cs="AdvMc_Times-i"/>
          <w:b/>
          <w:sz w:val="28"/>
          <w:szCs w:val="28"/>
        </w:rPr>
      </w:pPr>
    </w:p>
    <w:tbl>
      <w:tblPr>
        <w:tblW w:w="42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61"/>
        <w:gridCol w:w="1069"/>
        <w:gridCol w:w="5459"/>
      </w:tblGrid>
      <w:tr w:rsidR="00625317" w:rsidRPr="002D3802" w:rsidTr="0093597F">
        <w:trPr>
          <w:trHeight w:hRule="exact" w:val="684"/>
          <w:jc w:val="center"/>
        </w:trPr>
        <w:tc>
          <w:tcPr>
            <w:tcW w:w="5000" w:type="pct"/>
            <w:gridSpan w:val="3"/>
            <w:tcBorders>
              <w:top w:val="nil"/>
              <w:left w:val="nil"/>
              <w:bottom w:val="single" w:sz="4" w:space="0" w:color="auto"/>
              <w:right w:val="nil"/>
            </w:tcBorders>
          </w:tcPr>
          <w:p w:rsidR="00625317" w:rsidRPr="00A13655" w:rsidRDefault="003C2FA1" w:rsidP="00085BE7">
            <w:pPr>
              <w:pStyle w:val="Caption"/>
              <w:rPr>
                <w:b w:val="0"/>
                <w:sz w:val="24"/>
                <w:szCs w:val="24"/>
              </w:rPr>
            </w:pPr>
            <w:bookmarkStart w:id="53" w:name="_Toc284613302"/>
            <w:bookmarkStart w:id="54" w:name="_Toc284614792"/>
            <w:bookmarkStart w:id="55" w:name="_Toc285392583"/>
            <w:r w:rsidRPr="00A13655">
              <w:rPr>
                <w:b w:val="0"/>
                <w:sz w:val="24"/>
                <w:szCs w:val="24"/>
              </w:rPr>
              <w:t xml:space="preserve">Table </w:t>
            </w:r>
            <w:r w:rsidR="00F15834">
              <w:rPr>
                <w:b w:val="0"/>
                <w:sz w:val="24"/>
                <w:szCs w:val="24"/>
              </w:rPr>
              <w:t>A.</w:t>
            </w:r>
            <w:r w:rsidR="00AB7C8D" w:rsidRPr="00A13655">
              <w:rPr>
                <w:b w:val="0"/>
                <w:sz w:val="24"/>
                <w:szCs w:val="24"/>
              </w:rPr>
              <w:fldChar w:fldCharType="begin"/>
            </w:r>
            <w:r w:rsidR="007509A1" w:rsidRPr="00A13655">
              <w:rPr>
                <w:b w:val="0"/>
                <w:sz w:val="24"/>
                <w:szCs w:val="24"/>
              </w:rPr>
              <w:instrText xml:space="preserve"> SEQ Table \* ARABIC </w:instrText>
            </w:r>
            <w:r w:rsidR="00AB7C8D" w:rsidRPr="00A13655">
              <w:rPr>
                <w:b w:val="0"/>
                <w:sz w:val="24"/>
                <w:szCs w:val="24"/>
              </w:rPr>
              <w:fldChar w:fldCharType="separate"/>
            </w:r>
            <w:r w:rsidR="00531AB5">
              <w:rPr>
                <w:b w:val="0"/>
                <w:noProof/>
                <w:sz w:val="24"/>
                <w:szCs w:val="24"/>
              </w:rPr>
              <w:t>2</w:t>
            </w:r>
            <w:r w:rsidR="00AB7C8D" w:rsidRPr="00A13655">
              <w:rPr>
                <w:b w:val="0"/>
                <w:sz w:val="24"/>
                <w:szCs w:val="24"/>
              </w:rPr>
              <w:fldChar w:fldCharType="end"/>
            </w:r>
            <w:r w:rsidR="00625317" w:rsidRPr="00A13655">
              <w:rPr>
                <w:b w:val="0"/>
                <w:sz w:val="24"/>
                <w:szCs w:val="24"/>
              </w:rPr>
              <w:t>: Parameters Values in the Baseline Model</w:t>
            </w:r>
            <w:bookmarkEnd w:id="53"/>
            <w:bookmarkEnd w:id="54"/>
            <w:bookmarkEnd w:id="55"/>
          </w:p>
          <w:p w:rsidR="006B19BC" w:rsidRPr="006B19BC" w:rsidRDefault="006B19BC" w:rsidP="006B19BC"/>
          <w:p w:rsidR="00625317" w:rsidRDefault="00625317" w:rsidP="00625317">
            <w:pPr>
              <w:pStyle w:val="ListParagraph"/>
              <w:ind w:left="0"/>
              <w:jc w:val="center"/>
              <w:rPr>
                <w:rFonts w:ascii="Book Antiqua" w:hAnsi="Book Antiqua"/>
                <w:b/>
                <w:bCs/>
                <w:sz w:val="28"/>
                <w:szCs w:val="28"/>
              </w:rPr>
            </w:pPr>
          </w:p>
          <w:p w:rsidR="00625317" w:rsidRDefault="00625317" w:rsidP="00625317">
            <w:pPr>
              <w:pStyle w:val="ListParagraph"/>
              <w:ind w:left="0"/>
              <w:jc w:val="center"/>
              <w:rPr>
                <w:rFonts w:ascii="Book Antiqua" w:hAnsi="Book Antiqua"/>
                <w:b/>
                <w:bCs/>
                <w:sz w:val="28"/>
                <w:szCs w:val="28"/>
              </w:rPr>
            </w:pPr>
          </w:p>
          <w:p w:rsidR="00625317" w:rsidRPr="002D3802" w:rsidRDefault="00625317" w:rsidP="00625317">
            <w:pPr>
              <w:pStyle w:val="ListParagraph"/>
              <w:ind w:left="0"/>
              <w:jc w:val="center"/>
              <w:rPr>
                <w:rFonts w:ascii="Book Antiqua" w:hAnsi="Book Antiqua"/>
                <w:b/>
                <w:bCs/>
                <w:sz w:val="28"/>
                <w:szCs w:val="28"/>
              </w:rPr>
            </w:pPr>
          </w:p>
        </w:tc>
      </w:tr>
      <w:tr w:rsidR="00625317" w:rsidRPr="000B2FA7" w:rsidTr="0093597F">
        <w:trPr>
          <w:trHeight w:hRule="exact" w:val="144"/>
          <w:jc w:val="center"/>
        </w:trPr>
        <w:tc>
          <w:tcPr>
            <w:tcW w:w="1014" w:type="pct"/>
            <w:tcBorders>
              <w:top w:val="single" w:sz="4" w:space="0" w:color="auto"/>
              <w:left w:val="nil"/>
              <w:bottom w:val="nil"/>
              <w:right w:val="nil"/>
            </w:tcBorders>
          </w:tcPr>
          <w:p w:rsidR="00625317" w:rsidRPr="009760F8" w:rsidRDefault="00625317" w:rsidP="00625317">
            <w:pPr>
              <w:pStyle w:val="ListParagraph"/>
              <w:ind w:left="0"/>
              <w:jc w:val="center"/>
              <w:rPr>
                <w:rFonts w:ascii="Book Antiqua" w:hAnsi="Book Antiqua"/>
                <w:sz w:val="24"/>
                <w:szCs w:val="24"/>
              </w:rPr>
            </w:pPr>
          </w:p>
        </w:tc>
        <w:tc>
          <w:tcPr>
            <w:tcW w:w="653" w:type="pct"/>
            <w:tcBorders>
              <w:top w:val="single" w:sz="4" w:space="0" w:color="auto"/>
              <w:left w:val="nil"/>
              <w:bottom w:val="nil"/>
              <w:right w:val="nil"/>
            </w:tcBorders>
          </w:tcPr>
          <w:p w:rsidR="00625317" w:rsidRPr="009760F8" w:rsidRDefault="00625317" w:rsidP="00625317">
            <w:pPr>
              <w:pStyle w:val="ListParagraph"/>
              <w:ind w:left="0"/>
              <w:rPr>
                <w:rFonts w:ascii="Book Antiqua" w:hAnsi="Book Antiqua"/>
                <w:sz w:val="24"/>
                <w:szCs w:val="24"/>
              </w:rPr>
            </w:pPr>
          </w:p>
        </w:tc>
        <w:tc>
          <w:tcPr>
            <w:tcW w:w="3333" w:type="pct"/>
            <w:tcBorders>
              <w:top w:val="single" w:sz="4" w:space="0" w:color="auto"/>
              <w:left w:val="nil"/>
              <w:bottom w:val="nil"/>
              <w:right w:val="nil"/>
            </w:tcBorders>
          </w:tcPr>
          <w:p w:rsidR="00625317" w:rsidRPr="000B2FA7" w:rsidRDefault="00625317" w:rsidP="00625317">
            <w:pPr>
              <w:pStyle w:val="ListParagraph"/>
              <w:ind w:left="0"/>
              <w:rPr>
                <w:rFonts w:ascii="Book Antiqua" w:hAnsi="Book Antiqua"/>
                <w:sz w:val="24"/>
                <w:szCs w:val="24"/>
              </w:rPr>
            </w:pPr>
          </w:p>
        </w:tc>
      </w:tr>
      <w:tr w:rsidR="00625317" w:rsidRPr="00331CC2" w:rsidTr="0093597F">
        <w:trPr>
          <w:trHeight w:hRule="exact" w:val="432"/>
          <w:jc w:val="center"/>
        </w:trPr>
        <w:tc>
          <w:tcPr>
            <w:tcW w:w="1014" w:type="pct"/>
            <w:tcBorders>
              <w:top w:val="nil"/>
              <w:left w:val="nil"/>
              <w:bottom w:val="single" w:sz="4" w:space="0" w:color="auto"/>
              <w:right w:val="nil"/>
            </w:tcBorders>
          </w:tcPr>
          <w:p w:rsidR="00625317" w:rsidRPr="00331CC2" w:rsidRDefault="00625317" w:rsidP="00625317">
            <w:pPr>
              <w:pStyle w:val="ListParagraph"/>
              <w:ind w:left="0"/>
              <w:jc w:val="center"/>
              <w:rPr>
                <w:rFonts w:ascii="Times New Roman" w:hAnsi="Times New Roman"/>
                <w:position w:val="-6"/>
                <w:sz w:val="20"/>
                <w:szCs w:val="20"/>
              </w:rPr>
            </w:pPr>
            <w:r w:rsidRPr="00331CC2">
              <w:rPr>
                <w:rFonts w:ascii="Times New Roman" w:hAnsi="Times New Roman"/>
                <w:sz w:val="24"/>
                <w:szCs w:val="24"/>
              </w:rPr>
              <w:t>Parameter</w:t>
            </w:r>
          </w:p>
        </w:tc>
        <w:tc>
          <w:tcPr>
            <w:tcW w:w="653" w:type="pct"/>
            <w:tcBorders>
              <w:top w:val="nil"/>
              <w:left w:val="nil"/>
              <w:bottom w:val="single" w:sz="4" w:space="0" w:color="auto"/>
              <w:right w:val="nil"/>
            </w:tcBorders>
          </w:tcPr>
          <w:p w:rsidR="00625317" w:rsidRPr="00331CC2" w:rsidRDefault="00625317" w:rsidP="00625317">
            <w:pPr>
              <w:pStyle w:val="ListParagraph"/>
              <w:ind w:left="0"/>
              <w:rPr>
                <w:rFonts w:ascii="Times New Roman" w:hAnsi="Times New Roman"/>
                <w:sz w:val="20"/>
                <w:szCs w:val="20"/>
              </w:rPr>
            </w:pPr>
            <w:r w:rsidRPr="00331CC2">
              <w:rPr>
                <w:rFonts w:ascii="Times New Roman" w:hAnsi="Times New Roman"/>
                <w:sz w:val="24"/>
                <w:szCs w:val="24"/>
              </w:rPr>
              <w:t>Value</w:t>
            </w:r>
          </w:p>
        </w:tc>
        <w:tc>
          <w:tcPr>
            <w:tcW w:w="3333" w:type="pct"/>
            <w:tcBorders>
              <w:top w:val="nil"/>
              <w:left w:val="nil"/>
              <w:bottom w:val="single" w:sz="4" w:space="0" w:color="auto"/>
              <w:right w:val="nil"/>
            </w:tcBorders>
          </w:tcPr>
          <w:p w:rsidR="00625317" w:rsidRPr="00331CC2" w:rsidRDefault="00625317" w:rsidP="00625317">
            <w:pPr>
              <w:pStyle w:val="ListParagraph"/>
              <w:ind w:left="0"/>
              <w:rPr>
                <w:rFonts w:ascii="Times New Roman" w:hAnsi="Times New Roman"/>
                <w:sz w:val="24"/>
                <w:szCs w:val="24"/>
              </w:rPr>
            </w:pPr>
            <w:r w:rsidRPr="00331CC2">
              <w:rPr>
                <w:rFonts w:ascii="Times New Roman" w:hAnsi="Times New Roman"/>
                <w:sz w:val="24"/>
                <w:szCs w:val="24"/>
              </w:rPr>
              <w:t>Description</w:t>
            </w:r>
          </w:p>
        </w:tc>
      </w:tr>
      <w:tr w:rsidR="00625317" w:rsidRPr="00331CC2" w:rsidTr="0093597F">
        <w:trPr>
          <w:trHeight w:hRule="exact" w:val="144"/>
          <w:jc w:val="center"/>
        </w:trPr>
        <w:tc>
          <w:tcPr>
            <w:tcW w:w="1014" w:type="pct"/>
            <w:tcBorders>
              <w:top w:val="single" w:sz="4" w:space="0" w:color="auto"/>
              <w:left w:val="nil"/>
              <w:bottom w:val="nil"/>
              <w:right w:val="nil"/>
            </w:tcBorders>
          </w:tcPr>
          <w:p w:rsidR="00625317" w:rsidRPr="00331CC2" w:rsidRDefault="00625317" w:rsidP="00625317">
            <w:pPr>
              <w:pStyle w:val="ListParagraph"/>
              <w:ind w:left="0"/>
              <w:jc w:val="center"/>
              <w:rPr>
                <w:rFonts w:ascii="Times New Roman" w:hAnsi="Times New Roman"/>
                <w:position w:val="-6"/>
                <w:sz w:val="20"/>
                <w:szCs w:val="20"/>
              </w:rPr>
            </w:pPr>
          </w:p>
        </w:tc>
        <w:tc>
          <w:tcPr>
            <w:tcW w:w="653" w:type="pct"/>
            <w:tcBorders>
              <w:top w:val="single" w:sz="4" w:space="0" w:color="auto"/>
              <w:left w:val="nil"/>
              <w:bottom w:val="nil"/>
              <w:right w:val="nil"/>
            </w:tcBorders>
          </w:tcPr>
          <w:p w:rsidR="00625317" w:rsidRPr="00331CC2" w:rsidRDefault="00625317" w:rsidP="00625317">
            <w:pPr>
              <w:pStyle w:val="ListParagraph"/>
              <w:ind w:left="0"/>
              <w:rPr>
                <w:rFonts w:ascii="Times New Roman" w:hAnsi="Times New Roman"/>
                <w:sz w:val="20"/>
                <w:szCs w:val="20"/>
              </w:rPr>
            </w:pPr>
          </w:p>
        </w:tc>
        <w:tc>
          <w:tcPr>
            <w:tcW w:w="3333" w:type="pct"/>
            <w:tcBorders>
              <w:top w:val="single" w:sz="4" w:space="0" w:color="auto"/>
              <w:left w:val="nil"/>
              <w:bottom w:val="nil"/>
              <w:right w:val="nil"/>
            </w:tcBorders>
          </w:tcPr>
          <w:p w:rsidR="00625317" w:rsidRPr="00331CC2" w:rsidRDefault="00625317" w:rsidP="00625317">
            <w:pPr>
              <w:pStyle w:val="ListParagraph"/>
              <w:ind w:left="0"/>
              <w:rPr>
                <w:rFonts w:ascii="Times New Roman" w:hAnsi="Times New Roman"/>
                <w:sz w:val="20"/>
                <w:szCs w:val="20"/>
              </w:rPr>
            </w:pP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460" w:dyaOrig="240">
                <v:shape id="_x0000_i1352" type="#_x0000_t75" style="width:22.6pt;height:9.2pt" o:ole="">
                  <v:imagedata r:id="rId662" o:title=""/>
                </v:shape>
                <o:OLEObject Type="Embed" ProgID="Equation.DSMT4" ShapeID="_x0000_i1352" DrawAspect="Content" ObjectID="_1359267275" r:id="rId663"/>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0.320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Employment share in the production</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200" w:dyaOrig="240">
                <v:shape id="_x0000_i1353" type="#_x0000_t75" style="width:9.2pt;height:9.2pt" o:ole="">
                  <v:imagedata r:id="rId664" o:title=""/>
                </v:shape>
                <o:OLEObject Type="Embed" ProgID="Equation.DSMT4" ShapeID="_x0000_i1353" DrawAspect="Content" ObjectID="_1359267276" r:id="rId665"/>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0.020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Depreciation rate of capital stock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180" w:dyaOrig="200">
                <v:shape id="_x0000_i1354" type="#_x0000_t75" style="width:9.2pt;height:9.2pt" o:ole="">
                  <v:imagedata r:id="rId666" o:title=""/>
                </v:shape>
                <o:OLEObject Type="Embed" ProgID="Equation.DSMT4" ShapeID="_x0000_i1354" DrawAspect="Content" ObjectID="_1359267277" r:id="rId667"/>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0.050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Depreciation rate of durable stock</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200" w:dyaOrig="240">
                <v:shape id="_x0000_i1355" type="#_x0000_t75" style="width:9.2pt;height:9.2pt" o:ole="">
                  <v:imagedata r:id="rId668" o:title=""/>
                </v:shape>
                <o:OLEObject Type="Embed" ProgID="Equation.DSMT4" ShapeID="_x0000_i1355" DrawAspect="Content" ObjectID="_1359267278" r:id="rId669"/>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0.817</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Average utilization rate</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460" w:dyaOrig="279">
                <v:shape id="_x0000_i1356" type="#_x0000_t75" style="width:22.6pt;height:9.2pt" o:ole="">
                  <v:imagedata r:id="rId670" o:title=""/>
                </v:shape>
                <o:OLEObject Type="Embed" ProgID="Equation.DSMT4" ShapeID="_x0000_i1356" DrawAspect="Content" ObjectID="_1359267279" r:id="rId671"/>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1.500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Depreciation elasticity to utilization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180" w:dyaOrig="200">
                <v:shape id="_x0000_i1357" type="#_x0000_t75" style="width:9.2pt;height:9.2pt" o:ole="">
                  <v:imagedata r:id="rId672" o:title=""/>
                </v:shape>
                <o:OLEObject Type="Embed" ProgID="Equation.DSMT4" ShapeID="_x0000_i1357" DrawAspect="Content" ObjectID="_1359267280" r:id="rId673"/>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0.027</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Utilization scaling parameter</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220" w:dyaOrig="200">
                <v:shape id="_x0000_i1358" type="#_x0000_t75" style="width:8.35pt;height:9.2pt" o:ole="">
                  <v:imagedata r:id="rId674" o:title=""/>
                </v:shape>
                <o:OLEObject Type="Embed" ProgID="Equation.DSMT4" ShapeID="_x0000_i1358" DrawAspect="Content" ObjectID="_1359267281" r:id="rId675"/>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0.500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Risk aversion parameter</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4"/>
              </w:rPr>
              <w:object w:dxaOrig="260" w:dyaOrig="260">
                <v:shape id="_x0000_i1359" type="#_x0000_t75" style="width:9.2pt;height:9.2pt" o:ole="">
                  <v:imagedata r:id="rId676" o:title=""/>
                </v:shape>
                <o:OLEObject Type="Embed" ProgID="Equation.DSMT4" ShapeID="_x0000_i1359" DrawAspect="Content" ObjectID="_1359267282" r:id="rId677"/>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position w:val="-6"/>
              </w:rPr>
              <w:object w:dxaOrig="560" w:dyaOrig="279">
                <v:shape id="_x0000_i1360" type="#_x0000_t75" style="width:25.1pt;height:14.25pt" o:ole="">
                  <v:imagedata r:id="rId678" o:title=""/>
                </v:shape>
                <o:OLEObject Type="Embed" ProgID="Equation.DSMT4" ShapeID="_x0000_i1360" DrawAspect="Content" ObjectID="_1359267283" r:id="rId679"/>
              </w:objec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Average rate of return on world capital markets</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20" w:dyaOrig="279">
                <v:shape id="_x0000_i1361" type="#_x0000_t75" style="width:8.35pt;height:9.2pt" o:ole="">
                  <v:imagedata r:id="rId680" o:title=""/>
                </v:shape>
                <o:OLEObject Type="Embed" ProgID="Equation.DSMT4" ShapeID="_x0000_i1361" DrawAspect="Content" ObjectID="_1359267284" r:id="rId681"/>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position w:val="-6"/>
              </w:rPr>
              <w:object w:dxaOrig="639" w:dyaOrig="279">
                <v:shape id="_x0000_i1362" type="#_x0000_t75" style="width:30.15pt;height:14.25pt" o:ole="">
                  <v:imagedata r:id="rId682" o:title=""/>
                </v:shape>
                <o:OLEObject Type="Embed" ProgID="Equation.DSMT4" ShapeID="_x0000_i1362" DrawAspect="Content" ObjectID="_1359267285" r:id="rId683"/>
              </w:objec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Subjective discount factor</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20" w:dyaOrig="240">
                <v:shape id="_x0000_i1363" type="#_x0000_t75" style="width:8.35pt;height:9.2pt" o:ole="">
                  <v:imagedata r:id="rId684" o:title=""/>
                </v:shape>
                <o:OLEObject Type="Embed" ProgID="Equation.DSMT4" ShapeID="_x0000_i1363" DrawAspect="Content" ObjectID="_1359267286" r:id="rId685"/>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1.100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Elasticity of substitution between durable and nondurables</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180" w:dyaOrig="240">
                <v:shape id="_x0000_i1364" type="#_x0000_t75" style="width:9.2pt;height:9.2pt" o:ole="">
                  <v:imagedata r:id="rId686" o:title=""/>
                </v:shape>
                <o:OLEObject Type="Embed" ProgID="Equation.DSMT4" ShapeID="_x0000_i1364" DrawAspect="Content" ObjectID="_1359267287" r:id="rId687"/>
              </w:object>
            </w:r>
          </w:p>
        </w:tc>
        <w:tc>
          <w:tcPr>
            <w:tcW w:w="653" w:type="pct"/>
            <w:tcBorders>
              <w:top w:val="nil"/>
              <w:left w:val="nil"/>
              <w:bottom w:val="nil"/>
              <w:right w:val="nil"/>
            </w:tcBorders>
            <w:vAlign w:val="bottom"/>
          </w:tcPr>
          <w:p w:rsidR="00625317" w:rsidRPr="0065704E" w:rsidRDefault="00625317" w:rsidP="00625317">
            <w:pPr>
              <w:rPr>
                <w:rFonts w:asciiTheme="majorBidi" w:hAnsiTheme="majorBidi" w:cstheme="majorBidi"/>
                <w:color w:val="000000"/>
              </w:rPr>
            </w:pPr>
            <w:r w:rsidRPr="0065704E">
              <w:rPr>
                <w:rFonts w:asciiTheme="majorBidi" w:hAnsiTheme="majorBidi" w:cstheme="majorBidi"/>
                <w:color w:val="000000"/>
                <w:sz w:val="22"/>
                <w:szCs w:val="22"/>
              </w:rPr>
              <w:t>0.803</w:t>
            </w:r>
          </w:p>
        </w:tc>
        <w:tc>
          <w:tcPr>
            <w:tcW w:w="3333" w:type="pct"/>
            <w:tcBorders>
              <w:top w:val="nil"/>
              <w:left w:val="nil"/>
              <w:bottom w:val="nil"/>
              <w:right w:val="nil"/>
            </w:tcBorders>
            <w:vAlign w:val="bottom"/>
          </w:tcPr>
          <w:p w:rsidR="00625317" w:rsidRPr="0065704E" w:rsidRDefault="00625317" w:rsidP="00625317">
            <w:pPr>
              <w:rPr>
                <w:rFonts w:asciiTheme="majorBidi" w:hAnsiTheme="majorBidi" w:cstheme="majorBidi"/>
                <w:color w:val="000000"/>
              </w:rPr>
            </w:pPr>
            <w:r w:rsidRPr="0065704E">
              <w:rPr>
                <w:rFonts w:asciiTheme="majorBidi" w:hAnsiTheme="majorBidi" w:cstheme="majorBidi"/>
                <w:sz w:val="22"/>
                <w:szCs w:val="22"/>
              </w:rPr>
              <w:t xml:space="preserve">Nondurable share  in the utility index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220" w:dyaOrig="200">
                <v:shape id="_x0000_i1365" type="#_x0000_t75" style="width:8.35pt;height:9.2pt" o:ole="">
                  <v:imagedata r:id="rId688" o:title=""/>
                </v:shape>
                <o:OLEObject Type="Embed" ProgID="Equation.DSMT4" ShapeID="_x0000_i1365" DrawAspect="Content" ObjectID="_1359267288" r:id="rId689"/>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1.200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Labor supply elasticity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180" w:dyaOrig="279">
                <v:shape id="_x0000_i1366" type="#_x0000_t75" style="width:9.2pt;height:9.2pt" o:ole="">
                  <v:imagedata r:id="rId690" o:title=""/>
                </v:shape>
                <o:OLEObject Type="Embed" ProgID="Equation.DSMT4" ShapeID="_x0000_i1366" DrawAspect="Content" ObjectID="_1359267289" r:id="rId691"/>
              </w:object>
            </w:r>
          </w:p>
        </w:tc>
        <w:tc>
          <w:tcPr>
            <w:tcW w:w="653" w:type="pct"/>
            <w:tcBorders>
              <w:top w:val="nil"/>
              <w:left w:val="nil"/>
              <w:bottom w:val="nil"/>
              <w:right w:val="nil"/>
            </w:tcBorders>
            <w:vAlign w:val="bottom"/>
          </w:tcPr>
          <w:p w:rsidR="00625317" w:rsidRPr="0065704E" w:rsidRDefault="00625317" w:rsidP="00625317">
            <w:pPr>
              <w:rPr>
                <w:rFonts w:asciiTheme="majorBidi" w:hAnsiTheme="majorBidi" w:cstheme="majorBidi"/>
                <w:color w:val="000000"/>
              </w:rPr>
            </w:pPr>
            <w:r w:rsidRPr="0065704E">
              <w:rPr>
                <w:rFonts w:asciiTheme="majorBidi" w:hAnsiTheme="majorBidi" w:cstheme="majorBidi"/>
                <w:color w:val="000000"/>
                <w:sz w:val="22"/>
                <w:szCs w:val="22"/>
              </w:rPr>
              <w:t>1.849</w:t>
            </w:r>
          </w:p>
        </w:tc>
        <w:tc>
          <w:tcPr>
            <w:tcW w:w="3333" w:type="pct"/>
            <w:tcBorders>
              <w:top w:val="nil"/>
              <w:left w:val="nil"/>
              <w:bottom w:val="nil"/>
              <w:right w:val="nil"/>
            </w:tcBorders>
            <w:vAlign w:val="bottom"/>
          </w:tcPr>
          <w:p w:rsidR="00625317" w:rsidRPr="0065704E" w:rsidRDefault="00625317" w:rsidP="00625317">
            <w:pPr>
              <w:rPr>
                <w:rFonts w:asciiTheme="majorBidi" w:hAnsiTheme="majorBidi" w:cstheme="majorBidi"/>
                <w:color w:val="000000"/>
              </w:rPr>
            </w:pPr>
            <w:r w:rsidRPr="0065704E">
              <w:rPr>
                <w:rFonts w:asciiTheme="majorBidi" w:hAnsiTheme="majorBidi" w:cstheme="majorBidi"/>
                <w:color w:val="000000"/>
                <w:sz w:val="22"/>
                <w:szCs w:val="22"/>
              </w:rPr>
              <w:t xml:space="preserve">Labor scaling parameter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40" w:dyaOrig="300">
                <v:shape id="_x0000_i1367" type="#_x0000_t75" style="width:9.2pt;height:17.6pt" o:ole="">
                  <v:imagedata r:id="rId692" o:title=""/>
                </v:shape>
                <o:OLEObject Type="Embed" ProgID="Equation.DSMT4" ShapeID="_x0000_i1367" DrawAspect="Content" ObjectID="_1359267290" r:id="rId693"/>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0.820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Habit intensity of nondurable expenditure</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79" w:dyaOrig="300">
                <v:shape id="_x0000_i1368" type="#_x0000_t75" style="width:9.2pt;height:17.6pt" o:ole="">
                  <v:imagedata r:id="rId694" o:title=""/>
                </v:shape>
                <o:OLEObject Type="Embed" ProgID="Equation.DSMT4" ShapeID="_x0000_i1368" DrawAspect="Content" ObjectID="_1359267291" r:id="rId695"/>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0.850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Habit intensity of durable expenditure</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60" w:dyaOrig="300">
                <v:shape id="_x0000_i1369" type="#_x0000_t75" style="width:9.2pt;height:17.6pt" o:ole="">
                  <v:imagedata r:id="rId696" o:title=""/>
                </v:shape>
                <o:OLEObject Type="Embed" ProgID="Equation.DSMT4" ShapeID="_x0000_i1369" DrawAspect="Content" ObjectID="_1359267292" r:id="rId697"/>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0.700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Habit intensity of labor supply</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40" w:dyaOrig="300">
                <v:shape id="_x0000_i1370" type="#_x0000_t75" style="width:9.2pt;height:17.6pt" o:ole="">
                  <v:imagedata r:id="rId698" o:title=""/>
                </v:shape>
                <o:OLEObject Type="Embed" ProgID="Equation.DSMT4" ShapeID="_x0000_i1370" DrawAspect="Content" ObjectID="_1359267293" r:id="rId699"/>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42.00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Capital adjustment cost parameter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60" w:dyaOrig="300">
                <v:shape id="_x0000_i1371" type="#_x0000_t75" style="width:9.2pt;height:17.6pt" o:ole="">
                  <v:imagedata r:id="rId700" o:title=""/>
                </v:shape>
                <o:OLEObject Type="Embed" ProgID="Equation.DSMT4" ShapeID="_x0000_i1371" DrawAspect="Content" ObjectID="_1359267294" r:id="rId701"/>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17.00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Durable stock  adjustment cost parameter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4"/>
              </w:rPr>
              <w:object w:dxaOrig="260" w:dyaOrig="260">
                <v:shape id="_x0000_i1372" type="#_x0000_t75" style="width:9.2pt;height:9.2pt" o:ole="">
                  <v:imagedata r:id="rId702" o:title=""/>
                </v:shape>
                <o:OLEObject Type="Embed" ProgID="Equation.DSMT4" ShapeID="_x0000_i1372" DrawAspect="Content" ObjectID="_1359267295" r:id="rId703"/>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0.010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Historical average of financial markets gross rate of return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320" w:dyaOrig="300">
                <v:shape id="_x0000_i1373" type="#_x0000_t75" style="width:17.6pt;height:15.9pt" o:ole="">
                  <v:imagedata r:id="rId704" o:title=""/>
                </v:shape>
                <o:OLEObject Type="Embed" ProgID="Equation.DSMT4" ShapeID="_x0000_i1373" DrawAspect="Content" ObjectID="_1359267296" r:id="rId705"/>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0.008</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Historical average of trade balance to output ratio</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5704E" w:rsidP="00625317">
            <w:pPr>
              <w:pStyle w:val="ListParagraph"/>
              <w:ind w:left="0"/>
              <w:jc w:val="center"/>
              <w:rPr>
                <w:rFonts w:asciiTheme="majorBidi" w:hAnsiTheme="majorBidi" w:cstheme="majorBidi"/>
              </w:rPr>
            </w:pPr>
            <w:r w:rsidRPr="0065704E">
              <w:rPr>
                <w:rFonts w:asciiTheme="majorBidi" w:hAnsiTheme="majorBidi" w:cstheme="majorBidi"/>
                <w:position w:val="-6"/>
              </w:rPr>
              <w:object w:dxaOrig="279" w:dyaOrig="260">
                <v:shape id="_x0000_i1374" type="#_x0000_t75" style="width:13.4pt;height:9.2pt" o:ole="">
                  <v:imagedata r:id="rId706" o:title=""/>
                </v:shape>
                <o:OLEObject Type="Embed" ProgID="Equation.DSMT4" ShapeID="_x0000_i1374" DrawAspect="Content" ObjectID="_1359267297" r:id="rId707"/>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0.237</w:t>
            </w:r>
          </w:p>
          <w:p w:rsidR="00625317" w:rsidRPr="0065704E" w:rsidRDefault="00625317" w:rsidP="00625317">
            <w:pPr>
              <w:pStyle w:val="ListParagraph"/>
              <w:ind w:left="0"/>
              <w:rPr>
                <w:rFonts w:asciiTheme="majorBidi" w:hAnsiTheme="majorBidi" w:cstheme="majorBidi"/>
              </w:rPr>
            </w:pP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Historical average of durable to nondurable expenditures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20" w:dyaOrig="240">
                <v:shape id="_x0000_i1375" type="#_x0000_t75" style="width:8.35pt;height:9.2pt" o:ole="">
                  <v:imagedata r:id="rId708" o:title=""/>
                </v:shape>
                <o:OLEObject Type="Embed" ProgID="Equation.DSMT4" ShapeID="_x0000_i1375" DrawAspect="Content" ObjectID="_1359267298" r:id="rId709"/>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0.800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Elasticity of risk premium to external debt</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position w:val="-10"/>
              </w:rPr>
            </w:pPr>
            <w:r w:rsidRPr="0065704E">
              <w:rPr>
                <w:rFonts w:asciiTheme="majorBidi" w:hAnsiTheme="majorBidi" w:cstheme="majorBidi"/>
                <w:position w:val="-10"/>
              </w:rPr>
              <w:object w:dxaOrig="200" w:dyaOrig="279">
                <v:shape id="_x0000_i1376" type="#_x0000_t75" style="width:9.2pt;height:9.2pt" o:ole="">
                  <v:imagedata r:id="rId710" o:title=""/>
                </v:shape>
                <o:OLEObject Type="Embed" ProgID="Equation.DSMT4" ShapeID="_x0000_i1376" DrawAspect="Content" ObjectID="_1359267299" r:id="rId711"/>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0.800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Elasticity of risk premium to GDP</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4"/>
              </w:rPr>
              <w:object w:dxaOrig="220" w:dyaOrig="220">
                <v:shape id="_x0000_i1377" type="#_x0000_t75" style="width:8.35pt;height:8.35pt" o:ole="">
                  <v:imagedata r:id="rId712" o:title=""/>
                </v:shape>
                <o:OLEObject Type="Embed" ProgID="Equation.DSMT4" ShapeID="_x0000_i1377" DrawAspect="Content" ObjectID="_1359267300" r:id="rId713"/>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1.000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Relative price of durable to nondurable</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60" w:dyaOrig="300">
                <v:shape id="_x0000_i1378" type="#_x0000_t75" style="width:9.2pt;height:17.6pt" o:ole="">
                  <v:imagedata r:id="rId714" o:title=""/>
                </v:shape>
                <o:OLEObject Type="Embed" ProgID="Equation.DSMT4" ShapeID="_x0000_i1378" DrawAspect="Content" ObjectID="_1359267301" r:id="rId715"/>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0.930</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AR (1) coefficient of technical progress</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0"/>
              </w:rPr>
              <w:object w:dxaOrig="260" w:dyaOrig="300">
                <v:shape id="_x0000_i1379" type="#_x0000_t75" style="width:9.2pt;height:17.6pt" o:ole="">
                  <v:imagedata r:id="rId716" o:title=""/>
                </v:shape>
                <o:OLEObject Type="Embed" ProgID="Equation.DSMT4" ShapeID="_x0000_i1379" DrawAspect="Content" ObjectID="_1359267302" r:id="rId717"/>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0.005</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Standard deviation of technology shock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2"/>
              </w:rPr>
              <w:object w:dxaOrig="279" w:dyaOrig="320">
                <v:shape id="_x0000_i1380" type="#_x0000_t75" style="width:9.2pt;height:17.6pt" o:ole="">
                  <v:imagedata r:id="rId718" o:title=""/>
                </v:shape>
                <o:OLEObject Type="Embed" ProgID="Equation.DSMT4" ShapeID="_x0000_i1380" DrawAspect="Content" ObjectID="_1359267303" r:id="rId719"/>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0.531</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AR(1) coefficient of interest rate exogenous shock </w:t>
            </w:r>
          </w:p>
        </w:tc>
      </w:tr>
      <w:tr w:rsidR="00625317" w:rsidRPr="00331CC2" w:rsidTr="0093597F">
        <w:trPr>
          <w:trHeight w:hRule="exact" w:val="288"/>
          <w:jc w:val="center"/>
        </w:trPr>
        <w:tc>
          <w:tcPr>
            <w:tcW w:w="1014" w:type="pct"/>
            <w:tcBorders>
              <w:top w:val="nil"/>
              <w:left w:val="nil"/>
              <w:bottom w:val="nil"/>
              <w:right w:val="nil"/>
            </w:tcBorders>
          </w:tcPr>
          <w:p w:rsidR="00625317" w:rsidRPr="0065704E" w:rsidRDefault="00625317" w:rsidP="00625317">
            <w:pPr>
              <w:pStyle w:val="ListParagraph"/>
              <w:ind w:left="0"/>
              <w:jc w:val="center"/>
              <w:rPr>
                <w:rFonts w:asciiTheme="majorBidi" w:hAnsiTheme="majorBidi" w:cstheme="majorBidi"/>
              </w:rPr>
            </w:pPr>
            <w:r w:rsidRPr="0065704E">
              <w:rPr>
                <w:rFonts w:asciiTheme="majorBidi" w:hAnsiTheme="majorBidi" w:cstheme="majorBidi"/>
                <w:position w:val="-12"/>
              </w:rPr>
              <w:object w:dxaOrig="279" w:dyaOrig="320">
                <v:shape id="_x0000_i1381" type="#_x0000_t75" style="width:9.2pt;height:17.6pt" o:ole="">
                  <v:imagedata r:id="rId720" o:title=""/>
                </v:shape>
                <o:OLEObject Type="Embed" ProgID="Equation.DSMT4" ShapeID="_x0000_i1381" DrawAspect="Content" ObjectID="_1359267304" r:id="rId721"/>
              </w:object>
            </w:r>
          </w:p>
        </w:tc>
        <w:tc>
          <w:tcPr>
            <w:tcW w:w="65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0.006</w:t>
            </w:r>
          </w:p>
        </w:tc>
        <w:tc>
          <w:tcPr>
            <w:tcW w:w="3333" w:type="pct"/>
            <w:tcBorders>
              <w:top w:val="nil"/>
              <w:left w:val="nil"/>
              <w:bottom w:val="nil"/>
              <w:right w:val="nil"/>
            </w:tcBorders>
          </w:tcPr>
          <w:p w:rsidR="00625317" w:rsidRPr="0065704E" w:rsidRDefault="00625317" w:rsidP="00625317">
            <w:pPr>
              <w:pStyle w:val="ListParagraph"/>
              <w:ind w:left="0"/>
              <w:rPr>
                <w:rFonts w:asciiTheme="majorBidi" w:hAnsiTheme="majorBidi" w:cstheme="majorBidi"/>
              </w:rPr>
            </w:pPr>
            <w:r w:rsidRPr="0065704E">
              <w:rPr>
                <w:rFonts w:asciiTheme="majorBidi" w:hAnsiTheme="majorBidi" w:cstheme="majorBidi"/>
              </w:rPr>
              <w:t xml:space="preserve">Standard deviation of interest rate shock </w:t>
            </w:r>
          </w:p>
        </w:tc>
      </w:tr>
      <w:tr w:rsidR="00625317" w:rsidTr="0093597F">
        <w:trPr>
          <w:trHeight w:hRule="exact" w:val="144"/>
          <w:jc w:val="center"/>
        </w:trPr>
        <w:tc>
          <w:tcPr>
            <w:tcW w:w="1014" w:type="pct"/>
            <w:tcBorders>
              <w:top w:val="nil"/>
              <w:left w:val="nil"/>
              <w:bottom w:val="single" w:sz="4" w:space="0" w:color="auto"/>
              <w:right w:val="nil"/>
            </w:tcBorders>
          </w:tcPr>
          <w:p w:rsidR="00625317" w:rsidRPr="00C309EA" w:rsidRDefault="00625317" w:rsidP="00625317">
            <w:pPr>
              <w:pStyle w:val="ListParagraph"/>
              <w:ind w:left="0"/>
              <w:jc w:val="center"/>
              <w:rPr>
                <w:rFonts w:ascii="Book Antiqua" w:hAnsi="Book Antiqua"/>
                <w:position w:val="-12"/>
                <w:sz w:val="20"/>
                <w:szCs w:val="20"/>
              </w:rPr>
            </w:pPr>
          </w:p>
        </w:tc>
        <w:tc>
          <w:tcPr>
            <w:tcW w:w="653" w:type="pct"/>
            <w:tcBorders>
              <w:top w:val="nil"/>
              <w:left w:val="nil"/>
              <w:bottom w:val="single" w:sz="4" w:space="0" w:color="auto"/>
              <w:right w:val="nil"/>
            </w:tcBorders>
          </w:tcPr>
          <w:p w:rsidR="00625317" w:rsidRPr="00C309EA" w:rsidRDefault="00625317" w:rsidP="00625317">
            <w:pPr>
              <w:pStyle w:val="ListParagraph"/>
              <w:ind w:left="0"/>
              <w:rPr>
                <w:rFonts w:ascii="Book Antiqua" w:hAnsi="Book Antiqua"/>
                <w:sz w:val="20"/>
                <w:szCs w:val="20"/>
              </w:rPr>
            </w:pPr>
          </w:p>
        </w:tc>
        <w:tc>
          <w:tcPr>
            <w:tcW w:w="3333" w:type="pct"/>
            <w:tcBorders>
              <w:top w:val="nil"/>
              <w:left w:val="nil"/>
              <w:bottom w:val="single" w:sz="4" w:space="0" w:color="auto"/>
              <w:right w:val="nil"/>
            </w:tcBorders>
          </w:tcPr>
          <w:p w:rsidR="00625317" w:rsidRDefault="00625317" w:rsidP="00625317">
            <w:pPr>
              <w:pStyle w:val="ListParagraph"/>
              <w:ind w:left="0"/>
              <w:rPr>
                <w:rFonts w:ascii="Book Antiqua" w:hAnsi="Book Antiqua"/>
                <w:sz w:val="20"/>
                <w:szCs w:val="20"/>
              </w:rPr>
            </w:pPr>
          </w:p>
        </w:tc>
      </w:tr>
    </w:tbl>
    <w:p w:rsidR="00625317" w:rsidRDefault="00625317" w:rsidP="00625317">
      <w:pPr>
        <w:snapToGrid w:val="0"/>
        <w:spacing w:line="480" w:lineRule="auto"/>
        <w:ind w:left="360"/>
        <w:jc w:val="lowKashida"/>
        <w:rPr>
          <w:rFonts w:ascii="Book Antiqua" w:hAnsi="Book Antiqua" w:cs="AdvMc_Times-i"/>
          <w:b/>
          <w:sz w:val="28"/>
          <w:szCs w:val="28"/>
        </w:rPr>
      </w:pPr>
    </w:p>
    <w:p w:rsidR="00C94108" w:rsidRDefault="00C94108" w:rsidP="00625317">
      <w:pPr>
        <w:snapToGrid w:val="0"/>
        <w:spacing w:line="480" w:lineRule="auto"/>
        <w:ind w:left="360"/>
        <w:jc w:val="lowKashida"/>
        <w:rPr>
          <w:rFonts w:ascii="Book Antiqua" w:hAnsi="Book Antiqua" w:cs="AdvMc_Times-i"/>
          <w:b/>
          <w:sz w:val="28"/>
          <w:szCs w:val="28"/>
        </w:rPr>
      </w:pPr>
    </w:p>
    <w:p w:rsidR="00625317" w:rsidRDefault="00625317" w:rsidP="00625317">
      <w:pPr>
        <w:snapToGrid w:val="0"/>
        <w:spacing w:line="480" w:lineRule="auto"/>
        <w:ind w:left="360"/>
        <w:jc w:val="lowKashida"/>
        <w:rPr>
          <w:rFonts w:ascii="Book Antiqua" w:hAnsi="Book Antiqua" w:cs="AdvMc_Times-i"/>
          <w:b/>
          <w:sz w:val="28"/>
          <w:szCs w:val="28"/>
        </w:rPr>
      </w:pPr>
    </w:p>
    <w:p w:rsidR="006B19BC" w:rsidRDefault="006B19BC" w:rsidP="00625317">
      <w:pPr>
        <w:snapToGrid w:val="0"/>
        <w:spacing w:line="480" w:lineRule="auto"/>
        <w:ind w:left="360"/>
        <w:jc w:val="lowKashida"/>
        <w:rPr>
          <w:rFonts w:ascii="Book Antiqua" w:hAnsi="Book Antiqua" w:cs="AdvMc_Times-i"/>
          <w:b/>
          <w:sz w:val="28"/>
          <w:szCs w:val="28"/>
        </w:rPr>
      </w:pPr>
    </w:p>
    <w:tbl>
      <w:tblPr>
        <w:tblW w:w="4257" w:type="pct"/>
        <w:jc w:val="center"/>
        <w:tblLayout w:type="fixed"/>
        <w:tblLook w:val="04A0"/>
      </w:tblPr>
      <w:tblGrid>
        <w:gridCol w:w="2096"/>
        <w:gridCol w:w="1891"/>
        <w:gridCol w:w="1984"/>
        <w:gridCol w:w="2182"/>
      </w:tblGrid>
      <w:tr w:rsidR="00625317" w:rsidRPr="00562E96" w:rsidTr="0065704E">
        <w:trPr>
          <w:trHeight w:hRule="exact" w:val="540"/>
          <w:jc w:val="center"/>
        </w:trPr>
        <w:tc>
          <w:tcPr>
            <w:tcW w:w="5000" w:type="pct"/>
            <w:gridSpan w:val="4"/>
            <w:tcBorders>
              <w:bottom w:val="single" w:sz="4" w:space="0" w:color="auto"/>
            </w:tcBorders>
            <w:shd w:val="clear" w:color="auto" w:fill="auto"/>
            <w:noWrap/>
            <w:vAlign w:val="bottom"/>
            <w:hideMark/>
          </w:tcPr>
          <w:p w:rsidR="00625317" w:rsidRPr="00085BE7" w:rsidRDefault="00532B9E" w:rsidP="00085BE7">
            <w:pPr>
              <w:pStyle w:val="Caption"/>
              <w:rPr>
                <w:b w:val="0"/>
                <w:sz w:val="24"/>
                <w:szCs w:val="24"/>
              </w:rPr>
            </w:pPr>
            <w:bookmarkStart w:id="56" w:name="_Toc284613303"/>
            <w:bookmarkStart w:id="57" w:name="_Toc284614793"/>
            <w:bookmarkStart w:id="58" w:name="_Toc285392584"/>
            <w:r w:rsidRPr="00085BE7">
              <w:rPr>
                <w:b w:val="0"/>
                <w:sz w:val="24"/>
                <w:szCs w:val="24"/>
              </w:rPr>
              <w:t>Table</w:t>
            </w:r>
            <w:r w:rsidR="003C2FA1" w:rsidRPr="00085BE7">
              <w:rPr>
                <w:b w:val="0"/>
                <w:sz w:val="24"/>
                <w:szCs w:val="24"/>
              </w:rPr>
              <w:t xml:space="preserve"> </w:t>
            </w:r>
            <w:r w:rsidR="00F15834">
              <w:rPr>
                <w:b w:val="0"/>
                <w:sz w:val="24"/>
                <w:szCs w:val="24"/>
              </w:rPr>
              <w:t>A.</w:t>
            </w:r>
            <w:r w:rsidR="00AB7C8D" w:rsidRPr="00085BE7">
              <w:rPr>
                <w:b w:val="0"/>
                <w:sz w:val="24"/>
                <w:szCs w:val="24"/>
              </w:rPr>
              <w:fldChar w:fldCharType="begin"/>
            </w:r>
            <w:r w:rsidR="007509A1"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3</w:t>
            </w:r>
            <w:r w:rsidR="00AB7C8D" w:rsidRPr="00085BE7">
              <w:rPr>
                <w:b w:val="0"/>
                <w:noProof/>
                <w:sz w:val="24"/>
                <w:szCs w:val="24"/>
              </w:rPr>
              <w:fldChar w:fldCharType="end"/>
            </w:r>
            <w:r w:rsidR="00625317" w:rsidRPr="00085BE7">
              <w:rPr>
                <w:b w:val="0"/>
                <w:sz w:val="24"/>
                <w:szCs w:val="24"/>
              </w:rPr>
              <w:t>: Moments (Canadian Data and the Baseline Model)</w:t>
            </w:r>
            <w:bookmarkEnd w:id="56"/>
            <w:bookmarkEnd w:id="57"/>
            <w:bookmarkEnd w:id="58"/>
          </w:p>
          <w:p w:rsidR="00625317" w:rsidRPr="00A13655" w:rsidRDefault="00625317" w:rsidP="00625317">
            <w:pPr>
              <w:jc w:val="center"/>
              <w:rPr>
                <w:bCs/>
                <w:color w:val="000000"/>
              </w:rPr>
            </w:pPr>
          </w:p>
          <w:p w:rsidR="00625317" w:rsidRPr="00A13655" w:rsidRDefault="00625317" w:rsidP="00625317">
            <w:pPr>
              <w:jc w:val="center"/>
              <w:rPr>
                <w:bCs/>
                <w:color w:val="000000"/>
              </w:rPr>
            </w:pPr>
          </w:p>
          <w:p w:rsidR="00625317" w:rsidRPr="00A13655" w:rsidRDefault="00625317" w:rsidP="00625317">
            <w:pPr>
              <w:jc w:val="center"/>
              <w:rPr>
                <w:bCs/>
                <w:color w:val="000000"/>
              </w:rPr>
            </w:pPr>
          </w:p>
        </w:tc>
      </w:tr>
      <w:tr w:rsidR="00625317" w:rsidRPr="00562E96" w:rsidTr="00625317">
        <w:trPr>
          <w:trHeight w:hRule="exact" w:val="648"/>
          <w:jc w:val="center"/>
        </w:trPr>
        <w:tc>
          <w:tcPr>
            <w:tcW w:w="1285" w:type="pct"/>
            <w:tcBorders>
              <w:top w:val="single" w:sz="4" w:space="0" w:color="auto"/>
              <w:bottom w:val="single" w:sz="4" w:space="0" w:color="auto"/>
            </w:tcBorders>
            <w:shd w:val="clear" w:color="auto" w:fill="auto"/>
            <w:noWrap/>
            <w:vAlign w:val="bottom"/>
            <w:hideMark/>
          </w:tcPr>
          <w:p w:rsidR="00625317" w:rsidRPr="00A13655" w:rsidRDefault="00625317" w:rsidP="00625317">
            <w:pPr>
              <w:rPr>
                <w:rFonts w:asciiTheme="majorBidi" w:hAnsiTheme="majorBidi" w:cstheme="majorBidi"/>
                <w:color w:val="000000"/>
              </w:rPr>
            </w:pPr>
            <w:r w:rsidRPr="00A13655">
              <w:rPr>
                <w:rFonts w:asciiTheme="majorBidi" w:hAnsiTheme="majorBidi" w:cstheme="majorBidi"/>
                <w:color w:val="000000"/>
              </w:rPr>
              <w:t> </w:t>
            </w:r>
          </w:p>
        </w:tc>
        <w:tc>
          <w:tcPr>
            <w:tcW w:w="1160" w:type="pct"/>
            <w:tcBorders>
              <w:top w:val="single" w:sz="4" w:space="0" w:color="auto"/>
              <w:bottom w:val="single" w:sz="4" w:space="0" w:color="auto"/>
            </w:tcBorders>
            <w:shd w:val="clear" w:color="auto" w:fill="auto"/>
            <w:vAlign w:val="bottom"/>
            <w:hideMark/>
          </w:tcPr>
          <w:p w:rsidR="00625317" w:rsidRPr="00A13655" w:rsidRDefault="00625317" w:rsidP="00625317">
            <w:pPr>
              <w:jc w:val="center"/>
              <w:rPr>
                <w:rFonts w:asciiTheme="majorBidi" w:hAnsiTheme="majorBidi" w:cstheme="majorBidi"/>
                <w:color w:val="000000"/>
              </w:rPr>
            </w:pPr>
            <w:r w:rsidRPr="00A13655">
              <w:rPr>
                <w:rFonts w:asciiTheme="majorBidi" w:hAnsiTheme="majorBidi" w:cstheme="majorBidi"/>
                <w:color w:val="000000"/>
              </w:rPr>
              <w:t>Data</w:t>
            </w:r>
          </w:p>
        </w:tc>
        <w:tc>
          <w:tcPr>
            <w:tcW w:w="1217" w:type="pct"/>
            <w:tcBorders>
              <w:top w:val="single" w:sz="4" w:space="0" w:color="auto"/>
              <w:bottom w:val="single" w:sz="4" w:space="0" w:color="auto"/>
            </w:tcBorders>
            <w:shd w:val="clear" w:color="auto" w:fill="auto"/>
            <w:noWrap/>
            <w:vAlign w:val="bottom"/>
            <w:hideMark/>
          </w:tcPr>
          <w:p w:rsidR="00625317" w:rsidRPr="00A13655" w:rsidRDefault="00625317" w:rsidP="00625317">
            <w:pPr>
              <w:jc w:val="center"/>
              <w:rPr>
                <w:rFonts w:asciiTheme="majorBidi" w:hAnsiTheme="majorBidi" w:cstheme="majorBidi"/>
                <w:color w:val="000000"/>
              </w:rPr>
            </w:pPr>
            <w:r w:rsidRPr="00A13655">
              <w:rPr>
                <w:rFonts w:asciiTheme="majorBidi" w:hAnsiTheme="majorBidi" w:cstheme="majorBidi"/>
                <w:color w:val="000000"/>
              </w:rPr>
              <w:t>Baseline</w:t>
            </w:r>
          </w:p>
          <w:p w:rsidR="00625317" w:rsidRPr="00A13655" w:rsidRDefault="00625317" w:rsidP="00625317">
            <w:pPr>
              <w:jc w:val="center"/>
              <w:rPr>
                <w:rFonts w:asciiTheme="majorBidi" w:hAnsiTheme="majorBidi" w:cstheme="majorBidi"/>
                <w:color w:val="000000"/>
              </w:rPr>
            </w:pPr>
            <w:r w:rsidRPr="00A13655">
              <w:rPr>
                <w:rFonts w:asciiTheme="majorBidi" w:hAnsiTheme="majorBidi" w:cstheme="majorBidi"/>
                <w:color w:val="000000"/>
              </w:rPr>
              <w:t xml:space="preserve"> model</w:t>
            </w:r>
          </w:p>
        </w:tc>
        <w:tc>
          <w:tcPr>
            <w:tcW w:w="1338" w:type="pct"/>
            <w:tcBorders>
              <w:top w:val="single" w:sz="4" w:space="0" w:color="auto"/>
              <w:bottom w:val="single" w:sz="4" w:space="0" w:color="auto"/>
            </w:tcBorders>
            <w:shd w:val="clear" w:color="auto" w:fill="auto"/>
            <w:vAlign w:val="bottom"/>
            <w:hideMark/>
          </w:tcPr>
          <w:p w:rsidR="00625317" w:rsidRPr="00A13655" w:rsidRDefault="00625317" w:rsidP="00625317">
            <w:pPr>
              <w:jc w:val="center"/>
              <w:rPr>
                <w:rFonts w:asciiTheme="majorBidi" w:hAnsiTheme="majorBidi" w:cstheme="majorBidi"/>
                <w:color w:val="000000"/>
              </w:rPr>
            </w:pPr>
            <w:r w:rsidRPr="00A13655">
              <w:rPr>
                <w:rFonts w:asciiTheme="majorBidi" w:hAnsiTheme="majorBidi" w:cstheme="majorBidi"/>
                <w:color w:val="000000"/>
              </w:rPr>
              <w:t>Without interest rate uncertainty</w:t>
            </w:r>
          </w:p>
        </w:tc>
      </w:tr>
      <w:tr w:rsidR="00625317" w:rsidRPr="00562E96" w:rsidTr="00625317">
        <w:trPr>
          <w:trHeight w:hRule="exact" w:val="144"/>
          <w:jc w:val="center"/>
        </w:trPr>
        <w:tc>
          <w:tcPr>
            <w:tcW w:w="5000" w:type="pct"/>
            <w:gridSpan w:val="4"/>
            <w:tcBorders>
              <w:top w:val="single" w:sz="4" w:space="0" w:color="auto"/>
            </w:tcBorders>
            <w:shd w:val="clear" w:color="auto" w:fill="auto"/>
            <w:noWrap/>
            <w:vAlign w:val="bottom"/>
          </w:tcPr>
          <w:p w:rsidR="00625317" w:rsidRPr="00A13655" w:rsidRDefault="00625317" w:rsidP="00625317">
            <w:pPr>
              <w:jc w:val="center"/>
              <w:rPr>
                <w:i/>
                <w:color w:val="000000"/>
                <w:sz w:val="20"/>
                <w:szCs w:val="20"/>
              </w:rPr>
            </w:pPr>
          </w:p>
        </w:tc>
      </w:tr>
      <w:tr w:rsidR="00625317" w:rsidRPr="00562E96" w:rsidTr="00625317">
        <w:trPr>
          <w:trHeight w:hRule="exact" w:val="288"/>
          <w:jc w:val="center"/>
        </w:trPr>
        <w:tc>
          <w:tcPr>
            <w:tcW w:w="5000" w:type="pct"/>
            <w:gridSpan w:val="4"/>
            <w:shd w:val="clear" w:color="auto" w:fill="auto"/>
            <w:noWrap/>
            <w:vAlign w:val="bottom"/>
            <w:hideMark/>
          </w:tcPr>
          <w:p w:rsidR="00625317" w:rsidRPr="0065704E" w:rsidRDefault="00625317" w:rsidP="00625317">
            <w:pPr>
              <w:jc w:val="center"/>
              <w:rPr>
                <w:rFonts w:asciiTheme="majorBidi" w:hAnsiTheme="majorBidi" w:cstheme="majorBidi"/>
                <w:i/>
                <w:color w:val="000000"/>
              </w:rPr>
            </w:pPr>
            <w:r w:rsidRPr="0065704E">
              <w:rPr>
                <w:i/>
                <w:color w:val="000000"/>
                <w:sz w:val="22"/>
                <w:szCs w:val="22"/>
              </w:rPr>
              <w:t>Volatilities</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680" w:dyaOrig="340">
                <v:shape id="_x0000_i1382" type="#_x0000_t75" style="width:33.5pt;height:17.6pt" o:ole="">
                  <v:imagedata r:id="rId722" o:title=""/>
                </v:shape>
                <o:OLEObject Type="Embed" ProgID="Equation.DSMT4" ShapeID="_x0000_i1382" DrawAspect="Content" ObjectID="_1359267305" r:id="rId723"/>
              </w:object>
            </w:r>
          </w:p>
        </w:tc>
        <w:tc>
          <w:tcPr>
            <w:tcW w:w="1160"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1.63</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1.56</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1.54</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660" w:dyaOrig="340">
                <v:shape id="_x0000_i1383" type="#_x0000_t75" style="width:30.15pt;height:17.6pt" o:ole="">
                  <v:imagedata r:id="rId724" o:title=""/>
                </v:shape>
                <o:OLEObject Type="Embed" ProgID="Equation.DSMT4" ShapeID="_x0000_i1383" DrawAspect="Content" ObjectID="_1359267306" r:id="rId725"/>
              </w:object>
            </w:r>
          </w:p>
        </w:tc>
        <w:tc>
          <w:tcPr>
            <w:tcW w:w="1160"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1.16</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1.05</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1.01</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660" w:dyaOrig="340">
                <v:shape id="_x0000_i1384" type="#_x0000_t75" style="width:30.15pt;height:17.6pt" o:ole="">
                  <v:imagedata r:id="rId726" o:title=""/>
                </v:shape>
                <o:OLEObject Type="Embed" ProgID="Equation.DSMT4" ShapeID="_x0000_i1384" DrawAspect="Content" ObjectID="_1359267307" r:id="rId727"/>
              </w:object>
            </w:r>
          </w:p>
        </w:tc>
        <w:tc>
          <w:tcPr>
            <w:tcW w:w="1160"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0.90</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0.91</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0.90</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680" w:dyaOrig="340">
                <v:shape id="_x0000_i1385" type="#_x0000_t75" style="width:33.5pt;height:17.6pt" o:ole="">
                  <v:imagedata r:id="rId728" o:title=""/>
                </v:shape>
                <o:OLEObject Type="Embed" ProgID="Equation.DSMT4" ShapeID="_x0000_i1385" DrawAspect="Content" ObjectID="_1359267308" r:id="rId729"/>
              </w:object>
            </w:r>
          </w:p>
        </w:tc>
        <w:tc>
          <w:tcPr>
            <w:tcW w:w="1160"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2.98</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2.99</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2.89</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620" w:dyaOrig="340">
                <v:shape id="_x0000_i1386" type="#_x0000_t75" style="width:30.15pt;height:17.6pt" o:ole="">
                  <v:imagedata r:id="rId730" o:title=""/>
                </v:shape>
                <o:OLEObject Type="Embed" ProgID="Equation.DSMT4" ShapeID="_x0000_i1386" DrawAspect="Content" ObjectID="_1359267309" r:id="rId731"/>
              </w:object>
            </w:r>
          </w:p>
        </w:tc>
        <w:tc>
          <w:tcPr>
            <w:tcW w:w="1160"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5.16</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5.23</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5.07</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820" w:dyaOrig="340">
                <v:shape id="_x0000_i1387" type="#_x0000_t75" style="width:33.5pt;height:17.6pt" o:ole="">
                  <v:imagedata r:id="rId732" o:title=""/>
                </v:shape>
                <o:OLEObject Type="Embed" ProgID="Equation.DSMT4" ShapeID="_x0000_i1387" DrawAspect="Content" ObjectID="_1359267310" r:id="rId733"/>
              </w:object>
            </w:r>
          </w:p>
        </w:tc>
        <w:tc>
          <w:tcPr>
            <w:tcW w:w="1160"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0.93</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0.68</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0.45</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859" w:dyaOrig="340">
                <v:shape id="_x0000_i1388" type="#_x0000_t75" style="width:38.5pt;height:17.6pt" o:ole="">
                  <v:imagedata r:id="rId734" o:title=""/>
                </v:shape>
                <o:OLEObject Type="Embed" ProgID="Equation.DSMT4" ShapeID="_x0000_i1388" DrawAspect="Content" ObjectID="_1359267311" r:id="rId735"/>
              </w:object>
            </w:r>
          </w:p>
        </w:tc>
        <w:tc>
          <w:tcPr>
            <w:tcW w:w="1160"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0.32</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0.56</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0.38</w:t>
            </w:r>
          </w:p>
        </w:tc>
      </w:tr>
      <w:tr w:rsidR="00625317" w:rsidRPr="00562E96" w:rsidTr="00625317">
        <w:trPr>
          <w:trHeight w:hRule="exact" w:val="288"/>
          <w:jc w:val="center"/>
        </w:trPr>
        <w:tc>
          <w:tcPr>
            <w:tcW w:w="5000" w:type="pct"/>
            <w:gridSpan w:val="4"/>
            <w:shd w:val="clear" w:color="auto" w:fill="auto"/>
            <w:noWrap/>
            <w:vAlign w:val="center"/>
            <w:hideMark/>
          </w:tcPr>
          <w:p w:rsidR="00625317" w:rsidRPr="0065704E" w:rsidRDefault="00625317" w:rsidP="00625317">
            <w:pPr>
              <w:jc w:val="center"/>
              <w:rPr>
                <w:color w:val="000000"/>
              </w:rPr>
            </w:pPr>
            <w:r w:rsidRPr="0065704E">
              <w:rPr>
                <w:i/>
                <w:color w:val="000000"/>
                <w:sz w:val="22"/>
                <w:szCs w:val="22"/>
              </w:rPr>
              <w:t>Contemporaneous Correlations with Output</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999" w:dyaOrig="340">
                <v:shape id="_x0000_i1389" type="#_x0000_t75" style="width:46.9pt;height:17.6pt" o:ole="">
                  <v:imagedata r:id="rId736" o:title=""/>
                </v:shape>
                <o:OLEObject Type="Embed" ProgID="Equation.DSMT4" ShapeID="_x0000_i1389" DrawAspect="Content" ObjectID="_1359267312" r:id="rId737"/>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0.88</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0.90</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0.90</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999" w:dyaOrig="340">
                <v:shape id="_x0000_i1390" type="#_x0000_t75" style="width:49.4pt;height:17.6pt" o:ole="">
                  <v:imagedata r:id="rId738" o:title=""/>
                </v:shape>
                <o:OLEObject Type="Embed" ProgID="Equation.DSMT4" ShapeID="_x0000_i1390" DrawAspect="Content" ObjectID="_1359267313" r:id="rId739"/>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0.82</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0.81</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0.81</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020" w:dyaOrig="340">
                <v:shape id="_x0000_i1391" type="#_x0000_t75" style="width:46.9pt;height:17.6pt" o:ole="">
                  <v:imagedata r:id="rId740" o:title=""/>
                </v:shape>
                <o:OLEObject Type="Embed" ProgID="Equation.DSMT4" ShapeID="_x0000_i1391" DrawAspect="Content" ObjectID="_1359267314" r:id="rId741"/>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0.83</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0.80</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0.87</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4"/>
                <w:sz w:val="22"/>
                <w:szCs w:val="22"/>
              </w:rPr>
              <w:object w:dxaOrig="1120" w:dyaOrig="400">
                <v:shape id="_x0000_i1392" type="#_x0000_t75" style="width:49.4pt;height:17.6pt" o:ole="">
                  <v:imagedata r:id="rId742" o:title=""/>
                </v:shape>
                <o:OLEObject Type="Embed" ProgID="Equation.DSMT4" ShapeID="_x0000_i1392" DrawAspect="Content" ObjectID="_1359267315" r:id="rId743"/>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0.77</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0.84</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0.90</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160" w:dyaOrig="340">
                <v:shape id="_x0000_i1393" type="#_x0000_t75" style="width:54.4pt;height:17.6pt" o:ole="">
                  <v:imagedata r:id="rId744" o:title=""/>
                </v:shape>
                <o:OLEObject Type="Embed" ProgID="Equation.DSMT4" ShapeID="_x0000_i1393" DrawAspect="Content" ObjectID="_1359267316" r:id="rId745"/>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-0.29</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-0.32</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-0.63</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180" w:dyaOrig="340">
                <v:shape id="_x0000_i1394" type="#_x0000_t75" style="width:54.4pt;height:17.6pt" o:ole="">
                  <v:imagedata r:id="rId746" o:title=""/>
                </v:shape>
                <o:OLEObject Type="Embed" ProgID="Equation.DSMT4" ShapeID="_x0000_i1394" DrawAspect="Content" ObjectID="_1359267317" r:id="rId747"/>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-0.07</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-0.31</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-0.60</w:t>
            </w:r>
          </w:p>
        </w:tc>
      </w:tr>
      <w:tr w:rsidR="00625317" w:rsidRPr="00562E96" w:rsidTr="00625317">
        <w:trPr>
          <w:trHeight w:hRule="exact" w:val="288"/>
          <w:jc w:val="center"/>
        </w:trPr>
        <w:tc>
          <w:tcPr>
            <w:tcW w:w="5000" w:type="pct"/>
            <w:gridSpan w:val="4"/>
            <w:shd w:val="clear" w:color="000000" w:fill="FFFFFF"/>
            <w:noWrap/>
            <w:vAlign w:val="center"/>
            <w:hideMark/>
          </w:tcPr>
          <w:p w:rsidR="00625317" w:rsidRPr="0065704E" w:rsidRDefault="00625317" w:rsidP="00625317">
            <w:pPr>
              <w:jc w:val="center"/>
              <w:rPr>
                <w:i/>
                <w:color w:val="000000"/>
              </w:rPr>
            </w:pPr>
            <w:r w:rsidRPr="0065704E">
              <w:rPr>
                <w:i/>
                <w:color w:val="000000"/>
                <w:sz w:val="22"/>
                <w:szCs w:val="22"/>
              </w:rPr>
              <w:t>Serial Correlations</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4"/>
                <w:sz w:val="22"/>
                <w:szCs w:val="22"/>
              </w:rPr>
              <w:object w:dxaOrig="1340" w:dyaOrig="400">
                <v:shape id="_x0000_i1395" type="#_x0000_t75" style="width:55.25pt;height:17.6pt" o:ole="">
                  <v:imagedata r:id="rId748" o:title=""/>
                </v:shape>
                <o:OLEObject Type="Embed" ProgID="Equation.DSMT4" ShapeID="_x0000_i1395" DrawAspect="Content" ObjectID="_1359267318" r:id="rId749"/>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0.91</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0.84</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0.84</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100" w:dyaOrig="340">
                <v:shape id="_x0000_i1396" type="#_x0000_t75" style="width:49.4pt;height:17.6pt" o:ole="">
                  <v:imagedata r:id="rId750" o:title=""/>
                </v:shape>
                <o:OLEObject Type="Embed" ProgID="Equation.DSMT4" ShapeID="_x0000_i1396" DrawAspect="Content" ObjectID="_1359267319" r:id="rId751"/>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0.91</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0.93</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0.93</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080" w:dyaOrig="340">
                <v:shape id="_x0000_i1397" type="#_x0000_t75" style="width:55.25pt;height:17.6pt" o:ole="">
                  <v:imagedata r:id="rId752" o:title=""/>
                </v:shape>
                <o:OLEObject Type="Embed" ProgID="Equation.DSMT4" ShapeID="_x0000_i1397" DrawAspect="Content" ObjectID="_1359267320" r:id="rId753"/>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0.84</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0.95</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0.95</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140" w:dyaOrig="340">
                <v:shape id="_x0000_i1398" type="#_x0000_t75" style="width:49.4pt;height:17.6pt" o:ole="">
                  <v:imagedata r:id="rId754" o:title=""/>
                </v:shape>
                <o:OLEObject Type="Embed" ProgID="Equation.DSMT4" ShapeID="_x0000_i1398" DrawAspect="Content" ObjectID="_1359267321" r:id="rId755"/>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0.80</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0.69</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0.70</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020" w:dyaOrig="340">
                <v:shape id="_x0000_i1399" type="#_x0000_t75" style="width:46.9pt;height:17.6pt" o:ole="">
                  <v:imagedata r:id="rId756" o:title=""/>
                </v:shape>
                <o:OLEObject Type="Embed" ProgID="Equation.DSMT4" ShapeID="_x0000_i1399" DrawAspect="Content" ObjectID="_1359267322" r:id="rId757"/>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0.89</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0.71</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0.73</w:t>
            </w:r>
          </w:p>
        </w:tc>
      </w:tr>
      <w:tr w:rsidR="00625317" w:rsidRPr="00562E96" w:rsidTr="00625317">
        <w:trPr>
          <w:trHeight w:hRule="exact" w:val="288"/>
          <w:jc w:val="center"/>
        </w:trPr>
        <w:tc>
          <w:tcPr>
            <w:tcW w:w="1285" w:type="pct"/>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400" w:dyaOrig="340">
                <v:shape id="_x0000_i1400" type="#_x0000_t75" style="width:62.8pt;height:17.6pt" o:ole="">
                  <v:imagedata r:id="rId758" o:title=""/>
                </v:shape>
                <o:OLEObject Type="Embed" ProgID="Equation.DSMT4" ShapeID="_x0000_i1400" DrawAspect="Content" ObjectID="_1359267323" r:id="rId759"/>
              </w:object>
            </w:r>
          </w:p>
        </w:tc>
        <w:tc>
          <w:tcPr>
            <w:tcW w:w="1160" w:type="pct"/>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0.67</w:t>
            </w:r>
          </w:p>
        </w:tc>
        <w:tc>
          <w:tcPr>
            <w:tcW w:w="1217"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0.69</w:t>
            </w:r>
          </w:p>
        </w:tc>
        <w:tc>
          <w:tcPr>
            <w:tcW w:w="1338" w:type="pct"/>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0.61</w:t>
            </w:r>
          </w:p>
        </w:tc>
      </w:tr>
      <w:tr w:rsidR="00625317" w:rsidRPr="00562E96" w:rsidTr="00625317">
        <w:trPr>
          <w:trHeight w:hRule="exact" w:val="288"/>
          <w:jc w:val="center"/>
        </w:trPr>
        <w:tc>
          <w:tcPr>
            <w:tcW w:w="1285" w:type="pct"/>
            <w:tcBorders>
              <w:bottom w:val="single" w:sz="4" w:space="0" w:color="auto"/>
            </w:tcBorders>
            <w:shd w:val="clear" w:color="000000" w:fill="FFFFFF"/>
            <w:noWrap/>
            <w:vAlign w:val="bottom"/>
            <w:hideMark/>
          </w:tcPr>
          <w:p w:rsidR="00625317" w:rsidRPr="0065704E" w:rsidRDefault="00625317" w:rsidP="00625317">
            <w:pPr>
              <w:rPr>
                <w:rFonts w:asciiTheme="majorBidi" w:hAnsiTheme="majorBidi" w:cstheme="majorBidi"/>
                <w:color w:val="000000"/>
              </w:rPr>
            </w:pPr>
            <w:r w:rsidRPr="0065704E">
              <w:rPr>
                <w:rFonts w:asciiTheme="majorBidi" w:hAnsiTheme="majorBidi" w:cstheme="majorBidi"/>
                <w:position w:val="-12"/>
                <w:sz w:val="22"/>
                <w:szCs w:val="22"/>
              </w:rPr>
              <w:object w:dxaOrig="1480" w:dyaOrig="340">
                <v:shape id="_x0000_i1401" type="#_x0000_t75" style="width:71.15pt;height:17.6pt" o:ole="">
                  <v:imagedata r:id="rId760" o:title=""/>
                </v:shape>
                <o:OLEObject Type="Embed" ProgID="Equation.DSMT4" ShapeID="_x0000_i1401" DrawAspect="Content" ObjectID="_1359267324" r:id="rId761"/>
              </w:object>
            </w:r>
          </w:p>
        </w:tc>
        <w:tc>
          <w:tcPr>
            <w:tcW w:w="1160" w:type="pct"/>
            <w:tcBorders>
              <w:bottom w:val="single" w:sz="4" w:space="0" w:color="auto"/>
            </w:tcBorders>
            <w:shd w:val="clear" w:color="000000" w:fill="FFFFFF"/>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0.45</w:t>
            </w:r>
          </w:p>
        </w:tc>
        <w:tc>
          <w:tcPr>
            <w:tcW w:w="1217" w:type="pct"/>
            <w:tcBorders>
              <w:bottom w:val="single" w:sz="4" w:space="0" w:color="auto"/>
            </w:tcBorders>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0.58</w:t>
            </w:r>
          </w:p>
        </w:tc>
        <w:tc>
          <w:tcPr>
            <w:tcW w:w="1338" w:type="pct"/>
            <w:tcBorders>
              <w:bottom w:val="single" w:sz="4" w:space="0" w:color="auto"/>
            </w:tcBorders>
            <w:shd w:val="clear" w:color="auto" w:fill="auto"/>
            <w:noWrap/>
            <w:vAlign w:val="bottom"/>
            <w:hideMark/>
          </w:tcPr>
          <w:p w:rsidR="00625317" w:rsidRPr="0065704E" w:rsidRDefault="00625317" w:rsidP="00625317">
            <w:pPr>
              <w:jc w:val="center"/>
              <w:rPr>
                <w:rFonts w:asciiTheme="majorBidi" w:hAnsiTheme="majorBidi" w:cstheme="majorBidi"/>
                <w:color w:val="000000"/>
              </w:rPr>
            </w:pPr>
            <w:r w:rsidRPr="0065704E">
              <w:rPr>
                <w:rFonts w:asciiTheme="majorBidi" w:hAnsiTheme="majorBidi" w:cstheme="majorBidi"/>
                <w:color w:val="000000"/>
                <w:sz w:val="22"/>
                <w:szCs w:val="22"/>
              </w:rPr>
              <w:t>0.59</w:t>
            </w:r>
          </w:p>
        </w:tc>
      </w:tr>
      <w:tr w:rsidR="00625317" w:rsidRPr="00562E96" w:rsidTr="00625317">
        <w:trPr>
          <w:trHeight w:hRule="exact" w:val="144"/>
          <w:jc w:val="center"/>
        </w:trPr>
        <w:tc>
          <w:tcPr>
            <w:tcW w:w="5000" w:type="pct"/>
            <w:gridSpan w:val="4"/>
            <w:tcBorders>
              <w:top w:val="single" w:sz="4" w:space="0" w:color="auto"/>
            </w:tcBorders>
            <w:shd w:val="clear" w:color="000000" w:fill="FFFFFF"/>
            <w:noWrap/>
          </w:tcPr>
          <w:p w:rsidR="00625317" w:rsidRPr="00A13655" w:rsidRDefault="00625317" w:rsidP="00625317">
            <w:pPr>
              <w:autoSpaceDE w:val="0"/>
              <w:autoSpaceDN w:val="0"/>
              <w:adjustRightInd w:val="0"/>
              <w:jc w:val="both"/>
              <w:rPr>
                <w:color w:val="000000"/>
                <w:sz w:val="20"/>
                <w:szCs w:val="20"/>
              </w:rPr>
            </w:pPr>
          </w:p>
        </w:tc>
      </w:tr>
      <w:tr w:rsidR="00625317" w:rsidRPr="00562E96" w:rsidTr="00625317">
        <w:trPr>
          <w:trHeight w:hRule="exact" w:val="2149"/>
          <w:jc w:val="center"/>
        </w:trPr>
        <w:tc>
          <w:tcPr>
            <w:tcW w:w="5000" w:type="pct"/>
            <w:gridSpan w:val="4"/>
            <w:shd w:val="clear" w:color="000000" w:fill="FFFFFF"/>
            <w:noWrap/>
            <w:hideMark/>
          </w:tcPr>
          <w:p w:rsidR="00625317" w:rsidRPr="00A13655" w:rsidRDefault="00625317" w:rsidP="00625317">
            <w:pPr>
              <w:autoSpaceDE w:val="0"/>
              <w:autoSpaceDN w:val="0"/>
              <w:adjustRightInd w:val="0"/>
              <w:jc w:val="both"/>
              <w:rPr>
                <w:sz w:val="20"/>
                <w:szCs w:val="20"/>
              </w:rPr>
            </w:pPr>
            <w:r w:rsidRPr="00A13655">
              <w:rPr>
                <w:color w:val="000000"/>
                <w:sz w:val="20"/>
                <w:szCs w:val="20"/>
              </w:rPr>
              <w:t>Note:</w:t>
            </w:r>
            <w:r w:rsidRPr="00A13655">
              <w:rPr>
                <w:sz w:val="20"/>
                <w:szCs w:val="20"/>
              </w:rPr>
              <w:t xml:space="preserve"> Data in the second column are in per capita. They were logged (except for trade-balance-output and current-account-output ratios) and HP filtered with smoothing parameter 1600 before computing the moments. Moments from all models are averages of 1,000 replications of length 200. They were computed using HP filtered % deviations from steady state. For symmetry with Canadian data, artificial data on the trade balance-output and current account to output ratios are not expressed in % deviation from steady state.</w:t>
            </w:r>
          </w:p>
          <w:p w:rsidR="00625317" w:rsidRPr="00A13655" w:rsidRDefault="00625317" w:rsidP="00625317">
            <w:pPr>
              <w:autoSpaceDE w:val="0"/>
              <w:autoSpaceDN w:val="0"/>
              <w:adjustRightInd w:val="0"/>
              <w:rPr>
                <w:color w:val="000000"/>
              </w:rPr>
            </w:pPr>
          </w:p>
        </w:tc>
      </w:tr>
    </w:tbl>
    <w:p w:rsidR="00625317" w:rsidRDefault="00625317" w:rsidP="00625317">
      <w:pPr>
        <w:autoSpaceDE w:val="0"/>
        <w:autoSpaceDN w:val="0"/>
        <w:adjustRightInd w:val="0"/>
        <w:spacing w:line="480" w:lineRule="auto"/>
        <w:ind w:firstLine="720"/>
        <w:rPr>
          <w:rFonts w:ascii="Book Antiqua" w:hAnsi="Book Antiqua"/>
        </w:rPr>
      </w:pPr>
    </w:p>
    <w:p w:rsidR="00625317" w:rsidRDefault="00625317" w:rsidP="00625317">
      <w:pPr>
        <w:autoSpaceDE w:val="0"/>
        <w:autoSpaceDN w:val="0"/>
        <w:adjustRightInd w:val="0"/>
        <w:spacing w:line="480" w:lineRule="auto"/>
        <w:ind w:firstLine="720"/>
        <w:rPr>
          <w:rFonts w:ascii="Book Antiqua" w:hAnsi="Book Antiqua"/>
        </w:rPr>
      </w:pPr>
    </w:p>
    <w:p w:rsidR="00A55804" w:rsidRDefault="00A55804" w:rsidP="00625317">
      <w:pPr>
        <w:autoSpaceDE w:val="0"/>
        <w:autoSpaceDN w:val="0"/>
        <w:adjustRightInd w:val="0"/>
        <w:spacing w:line="480" w:lineRule="auto"/>
        <w:ind w:firstLine="720"/>
        <w:rPr>
          <w:rFonts w:ascii="Book Antiqua" w:hAnsi="Book Antiqua"/>
        </w:rPr>
      </w:pPr>
    </w:p>
    <w:tbl>
      <w:tblPr>
        <w:tblW w:w="4601" w:type="pct"/>
        <w:jc w:val="center"/>
        <w:tblLayout w:type="fixed"/>
        <w:tblLook w:val="04A0"/>
      </w:tblPr>
      <w:tblGrid>
        <w:gridCol w:w="1526"/>
        <w:gridCol w:w="992"/>
        <w:gridCol w:w="1170"/>
        <w:gridCol w:w="1262"/>
        <w:gridCol w:w="1258"/>
        <w:gridCol w:w="1442"/>
        <w:gridCol w:w="1151"/>
        <w:gridCol w:w="11"/>
      </w:tblGrid>
      <w:tr w:rsidR="00625317" w:rsidRPr="00562E96" w:rsidTr="00CE5A81">
        <w:trPr>
          <w:gridAfter w:val="1"/>
          <w:wAfter w:w="6" w:type="pct"/>
          <w:trHeight w:hRule="exact" w:val="654"/>
          <w:jc w:val="center"/>
        </w:trPr>
        <w:tc>
          <w:tcPr>
            <w:tcW w:w="4994" w:type="pct"/>
            <w:gridSpan w:val="7"/>
            <w:tcBorders>
              <w:bottom w:val="single" w:sz="4" w:space="0" w:color="auto"/>
            </w:tcBorders>
          </w:tcPr>
          <w:p w:rsidR="00625317" w:rsidRPr="00A13655" w:rsidRDefault="0093597F" w:rsidP="00085BE7">
            <w:pPr>
              <w:pStyle w:val="Caption"/>
              <w:rPr>
                <w:rFonts w:ascii="Book Antiqua" w:hAnsi="Book Antiqua"/>
                <w:b w:val="0"/>
                <w:color w:val="000000"/>
              </w:rPr>
            </w:pPr>
            <w:bookmarkStart w:id="59" w:name="_Toc284613304"/>
            <w:bookmarkStart w:id="60" w:name="_Toc284614794"/>
            <w:bookmarkStart w:id="61" w:name="_Toc285392585"/>
            <w:r w:rsidRPr="00085BE7">
              <w:rPr>
                <w:b w:val="0"/>
                <w:sz w:val="24"/>
                <w:szCs w:val="24"/>
              </w:rPr>
              <w:t>Table</w:t>
            </w:r>
            <w:r w:rsidR="003C2FA1" w:rsidRPr="00085BE7">
              <w:rPr>
                <w:b w:val="0"/>
                <w:sz w:val="24"/>
                <w:szCs w:val="24"/>
              </w:rPr>
              <w:t xml:space="preserve"> </w:t>
            </w:r>
            <w:r w:rsidR="00F15834">
              <w:rPr>
                <w:b w:val="0"/>
                <w:sz w:val="24"/>
                <w:szCs w:val="24"/>
              </w:rPr>
              <w:t>A.</w:t>
            </w:r>
            <w:r w:rsidR="00AB7C8D" w:rsidRPr="00085BE7">
              <w:rPr>
                <w:b w:val="0"/>
                <w:sz w:val="24"/>
                <w:szCs w:val="24"/>
              </w:rPr>
              <w:fldChar w:fldCharType="begin"/>
            </w:r>
            <w:r w:rsidR="007509A1"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4</w:t>
            </w:r>
            <w:r w:rsidR="00AB7C8D" w:rsidRPr="00085BE7">
              <w:rPr>
                <w:b w:val="0"/>
                <w:sz w:val="24"/>
                <w:szCs w:val="24"/>
              </w:rPr>
              <w:fldChar w:fldCharType="end"/>
            </w:r>
            <w:r w:rsidR="00625317" w:rsidRPr="00085BE7">
              <w:rPr>
                <w:b w:val="0"/>
                <w:sz w:val="24"/>
                <w:szCs w:val="24"/>
              </w:rPr>
              <w:t>: Moments (Model with Different Specifications)</w:t>
            </w:r>
            <w:bookmarkEnd w:id="59"/>
            <w:bookmarkEnd w:id="60"/>
            <w:bookmarkEnd w:id="61"/>
            <w:r w:rsidR="00625317" w:rsidRPr="00A13655">
              <w:rPr>
                <w:b w:val="0"/>
              </w:rPr>
              <w:t xml:space="preserve"> </w:t>
            </w:r>
          </w:p>
        </w:tc>
      </w:tr>
      <w:tr w:rsidR="00AF6AEA" w:rsidRPr="00331CC2" w:rsidTr="00AF6AEA">
        <w:trPr>
          <w:trHeight w:hRule="exact" w:val="1063"/>
          <w:jc w:val="center"/>
        </w:trPr>
        <w:tc>
          <w:tcPr>
            <w:tcW w:w="866" w:type="pct"/>
            <w:tcBorders>
              <w:top w:val="single" w:sz="4" w:space="0" w:color="auto"/>
              <w:bottom w:val="single" w:sz="4" w:space="0" w:color="auto"/>
            </w:tcBorders>
            <w:shd w:val="clear" w:color="auto" w:fill="auto"/>
            <w:noWrap/>
            <w:vAlign w:val="center"/>
            <w:hideMark/>
          </w:tcPr>
          <w:p w:rsidR="00625317" w:rsidRPr="00CE5A81" w:rsidRDefault="00625317" w:rsidP="00625317">
            <w:pPr>
              <w:rPr>
                <w:color w:val="000000"/>
              </w:rPr>
            </w:pPr>
          </w:p>
        </w:tc>
        <w:tc>
          <w:tcPr>
            <w:tcW w:w="563" w:type="pct"/>
            <w:tcBorders>
              <w:top w:val="single" w:sz="4" w:space="0" w:color="auto"/>
              <w:bottom w:val="single" w:sz="4" w:space="0" w:color="auto"/>
            </w:tcBorders>
            <w:shd w:val="clear" w:color="auto" w:fill="auto"/>
            <w:vAlign w:val="center"/>
            <w:hideMark/>
          </w:tcPr>
          <w:p w:rsidR="00625317" w:rsidRPr="00CE5A81" w:rsidRDefault="00625317" w:rsidP="00625317">
            <w:pPr>
              <w:jc w:val="center"/>
              <w:rPr>
                <w:color w:val="000000"/>
              </w:rPr>
            </w:pPr>
            <w:r w:rsidRPr="00CE5A81">
              <w:rPr>
                <w:color w:val="000000"/>
                <w:sz w:val="22"/>
                <w:szCs w:val="22"/>
              </w:rPr>
              <w:t>Baseline model</w:t>
            </w:r>
          </w:p>
        </w:tc>
        <w:tc>
          <w:tcPr>
            <w:tcW w:w="664" w:type="pct"/>
            <w:tcBorders>
              <w:top w:val="single" w:sz="4" w:space="0" w:color="auto"/>
              <w:bottom w:val="single" w:sz="4" w:space="0" w:color="auto"/>
            </w:tcBorders>
            <w:vAlign w:val="center"/>
          </w:tcPr>
          <w:p w:rsidR="00625317" w:rsidRPr="00CE5A81" w:rsidRDefault="00625317" w:rsidP="00625317">
            <w:pPr>
              <w:jc w:val="center"/>
              <w:rPr>
                <w:color w:val="000000"/>
              </w:rPr>
            </w:pPr>
          </w:p>
          <w:p w:rsidR="00625317" w:rsidRPr="00CE5A81" w:rsidRDefault="00625317" w:rsidP="00625317">
            <w:pPr>
              <w:jc w:val="center"/>
              <w:rPr>
                <w:color w:val="000000"/>
              </w:rPr>
            </w:pPr>
            <w:r w:rsidRPr="00CE5A81">
              <w:rPr>
                <w:color w:val="000000"/>
                <w:sz w:val="22"/>
                <w:szCs w:val="22"/>
              </w:rPr>
              <w:t>Without habits</w:t>
            </w:r>
          </w:p>
        </w:tc>
        <w:tc>
          <w:tcPr>
            <w:tcW w:w="716" w:type="pct"/>
            <w:tcBorders>
              <w:top w:val="single" w:sz="4" w:space="0" w:color="auto"/>
              <w:bottom w:val="single" w:sz="4" w:space="0" w:color="auto"/>
            </w:tcBorders>
            <w:vAlign w:val="center"/>
          </w:tcPr>
          <w:p w:rsidR="00625317" w:rsidRPr="00CE5A81" w:rsidRDefault="00625317" w:rsidP="00625317">
            <w:pPr>
              <w:jc w:val="center"/>
              <w:rPr>
                <w:color w:val="000000"/>
              </w:rPr>
            </w:pPr>
            <w:r w:rsidRPr="00CE5A81">
              <w:rPr>
                <w:color w:val="000000"/>
                <w:sz w:val="22"/>
                <w:szCs w:val="22"/>
              </w:rPr>
              <w:t>Without habit in nondurable</w:t>
            </w:r>
          </w:p>
        </w:tc>
        <w:tc>
          <w:tcPr>
            <w:tcW w:w="714" w:type="pct"/>
            <w:tcBorders>
              <w:top w:val="single" w:sz="4" w:space="0" w:color="auto"/>
              <w:bottom w:val="single" w:sz="4" w:space="0" w:color="auto"/>
            </w:tcBorders>
            <w:shd w:val="clear" w:color="auto" w:fill="auto"/>
            <w:noWrap/>
            <w:vAlign w:val="center"/>
            <w:hideMark/>
          </w:tcPr>
          <w:p w:rsidR="00625317" w:rsidRPr="00CE5A81" w:rsidRDefault="00625317" w:rsidP="00625317">
            <w:pPr>
              <w:jc w:val="center"/>
              <w:rPr>
                <w:color w:val="000000"/>
              </w:rPr>
            </w:pPr>
            <w:r w:rsidRPr="00CE5A81">
              <w:rPr>
                <w:color w:val="000000"/>
                <w:sz w:val="22"/>
                <w:szCs w:val="22"/>
              </w:rPr>
              <w:t>Without habit in durable</w:t>
            </w:r>
          </w:p>
        </w:tc>
        <w:tc>
          <w:tcPr>
            <w:tcW w:w="818" w:type="pct"/>
            <w:tcBorders>
              <w:top w:val="single" w:sz="4" w:space="0" w:color="auto"/>
              <w:bottom w:val="single" w:sz="4" w:space="0" w:color="auto"/>
            </w:tcBorders>
            <w:vAlign w:val="center"/>
          </w:tcPr>
          <w:p w:rsidR="00625317" w:rsidRPr="00CE5A81" w:rsidRDefault="00625317" w:rsidP="00625317">
            <w:pPr>
              <w:jc w:val="center"/>
              <w:rPr>
                <w:color w:val="000000"/>
              </w:rPr>
            </w:pPr>
            <w:r w:rsidRPr="00CE5A81">
              <w:rPr>
                <w:color w:val="000000"/>
                <w:sz w:val="22"/>
                <w:szCs w:val="22"/>
              </w:rPr>
              <w:t>Without</w:t>
            </w:r>
          </w:p>
          <w:p w:rsidR="00625317" w:rsidRPr="00CE5A81" w:rsidRDefault="00625317" w:rsidP="00625317">
            <w:pPr>
              <w:jc w:val="center"/>
              <w:rPr>
                <w:color w:val="000000"/>
              </w:rPr>
            </w:pPr>
            <w:r w:rsidRPr="00CE5A81">
              <w:rPr>
                <w:color w:val="000000"/>
                <w:sz w:val="22"/>
                <w:szCs w:val="22"/>
              </w:rPr>
              <w:t>habit in</w:t>
            </w:r>
          </w:p>
          <w:p w:rsidR="00625317" w:rsidRPr="00CE5A81" w:rsidRDefault="00625317" w:rsidP="00625317">
            <w:pPr>
              <w:jc w:val="center"/>
              <w:rPr>
                <w:color w:val="000000"/>
              </w:rPr>
            </w:pPr>
            <w:r w:rsidRPr="00CE5A81">
              <w:rPr>
                <w:color w:val="000000"/>
                <w:sz w:val="22"/>
                <w:szCs w:val="22"/>
              </w:rPr>
              <w:t>labor supply</w:t>
            </w:r>
          </w:p>
        </w:tc>
        <w:tc>
          <w:tcPr>
            <w:tcW w:w="659" w:type="pct"/>
            <w:gridSpan w:val="2"/>
            <w:tcBorders>
              <w:top w:val="single" w:sz="4" w:space="0" w:color="auto"/>
              <w:bottom w:val="single" w:sz="4" w:space="0" w:color="auto"/>
            </w:tcBorders>
            <w:shd w:val="clear" w:color="auto" w:fill="auto"/>
            <w:vAlign w:val="center"/>
            <w:hideMark/>
          </w:tcPr>
          <w:p w:rsidR="00625317" w:rsidRPr="00CE5A81" w:rsidRDefault="00625317" w:rsidP="00625317">
            <w:pPr>
              <w:jc w:val="center"/>
              <w:rPr>
                <w:color w:val="000000"/>
              </w:rPr>
            </w:pPr>
            <w:r w:rsidRPr="00CE5A81">
              <w:rPr>
                <w:color w:val="000000"/>
                <w:sz w:val="22"/>
                <w:szCs w:val="22"/>
              </w:rPr>
              <w:t>With fixed</w:t>
            </w:r>
          </w:p>
          <w:p w:rsidR="00625317" w:rsidRPr="00CE5A81" w:rsidRDefault="00625317" w:rsidP="00625317">
            <w:pPr>
              <w:jc w:val="center"/>
              <w:rPr>
                <w:color w:val="000000"/>
              </w:rPr>
            </w:pPr>
            <w:r w:rsidRPr="00CE5A81">
              <w:rPr>
                <w:color w:val="000000"/>
                <w:sz w:val="22"/>
                <w:szCs w:val="22"/>
              </w:rPr>
              <w:t>utilization</w:t>
            </w:r>
          </w:p>
        </w:tc>
      </w:tr>
      <w:tr w:rsidR="00625317" w:rsidRPr="00A13655" w:rsidTr="00CE5A81">
        <w:trPr>
          <w:trHeight w:hRule="exact" w:val="388"/>
          <w:jc w:val="center"/>
        </w:trPr>
        <w:tc>
          <w:tcPr>
            <w:tcW w:w="5000" w:type="pct"/>
            <w:gridSpan w:val="8"/>
            <w:tcBorders>
              <w:top w:val="single" w:sz="4" w:space="0" w:color="auto"/>
            </w:tcBorders>
            <w:shd w:val="clear" w:color="auto" w:fill="auto"/>
            <w:noWrap/>
            <w:vAlign w:val="bottom"/>
            <w:hideMark/>
          </w:tcPr>
          <w:p w:rsidR="00625317" w:rsidRPr="00CE5A81" w:rsidRDefault="00625317" w:rsidP="00625317">
            <w:pPr>
              <w:jc w:val="center"/>
              <w:rPr>
                <w:rFonts w:asciiTheme="majorBidi" w:hAnsiTheme="majorBidi" w:cstheme="majorBidi"/>
                <w:i/>
                <w:color w:val="000000"/>
              </w:rPr>
            </w:pPr>
            <w:r w:rsidRPr="00CE5A81">
              <w:rPr>
                <w:rFonts w:asciiTheme="majorBidi" w:hAnsiTheme="majorBidi" w:cstheme="majorBidi"/>
                <w:i/>
                <w:color w:val="000000"/>
                <w:sz w:val="22"/>
                <w:szCs w:val="22"/>
              </w:rPr>
              <w:t>Volatilities</w:t>
            </w:r>
            <w:r w:rsidRPr="00CE5A81">
              <w:rPr>
                <w:rFonts w:asciiTheme="majorBidi" w:hAnsiTheme="majorBidi" w:cstheme="majorBidi"/>
                <w:bCs/>
                <w:i/>
                <w:color w:val="000000"/>
                <w:sz w:val="22"/>
                <w:szCs w:val="22"/>
              </w:rPr>
              <w:t xml:space="preserve">             </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2"/>
              </w:rPr>
            </w:pPr>
            <w:r w:rsidRPr="00CE5A81">
              <w:rPr>
                <w:rFonts w:asciiTheme="majorBidi" w:hAnsiTheme="majorBidi" w:cstheme="majorBidi"/>
                <w:position w:val="-12"/>
                <w:sz w:val="22"/>
                <w:szCs w:val="22"/>
              </w:rPr>
              <w:object w:dxaOrig="680" w:dyaOrig="340">
                <v:shape id="_x0000_i1402" type="#_x0000_t75" style="width:33.5pt;height:17.6pt" o:ole="">
                  <v:imagedata r:id="rId722" o:title=""/>
                </v:shape>
                <o:OLEObject Type="Embed" ProgID="Equation.DSMT4" ShapeID="_x0000_i1402" DrawAspect="Content" ObjectID="_1359267325" r:id="rId762"/>
              </w:object>
            </w:r>
          </w:p>
        </w:tc>
        <w:tc>
          <w:tcPr>
            <w:tcW w:w="563"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1.56</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3.12</w:t>
            </w:r>
          </w:p>
        </w:tc>
        <w:tc>
          <w:tcPr>
            <w:tcW w:w="716"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1.95</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1.48</w:t>
            </w:r>
          </w:p>
        </w:tc>
        <w:tc>
          <w:tcPr>
            <w:tcW w:w="818"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1.34</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1.23</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2"/>
              </w:rPr>
            </w:pPr>
            <w:r w:rsidRPr="00CE5A81">
              <w:rPr>
                <w:rFonts w:asciiTheme="majorBidi" w:hAnsiTheme="majorBidi" w:cstheme="majorBidi"/>
                <w:position w:val="-12"/>
                <w:sz w:val="22"/>
                <w:szCs w:val="22"/>
              </w:rPr>
              <w:object w:dxaOrig="660" w:dyaOrig="340">
                <v:shape id="_x0000_i1403" type="#_x0000_t75" style="width:30.15pt;height:17.6pt" o:ole="">
                  <v:imagedata r:id="rId724" o:title=""/>
                </v:shape>
                <o:OLEObject Type="Embed" ProgID="Equation.DSMT4" ShapeID="_x0000_i1403" DrawAspect="Content" ObjectID="_1359267326" r:id="rId763"/>
              </w:object>
            </w:r>
          </w:p>
        </w:tc>
        <w:tc>
          <w:tcPr>
            <w:tcW w:w="563"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1.05</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2.63</w:t>
            </w:r>
          </w:p>
        </w:tc>
        <w:tc>
          <w:tcPr>
            <w:tcW w:w="716"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1.47</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0.98</w:t>
            </w:r>
          </w:p>
        </w:tc>
        <w:tc>
          <w:tcPr>
            <w:tcW w:w="818"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0.88</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0.83</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2"/>
              </w:rPr>
            </w:pPr>
            <w:r w:rsidRPr="00CE5A81">
              <w:rPr>
                <w:rFonts w:asciiTheme="majorBidi" w:hAnsiTheme="majorBidi" w:cstheme="majorBidi"/>
                <w:position w:val="-12"/>
                <w:sz w:val="22"/>
                <w:szCs w:val="22"/>
              </w:rPr>
              <w:object w:dxaOrig="660" w:dyaOrig="340">
                <v:shape id="_x0000_i1404" type="#_x0000_t75" style="width:30.15pt;height:17.6pt" o:ole="">
                  <v:imagedata r:id="rId726" o:title=""/>
                </v:shape>
                <o:OLEObject Type="Embed" ProgID="Equation.DSMT4" ShapeID="_x0000_i1404" DrawAspect="Content" ObjectID="_1359267327" r:id="rId764"/>
              </w:object>
            </w:r>
          </w:p>
        </w:tc>
        <w:tc>
          <w:tcPr>
            <w:tcW w:w="563"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0.91</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3.73</w:t>
            </w:r>
          </w:p>
        </w:tc>
        <w:tc>
          <w:tcPr>
            <w:tcW w:w="716"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2.88</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0.87</w:t>
            </w:r>
          </w:p>
        </w:tc>
        <w:tc>
          <w:tcPr>
            <w:tcW w:w="818"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0.54</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0.76</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2"/>
              </w:rPr>
            </w:pPr>
            <w:r w:rsidRPr="00CE5A81">
              <w:rPr>
                <w:rFonts w:asciiTheme="majorBidi" w:hAnsiTheme="majorBidi" w:cstheme="majorBidi"/>
                <w:position w:val="-12"/>
                <w:sz w:val="22"/>
                <w:szCs w:val="22"/>
              </w:rPr>
              <w:object w:dxaOrig="680" w:dyaOrig="340">
                <v:shape id="_x0000_i1405" type="#_x0000_t75" style="width:33.5pt;height:17.6pt" o:ole="">
                  <v:imagedata r:id="rId728" o:title=""/>
                </v:shape>
                <o:OLEObject Type="Embed" ProgID="Equation.DSMT4" ShapeID="_x0000_i1405" DrawAspect="Content" ObjectID="_1359267328" r:id="rId765"/>
              </w:object>
            </w:r>
          </w:p>
        </w:tc>
        <w:tc>
          <w:tcPr>
            <w:tcW w:w="563"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2.99</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2.64</w:t>
            </w:r>
          </w:p>
        </w:tc>
        <w:tc>
          <w:tcPr>
            <w:tcW w:w="716"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1.37</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2.94</w:t>
            </w:r>
          </w:p>
        </w:tc>
        <w:tc>
          <w:tcPr>
            <w:tcW w:w="818"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2.48</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2.65</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2"/>
              </w:rPr>
            </w:pPr>
            <w:r w:rsidRPr="00CE5A81">
              <w:rPr>
                <w:rFonts w:asciiTheme="majorBidi" w:hAnsiTheme="majorBidi" w:cstheme="majorBidi"/>
                <w:position w:val="-12"/>
                <w:sz w:val="22"/>
                <w:szCs w:val="22"/>
              </w:rPr>
              <w:object w:dxaOrig="620" w:dyaOrig="340">
                <v:shape id="_x0000_i1406" type="#_x0000_t75" style="width:30.15pt;height:17.6pt" o:ole="">
                  <v:imagedata r:id="rId730" o:title=""/>
                </v:shape>
                <o:OLEObject Type="Embed" ProgID="Equation.DSMT4" ShapeID="_x0000_i1406" DrawAspect="Content" ObjectID="_1359267329" r:id="rId766"/>
              </w:object>
            </w:r>
          </w:p>
        </w:tc>
        <w:tc>
          <w:tcPr>
            <w:tcW w:w="563"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5.23</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6.03</w:t>
            </w:r>
          </w:p>
        </w:tc>
        <w:tc>
          <w:tcPr>
            <w:tcW w:w="716"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2.85</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4.96</w:t>
            </w:r>
          </w:p>
        </w:tc>
        <w:tc>
          <w:tcPr>
            <w:tcW w:w="818"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4.85</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4.20</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2"/>
              </w:rPr>
            </w:pPr>
            <w:r w:rsidRPr="00CE5A81">
              <w:rPr>
                <w:rFonts w:asciiTheme="majorBidi" w:hAnsiTheme="majorBidi" w:cstheme="majorBidi"/>
                <w:position w:val="-12"/>
                <w:sz w:val="22"/>
                <w:szCs w:val="22"/>
              </w:rPr>
              <w:object w:dxaOrig="820" w:dyaOrig="340">
                <v:shape id="_x0000_i1407" type="#_x0000_t75" style="width:33.5pt;height:17.6pt" o:ole="">
                  <v:imagedata r:id="rId732" o:title=""/>
                </v:shape>
                <o:OLEObject Type="Embed" ProgID="Equation.DSMT4" ShapeID="_x0000_i1407" DrawAspect="Content" ObjectID="_1359267330" r:id="rId767"/>
              </w:object>
            </w:r>
          </w:p>
        </w:tc>
        <w:tc>
          <w:tcPr>
            <w:tcW w:w="563"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0.68</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1.32</w:t>
            </w:r>
          </w:p>
        </w:tc>
        <w:tc>
          <w:tcPr>
            <w:tcW w:w="716"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1.23</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0.67</w:t>
            </w:r>
          </w:p>
        </w:tc>
        <w:tc>
          <w:tcPr>
            <w:tcW w:w="818"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0.63</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0.63</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2"/>
              </w:rPr>
            </w:pPr>
            <w:r w:rsidRPr="00CE5A81">
              <w:rPr>
                <w:rFonts w:asciiTheme="majorBidi" w:hAnsiTheme="majorBidi" w:cstheme="majorBidi"/>
                <w:position w:val="-12"/>
                <w:sz w:val="22"/>
                <w:szCs w:val="22"/>
              </w:rPr>
              <w:object w:dxaOrig="859" w:dyaOrig="340">
                <v:shape id="_x0000_i1408" type="#_x0000_t75" style="width:38.5pt;height:17.6pt" o:ole="">
                  <v:imagedata r:id="rId734" o:title=""/>
                </v:shape>
                <o:OLEObject Type="Embed" ProgID="Equation.DSMT4" ShapeID="_x0000_i1408" DrawAspect="Content" ObjectID="_1359267331" r:id="rId768"/>
              </w:object>
            </w:r>
          </w:p>
        </w:tc>
        <w:tc>
          <w:tcPr>
            <w:tcW w:w="563"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0.56</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1.14</w:t>
            </w:r>
          </w:p>
        </w:tc>
        <w:tc>
          <w:tcPr>
            <w:tcW w:w="716"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1.20</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0.55</w:t>
            </w:r>
          </w:p>
        </w:tc>
        <w:tc>
          <w:tcPr>
            <w:tcW w:w="818" w:type="pct"/>
            <w:vAlign w:val="bottom"/>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0.57</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2"/>
              </w:rPr>
            </w:pPr>
            <w:r w:rsidRPr="00CE5A81">
              <w:rPr>
                <w:rFonts w:asciiTheme="majorBidi" w:hAnsiTheme="majorBidi" w:cstheme="majorBidi"/>
                <w:position w:val="-12"/>
                <w:sz w:val="22"/>
                <w:szCs w:val="22"/>
              </w:rPr>
              <w:t>0.51</w:t>
            </w:r>
          </w:p>
        </w:tc>
      </w:tr>
      <w:tr w:rsidR="00625317" w:rsidRPr="00A13655" w:rsidTr="00CE5A81">
        <w:trPr>
          <w:trHeight w:hRule="exact" w:val="369"/>
          <w:jc w:val="center"/>
        </w:trPr>
        <w:tc>
          <w:tcPr>
            <w:tcW w:w="5000" w:type="pct"/>
            <w:gridSpan w:val="8"/>
            <w:shd w:val="clear" w:color="auto" w:fill="auto"/>
            <w:noWrap/>
            <w:vAlign w:val="center"/>
            <w:hideMark/>
          </w:tcPr>
          <w:p w:rsidR="00625317" w:rsidRPr="00CE5A81" w:rsidRDefault="00625317" w:rsidP="00625317">
            <w:pPr>
              <w:jc w:val="center"/>
              <w:rPr>
                <w:rFonts w:asciiTheme="majorBidi" w:hAnsiTheme="majorBidi" w:cstheme="majorBidi"/>
                <w:i/>
                <w:color w:val="000000"/>
              </w:rPr>
            </w:pPr>
            <w:r w:rsidRPr="00CE5A81">
              <w:rPr>
                <w:rFonts w:asciiTheme="majorBidi" w:hAnsiTheme="majorBidi" w:cstheme="majorBidi"/>
                <w:i/>
                <w:color w:val="000000"/>
                <w:sz w:val="22"/>
                <w:szCs w:val="22"/>
              </w:rPr>
              <w:t>Contemporaneous Correlations with Output</w:t>
            </w:r>
          </w:p>
          <w:p w:rsidR="00625317" w:rsidRPr="00CE5A81" w:rsidRDefault="00625317" w:rsidP="00625317">
            <w:pPr>
              <w:jc w:val="center"/>
              <w:rPr>
                <w:rFonts w:asciiTheme="majorBidi" w:hAnsiTheme="majorBidi" w:cstheme="majorBidi"/>
                <w:color w:val="000000"/>
              </w:rPr>
            </w:pPr>
          </w:p>
          <w:p w:rsidR="00625317" w:rsidRPr="00CE5A81" w:rsidRDefault="00625317" w:rsidP="00625317">
            <w:pPr>
              <w:jc w:val="center"/>
              <w:rPr>
                <w:rFonts w:asciiTheme="majorBidi" w:hAnsiTheme="majorBidi" w:cstheme="majorBidi"/>
                <w:color w:val="000000"/>
              </w:rPr>
            </w:pP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999" w:dyaOrig="340">
                <v:shape id="_x0000_i1409" type="#_x0000_t75" style="width:46.9pt;height:17.6pt" o:ole="">
                  <v:imagedata r:id="rId736" o:title=""/>
                </v:shape>
                <o:OLEObject Type="Embed" ProgID="Equation.DSMT4" ShapeID="_x0000_i1409" DrawAspect="Content" ObjectID="_1359267332" r:id="rId769"/>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0.90</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1.00</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0.95</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0.88</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0.82</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0.88</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999" w:dyaOrig="340">
                <v:shape id="_x0000_i1410" type="#_x0000_t75" style="width:49.4pt;height:17.6pt" o:ole="">
                  <v:imagedata r:id="rId738" o:title=""/>
                </v:shape>
                <o:OLEObject Type="Embed" ProgID="Equation.DSMT4" ShapeID="_x0000_i1410" DrawAspect="Content" ObjectID="_1359267333" r:id="rId770"/>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0.81</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0.98</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0.85</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0.80</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0.53</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0.79</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1020" w:dyaOrig="340">
                <v:shape id="_x0000_i1411" type="#_x0000_t75" style="width:46.9pt;height:17.6pt" o:ole="">
                  <v:imagedata r:id="rId740" o:title=""/>
                </v:shape>
                <o:OLEObject Type="Embed" ProgID="Equation.DSMT4" ShapeID="_x0000_i1411" DrawAspect="Content" ObjectID="_1359267334" r:id="rId771"/>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0.80</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0.91</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0.90</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0.78</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0.82</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0.81</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4"/>
                <w:sz w:val="22"/>
                <w:szCs w:val="22"/>
              </w:rPr>
              <w:object w:dxaOrig="1120" w:dyaOrig="400">
                <v:shape id="_x0000_i1412" type="#_x0000_t75" style="width:49.4pt;height:17.6pt" o:ole="">
                  <v:imagedata r:id="rId742" o:title=""/>
                </v:shape>
                <o:OLEObject Type="Embed" ProgID="Equation.DSMT4" ShapeID="_x0000_i1412" DrawAspect="Content" ObjectID="_1359267335" r:id="rId772"/>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0.84</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0.95</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0.97</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0.84</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0.85</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0.79</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1160" w:dyaOrig="340">
                <v:shape id="_x0000_i1413" type="#_x0000_t75" style="width:54.4pt;height:17.6pt" o:ole="">
                  <v:imagedata r:id="rId744" o:title=""/>
                </v:shape>
                <o:OLEObject Type="Embed" ProgID="Equation.DSMT4" ShapeID="_x0000_i1413" DrawAspect="Content" ObjectID="_1359267336" r:id="rId773"/>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-0.32</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-0.59</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-0.31</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-0.30</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-0.06</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-0.30</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1180" w:dyaOrig="340">
                <v:shape id="_x0000_i1414" type="#_x0000_t75" style="width:54.4pt;height:17.6pt" o:ole="">
                  <v:imagedata r:id="rId746" o:title=""/>
                </v:shape>
                <o:OLEObject Type="Embed" ProgID="Equation.DSMT4" ShapeID="_x0000_i1414" DrawAspect="Content" ObjectID="_1359267337" r:id="rId774"/>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-0.31</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-0.59</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-0.33</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-0.29</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0.01</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-0.29</w:t>
            </w:r>
          </w:p>
        </w:tc>
      </w:tr>
      <w:tr w:rsidR="00625317" w:rsidRPr="00A13655" w:rsidTr="00CE5A81">
        <w:trPr>
          <w:trHeight w:hRule="exact" w:val="369"/>
          <w:jc w:val="center"/>
        </w:trPr>
        <w:tc>
          <w:tcPr>
            <w:tcW w:w="5000" w:type="pct"/>
            <w:gridSpan w:val="8"/>
            <w:shd w:val="clear" w:color="000000" w:fill="FFFFFF"/>
            <w:noWrap/>
            <w:vAlign w:val="bottom"/>
            <w:hideMark/>
          </w:tcPr>
          <w:p w:rsidR="00625317" w:rsidRPr="00CE5A81" w:rsidRDefault="00625317" w:rsidP="00625317">
            <w:pPr>
              <w:jc w:val="center"/>
              <w:rPr>
                <w:rFonts w:asciiTheme="majorBidi" w:hAnsiTheme="majorBidi" w:cstheme="majorBidi"/>
                <w:i/>
                <w:color w:val="000000"/>
              </w:rPr>
            </w:pPr>
            <w:r w:rsidRPr="00CE5A81">
              <w:rPr>
                <w:rFonts w:asciiTheme="majorBidi" w:hAnsiTheme="majorBidi" w:cstheme="majorBidi"/>
                <w:i/>
                <w:color w:val="000000"/>
                <w:sz w:val="22"/>
                <w:szCs w:val="22"/>
              </w:rPr>
              <w:t>Serial Correlations</w:t>
            </w:r>
          </w:p>
          <w:p w:rsidR="00625317" w:rsidRPr="00CE5A81" w:rsidRDefault="00625317" w:rsidP="00625317">
            <w:pPr>
              <w:jc w:val="center"/>
              <w:rPr>
                <w:rFonts w:asciiTheme="majorBidi" w:hAnsiTheme="majorBidi" w:cstheme="majorBidi"/>
                <w:color w:val="000000"/>
              </w:rPr>
            </w:pPr>
          </w:p>
          <w:p w:rsidR="00625317" w:rsidRPr="00CE5A81" w:rsidRDefault="00625317" w:rsidP="00625317">
            <w:pPr>
              <w:jc w:val="center"/>
              <w:rPr>
                <w:rFonts w:asciiTheme="majorBidi" w:hAnsiTheme="majorBidi" w:cstheme="majorBidi"/>
                <w:color w:val="000000"/>
              </w:rPr>
            </w:pP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4"/>
                <w:sz w:val="22"/>
                <w:szCs w:val="22"/>
              </w:rPr>
              <w:object w:dxaOrig="1340" w:dyaOrig="400">
                <v:shape id="_x0000_i1415" type="#_x0000_t75" style="width:55.25pt;height:17.6pt" o:ole="">
                  <v:imagedata r:id="rId748" o:title=""/>
                </v:shape>
                <o:OLEObject Type="Embed" ProgID="Equation.DSMT4" ShapeID="_x0000_i1415" DrawAspect="Content" ObjectID="_1359267338" r:id="rId775"/>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0.84</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0.72</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0.85</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0.83</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0.75</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0.82</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1100" w:dyaOrig="340">
                <v:shape id="_x0000_i1416" type="#_x0000_t75" style="width:49.4pt;height:17.6pt" o:ole="">
                  <v:imagedata r:id="rId750" o:title=""/>
                </v:shape>
                <o:OLEObject Type="Embed" ProgID="Equation.DSMT4" ShapeID="_x0000_i1416" DrawAspect="Content" ObjectID="_1359267339" r:id="rId776"/>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0.93</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0.72</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0.91</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0.93</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0.74</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0.92</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1080" w:dyaOrig="340">
                <v:shape id="_x0000_i1417" type="#_x0000_t75" style="width:55.25pt;height:17.6pt" o:ole="">
                  <v:imagedata r:id="rId752" o:title=""/>
                </v:shape>
                <o:OLEObject Type="Embed" ProgID="Equation.DSMT4" ShapeID="_x0000_i1417" DrawAspect="Content" ObjectID="_1359267340" r:id="rId777"/>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0.95</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0.64</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0.62</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0.95</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0.96</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0.95</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color w:val="000000"/>
              </w:rPr>
            </w:pPr>
            <w:r w:rsidRPr="00CE5A81">
              <w:rPr>
                <w:rFonts w:asciiTheme="majorBidi" w:hAnsiTheme="majorBidi" w:cstheme="majorBidi"/>
                <w:position w:val="-12"/>
                <w:sz w:val="22"/>
                <w:szCs w:val="22"/>
              </w:rPr>
              <w:object w:dxaOrig="1140" w:dyaOrig="340">
                <v:shape id="_x0000_i1418" type="#_x0000_t75" style="width:49.4pt;height:17.6pt" o:ole="">
                  <v:imagedata r:id="rId754" o:title=""/>
                </v:shape>
                <o:OLEObject Type="Embed" ProgID="Equation.DSMT4" ShapeID="_x0000_i1418" DrawAspect="Content" ObjectID="_1359267341" r:id="rId778"/>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0.69</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0.52</w:t>
            </w:r>
          </w:p>
        </w:tc>
        <w:tc>
          <w:tcPr>
            <w:tcW w:w="716"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0.67</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0.68</w:t>
            </w:r>
          </w:p>
        </w:tc>
        <w:tc>
          <w:tcPr>
            <w:tcW w:w="818" w:type="pct"/>
            <w:vAlign w:val="bottom"/>
          </w:tcPr>
          <w:p w:rsidR="0049530C" w:rsidRPr="00CE5A81" w:rsidRDefault="0049530C" w:rsidP="00625317">
            <w:pPr>
              <w:jc w:val="center"/>
              <w:rPr>
                <w:rFonts w:asciiTheme="majorBidi" w:hAnsiTheme="majorBidi" w:cstheme="majorBidi"/>
                <w:color w:val="000000"/>
              </w:rPr>
            </w:pPr>
            <w:r w:rsidRPr="00CE5A81">
              <w:rPr>
                <w:rFonts w:asciiTheme="majorBidi" w:hAnsiTheme="majorBidi" w:cstheme="majorBidi"/>
                <w:color w:val="000000"/>
                <w:sz w:val="22"/>
                <w:szCs w:val="22"/>
              </w:rPr>
              <w:t>0.70</w:t>
            </w:r>
          </w:p>
        </w:tc>
        <w:tc>
          <w:tcPr>
            <w:tcW w:w="659" w:type="pct"/>
            <w:gridSpan w:val="2"/>
            <w:shd w:val="clear" w:color="auto" w:fill="auto"/>
            <w:noWrap/>
            <w:vAlign w:val="bottom"/>
            <w:hideMark/>
          </w:tcPr>
          <w:p w:rsidR="0049530C" w:rsidRPr="00CE5A81" w:rsidRDefault="0049530C" w:rsidP="00E04675">
            <w:pPr>
              <w:jc w:val="center"/>
              <w:rPr>
                <w:rFonts w:asciiTheme="majorBidi" w:hAnsiTheme="majorBidi" w:cstheme="majorBidi"/>
                <w:color w:val="000000"/>
              </w:rPr>
            </w:pPr>
            <w:r w:rsidRPr="00CE5A81">
              <w:rPr>
                <w:rFonts w:asciiTheme="majorBidi" w:hAnsiTheme="majorBidi" w:cstheme="majorBidi"/>
                <w:color w:val="000000"/>
                <w:sz w:val="22"/>
                <w:szCs w:val="22"/>
              </w:rPr>
              <w:t>0.67</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4"/>
              </w:rPr>
            </w:pPr>
            <w:r w:rsidRPr="00CE5A81">
              <w:rPr>
                <w:rFonts w:asciiTheme="majorBidi" w:hAnsiTheme="majorBidi" w:cstheme="majorBidi"/>
                <w:position w:val="-14"/>
                <w:sz w:val="22"/>
                <w:szCs w:val="22"/>
              </w:rPr>
              <w:object w:dxaOrig="1020" w:dyaOrig="340">
                <v:shape id="_x0000_i1419" type="#_x0000_t75" style="width:46.9pt;height:17.6pt" o:ole="">
                  <v:imagedata r:id="rId756" o:title=""/>
                </v:shape>
                <o:OLEObject Type="Embed" ProgID="Equation.DSMT4" ShapeID="_x0000_i1419" DrawAspect="Content" ObjectID="_1359267342" r:id="rId779"/>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0.71</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0.60</w:t>
            </w:r>
          </w:p>
        </w:tc>
        <w:tc>
          <w:tcPr>
            <w:tcW w:w="716" w:type="pct"/>
            <w:vAlign w:val="bottom"/>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0.81</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0.70</w:t>
            </w:r>
          </w:p>
        </w:tc>
        <w:tc>
          <w:tcPr>
            <w:tcW w:w="818" w:type="pct"/>
            <w:vAlign w:val="bottom"/>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0.71</w:t>
            </w:r>
          </w:p>
        </w:tc>
        <w:tc>
          <w:tcPr>
            <w:tcW w:w="659" w:type="pct"/>
            <w:gridSpan w:val="2"/>
            <w:shd w:val="clear" w:color="auto" w:fill="auto"/>
            <w:noWrap/>
            <w:vAlign w:val="bottom"/>
            <w:hideMark/>
          </w:tcPr>
          <w:p w:rsidR="0049530C" w:rsidRPr="00CE5A81" w:rsidRDefault="0049530C" w:rsidP="00E04675">
            <w:pPr>
              <w:jc w:val="center"/>
              <w:rPr>
                <w:rFonts w:asciiTheme="majorBidi" w:hAnsiTheme="majorBidi" w:cstheme="majorBidi"/>
                <w:position w:val="-14"/>
              </w:rPr>
            </w:pPr>
            <w:r w:rsidRPr="00CE5A81">
              <w:rPr>
                <w:rFonts w:asciiTheme="majorBidi" w:hAnsiTheme="majorBidi" w:cstheme="majorBidi"/>
                <w:position w:val="-14"/>
                <w:sz w:val="22"/>
                <w:szCs w:val="22"/>
              </w:rPr>
              <w:t>0.67</w:t>
            </w:r>
          </w:p>
        </w:tc>
      </w:tr>
      <w:tr w:rsidR="00AF6AEA" w:rsidRPr="00A13655" w:rsidTr="00AF6AEA">
        <w:trPr>
          <w:trHeight w:hRule="exact" w:val="299"/>
          <w:jc w:val="center"/>
        </w:trPr>
        <w:tc>
          <w:tcPr>
            <w:tcW w:w="866" w:type="pct"/>
            <w:shd w:val="clear" w:color="000000" w:fill="FFFFFF"/>
            <w:noWrap/>
            <w:vAlign w:val="bottom"/>
            <w:hideMark/>
          </w:tcPr>
          <w:p w:rsidR="0049530C" w:rsidRPr="00CE5A81" w:rsidRDefault="0049530C" w:rsidP="00625317">
            <w:pPr>
              <w:rPr>
                <w:rFonts w:asciiTheme="majorBidi" w:hAnsiTheme="majorBidi" w:cstheme="majorBidi"/>
                <w:position w:val="-14"/>
              </w:rPr>
            </w:pPr>
            <w:r w:rsidRPr="00CE5A81">
              <w:rPr>
                <w:rFonts w:asciiTheme="majorBidi" w:hAnsiTheme="majorBidi" w:cstheme="majorBidi"/>
                <w:position w:val="-14"/>
                <w:sz w:val="22"/>
                <w:szCs w:val="22"/>
              </w:rPr>
              <w:object w:dxaOrig="1400" w:dyaOrig="340">
                <v:shape id="_x0000_i1420" type="#_x0000_t75" style="width:62.8pt;height:17.6pt" o:ole="">
                  <v:imagedata r:id="rId758" o:title=""/>
                </v:shape>
                <o:OLEObject Type="Embed" ProgID="Equation.DSMT4" ShapeID="_x0000_i1420" DrawAspect="Content" ObjectID="_1359267343" r:id="rId780"/>
              </w:object>
            </w:r>
          </w:p>
        </w:tc>
        <w:tc>
          <w:tcPr>
            <w:tcW w:w="563" w:type="pct"/>
            <w:shd w:val="clear" w:color="000000" w:fill="FFFFFF"/>
            <w:noWrap/>
            <w:vAlign w:val="bottom"/>
            <w:hideMark/>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0.69</w:t>
            </w:r>
          </w:p>
        </w:tc>
        <w:tc>
          <w:tcPr>
            <w:tcW w:w="664" w:type="pct"/>
            <w:vAlign w:val="bottom"/>
          </w:tcPr>
          <w:p w:rsidR="0049530C" w:rsidRPr="00CE5A81" w:rsidRDefault="0049530C" w:rsidP="00ED7845">
            <w:pPr>
              <w:jc w:val="center"/>
              <w:rPr>
                <w:rFonts w:asciiTheme="majorBidi" w:hAnsiTheme="majorBidi" w:cstheme="majorBidi"/>
                <w:color w:val="000000"/>
              </w:rPr>
            </w:pPr>
            <w:r w:rsidRPr="00CE5A81">
              <w:rPr>
                <w:rFonts w:asciiTheme="majorBidi" w:hAnsiTheme="majorBidi" w:cstheme="majorBidi"/>
                <w:color w:val="000000"/>
                <w:sz w:val="22"/>
                <w:szCs w:val="22"/>
              </w:rPr>
              <w:t>0.48</w:t>
            </w:r>
          </w:p>
        </w:tc>
        <w:tc>
          <w:tcPr>
            <w:tcW w:w="716" w:type="pct"/>
            <w:vAlign w:val="bottom"/>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0.42</w:t>
            </w:r>
          </w:p>
        </w:tc>
        <w:tc>
          <w:tcPr>
            <w:tcW w:w="714" w:type="pct"/>
            <w:shd w:val="clear" w:color="auto" w:fill="auto"/>
            <w:noWrap/>
            <w:vAlign w:val="bottom"/>
            <w:hideMark/>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0.58</w:t>
            </w:r>
          </w:p>
        </w:tc>
        <w:tc>
          <w:tcPr>
            <w:tcW w:w="818" w:type="pct"/>
            <w:vAlign w:val="bottom"/>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0.52</w:t>
            </w:r>
          </w:p>
        </w:tc>
        <w:tc>
          <w:tcPr>
            <w:tcW w:w="659" w:type="pct"/>
            <w:gridSpan w:val="2"/>
            <w:shd w:val="clear" w:color="auto" w:fill="auto"/>
            <w:noWrap/>
            <w:vAlign w:val="bottom"/>
            <w:hideMark/>
          </w:tcPr>
          <w:p w:rsidR="0049530C" w:rsidRPr="00CE5A81" w:rsidRDefault="0049530C" w:rsidP="00625317">
            <w:pPr>
              <w:jc w:val="center"/>
              <w:rPr>
                <w:rFonts w:asciiTheme="majorBidi" w:hAnsiTheme="majorBidi" w:cstheme="majorBidi"/>
                <w:position w:val="-14"/>
              </w:rPr>
            </w:pPr>
            <w:r w:rsidRPr="00CE5A81">
              <w:rPr>
                <w:rFonts w:asciiTheme="majorBidi" w:hAnsiTheme="majorBidi" w:cstheme="majorBidi"/>
                <w:position w:val="-14"/>
                <w:sz w:val="22"/>
                <w:szCs w:val="22"/>
              </w:rPr>
              <w:t>0.57</w:t>
            </w:r>
          </w:p>
        </w:tc>
      </w:tr>
      <w:tr w:rsidR="00AF6AEA" w:rsidRPr="00A13655" w:rsidTr="000C7E0D">
        <w:trPr>
          <w:trHeight w:hRule="exact" w:val="450"/>
          <w:jc w:val="center"/>
        </w:trPr>
        <w:tc>
          <w:tcPr>
            <w:tcW w:w="866" w:type="pct"/>
            <w:tcBorders>
              <w:bottom w:val="single" w:sz="4" w:space="0" w:color="auto"/>
            </w:tcBorders>
            <w:shd w:val="clear" w:color="000000" w:fill="FFFFFF"/>
            <w:noWrap/>
            <w:vAlign w:val="bottom"/>
            <w:hideMark/>
          </w:tcPr>
          <w:p w:rsidR="0049530C" w:rsidRPr="00CE5A81" w:rsidRDefault="0049530C" w:rsidP="00625317">
            <w:pPr>
              <w:rPr>
                <w:rFonts w:asciiTheme="majorBidi" w:hAnsiTheme="majorBidi" w:cstheme="majorBidi"/>
                <w:position w:val="-14"/>
              </w:rPr>
            </w:pPr>
            <w:r w:rsidRPr="00CE5A81">
              <w:rPr>
                <w:rFonts w:asciiTheme="majorBidi" w:hAnsiTheme="majorBidi" w:cstheme="majorBidi"/>
                <w:position w:val="-14"/>
                <w:sz w:val="22"/>
                <w:szCs w:val="22"/>
              </w:rPr>
              <w:object w:dxaOrig="1480" w:dyaOrig="340">
                <v:shape id="_x0000_i1421" type="#_x0000_t75" style="width:71.15pt;height:17.6pt" o:ole="">
                  <v:imagedata r:id="rId760" o:title=""/>
                </v:shape>
                <o:OLEObject Type="Embed" ProgID="Equation.DSMT4" ShapeID="_x0000_i1421" DrawAspect="Content" ObjectID="_1359267344" r:id="rId781"/>
              </w:object>
            </w:r>
          </w:p>
        </w:tc>
        <w:tc>
          <w:tcPr>
            <w:tcW w:w="563" w:type="pct"/>
            <w:tcBorders>
              <w:bottom w:val="single" w:sz="4" w:space="0" w:color="auto"/>
            </w:tcBorders>
            <w:shd w:val="clear" w:color="000000" w:fill="FFFFFF"/>
            <w:noWrap/>
            <w:vAlign w:val="center"/>
            <w:hideMark/>
          </w:tcPr>
          <w:p w:rsidR="0049530C" w:rsidRPr="00CE5A81" w:rsidRDefault="0049530C" w:rsidP="000C7E0D">
            <w:pPr>
              <w:jc w:val="center"/>
              <w:rPr>
                <w:rFonts w:asciiTheme="majorBidi" w:hAnsiTheme="majorBidi" w:cstheme="majorBidi"/>
                <w:position w:val="-14"/>
              </w:rPr>
            </w:pPr>
            <w:r w:rsidRPr="00CE5A81">
              <w:rPr>
                <w:rFonts w:asciiTheme="majorBidi" w:hAnsiTheme="majorBidi" w:cstheme="majorBidi"/>
                <w:position w:val="-14"/>
                <w:sz w:val="22"/>
                <w:szCs w:val="22"/>
              </w:rPr>
              <w:t>0.58</w:t>
            </w:r>
          </w:p>
        </w:tc>
        <w:tc>
          <w:tcPr>
            <w:tcW w:w="664" w:type="pct"/>
            <w:tcBorders>
              <w:bottom w:val="single" w:sz="4" w:space="0" w:color="auto"/>
            </w:tcBorders>
            <w:vAlign w:val="center"/>
          </w:tcPr>
          <w:p w:rsidR="0049530C" w:rsidRPr="00CE5A81" w:rsidRDefault="0049530C" w:rsidP="000C7E0D">
            <w:pPr>
              <w:jc w:val="center"/>
              <w:rPr>
                <w:rFonts w:asciiTheme="majorBidi" w:hAnsiTheme="majorBidi" w:cstheme="majorBidi"/>
                <w:color w:val="000000"/>
              </w:rPr>
            </w:pPr>
            <w:r w:rsidRPr="00CE5A81">
              <w:rPr>
                <w:rFonts w:asciiTheme="majorBidi" w:hAnsiTheme="majorBidi" w:cstheme="majorBidi"/>
                <w:color w:val="000000"/>
                <w:sz w:val="22"/>
                <w:szCs w:val="22"/>
              </w:rPr>
              <w:t>0.48</w:t>
            </w:r>
          </w:p>
        </w:tc>
        <w:tc>
          <w:tcPr>
            <w:tcW w:w="716" w:type="pct"/>
            <w:tcBorders>
              <w:bottom w:val="single" w:sz="4" w:space="0" w:color="auto"/>
            </w:tcBorders>
            <w:vAlign w:val="center"/>
          </w:tcPr>
          <w:p w:rsidR="0049530C" w:rsidRPr="00CE5A81" w:rsidRDefault="0049530C" w:rsidP="000C7E0D">
            <w:pPr>
              <w:jc w:val="center"/>
              <w:rPr>
                <w:rFonts w:asciiTheme="majorBidi" w:hAnsiTheme="majorBidi" w:cstheme="majorBidi"/>
                <w:position w:val="-14"/>
              </w:rPr>
            </w:pPr>
            <w:r w:rsidRPr="00CE5A81">
              <w:rPr>
                <w:rFonts w:asciiTheme="majorBidi" w:hAnsiTheme="majorBidi" w:cstheme="majorBidi"/>
                <w:position w:val="-14"/>
                <w:sz w:val="22"/>
                <w:szCs w:val="22"/>
              </w:rPr>
              <w:t>0.42</w:t>
            </w:r>
          </w:p>
        </w:tc>
        <w:tc>
          <w:tcPr>
            <w:tcW w:w="714" w:type="pct"/>
            <w:tcBorders>
              <w:bottom w:val="single" w:sz="4" w:space="0" w:color="auto"/>
            </w:tcBorders>
            <w:shd w:val="clear" w:color="auto" w:fill="auto"/>
            <w:noWrap/>
            <w:vAlign w:val="center"/>
            <w:hideMark/>
          </w:tcPr>
          <w:p w:rsidR="0049530C" w:rsidRPr="00CE5A81" w:rsidRDefault="0049530C" w:rsidP="000C7E0D">
            <w:pPr>
              <w:jc w:val="center"/>
              <w:rPr>
                <w:rFonts w:asciiTheme="majorBidi" w:hAnsiTheme="majorBidi" w:cstheme="majorBidi"/>
                <w:position w:val="-14"/>
              </w:rPr>
            </w:pPr>
            <w:r w:rsidRPr="00CE5A81">
              <w:rPr>
                <w:rFonts w:asciiTheme="majorBidi" w:hAnsiTheme="majorBidi" w:cstheme="majorBidi"/>
                <w:position w:val="-14"/>
                <w:sz w:val="22"/>
                <w:szCs w:val="22"/>
              </w:rPr>
              <w:t>0.59</w:t>
            </w:r>
          </w:p>
        </w:tc>
        <w:tc>
          <w:tcPr>
            <w:tcW w:w="818" w:type="pct"/>
            <w:tcBorders>
              <w:bottom w:val="single" w:sz="4" w:space="0" w:color="auto"/>
            </w:tcBorders>
            <w:vAlign w:val="center"/>
          </w:tcPr>
          <w:p w:rsidR="0049530C" w:rsidRPr="00CE5A81" w:rsidRDefault="0049530C" w:rsidP="000C7E0D">
            <w:pPr>
              <w:jc w:val="center"/>
              <w:rPr>
                <w:rFonts w:asciiTheme="majorBidi" w:hAnsiTheme="majorBidi" w:cstheme="majorBidi"/>
                <w:position w:val="-14"/>
              </w:rPr>
            </w:pPr>
            <w:r w:rsidRPr="00CE5A81">
              <w:rPr>
                <w:rFonts w:asciiTheme="majorBidi" w:hAnsiTheme="majorBidi" w:cstheme="majorBidi"/>
                <w:position w:val="-14"/>
                <w:sz w:val="22"/>
                <w:szCs w:val="22"/>
              </w:rPr>
              <w:t>0.51</w:t>
            </w:r>
          </w:p>
        </w:tc>
        <w:tc>
          <w:tcPr>
            <w:tcW w:w="659" w:type="pct"/>
            <w:gridSpan w:val="2"/>
            <w:tcBorders>
              <w:bottom w:val="single" w:sz="4" w:space="0" w:color="auto"/>
            </w:tcBorders>
            <w:shd w:val="clear" w:color="auto" w:fill="auto"/>
            <w:noWrap/>
            <w:vAlign w:val="center"/>
            <w:hideMark/>
          </w:tcPr>
          <w:p w:rsidR="0049530C" w:rsidRPr="00CE5A81" w:rsidRDefault="0049530C" w:rsidP="000C7E0D">
            <w:pPr>
              <w:jc w:val="center"/>
              <w:rPr>
                <w:rFonts w:asciiTheme="majorBidi" w:hAnsiTheme="majorBidi" w:cstheme="majorBidi"/>
                <w:position w:val="-14"/>
              </w:rPr>
            </w:pPr>
            <w:r w:rsidRPr="00CE5A81">
              <w:rPr>
                <w:rFonts w:asciiTheme="majorBidi" w:hAnsiTheme="majorBidi" w:cstheme="majorBidi"/>
                <w:position w:val="-14"/>
                <w:sz w:val="22"/>
                <w:szCs w:val="22"/>
              </w:rPr>
              <w:t>0.57</w:t>
            </w:r>
          </w:p>
        </w:tc>
      </w:tr>
    </w:tbl>
    <w:p w:rsidR="00625317" w:rsidRPr="009B1BE7" w:rsidRDefault="00625317" w:rsidP="00625317">
      <w:pPr>
        <w:autoSpaceDE w:val="0"/>
        <w:autoSpaceDN w:val="0"/>
        <w:adjustRightInd w:val="0"/>
        <w:spacing w:line="480" w:lineRule="auto"/>
        <w:ind w:firstLine="720"/>
        <w:rPr>
          <w:sz w:val="20"/>
          <w:szCs w:val="20"/>
        </w:rPr>
      </w:pPr>
      <w:r>
        <w:rPr>
          <w:sz w:val="20"/>
          <w:szCs w:val="20"/>
        </w:rPr>
        <w:t>Note: See the note on Table 3</w:t>
      </w:r>
      <w:r w:rsidRPr="009B1BE7">
        <w:rPr>
          <w:sz w:val="20"/>
          <w:szCs w:val="20"/>
        </w:rPr>
        <w:t>.</w:t>
      </w:r>
    </w:p>
    <w:p w:rsidR="00C94108" w:rsidRDefault="00C94108" w:rsidP="00C94108"/>
    <w:p w:rsidR="00C94108" w:rsidRDefault="00C94108" w:rsidP="00C94108"/>
    <w:p w:rsidR="00C94108" w:rsidRDefault="00C94108" w:rsidP="00C94108"/>
    <w:p w:rsidR="00A55804" w:rsidRDefault="00A55804" w:rsidP="00625317">
      <w:pPr>
        <w:autoSpaceDE w:val="0"/>
        <w:autoSpaceDN w:val="0"/>
        <w:adjustRightInd w:val="0"/>
        <w:spacing w:line="480" w:lineRule="auto"/>
        <w:ind w:firstLine="720"/>
        <w:rPr>
          <w:rFonts w:ascii="Book Antiqua" w:hAnsi="Book Antiqua"/>
        </w:rPr>
      </w:pPr>
    </w:p>
    <w:p w:rsidR="00D134B7" w:rsidRDefault="00D134B7" w:rsidP="00625317">
      <w:pPr>
        <w:autoSpaceDE w:val="0"/>
        <w:autoSpaceDN w:val="0"/>
        <w:adjustRightInd w:val="0"/>
        <w:spacing w:line="480" w:lineRule="auto"/>
        <w:ind w:firstLine="720"/>
        <w:rPr>
          <w:rFonts w:ascii="Book Antiqua" w:hAnsi="Book Antiqua"/>
        </w:rPr>
      </w:pPr>
    </w:p>
    <w:p w:rsidR="0051003D" w:rsidRDefault="0051003D" w:rsidP="0080197C">
      <w:pPr>
        <w:tabs>
          <w:tab w:val="left" w:pos="3705"/>
        </w:tabs>
        <w:autoSpaceDE w:val="0"/>
        <w:autoSpaceDN w:val="0"/>
        <w:adjustRightInd w:val="0"/>
      </w:pPr>
    </w:p>
    <w:p w:rsidR="0080197C" w:rsidRDefault="0080197C" w:rsidP="0080197C">
      <w:pPr>
        <w:tabs>
          <w:tab w:val="left" w:pos="3705"/>
        </w:tabs>
        <w:autoSpaceDE w:val="0"/>
        <w:autoSpaceDN w:val="0"/>
        <w:adjustRightInd w:val="0"/>
      </w:pPr>
      <w:r>
        <w:tab/>
      </w:r>
    </w:p>
    <w:tbl>
      <w:tblPr>
        <w:tblStyle w:val="TableGrid"/>
        <w:tblW w:w="0" w:type="auto"/>
        <w:tblLayout w:type="fixed"/>
        <w:tblLook w:val="04A0"/>
      </w:tblPr>
      <w:tblGrid>
        <w:gridCol w:w="1506"/>
        <w:gridCol w:w="963"/>
        <w:gridCol w:w="1488"/>
        <w:gridCol w:w="1663"/>
        <w:gridCol w:w="1663"/>
        <w:gridCol w:w="2031"/>
      </w:tblGrid>
      <w:tr w:rsidR="0080197C" w:rsidTr="00085BE7">
        <w:trPr>
          <w:trHeight w:hRule="exact" w:val="531"/>
        </w:trPr>
        <w:tc>
          <w:tcPr>
            <w:tcW w:w="9314" w:type="dxa"/>
            <w:gridSpan w:val="6"/>
            <w:tcBorders>
              <w:top w:val="nil"/>
              <w:left w:val="nil"/>
              <w:bottom w:val="single" w:sz="4" w:space="0" w:color="000000" w:themeColor="text1"/>
              <w:right w:val="nil"/>
            </w:tcBorders>
          </w:tcPr>
          <w:p w:rsidR="0080197C" w:rsidRPr="00A13655" w:rsidRDefault="00FE50AD" w:rsidP="00085BE7">
            <w:pPr>
              <w:pStyle w:val="Caption"/>
              <w:rPr>
                <w:b w:val="0"/>
              </w:rPr>
            </w:pPr>
            <w:bookmarkStart w:id="62" w:name="_Toc284613305"/>
            <w:bookmarkStart w:id="63" w:name="_Toc285392586"/>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5</w:t>
            </w:r>
            <w:r w:rsidR="00AB7C8D" w:rsidRPr="00085BE7">
              <w:rPr>
                <w:b w:val="0"/>
                <w:sz w:val="24"/>
                <w:szCs w:val="24"/>
              </w:rPr>
              <w:fldChar w:fldCharType="end"/>
            </w:r>
            <w:r w:rsidRPr="00085BE7">
              <w:rPr>
                <w:b w:val="0"/>
                <w:sz w:val="24"/>
                <w:szCs w:val="24"/>
              </w:rPr>
              <w:t xml:space="preserve">: </w:t>
            </w:r>
            <w:r w:rsidR="0080197C" w:rsidRPr="00085BE7">
              <w:rPr>
                <w:b w:val="0"/>
                <w:sz w:val="24"/>
                <w:szCs w:val="24"/>
              </w:rPr>
              <w:t xml:space="preserve">Contemporaneous Correlation </w:t>
            </w:r>
            <w:r w:rsidR="00A13655" w:rsidRPr="00085BE7">
              <w:rPr>
                <w:b w:val="0"/>
                <w:sz w:val="24"/>
                <w:szCs w:val="24"/>
              </w:rPr>
              <w:t>between</w:t>
            </w:r>
            <w:r w:rsidR="00CE5A81">
              <w:rPr>
                <w:b w:val="0"/>
                <w:sz w:val="24"/>
                <w:szCs w:val="24"/>
              </w:rPr>
              <w:t xml:space="preserve"> To</w:t>
            </w:r>
            <w:r w:rsidR="0080197C" w:rsidRPr="00085BE7">
              <w:rPr>
                <w:b w:val="0"/>
                <w:sz w:val="24"/>
                <w:szCs w:val="24"/>
              </w:rPr>
              <w:t>T and Macro Variables</w:t>
            </w:r>
            <w:bookmarkEnd w:id="62"/>
            <w:bookmarkEnd w:id="63"/>
          </w:p>
        </w:tc>
      </w:tr>
      <w:tr w:rsidR="0080197C" w:rsidTr="00A13655">
        <w:trPr>
          <w:trHeight w:hRule="exact" w:val="811"/>
        </w:trPr>
        <w:tc>
          <w:tcPr>
            <w:tcW w:w="1506" w:type="dxa"/>
            <w:tcBorders>
              <w:left w:val="nil"/>
              <w:bottom w:val="single" w:sz="4" w:space="0" w:color="000000" w:themeColor="text1"/>
              <w:right w:val="nil"/>
            </w:tcBorders>
          </w:tcPr>
          <w:p w:rsidR="0080197C" w:rsidRPr="005B7A4C" w:rsidRDefault="0080197C" w:rsidP="0080197C">
            <w:pPr>
              <w:spacing w:line="480" w:lineRule="auto"/>
              <w:rPr>
                <w:b/>
                <w:bCs/>
              </w:rPr>
            </w:pPr>
          </w:p>
        </w:tc>
        <w:tc>
          <w:tcPr>
            <w:tcW w:w="963" w:type="dxa"/>
            <w:tcBorders>
              <w:left w:val="nil"/>
              <w:bottom w:val="single" w:sz="4" w:space="0" w:color="000000" w:themeColor="text1"/>
              <w:right w:val="nil"/>
            </w:tcBorders>
            <w:vAlign w:val="center"/>
          </w:tcPr>
          <w:p w:rsidR="0080197C" w:rsidRPr="004C01D1" w:rsidRDefault="0080197C" w:rsidP="00A13655">
            <w:pPr>
              <w:jc w:val="center"/>
            </w:pPr>
            <w:r w:rsidRPr="004C01D1">
              <w:t>Output</w:t>
            </w:r>
          </w:p>
        </w:tc>
        <w:tc>
          <w:tcPr>
            <w:tcW w:w="1488" w:type="dxa"/>
            <w:tcBorders>
              <w:left w:val="nil"/>
              <w:bottom w:val="single" w:sz="4" w:space="0" w:color="000000" w:themeColor="text1"/>
              <w:right w:val="nil"/>
            </w:tcBorders>
            <w:vAlign w:val="center"/>
          </w:tcPr>
          <w:p w:rsidR="0080197C" w:rsidRPr="004C01D1" w:rsidRDefault="0080197C" w:rsidP="00A13655">
            <w:pPr>
              <w:jc w:val="center"/>
            </w:pPr>
            <w:r w:rsidRPr="004C01D1">
              <w:t>Employment</w:t>
            </w:r>
          </w:p>
        </w:tc>
        <w:tc>
          <w:tcPr>
            <w:tcW w:w="1663" w:type="dxa"/>
            <w:tcBorders>
              <w:left w:val="nil"/>
              <w:bottom w:val="single" w:sz="4" w:space="0" w:color="000000" w:themeColor="text1"/>
              <w:right w:val="nil"/>
            </w:tcBorders>
            <w:vAlign w:val="center"/>
          </w:tcPr>
          <w:p w:rsidR="0080197C" w:rsidRPr="004C01D1" w:rsidRDefault="0080197C" w:rsidP="00A13655">
            <w:pPr>
              <w:jc w:val="center"/>
            </w:pPr>
            <w:r w:rsidRPr="004C01D1">
              <w:t>Total consumption</w:t>
            </w:r>
          </w:p>
        </w:tc>
        <w:tc>
          <w:tcPr>
            <w:tcW w:w="1663" w:type="dxa"/>
            <w:tcBorders>
              <w:left w:val="nil"/>
              <w:bottom w:val="single" w:sz="4" w:space="0" w:color="000000" w:themeColor="text1"/>
              <w:right w:val="nil"/>
            </w:tcBorders>
            <w:vAlign w:val="center"/>
          </w:tcPr>
          <w:p w:rsidR="0080197C" w:rsidRPr="004C01D1" w:rsidRDefault="0080197C" w:rsidP="00A13655">
            <w:pPr>
              <w:jc w:val="center"/>
            </w:pPr>
            <w:r w:rsidRPr="004C01D1">
              <w:t>Investment</w:t>
            </w:r>
          </w:p>
        </w:tc>
        <w:tc>
          <w:tcPr>
            <w:tcW w:w="2031" w:type="dxa"/>
            <w:tcBorders>
              <w:left w:val="nil"/>
              <w:bottom w:val="single" w:sz="4" w:space="0" w:color="000000" w:themeColor="text1"/>
              <w:right w:val="nil"/>
            </w:tcBorders>
            <w:vAlign w:val="center"/>
          </w:tcPr>
          <w:p w:rsidR="0080197C" w:rsidRPr="004C01D1" w:rsidRDefault="0080197C" w:rsidP="00A13655">
            <w:pPr>
              <w:jc w:val="center"/>
            </w:pPr>
            <w:r w:rsidRPr="004C01D1">
              <w:t>Trade balance</w:t>
            </w:r>
          </w:p>
          <w:p w:rsidR="0080197C" w:rsidRPr="004C01D1" w:rsidRDefault="0080197C" w:rsidP="00A13655">
            <w:pPr>
              <w:jc w:val="center"/>
            </w:pPr>
            <w:r w:rsidRPr="004C01D1">
              <w:t>to output ratio</w:t>
            </w:r>
          </w:p>
        </w:tc>
      </w:tr>
      <w:tr w:rsidR="0080197C" w:rsidTr="00F608C8">
        <w:trPr>
          <w:trHeight w:val="568"/>
        </w:trPr>
        <w:tc>
          <w:tcPr>
            <w:tcW w:w="1506" w:type="dxa"/>
            <w:tcBorders>
              <w:left w:val="nil"/>
              <w:bottom w:val="nil"/>
              <w:right w:val="nil"/>
            </w:tcBorders>
          </w:tcPr>
          <w:p w:rsidR="0080197C" w:rsidRPr="00CE5A81" w:rsidRDefault="0080197C" w:rsidP="0080197C">
            <w:pPr>
              <w:spacing w:before="120" w:line="480" w:lineRule="auto"/>
              <w:rPr>
                <w:sz w:val="22"/>
                <w:szCs w:val="22"/>
              </w:rPr>
            </w:pPr>
            <w:r w:rsidRPr="00CE5A81">
              <w:rPr>
                <w:sz w:val="22"/>
                <w:szCs w:val="22"/>
              </w:rPr>
              <w:t xml:space="preserve">Correlation </w:t>
            </w:r>
          </w:p>
        </w:tc>
        <w:tc>
          <w:tcPr>
            <w:tcW w:w="963" w:type="dxa"/>
            <w:tcBorders>
              <w:left w:val="nil"/>
              <w:bottom w:val="nil"/>
              <w:right w:val="nil"/>
            </w:tcBorders>
          </w:tcPr>
          <w:p w:rsidR="0080197C" w:rsidRPr="00CE5A81" w:rsidRDefault="0080197C" w:rsidP="0080197C">
            <w:pPr>
              <w:spacing w:before="120" w:line="480" w:lineRule="auto"/>
              <w:jc w:val="center"/>
              <w:rPr>
                <w:sz w:val="22"/>
                <w:szCs w:val="22"/>
              </w:rPr>
            </w:pPr>
            <w:r w:rsidRPr="00CE5A81">
              <w:rPr>
                <w:sz w:val="22"/>
                <w:szCs w:val="22"/>
              </w:rPr>
              <w:t>-0.27</w:t>
            </w:r>
          </w:p>
        </w:tc>
        <w:tc>
          <w:tcPr>
            <w:tcW w:w="1488" w:type="dxa"/>
            <w:tcBorders>
              <w:left w:val="nil"/>
              <w:bottom w:val="nil"/>
              <w:right w:val="nil"/>
            </w:tcBorders>
          </w:tcPr>
          <w:p w:rsidR="0080197C" w:rsidRPr="00CE5A81" w:rsidRDefault="0080197C" w:rsidP="0080197C">
            <w:pPr>
              <w:spacing w:before="120" w:line="480" w:lineRule="auto"/>
              <w:jc w:val="center"/>
              <w:rPr>
                <w:sz w:val="22"/>
                <w:szCs w:val="22"/>
              </w:rPr>
            </w:pPr>
            <w:r w:rsidRPr="00CE5A81">
              <w:rPr>
                <w:sz w:val="22"/>
                <w:szCs w:val="22"/>
              </w:rPr>
              <w:t>-0.37</w:t>
            </w:r>
          </w:p>
        </w:tc>
        <w:tc>
          <w:tcPr>
            <w:tcW w:w="1663" w:type="dxa"/>
            <w:tcBorders>
              <w:left w:val="nil"/>
              <w:bottom w:val="nil"/>
              <w:right w:val="nil"/>
            </w:tcBorders>
          </w:tcPr>
          <w:p w:rsidR="0080197C" w:rsidRPr="00CE5A81" w:rsidRDefault="0080197C" w:rsidP="0080197C">
            <w:pPr>
              <w:spacing w:before="120" w:line="480" w:lineRule="auto"/>
              <w:jc w:val="center"/>
              <w:rPr>
                <w:sz w:val="22"/>
                <w:szCs w:val="22"/>
              </w:rPr>
            </w:pPr>
            <w:r w:rsidRPr="00CE5A81">
              <w:rPr>
                <w:sz w:val="22"/>
                <w:szCs w:val="22"/>
              </w:rPr>
              <w:t>-0.35</w:t>
            </w:r>
          </w:p>
        </w:tc>
        <w:tc>
          <w:tcPr>
            <w:tcW w:w="1663" w:type="dxa"/>
            <w:tcBorders>
              <w:left w:val="nil"/>
              <w:bottom w:val="nil"/>
              <w:right w:val="nil"/>
            </w:tcBorders>
          </w:tcPr>
          <w:p w:rsidR="0080197C" w:rsidRPr="00CE5A81" w:rsidRDefault="0080197C" w:rsidP="0080197C">
            <w:pPr>
              <w:spacing w:before="120" w:line="480" w:lineRule="auto"/>
              <w:jc w:val="center"/>
              <w:rPr>
                <w:sz w:val="22"/>
                <w:szCs w:val="22"/>
              </w:rPr>
            </w:pPr>
            <w:r w:rsidRPr="00CE5A81">
              <w:rPr>
                <w:sz w:val="22"/>
                <w:szCs w:val="22"/>
              </w:rPr>
              <w:t>-0.44</w:t>
            </w:r>
          </w:p>
        </w:tc>
        <w:tc>
          <w:tcPr>
            <w:tcW w:w="2031" w:type="dxa"/>
            <w:tcBorders>
              <w:left w:val="nil"/>
              <w:bottom w:val="nil"/>
              <w:right w:val="nil"/>
            </w:tcBorders>
          </w:tcPr>
          <w:p w:rsidR="0080197C" w:rsidRPr="00CE5A81" w:rsidRDefault="0080197C" w:rsidP="0080197C">
            <w:pPr>
              <w:spacing w:before="120" w:line="480" w:lineRule="auto"/>
              <w:jc w:val="center"/>
              <w:rPr>
                <w:sz w:val="22"/>
                <w:szCs w:val="22"/>
              </w:rPr>
            </w:pPr>
            <w:r w:rsidRPr="00CE5A81">
              <w:rPr>
                <w:sz w:val="22"/>
                <w:szCs w:val="22"/>
              </w:rPr>
              <w:t>0.41</w:t>
            </w:r>
          </w:p>
        </w:tc>
      </w:tr>
      <w:tr w:rsidR="0080197C" w:rsidTr="00F608C8">
        <w:trPr>
          <w:trHeight w:val="473"/>
        </w:trPr>
        <w:tc>
          <w:tcPr>
            <w:tcW w:w="1506" w:type="dxa"/>
            <w:tcBorders>
              <w:top w:val="nil"/>
              <w:left w:val="nil"/>
              <w:bottom w:val="single" w:sz="4" w:space="0" w:color="000000" w:themeColor="text1"/>
              <w:right w:val="nil"/>
            </w:tcBorders>
          </w:tcPr>
          <w:p w:rsidR="0080197C" w:rsidRPr="00CE5A81" w:rsidRDefault="0080197C" w:rsidP="0080197C">
            <w:pPr>
              <w:rPr>
                <w:sz w:val="22"/>
                <w:szCs w:val="22"/>
              </w:rPr>
            </w:pPr>
            <w:r w:rsidRPr="00CE5A81">
              <w:rPr>
                <w:sz w:val="22"/>
                <w:szCs w:val="22"/>
              </w:rPr>
              <w:t>Standard errors</w:t>
            </w:r>
          </w:p>
        </w:tc>
        <w:tc>
          <w:tcPr>
            <w:tcW w:w="963" w:type="dxa"/>
            <w:tcBorders>
              <w:top w:val="nil"/>
              <w:left w:val="nil"/>
              <w:bottom w:val="single" w:sz="4" w:space="0" w:color="000000" w:themeColor="text1"/>
              <w:right w:val="nil"/>
            </w:tcBorders>
          </w:tcPr>
          <w:p w:rsidR="0080197C" w:rsidRPr="00CE5A81" w:rsidRDefault="0080197C" w:rsidP="0080197C">
            <w:pPr>
              <w:spacing w:line="480" w:lineRule="auto"/>
              <w:jc w:val="center"/>
              <w:rPr>
                <w:sz w:val="22"/>
                <w:szCs w:val="22"/>
              </w:rPr>
            </w:pPr>
            <w:r w:rsidRPr="00CE5A81">
              <w:rPr>
                <w:sz w:val="22"/>
                <w:szCs w:val="22"/>
              </w:rPr>
              <w:t>0.00</w:t>
            </w:r>
          </w:p>
        </w:tc>
        <w:tc>
          <w:tcPr>
            <w:tcW w:w="1488" w:type="dxa"/>
            <w:tcBorders>
              <w:top w:val="nil"/>
              <w:left w:val="nil"/>
              <w:bottom w:val="single" w:sz="4" w:space="0" w:color="000000" w:themeColor="text1"/>
              <w:right w:val="nil"/>
            </w:tcBorders>
          </w:tcPr>
          <w:p w:rsidR="0080197C" w:rsidRPr="00CE5A81" w:rsidRDefault="0080197C" w:rsidP="0080197C">
            <w:pPr>
              <w:spacing w:line="480" w:lineRule="auto"/>
              <w:jc w:val="center"/>
              <w:rPr>
                <w:sz w:val="22"/>
                <w:szCs w:val="22"/>
              </w:rPr>
            </w:pPr>
            <w:r w:rsidRPr="00CE5A81">
              <w:rPr>
                <w:sz w:val="22"/>
                <w:szCs w:val="22"/>
              </w:rPr>
              <w:t>0.00</w:t>
            </w:r>
          </w:p>
        </w:tc>
        <w:tc>
          <w:tcPr>
            <w:tcW w:w="1663" w:type="dxa"/>
            <w:tcBorders>
              <w:top w:val="nil"/>
              <w:left w:val="nil"/>
              <w:bottom w:val="single" w:sz="4" w:space="0" w:color="000000" w:themeColor="text1"/>
              <w:right w:val="nil"/>
            </w:tcBorders>
          </w:tcPr>
          <w:p w:rsidR="0080197C" w:rsidRPr="00CE5A81" w:rsidRDefault="0080197C" w:rsidP="0080197C">
            <w:pPr>
              <w:spacing w:line="480" w:lineRule="auto"/>
              <w:jc w:val="center"/>
              <w:rPr>
                <w:sz w:val="22"/>
                <w:szCs w:val="22"/>
              </w:rPr>
            </w:pPr>
            <w:r w:rsidRPr="00CE5A81">
              <w:rPr>
                <w:sz w:val="22"/>
                <w:szCs w:val="22"/>
              </w:rPr>
              <w:t>0.00</w:t>
            </w:r>
          </w:p>
        </w:tc>
        <w:tc>
          <w:tcPr>
            <w:tcW w:w="1663" w:type="dxa"/>
            <w:tcBorders>
              <w:top w:val="nil"/>
              <w:left w:val="nil"/>
              <w:bottom w:val="single" w:sz="4" w:space="0" w:color="000000" w:themeColor="text1"/>
              <w:right w:val="nil"/>
            </w:tcBorders>
          </w:tcPr>
          <w:p w:rsidR="0080197C" w:rsidRPr="00CE5A81" w:rsidRDefault="0080197C" w:rsidP="0080197C">
            <w:pPr>
              <w:spacing w:line="480" w:lineRule="auto"/>
              <w:jc w:val="center"/>
              <w:rPr>
                <w:sz w:val="22"/>
                <w:szCs w:val="22"/>
              </w:rPr>
            </w:pPr>
            <w:r w:rsidRPr="00CE5A81">
              <w:rPr>
                <w:sz w:val="22"/>
                <w:szCs w:val="22"/>
              </w:rPr>
              <w:t>0.00</w:t>
            </w:r>
          </w:p>
        </w:tc>
        <w:tc>
          <w:tcPr>
            <w:tcW w:w="2031" w:type="dxa"/>
            <w:tcBorders>
              <w:top w:val="nil"/>
              <w:left w:val="nil"/>
              <w:bottom w:val="single" w:sz="4" w:space="0" w:color="000000" w:themeColor="text1"/>
              <w:right w:val="nil"/>
            </w:tcBorders>
          </w:tcPr>
          <w:p w:rsidR="0080197C" w:rsidRPr="00CE5A81" w:rsidRDefault="0080197C" w:rsidP="0080197C">
            <w:pPr>
              <w:spacing w:line="480" w:lineRule="auto"/>
              <w:jc w:val="center"/>
              <w:rPr>
                <w:sz w:val="22"/>
                <w:szCs w:val="22"/>
              </w:rPr>
            </w:pPr>
            <w:r w:rsidRPr="00CE5A81">
              <w:rPr>
                <w:sz w:val="22"/>
                <w:szCs w:val="22"/>
              </w:rPr>
              <w:t>0.00</w:t>
            </w:r>
          </w:p>
        </w:tc>
      </w:tr>
      <w:tr w:rsidR="0080197C" w:rsidTr="00F608C8">
        <w:trPr>
          <w:trHeight w:val="813"/>
        </w:trPr>
        <w:tc>
          <w:tcPr>
            <w:tcW w:w="9314" w:type="dxa"/>
            <w:gridSpan w:val="6"/>
            <w:tcBorders>
              <w:left w:val="nil"/>
              <w:bottom w:val="nil"/>
              <w:right w:val="nil"/>
            </w:tcBorders>
          </w:tcPr>
          <w:p w:rsidR="0080197C" w:rsidRDefault="0080197C" w:rsidP="00EE6912">
            <w:pPr>
              <w:spacing w:before="120"/>
              <w:jc w:val="both"/>
            </w:pPr>
            <w:r w:rsidRPr="00583D0A">
              <w:rPr>
                <w:sz w:val="20"/>
                <w:szCs w:val="20"/>
              </w:rPr>
              <w:t>Note: The sample period covers from 1981:Q1 to 2009:Q4. The data used are in real and per capita terms. They are logged (except for trade-balance-o</w:t>
            </w:r>
            <w:r>
              <w:rPr>
                <w:sz w:val="20"/>
                <w:szCs w:val="20"/>
              </w:rPr>
              <w:t>utput ratio</w:t>
            </w:r>
            <w:r w:rsidRPr="00583D0A">
              <w:rPr>
                <w:sz w:val="20"/>
                <w:szCs w:val="20"/>
              </w:rPr>
              <w:t xml:space="preserve">) and HP filtered with smoothing parameter 1600. </w:t>
            </w:r>
            <w:r w:rsidRPr="00583D0A">
              <w:rPr>
                <w:color w:val="000000"/>
                <w:sz w:val="20"/>
                <w:szCs w:val="20"/>
              </w:rPr>
              <w:t>Standard errors are reported inside the brackets</w:t>
            </w:r>
            <w:r w:rsidRPr="00583D0A">
              <w:rPr>
                <w:sz w:val="20"/>
                <w:szCs w:val="20"/>
              </w:rPr>
              <w:t>.</w:t>
            </w:r>
          </w:p>
        </w:tc>
      </w:tr>
    </w:tbl>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1D0854" w:rsidRDefault="001D0854" w:rsidP="0080197C">
      <w:pPr>
        <w:autoSpaceDE w:val="0"/>
        <w:autoSpaceDN w:val="0"/>
        <w:adjustRightInd w:val="0"/>
      </w:pPr>
    </w:p>
    <w:p w:rsidR="001D0854" w:rsidRDefault="001D0854" w:rsidP="0080197C">
      <w:pPr>
        <w:autoSpaceDE w:val="0"/>
        <w:autoSpaceDN w:val="0"/>
        <w:adjustRightInd w:val="0"/>
      </w:pPr>
    </w:p>
    <w:p w:rsidR="001D0854" w:rsidRDefault="001D0854"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tbl>
      <w:tblPr>
        <w:tblW w:w="49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39"/>
        <w:gridCol w:w="1249"/>
        <w:gridCol w:w="6373"/>
      </w:tblGrid>
      <w:tr w:rsidR="0080197C" w:rsidRPr="006E3102" w:rsidTr="00FE50AD">
        <w:trPr>
          <w:trHeight w:hRule="exact" w:val="540"/>
        </w:trPr>
        <w:tc>
          <w:tcPr>
            <w:tcW w:w="5000" w:type="pct"/>
            <w:gridSpan w:val="3"/>
            <w:tcBorders>
              <w:top w:val="nil"/>
              <w:left w:val="nil"/>
              <w:bottom w:val="single" w:sz="2" w:space="0" w:color="000000"/>
              <w:right w:val="nil"/>
            </w:tcBorders>
          </w:tcPr>
          <w:p w:rsidR="0080197C" w:rsidRPr="00A13655" w:rsidRDefault="00FE50AD" w:rsidP="00085BE7">
            <w:pPr>
              <w:pStyle w:val="Caption"/>
              <w:rPr>
                <w:b w:val="0"/>
                <w:color w:val="000000" w:themeColor="text1"/>
                <w:sz w:val="24"/>
                <w:szCs w:val="24"/>
              </w:rPr>
            </w:pPr>
            <w:bookmarkStart w:id="64" w:name="_Toc284613306"/>
            <w:bookmarkStart w:id="65" w:name="_Toc285392587"/>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6</w:t>
            </w:r>
            <w:r w:rsidR="00AB7C8D" w:rsidRPr="00085BE7">
              <w:rPr>
                <w:b w:val="0"/>
                <w:sz w:val="24"/>
                <w:szCs w:val="24"/>
              </w:rPr>
              <w:fldChar w:fldCharType="end"/>
            </w:r>
            <w:r w:rsidRPr="00085BE7">
              <w:rPr>
                <w:b w:val="0"/>
                <w:sz w:val="24"/>
                <w:szCs w:val="24"/>
              </w:rPr>
              <w:t xml:space="preserve">: </w:t>
            </w:r>
            <w:r w:rsidR="0080197C" w:rsidRPr="00085BE7">
              <w:rPr>
                <w:b w:val="0"/>
                <w:sz w:val="24"/>
                <w:szCs w:val="24"/>
              </w:rPr>
              <w:t>The Parameter Values Used in the Baseline Model</w:t>
            </w:r>
            <w:bookmarkEnd w:id="64"/>
            <w:bookmarkEnd w:id="65"/>
          </w:p>
        </w:tc>
      </w:tr>
      <w:tr w:rsidR="0080197C" w:rsidRPr="006E3102" w:rsidTr="00CE5A81">
        <w:trPr>
          <w:trHeight w:hRule="exact" w:val="545"/>
        </w:trPr>
        <w:tc>
          <w:tcPr>
            <w:tcW w:w="1014" w:type="pct"/>
            <w:tcBorders>
              <w:top w:val="single" w:sz="2" w:space="0" w:color="000000"/>
              <w:left w:val="nil"/>
              <w:bottom w:val="single" w:sz="2" w:space="0" w:color="000000"/>
              <w:right w:val="nil"/>
            </w:tcBorders>
            <w:vAlign w:val="center"/>
          </w:tcPr>
          <w:p w:rsidR="0080197C" w:rsidRPr="00A60F6C" w:rsidRDefault="0080197C" w:rsidP="0080197C">
            <w:pPr>
              <w:pStyle w:val="ListParagraph"/>
              <w:spacing w:after="0" w:line="240" w:lineRule="auto"/>
              <w:ind w:left="0"/>
              <w:rPr>
                <w:rFonts w:ascii="Times New Roman" w:hAnsi="Times New Roman"/>
                <w:sz w:val="24"/>
                <w:szCs w:val="24"/>
              </w:rPr>
            </w:pPr>
            <w:r w:rsidRPr="00A60F6C">
              <w:rPr>
                <w:rFonts w:ascii="Times New Roman" w:hAnsi="Times New Roman"/>
                <w:sz w:val="24"/>
                <w:szCs w:val="24"/>
              </w:rPr>
              <w:t>Parameter</w:t>
            </w:r>
          </w:p>
        </w:tc>
        <w:tc>
          <w:tcPr>
            <w:tcW w:w="653" w:type="pct"/>
            <w:tcBorders>
              <w:top w:val="single" w:sz="2" w:space="0" w:color="000000"/>
              <w:left w:val="nil"/>
              <w:bottom w:val="single" w:sz="2" w:space="0" w:color="000000"/>
              <w:right w:val="nil"/>
            </w:tcBorders>
            <w:vAlign w:val="center"/>
          </w:tcPr>
          <w:p w:rsidR="0080197C" w:rsidRPr="00A60F6C" w:rsidRDefault="0080197C" w:rsidP="0080197C">
            <w:pPr>
              <w:pStyle w:val="ListParagraph"/>
              <w:spacing w:before="120" w:after="0" w:line="240" w:lineRule="auto"/>
              <w:ind w:left="0"/>
              <w:rPr>
                <w:rFonts w:ascii="Times New Roman" w:hAnsi="Times New Roman"/>
                <w:sz w:val="24"/>
                <w:szCs w:val="24"/>
              </w:rPr>
            </w:pPr>
            <w:r w:rsidRPr="00A60F6C">
              <w:rPr>
                <w:rFonts w:ascii="Times New Roman" w:hAnsi="Times New Roman"/>
                <w:sz w:val="24"/>
                <w:szCs w:val="24"/>
              </w:rPr>
              <w:t>value</w:t>
            </w:r>
          </w:p>
        </w:tc>
        <w:tc>
          <w:tcPr>
            <w:tcW w:w="3333" w:type="pct"/>
            <w:tcBorders>
              <w:top w:val="single" w:sz="2" w:space="0" w:color="000000"/>
              <w:left w:val="nil"/>
              <w:bottom w:val="single" w:sz="2" w:space="0" w:color="000000"/>
              <w:right w:val="nil"/>
            </w:tcBorders>
            <w:vAlign w:val="center"/>
          </w:tcPr>
          <w:p w:rsidR="0080197C" w:rsidRPr="00A60F6C" w:rsidRDefault="0080197C" w:rsidP="0080197C">
            <w:pPr>
              <w:pStyle w:val="ListParagraph"/>
              <w:spacing w:before="120" w:after="0" w:line="240" w:lineRule="auto"/>
              <w:ind w:left="0"/>
              <w:rPr>
                <w:rFonts w:ascii="Times New Roman" w:hAnsi="Times New Roman"/>
                <w:sz w:val="24"/>
                <w:szCs w:val="24"/>
              </w:rPr>
            </w:pPr>
            <w:r w:rsidRPr="00A60F6C">
              <w:rPr>
                <w:rFonts w:ascii="Times New Roman" w:hAnsi="Times New Roman"/>
                <w:sz w:val="24"/>
                <w:szCs w:val="24"/>
              </w:rPr>
              <w:t>Description</w:t>
            </w:r>
          </w:p>
        </w:tc>
      </w:tr>
      <w:tr w:rsidR="0080197C" w:rsidRPr="006E3102" w:rsidTr="00CE5A81">
        <w:trPr>
          <w:trHeight w:hRule="exact" w:val="446"/>
        </w:trPr>
        <w:tc>
          <w:tcPr>
            <w:tcW w:w="1014" w:type="pct"/>
            <w:tcBorders>
              <w:top w:val="single" w:sz="2" w:space="0" w:color="000000"/>
              <w:left w:val="nil"/>
              <w:bottom w:val="nil"/>
              <w:right w:val="nil"/>
            </w:tcBorders>
            <w:vAlign w:val="bottom"/>
          </w:tcPr>
          <w:p w:rsidR="0080197C" w:rsidRPr="00CE5A81" w:rsidRDefault="0080197C" w:rsidP="00CE5A81">
            <w:pPr>
              <w:pStyle w:val="ListParagraph"/>
              <w:spacing w:before="120" w:after="120"/>
              <w:ind w:left="0"/>
              <w:rPr>
                <w:rFonts w:asciiTheme="majorBidi" w:hAnsiTheme="majorBidi" w:cstheme="majorBidi"/>
              </w:rPr>
            </w:pPr>
            <w:r w:rsidRPr="00CE5A81">
              <w:rPr>
                <w:rFonts w:asciiTheme="majorBidi" w:hAnsiTheme="majorBidi" w:cstheme="majorBidi"/>
                <w:position w:val="-6"/>
              </w:rPr>
              <w:object w:dxaOrig="220" w:dyaOrig="220">
                <v:shape id="_x0000_i1422" type="#_x0000_t75" style="width:9.2pt;height:9.2pt" o:ole="">
                  <v:imagedata r:id="rId782" o:title=""/>
                </v:shape>
                <o:OLEObject Type="Embed" ProgID="Equation.DSMT4" ShapeID="_x0000_i1422" DrawAspect="Content" ObjectID="_1359267345" r:id="rId783"/>
              </w:object>
            </w:r>
          </w:p>
        </w:tc>
        <w:tc>
          <w:tcPr>
            <w:tcW w:w="653" w:type="pct"/>
            <w:tcBorders>
              <w:top w:val="single" w:sz="2" w:space="0" w:color="000000"/>
              <w:left w:val="nil"/>
              <w:bottom w:val="nil"/>
              <w:right w:val="nil"/>
            </w:tcBorders>
            <w:vAlign w:val="bottom"/>
          </w:tcPr>
          <w:p w:rsidR="0080197C" w:rsidRPr="00CE5A81" w:rsidRDefault="0080197C" w:rsidP="00CE5A81">
            <w:pPr>
              <w:pStyle w:val="ListParagraph"/>
              <w:spacing w:before="120" w:after="0" w:line="240" w:lineRule="auto"/>
              <w:ind w:left="0"/>
              <w:rPr>
                <w:rFonts w:asciiTheme="majorBidi" w:hAnsiTheme="majorBidi" w:cstheme="majorBidi"/>
              </w:rPr>
            </w:pPr>
            <w:r w:rsidRPr="00CE5A81">
              <w:rPr>
                <w:rFonts w:asciiTheme="majorBidi" w:hAnsiTheme="majorBidi" w:cstheme="majorBidi"/>
              </w:rPr>
              <w:t>0.320</w:t>
            </w:r>
          </w:p>
        </w:tc>
        <w:tc>
          <w:tcPr>
            <w:tcW w:w="3333" w:type="pct"/>
            <w:tcBorders>
              <w:top w:val="single" w:sz="2" w:space="0" w:color="000000"/>
              <w:left w:val="nil"/>
              <w:bottom w:val="nil"/>
              <w:right w:val="nil"/>
            </w:tcBorders>
            <w:vAlign w:val="bottom"/>
          </w:tcPr>
          <w:p w:rsidR="0080197C" w:rsidRPr="00CE5A81" w:rsidRDefault="0080197C" w:rsidP="00CE5A81">
            <w:pPr>
              <w:pStyle w:val="ListParagraph"/>
              <w:spacing w:before="120" w:after="0" w:line="240" w:lineRule="auto"/>
              <w:ind w:left="0"/>
              <w:rPr>
                <w:rFonts w:asciiTheme="majorBidi" w:hAnsiTheme="majorBidi" w:cstheme="majorBidi"/>
              </w:rPr>
            </w:pPr>
            <w:r w:rsidRPr="00CE5A81">
              <w:rPr>
                <w:rFonts w:asciiTheme="majorBidi" w:hAnsiTheme="majorBidi" w:cstheme="majorBidi"/>
              </w:rPr>
              <w:t>Capital Share in the Production</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spacing w:before="120"/>
              <w:ind w:left="0"/>
              <w:rPr>
                <w:rFonts w:asciiTheme="majorBidi" w:hAnsiTheme="majorBidi" w:cstheme="majorBidi"/>
              </w:rPr>
            </w:pPr>
            <w:r w:rsidRPr="00CE5A81">
              <w:rPr>
                <w:rFonts w:asciiTheme="majorBidi" w:hAnsiTheme="majorBidi" w:cstheme="majorBidi"/>
                <w:position w:val="-6"/>
              </w:rPr>
              <w:object w:dxaOrig="200" w:dyaOrig="260">
                <v:shape id="_x0000_i1423" type="#_x0000_t75" style="width:9.2pt;height:13.4pt" o:ole="">
                  <v:imagedata r:id="rId784" o:title=""/>
                </v:shape>
                <o:OLEObject Type="Embed" ProgID="Equation.DSMT4" ShapeID="_x0000_i1423" DrawAspect="Content" ObjectID="_1359267346" r:id="rId785"/>
              </w:object>
            </w:r>
          </w:p>
        </w:tc>
        <w:tc>
          <w:tcPr>
            <w:tcW w:w="653" w:type="pct"/>
            <w:tcBorders>
              <w:top w:val="nil"/>
              <w:left w:val="nil"/>
              <w:bottom w:val="nil"/>
              <w:right w:val="nil"/>
            </w:tcBorders>
          </w:tcPr>
          <w:p w:rsidR="0080197C" w:rsidRPr="00CE5A81" w:rsidRDefault="0080197C" w:rsidP="0080197C">
            <w:pPr>
              <w:pStyle w:val="ListParagraph"/>
              <w:spacing w:before="120"/>
              <w:ind w:left="0"/>
              <w:rPr>
                <w:rFonts w:asciiTheme="majorBidi" w:hAnsiTheme="majorBidi" w:cstheme="majorBidi"/>
              </w:rPr>
            </w:pPr>
            <w:r w:rsidRPr="00CE5A81">
              <w:rPr>
                <w:rFonts w:asciiTheme="majorBidi" w:hAnsiTheme="majorBidi" w:cstheme="majorBidi"/>
              </w:rPr>
              <w:t>0.020</w:t>
            </w:r>
          </w:p>
        </w:tc>
        <w:tc>
          <w:tcPr>
            <w:tcW w:w="3333" w:type="pct"/>
            <w:tcBorders>
              <w:top w:val="nil"/>
              <w:left w:val="nil"/>
              <w:bottom w:val="nil"/>
              <w:right w:val="nil"/>
            </w:tcBorders>
          </w:tcPr>
          <w:p w:rsidR="0080197C" w:rsidRPr="00CE5A81" w:rsidRDefault="0080197C" w:rsidP="0080197C">
            <w:pPr>
              <w:pStyle w:val="ListParagraph"/>
              <w:spacing w:before="120"/>
              <w:ind w:left="0"/>
              <w:rPr>
                <w:rFonts w:asciiTheme="majorBidi" w:hAnsiTheme="majorBidi" w:cstheme="majorBidi"/>
              </w:rPr>
            </w:pPr>
            <w:r w:rsidRPr="00CE5A81">
              <w:rPr>
                <w:rFonts w:asciiTheme="majorBidi" w:hAnsiTheme="majorBidi" w:cstheme="majorBidi"/>
              </w:rPr>
              <w:t>Depreciation Rate of Capital Stock</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40" w:dyaOrig="320">
                <v:shape id="_x0000_i1424" type="#_x0000_t75" style="width:13.4pt;height:15.9pt" o:ole="">
                  <v:imagedata r:id="rId786" o:title=""/>
                </v:shape>
                <o:OLEObject Type="Embed" ProgID="Equation.DSMT4" ShapeID="_x0000_i1424" DrawAspect="Content" ObjectID="_1359267347" r:id="rId787"/>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w:t>
            </w:r>
            <w:r w:rsidRPr="00CE5A81" w:rsidDel="00754C46">
              <w:rPr>
                <w:rFonts w:asciiTheme="majorBidi" w:hAnsiTheme="majorBidi" w:cstheme="majorBidi"/>
              </w:rPr>
              <w:t xml:space="preserve"> </w:t>
            </w:r>
            <w:r w:rsidRPr="00CE5A81">
              <w:rPr>
                <w:rFonts w:asciiTheme="majorBidi" w:hAnsiTheme="majorBidi" w:cstheme="majorBidi"/>
              </w:rPr>
              <w:t>300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Depreciation rate  of Domestic goods</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4"/>
              </w:rPr>
              <w:object w:dxaOrig="260" w:dyaOrig="360">
                <v:shape id="_x0000_i1425" type="#_x0000_t75" style="width:13.4pt;height:17.6pt" o:ole="">
                  <v:imagedata r:id="rId788" o:title=""/>
                </v:shape>
                <o:OLEObject Type="Embed" ProgID="Equation.DSMT4" ShapeID="_x0000_i1425" DrawAspect="Content" ObjectID="_1359267348" r:id="rId789"/>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0.300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Depreciation rate  of Foreign goods</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6"/>
              </w:rPr>
              <w:object w:dxaOrig="180" w:dyaOrig="200">
                <v:shape id="_x0000_i1426" type="#_x0000_t75" style="width:9.2pt;height:9.2pt" o:ole="">
                  <v:imagedata r:id="rId790" o:title=""/>
                </v:shape>
                <o:OLEObject Type="Embed" ProgID="Equation.DSMT4" ShapeID="_x0000_i1426" DrawAspect="Content" ObjectID="_1359267349" r:id="rId791"/>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0.817</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Capital Utilization Rate</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20" w:dyaOrig="240">
                <v:shape id="_x0000_i1427" type="#_x0000_t75" style="width:9.2pt;height:13.4pt" o:ole="">
                  <v:imagedata r:id="rId792" o:title=""/>
                </v:shape>
                <o:OLEObject Type="Embed" ProgID="Equation.DSMT4" ShapeID="_x0000_i1427" DrawAspect="Content" ObjectID="_1359267350" r:id="rId793"/>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1.400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Capita Utilization Elasticity</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6"/>
              </w:rPr>
              <w:object w:dxaOrig="220" w:dyaOrig="200">
                <v:shape id="_x0000_i1428" type="#_x0000_t75" style="width:9.2pt;height:9.2pt" o:ole="">
                  <v:imagedata r:id="rId794" o:title=""/>
                </v:shape>
                <o:OLEObject Type="Embed" ProgID="Equation.DSMT4" ShapeID="_x0000_i1428" DrawAspect="Content" ObjectID="_1359267351" r:id="rId795"/>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0.200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Curvature Parameter</w:t>
            </w:r>
          </w:p>
        </w:tc>
      </w:tr>
      <w:tr w:rsidR="0080197C" w:rsidRPr="006E3102" w:rsidTr="000D5184">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40" w:dyaOrig="300">
                <v:shape id="_x0000_i1429" type="#_x0000_t75" style="width:13.4pt;height:15.9pt" o:ole="">
                  <v:imagedata r:id="rId796" o:title=""/>
                </v:shape>
                <o:OLEObject Type="Embed" ProgID="Equation.DSMT4" ShapeID="_x0000_i1429" DrawAspect="Content" ObjectID="_1359267352" r:id="rId797"/>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6"/>
              </w:rPr>
              <w:object w:dxaOrig="800" w:dyaOrig="300">
                <v:shape id="_x0000_i1430" type="#_x0000_t75" style="width:41pt;height:15.9pt" o:ole="">
                  <v:imagedata r:id="rId798" o:title=""/>
                </v:shape>
                <o:OLEObject Type="Embed" ProgID="Equation.DSMT4" ShapeID="_x0000_i1430" DrawAspect="Content" ObjectID="_1359267353" r:id="rId799"/>
              </w:objec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Subjective Discount Factor</w:t>
            </w:r>
          </w:p>
        </w:tc>
      </w:tr>
      <w:tr w:rsidR="0080197C" w:rsidRPr="006E3102" w:rsidTr="000D5184">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4"/>
              </w:rPr>
              <w:object w:dxaOrig="320" w:dyaOrig="279">
                <v:shape id="_x0000_i1431" type="#_x0000_t75" style="width:15.9pt;height:14.25pt" o:ole="">
                  <v:imagedata r:id="rId800" o:title=""/>
                </v:shape>
                <o:OLEObject Type="Embed" ProgID="Equation.DSMT4" ShapeID="_x0000_i1431" DrawAspect="Content" ObjectID="_1359267354" r:id="rId801"/>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6"/>
              </w:rPr>
              <w:object w:dxaOrig="720" w:dyaOrig="300">
                <v:shape id="_x0000_i1432" type="#_x0000_t75" style="width:37.65pt;height:15.9pt" o:ole="">
                  <v:imagedata r:id="rId802" o:title=""/>
                </v:shape>
                <o:OLEObject Type="Embed" ProgID="Equation.DSMT4" ShapeID="_x0000_i1432" DrawAspect="Content" ObjectID="_1359267355" r:id="rId803"/>
              </w:objec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Gross World Interest Rate </w:t>
            </w:r>
          </w:p>
        </w:tc>
      </w:tr>
      <w:tr w:rsidR="0080197C" w:rsidRPr="006E3102" w:rsidTr="000D5184">
        <w:trPr>
          <w:trHeight w:hRule="exact" w:val="361"/>
        </w:trPr>
        <w:tc>
          <w:tcPr>
            <w:tcW w:w="1014"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rPr>
            </w:pPr>
            <w:r w:rsidRPr="00CE5A81">
              <w:rPr>
                <w:rFonts w:asciiTheme="majorBidi" w:hAnsiTheme="majorBidi" w:cstheme="majorBidi"/>
                <w:position w:val="-10"/>
              </w:rPr>
              <w:object w:dxaOrig="220" w:dyaOrig="260">
                <v:shape id="_x0000_i1433" type="#_x0000_t75" style="width:9.2pt;height:13.4pt" o:ole="">
                  <v:imagedata r:id="rId804" o:title=""/>
                </v:shape>
                <o:OLEObject Type="Embed" ProgID="Equation.DSMT4" ShapeID="_x0000_i1433" DrawAspect="Content" ObjectID="_1359267356" r:id="rId805"/>
              </w:object>
            </w:r>
          </w:p>
        </w:tc>
        <w:tc>
          <w:tcPr>
            <w:tcW w:w="65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rPr>
            </w:pPr>
            <w:r w:rsidRPr="00CE5A81">
              <w:rPr>
                <w:rFonts w:asciiTheme="majorBidi" w:hAnsiTheme="majorBidi" w:cstheme="majorBidi"/>
              </w:rPr>
              <w:t>2.000</w:t>
            </w:r>
          </w:p>
        </w:tc>
        <w:tc>
          <w:tcPr>
            <w:tcW w:w="333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rPr>
            </w:pPr>
            <w:r w:rsidRPr="00CE5A81">
              <w:rPr>
                <w:rFonts w:asciiTheme="majorBidi" w:hAnsiTheme="majorBidi" w:cstheme="majorBidi"/>
              </w:rPr>
              <w:t>Elasticity of Substitution Between Home and Foreign Goods</w:t>
            </w:r>
          </w:p>
        </w:tc>
      </w:tr>
      <w:tr w:rsidR="0080197C" w:rsidRPr="006E3102" w:rsidTr="000D5184">
        <w:trPr>
          <w:trHeight w:hRule="exact" w:val="361"/>
        </w:trPr>
        <w:tc>
          <w:tcPr>
            <w:tcW w:w="1014"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object w:dxaOrig="200" w:dyaOrig="260">
                <v:shape id="_x0000_i1434" type="#_x0000_t75" style="width:9.2pt;height:13.4pt" o:ole="">
                  <v:imagedata r:id="rId806" o:title=""/>
                </v:shape>
                <o:OLEObject Type="Embed" ProgID="Equation.DSMT4" ShapeID="_x0000_i1434" DrawAspect="Content" ObjectID="_1359267357" r:id="rId807"/>
              </w:object>
            </w:r>
          </w:p>
        </w:tc>
        <w:tc>
          <w:tcPr>
            <w:tcW w:w="65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t>0.4</w:t>
            </w:r>
            <w:r w:rsidR="00826857" w:rsidRPr="00CE5A81">
              <w:rPr>
                <w:rFonts w:asciiTheme="majorBidi" w:hAnsiTheme="majorBidi" w:cstheme="majorBidi"/>
                <w:position w:val="-4"/>
              </w:rPr>
              <w:t>9</w:t>
            </w:r>
            <w:r w:rsidRPr="00CE5A81">
              <w:rPr>
                <w:rFonts w:asciiTheme="majorBidi" w:hAnsiTheme="majorBidi" w:cstheme="majorBidi"/>
                <w:position w:val="-4"/>
              </w:rPr>
              <w:t>5</w:t>
            </w:r>
          </w:p>
        </w:tc>
        <w:tc>
          <w:tcPr>
            <w:tcW w:w="333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t>Share of Domestic good  in the Consumption Index  consumption index</w:t>
            </w:r>
          </w:p>
        </w:tc>
      </w:tr>
      <w:tr w:rsidR="0080197C" w:rsidRPr="006E3102" w:rsidTr="000D5184">
        <w:trPr>
          <w:trHeight w:hRule="exact" w:val="361"/>
        </w:trPr>
        <w:tc>
          <w:tcPr>
            <w:tcW w:w="1014"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object w:dxaOrig="220" w:dyaOrig="220">
                <v:shape id="_x0000_i1435" type="#_x0000_t75" style="width:9.2pt;height:9.2pt" o:ole="">
                  <v:imagedata r:id="rId808" o:title=""/>
                </v:shape>
                <o:OLEObject Type="Embed" ProgID="Equation.DSMT4" ShapeID="_x0000_i1435" DrawAspect="Content" ObjectID="_1359267358" r:id="rId809"/>
              </w:object>
            </w:r>
          </w:p>
        </w:tc>
        <w:tc>
          <w:tcPr>
            <w:tcW w:w="65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t>1.400</w:t>
            </w:r>
          </w:p>
        </w:tc>
        <w:tc>
          <w:tcPr>
            <w:tcW w:w="333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t xml:space="preserve">Labor Supply Elasticity Parameter </w:t>
            </w:r>
          </w:p>
        </w:tc>
      </w:tr>
      <w:tr w:rsidR="0080197C" w:rsidRPr="006E3102" w:rsidTr="000D5184">
        <w:trPr>
          <w:trHeight w:hRule="exact" w:val="361"/>
        </w:trPr>
        <w:tc>
          <w:tcPr>
            <w:tcW w:w="1014"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object w:dxaOrig="200" w:dyaOrig="300">
                <v:shape id="_x0000_i1436" type="#_x0000_t75" style="width:9.2pt;height:15.9pt" o:ole="">
                  <v:imagedata r:id="rId810" o:title=""/>
                </v:shape>
                <o:OLEObject Type="Embed" ProgID="Equation.DSMT4" ShapeID="_x0000_i1436" DrawAspect="Content" ObjectID="_1359267359" r:id="rId811"/>
              </w:object>
            </w:r>
          </w:p>
        </w:tc>
        <w:tc>
          <w:tcPr>
            <w:tcW w:w="653" w:type="pct"/>
            <w:tcBorders>
              <w:top w:val="nil"/>
              <w:left w:val="nil"/>
              <w:bottom w:val="nil"/>
              <w:right w:val="nil"/>
            </w:tcBorders>
            <w:vAlign w:val="center"/>
          </w:tcPr>
          <w:p w:rsidR="0080197C" w:rsidRPr="00CE5A81" w:rsidRDefault="0080197C" w:rsidP="000D5184">
            <w:pPr>
              <w:rPr>
                <w:rFonts w:asciiTheme="majorBidi" w:eastAsia="SimSun" w:hAnsiTheme="majorBidi" w:cstheme="majorBidi"/>
                <w:position w:val="-4"/>
                <w:lang w:eastAsia="zh-CN"/>
              </w:rPr>
            </w:pPr>
            <w:r w:rsidRPr="00CE5A81">
              <w:rPr>
                <w:rFonts w:asciiTheme="majorBidi" w:eastAsia="SimSun" w:hAnsiTheme="majorBidi" w:cstheme="majorBidi"/>
                <w:position w:val="-4"/>
                <w:sz w:val="22"/>
                <w:szCs w:val="22"/>
                <w:lang w:eastAsia="zh-CN"/>
              </w:rPr>
              <w:t>6.745</w:t>
            </w:r>
          </w:p>
        </w:tc>
        <w:tc>
          <w:tcPr>
            <w:tcW w:w="3333" w:type="pct"/>
            <w:tcBorders>
              <w:top w:val="nil"/>
              <w:left w:val="nil"/>
              <w:bottom w:val="nil"/>
              <w:right w:val="nil"/>
            </w:tcBorders>
            <w:vAlign w:val="center"/>
          </w:tcPr>
          <w:p w:rsidR="0080197C" w:rsidRPr="00CE5A81" w:rsidRDefault="0080197C" w:rsidP="000D5184">
            <w:pPr>
              <w:rPr>
                <w:rFonts w:asciiTheme="majorBidi" w:eastAsia="SimSun" w:hAnsiTheme="majorBidi" w:cstheme="majorBidi"/>
                <w:position w:val="-4"/>
                <w:lang w:eastAsia="zh-CN"/>
              </w:rPr>
            </w:pPr>
            <w:r w:rsidRPr="00CE5A81">
              <w:rPr>
                <w:rFonts w:asciiTheme="majorBidi" w:eastAsia="SimSun" w:hAnsiTheme="majorBidi" w:cstheme="majorBidi"/>
                <w:position w:val="-4"/>
                <w:sz w:val="22"/>
                <w:szCs w:val="22"/>
                <w:lang w:eastAsia="zh-CN"/>
              </w:rPr>
              <w:t xml:space="preserve">Labor parameter </w:t>
            </w:r>
          </w:p>
        </w:tc>
      </w:tr>
      <w:tr w:rsidR="0080197C" w:rsidRPr="006E3102" w:rsidTr="000D5184">
        <w:trPr>
          <w:trHeight w:hRule="exact" w:val="361"/>
        </w:trPr>
        <w:tc>
          <w:tcPr>
            <w:tcW w:w="1014"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object w:dxaOrig="260" w:dyaOrig="320">
                <v:shape id="_x0000_i1437" type="#_x0000_t75" style="width:13.4pt;height:15.9pt" o:ole="">
                  <v:imagedata r:id="rId812" o:title=""/>
                </v:shape>
                <o:OLEObject Type="Embed" ProgID="Equation.DSMT4" ShapeID="_x0000_i1437" DrawAspect="Content" ObjectID="_1359267360" r:id="rId813"/>
              </w:object>
            </w:r>
          </w:p>
        </w:tc>
        <w:tc>
          <w:tcPr>
            <w:tcW w:w="65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t>0.700</w:t>
            </w:r>
          </w:p>
        </w:tc>
        <w:tc>
          <w:tcPr>
            <w:tcW w:w="3333" w:type="pct"/>
            <w:tcBorders>
              <w:top w:val="nil"/>
              <w:left w:val="nil"/>
              <w:bottom w:val="nil"/>
              <w:right w:val="nil"/>
            </w:tcBorders>
            <w:vAlign w:val="center"/>
          </w:tcPr>
          <w:p w:rsidR="0080197C" w:rsidRPr="00CE5A81" w:rsidRDefault="0080197C" w:rsidP="000D5184">
            <w:pPr>
              <w:pStyle w:val="ListParagraph"/>
              <w:ind w:left="0"/>
              <w:rPr>
                <w:rFonts w:asciiTheme="majorBidi" w:hAnsiTheme="majorBidi" w:cstheme="majorBidi"/>
                <w:position w:val="-4"/>
              </w:rPr>
            </w:pPr>
            <w:r w:rsidRPr="00CE5A81">
              <w:rPr>
                <w:rFonts w:asciiTheme="majorBidi" w:hAnsiTheme="majorBidi" w:cstheme="majorBidi"/>
                <w:position w:val="-4"/>
              </w:rPr>
              <w:t xml:space="preserve">Habit Intensity in  Domestic Consumption </w:t>
            </w:r>
          </w:p>
        </w:tc>
      </w:tr>
      <w:tr w:rsidR="0080197C" w:rsidRPr="006E3102" w:rsidTr="000D5184">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position w:val="-10"/>
              </w:rPr>
            </w:pPr>
            <w:r w:rsidRPr="00CE5A81">
              <w:rPr>
                <w:rFonts w:asciiTheme="majorBidi" w:hAnsiTheme="majorBidi" w:cstheme="majorBidi"/>
                <w:position w:val="-14"/>
              </w:rPr>
              <w:object w:dxaOrig="300" w:dyaOrig="360">
                <v:shape id="_x0000_i1438" type="#_x0000_t75" style="width:15.9pt;height:16.75pt" o:ole="">
                  <v:imagedata r:id="rId814" o:title=""/>
                </v:shape>
                <o:OLEObject Type="Embed" ProgID="Equation.DSMT4" ShapeID="_x0000_i1438" DrawAspect="Content" ObjectID="_1359267361" r:id="rId815"/>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0.700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Habit Intensity in  Domestic Consumption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6"/>
              </w:rPr>
              <w:object w:dxaOrig="200" w:dyaOrig="220">
                <v:shape id="_x0000_i1439" type="#_x0000_t75" style="width:9.2pt;height:9.2pt" o:ole="">
                  <v:imagedata r:id="rId816" o:title=""/>
                </v:shape>
                <o:OLEObject Type="Embed" ProgID="Equation.DSMT4" ShapeID="_x0000_i1439" DrawAspect="Content" ObjectID="_1359267362" r:id="rId817"/>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0.800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Habit Intensity/Persistence in Labor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40" w:dyaOrig="320">
                <v:shape id="_x0000_i1440" type="#_x0000_t75" style="width:13.4pt;height:15.9pt" o:ole="">
                  <v:imagedata r:id="rId818" o:title=""/>
                </v:shape>
                <o:OLEObject Type="Embed" ProgID="Equation.DSMT4" ShapeID="_x0000_i1440" DrawAspect="Content" ObjectID="_1359267363" r:id="rId819"/>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42.00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Capital Adjustment Cost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40" w:dyaOrig="320">
                <v:shape id="_x0000_i1441" type="#_x0000_t75" style="width:13.4pt;height:15.9pt" o:ole="">
                  <v:imagedata r:id="rId820" o:title=""/>
                </v:shape>
                <o:OLEObject Type="Embed" ProgID="Equation.DSMT4" ShapeID="_x0000_i1441" DrawAspect="Content" ObjectID="_1359267364" r:id="rId821"/>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2.000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Domestic Durable Stock  Adjustment Cost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position w:val="-10"/>
              </w:rPr>
            </w:pPr>
            <w:r w:rsidRPr="00CE5A81">
              <w:rPr>
                <w:rFonts w:asciiTheme="majorBidi" w:hAnsiTheme="majorBidi" w:cstheme="majorBidi"/>
                <w:position w:val="-14"/>
              </w:rPr>
              <w:object w:dxaOrig="260" w:dyaOrig="360">
                <v:shape id="_x0000_i1442" type="#_x0000_t75" style="width:13.4pt;height:16.75pt" o:ole="">
                  <v:imagedata r:id="rId822" o:title=""/>
                </v:shape>
                <o:OLEObject Type="Embed" ProgID="Equation.DSMT4" ShapeID="_x0000_i1442" DrawAspect="Content" ObjectID="_1359267365" r:id="rId823"/>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2.000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Imported Durable Stock  Adjustment Cost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40" w:dyaOrig="320">
                <v:shape id="_x0000_i1443" type="#_x0000_t75" style="width:13.4pt;height:15.9pt" o:ole="">
                  <v:imagedata r:id="rId824" o:title=""/>
                </v:shape>
                <o:OLEObject Type="Embed" ProgID="Equation.DSMT4" ShapeID="_x0000_i1443" DrawAspect="Content" ObjectID="_1359267366" r:id="rId825"/>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0.030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Portfolio Adjustment Parameter</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79" w:dyaOrig="300">
                <v:shape id="_x0000_i1444" type="#_x0000_t75" style="width:14.25pt;height:15.9pt" o:ole="">
                  <v:imagedata r:id="rId826" o:title=""/>
                </v:shape>
                <o:OLEObject Type="Embed" ProgID="Equation.DSMT4" ShapeID="_x0000_i1444" DrawAspect="Content" ObjectID="_1359267367" r:id="rId827"/>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0.350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Debt Output Ratio</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4"/>
              </w:rPr>
              <w:object w:dxaOrig="660" w:dyaOrig="360">
                <v:shape id="_x0000_i1445" type="#_x0000_t75" style="width:31pt;height:17.6pt" o:ole="">
                  <v:imagedata r:id="rId828" o:title=""/>
                </v:shape>
                <o:OLEObject Type="Embed" ProgID="Equation.DSMT4" ShapeID="_x0000_i1445" DrawAspect="Content" ObjectID="_1359267368" r:id="rId829"/>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1.000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Spending on Home Relative to Foreign Goods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40" w:dyaOrig="260">
                <v:shape id="_x0000_i1446" type="#_x0000_t75" style="width:13.4pt;height:13.4pt" o:ole="">
                  <v:imagedata r:id="rId830" o:title=""/>
                </v:shape>
                <o:OLEObject Type="Embed" ProgID="Equation.DSMT4" ShapeID="_x0000_i1446" DrawAspect="Content" ObjectID="_1359267369" r:id="rId831"/>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0.045</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Interest Rate Elasticity to Tot</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00" w:dyaOrig="260">
                <v:shape id="_x0000_i1447" type="#_x0000_t75" style="width:9.2pt;height:13.4pt" o:ole="">
                  <v:imagedata r:id="rId832" o:title=""/>
                </v:shape>
                <o:OLEObject Type="Embed" ProgID="Equation.DSMT4" ShapeID="_x0000_i1447" DrawAspect="Content" ObjectID="_1359267370" r:id="rId833"/>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0.020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Interest Rate Elasticity to Domestic Income</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79" w:dyaOrig="320">
                <v:shape id="_x0000_i1448" type="#_x0000_t75" style="width:14.25pt;height:15.9pt" o:ole="">
                  <v:imagedata r:id="rId834" o:title=""/>
                </v:shape>
                <o:OLEObject Type="Embed" ProgID="Equation.DSMT4" ShapeID="_x0000_i1448" DrawAspect="Content" ObjectID="_1359267371" r:id="rId835"/>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0.930</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AR(1) Coefficient of Technology Shock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0"/>
              </w:rPr>
              <w:object w:dxaOrig="279" w:dyaOrig="320">
                <v:shape id="_x0000_i1449" type="#_x0000_t75" style="width:14.25pt;height:15.9pt" o:ole="">
                  <v:imagedata r:id="rId836" o:title=""/>
                </v:shape>
                <o:OLEObject Type="Embed" ProgID="Equation.DSMT4" ShapeID="_x0000_i1449" DrawAspect="Content" ObjectID="_1359267372" r:id="rId837"/>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0.005</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Standard Deviation of Technology Shock </w:t>
            </w:r>
          </w:p>
        </w:tc>
      </w:tr>
      <w:tr w:rsidR="0080197C" w:rsidRPr="006E3102" w:rsidTr="0080197C">
        <w:trPr>
          <w:trHeight w:hRule="exact" w:val="361"/>
        </w:trPr>
        <w:tc>
          <w:tcPr>
            <w:tcW w:w="1014"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4"/>
              </w:rPr>
              <w:object w:dxaOrig="300" w:dyaOrig="360">
                <v:shape id="_x0000_i1450" type="#_x0000_t75" style="width:15.9pt;height:17.6pt" o:ole="">
                  <v:imagedata r:id="rId838" o:title=""/>
                </v:shape>
                <o:OLEObject Type="Embed" ProgID="Equation.DSMT4" ShapeID="_x0000_i1450" DrawAspect="Content" ObjectID="_1359267373" r:id="rId839"/>
              </w:object>
            </w:r>
          </w:p>
        </w:tc>
        <w:tc>
          <w:tcPr>
            <w:tcW w:w="65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0.531</w:t>
            </w:r>
          </w:p>
        </w:tc>
        <w:tc>
          <w:tcPr>
            <w:tcW w:w="3333" w:type="pct"/>
            <w:tcBorders>
              <w:top w:val="nil"/>
              <w:left w:val="nil"/>
              <w:bottom w:val="nil"/>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AR(1) Coefficient of Tot Shock </w:t>
            </w:r>
          </w:p>
        </w:tc>
      </w:tr>
      <w:tr w:rsidR="0080197C" w:rsidRPr="006E3102" w:rsidTr="0080197C">
        <w:trPr>
          <w:trHeight w:hRule="exact" w:val="361"/>
        </w:trPr>
        <w:tc>
          <w:tcPr>
            <w:tcW w:w="1014" w:type="pct"/>
            <w:tcBorders>
              <w:top w:val="nil"/>
              <w:left w:val="nil"/>
              <w:bottom w:val="single" w:sz="2" w:space="0" w:color="000000"/>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position w:val="-14"/>
              </w:rPr>
              <w:object w:dxaOrig="300" w:dyaOrig="360">
                <v:shape id="_x0000_i1451" type="#_x0000_t75" style="width:15.9pt;height:17.6pt" o:ole="">
                  <v:imagedata r:id="rId840" o:title=""/>
                </v:shape>
                <o:OLEObject Type="Embed" ProgID="Equation.DSMT4" ShapeID="_x0000_i1451" DrawAspect="Content" ObjectID="_1359267374" r:id="rId841"/>
              </w:object>
            </w:r>
          </w:p>
        </w:tc>
        <w:tc>
          <w:tcPr>
            <w:tcW w:w="653" w:type="pct"/>
            <w:tcBorders>
              <w:top w:val="nil"/>
              <w:left w:val="nil"/>
              <w:bottom w:val="single" w:sz="2" w:space="0" w:color="000000"/>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0.01677</w:t>
            </w:r>
          </w:p>
        </w:tc>
        <w:tc>
          <w:tcPr>
            <w:tcW w:w="3333" w:type="pct"/>
            <w:tcBorders>
              <w:top w:val="nil"/>
              <w:left w:val="nil"/>
              <w:bottom w:val="single" w:sz="2" w:space="0" w:color="000000"/>
              <w:right w:val="nil"/>
            </w:tcBorders>
          </w:tcPr>
          <w:p w:rsidR="0080197C" w:rsidRPr="00CE5A81" w:rsidRDefault="0080197C" w:rsidP="0080197C">
            <w:pPr>
              <w:pStyle w:val="ListParagraph"/>
              <w:ind w:left="0"/>
              <w:rPr>
                <w:rFonts w:asciiTheme="majorBidi" w:hAnsiTheme="majorBidi" w:cstheme="majorBidi"/>
              </w:rPr>
            </w:pPr>
            <w:r w:rsidRPr="00CE5A81">
              <w:rPr>
                <w:rFonts w:asciiTheme="majorBidi" w:hAnsiTheme="majorBidi" w:cstheme="majorBidi"/>
              </w:rPr>
              <w:t xml:space="preserve">Standard Deviation of Tot Shock </w:t>
            </w:r>
          </w:p>
        </w:tc>
      </w:tr>
    </w:tbl>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tbl>
      <w:tblPr>
        <w:tblW w:w="5000" w:type="pct"/>
        <w:tblBorders>
          <w:top w:val="single" w:sz="2" w:space="0" w:color="auto"/>
          <w:bottom w:val="single" w:sz="2" w:space="0" w:color="auto"/>
          <w:insideV w:val="single" w:sz="2" w:space="0" w:color="auto"/>
        </w:tblBorders>
        <w:tblCellMar>
          <w:left w:w="0" w:type="dxa"/>
          <w:right w:w="0" w:type="dxa"/>
        </w:tblCellMar>
        <w:tblLook w:val="04A0"/>
      </w:tblPr>
      <w:tblGrid>
        <w:gridCol w:w="3331"/>
        <w:gridCol w:w="2877"/>
        <w:gridCol w:w="3152"/>
      </w:tblGrid>
      <w:tr w:rsidR="0080197C" w:rsidRPr="00636E88" w:rsidTr="0080197C">
        <w:trPr>
          <w:trHeight w:hRule="exact" w:val="576"/>
        </w:trPr>
        <w:tc>
          <w:tcPr>
            <w:tcW w:w="5000" w:type="pct"/>
            <w:gridSpan w:val="3"/>
            <w:tcBorders>
              <w:top w:val="nil"/>
              <w:bottom w:val="single" w:sz="2" w:space="0" w:color="auto"/>
            </w:tcBorders>
            <w:shd w:val="clear" w:color="auto" w:fill="auto"/>
            <w:noWrap/>
            <w:hideMark/>
          </w:tcPr>
          <w:p w:rsidR="0080197C" w:rsidRPr="00A13655" w:rsidRDefault="00FE50AD" w:rsidP="00085BE7">
            <w:pPr>
              <w:pStyle w:val="Caption"/>
              <w:rPr>
                <w:b w:val="0"/>
                <w:color w:val="000000"/>
                <w:sz w:val="24"/>
                <w:szCs w:val="24"/>
              </w:rPr>
            </w:pPr>
            <w:bookmarkStart w:id="66" w:name="_Toc284613307"/>
            <w:bookmarkStart w:id="67" w:name="_Toc285392588"/>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7</w:t>
            </w:r>
            <w:r w:rsidR="00AB7C8D" w:rsidRPr="00085BE7">
              <w:rPr>
                <w:b w:val="0"/>
                <w:sz w:val="24"/>
                <w:szCs w:val="24"/>
              </w:rPr>
              <w:fldChar w:fldCharType="end"/>
            </w:r>
            <w:r w:rsidRPr="00085BE7">
              <w:rPr>
                <w:b w:val="0"/>
                <w:sz w:val="24"/>
                <w:szCs w:val="24"/>
              </w:rPr>
              <w:t xml:space="preserve">: </w:t>
            </w:r>
            <w:r w:rsidR="0080197C" w:rsidRPr="00085BE7">
              <w:rPr>
                <w:b w:val="0"/>
                <w:sz w:val="24"/>
                <w:szCs w:val="24"/>
              </w:rPr>
              <w:t xml:space="preserve">Canadian Economy </w:t>
            </w:r>
            <w:r w:rsidR="009040DC" w:rsidRPr="00085BE7">
              <w:rPr>
                <w:b w:val="0"/>
                <w:sz w:val="24"/>
                <w:szCs w:val="24"/>
              </w:rPr>
              <w:t>versus</w:t>
            </w:r>
            <w:r w:rsidR="0080197C" w:rsidRPr="00085BE7">
              <w:rPr>
                <w:b w:val="0"/>
                <w:sz w:val="24"/>
                <w:szCs w:val="24"/>
              </w:rPr>
              <w:t xml:space="preserve"> the Model Economy</w:t>
            </w:r>
            <w:bookmarkEnd w:id="66"/>
            <w:bookmarkEnd w:id="67"/>
          </w:p>
        </w:tc>
      </w:tr>
      <w:tr w:rsidR="0080197C" w:rsidRPr="00636E88" w:rsidTr="0080197C">
        <w:trPr>
          <w:trHeight w:hRule="exact" w:val="576"/>
        </w:trPr>
        <w:tc>
          <w:tcPr>
            <w:tcW w:w="1779" w:type="pct"/>
            <w:tcBorders>
              <w:top w:val="single" w:sz="2" w:space="0" w:color="auto"/>
              <w:bottom w:val="single" w:sz="2" w:space="0" w:color="auto"/>
              <w:right w:val="nil"/>
            </w:tcBorders>
            <w:shd w:val="clear" w:color="auto" w:fill="auto"/>
            <w:noWrap/>
            <w:vAlign w:val="bottom"/>
            <w:hideMark/>
          </w:tcPr>
          <w:p w:rsidR="0080197C" w:rsidRPr="00636E88" w:rsidRDefault="0080197C" w:rsidP="0080197C">
            <w:pPr>
              <w:ind w:right="-166"/>
              <w:rPr>
                <w:color w:val="000000"/>
              </w:rPr>
            </w:pPr>
          </w:p>
        </w:tc>
        <w:tc>
          <w:tcPr>
            <w:tcW w:w="1537" w:type="pct"/>
            <w:tcBorders>
              <w:top w:val="single" w:sz="2" w:space="0" w:color="auto"/>
              <w:left w:val="nil"/>
              <w:bottom w:val="single" w:sz="2" w:space="0" w:color="auto"/>
              <w:right w:val="nil"/>
            </w:tcBorders>
            <w:shd w:val="clear" w:color="auto" w:fill="auto"/>
            <w:vAlign w:val="center"/>
            <w:hideMark/>
          </w:tcPr>
          <w:p w:rsidR="0080197C" w:rsidRPr="00636E88" w:rsidRDefault="0080197C" w:rsidP="0080197C">
            <w:pPr>
              <w:ind w:left="-55" w:right="-173" w:firstLine="55"/>
              <w:jc w:val="center"/>
              <w:rPr>
                <w:color w:val="000000"/>
              </w:rPr>
            </w:pPr>
            <w:r>
              <w:rPr>
                <w:color w:val="000000"/>
              </w:rPr>
              <w:t>Canadian E</w:t>
            </w:r>
            <w:r w:rsidRPr="00636E88">
              <w:rPr>
                <w:color w:val="000000"/>
              </w:rPr>
              <w:t>conomy</w:t>
            </w:r>
          </w:p>
        </w:tc>
        <w:tc>
          <w:tcPr>
            <w:tcW w:w="1684" w:type="pct"/>
            <w:tcBorders>
              <w:top w:val="single" w:sz="2" w:space="0" w:color="auto"/>
              <w:left w:val="nil"/>
              <w:bottom w:val="single" w:sz="2" w:space="0" w:color="auto"/>
            </w:tcBorders>
            <w:shd w:val="clear" w:color="auto" w:fill="auto"/>
            <w:noWrap/>
            <w:vAlign w:val="center"/>
            <w:hideMark/>
          </w:tcPr>
          <w:p w:rsidR="0080197C" w:rsidRPr="00636E88" w:rsidRDefault="0080197C" w:rsidP="0080197C">
            <w:pPr>
              <w:ind w:right="-173"/>
              <w:jc w:val="center"/>
              <w:rPr>
                <w:color w:val="000000"/>
              </w:rPr>
            </w:pPr>
            <w:r>
              <w:rPr>
                <w:color w:val="000000"/>
              </w:rPr>
              <w:t>Model E</w:t>
            </w:r>
            <w:r w:rsidRPr="00636E88">
              <w:rPr>
                <w:color w:val="000000"/>
              </w:rPr>
              <w:t>conomy</w:t>
            </w:r>
          </w:p>
        </w:tc>
      </w:tr>
      <w:tr w:rsidR="0080197C" w:rsidRPr="00636E88" w:rsidTr="0080197C">
        <w:trPr>
          <w:trHeight w:hRule="exact" w:val="288"/>
        </w:trPr>
        <w:tc>
          <w:tcPr>
            <w:tcW w:w="5000" w:type="pct"/>
            <w:gridSpan w:val="3"/>
            <w:tcBorders>
              <w:top w:val="single" w:sz="2" w:space="0" w:color="auto"/>
              <w:bottom w:val="nil"/>
            </w:tcBorders>
            <w:shd w:val="clear" w:color="auto" w:fill="auto"/>
            <w:noWrap/>
            <w:vAlign w:val="bottom"/>
            <w:hideMark/>
          </w:tcPr>
          <w:p w:rsidR="0080197C" w:rsidRPr="00CE5A81" w:rsidRDefault="0080197C" w:rsidP="0080197C">
            <w:pPr>
              <w:ind w:right="-166"/>
              <w:jc w:val="center"/>
              <w:rPr>
                <w:rFonts w:asciiTheme="majorBidi" w:hAnsiTheme="majorBidi" w:cstheme="majorBidi"/>
                <w:i/>
                <w:iCs/>
                <w:color w:val="000000"/>
              </w:rPr>
            </w:pPr>
            <w:r w:rsidRPr="00CE5A81">
              <w:rPr>
                <w:rFonts w:asciiTheme="majorBidi" w:hAnsiTheme="majorBidi" w:cstheme="majorBidi"/>
                <w:bCs/>
                <w:i/>
                <w:iCs/>
                <w:color w:val="000000"/>
                <w:sz w:val="22"/>
                <w:szCs w:val="22"/>
              </w:rPr>
              <w:t>Volatilities</w:t>
            </w:r>
          </w:p>
        </w:tc>
      </w:tr>
      <w:tr w:rsidR="0080197C" w:rsidRPr="00636E88" w:rsidTr="0080197C">
        <w:trPr>
          <w:trHeight w:hRule="exact" w:val="331"/>
        </w:trPr>
        <w:tc>
          <w:tcPr>
            <w:tcW w:w="1779" w:type="pct"/>
            <w:tcBorders>
              <w:top w:val="nil"/>
              <w:bottom w:val="nil"/>
              <w:right w:val="nil"/>
            </w:tcBorders>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680" w:dyaOrig="340">
                <v:shape id="_x0000_i1452" type="#_x0000_t75" style="width:33.5pt;height:17.6pt" o:ole="">
                  <v:imagedata r:id="rId722" o:title=""/>
                </v:shape>
                <o:OLEObject Type="Embed" ProgID="Equation.DSMT4" ShapeID="_x0000_i1452" DrawAspect="Content" ObjectID="_1359267375" r:id="rId842"/>
              </w:object>
            </w:r>
          </w:p>
        </w:tc>
        <w:tc>
          <w:tcPr>
            <w:tcW w:w="1537" w:type="pct"/>
            <w:tcBorders>
              <w:top w:val="nil"/>
              <w:left w:val="nil"/>
              <w:bottom w:val="nil"/>
              <w:right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1.63</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1.57</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660" w:dyaOrig="340">
                <v:shape id="_x0000_i1453" type="#_x0000_t75" style="width:30.15pt;height:17.6pt" o:ole="">
                  <v:imagedata r:id="rId724" o:title=""/>
                </v:shape>
                <o:OLEObject Type="Embed" ProgID="Equation.DSMT4" ShapeID="_x0000_i1453" DrawAspect="Content" ObjectID="_1359267376" r:id="rId843"/>
              </w:object>
            </w:r>
          </w:p>
        </w:tc>
        <w:tc>
          <w:tcPr>
            <w:tcW w:w="1537" w:type="pct"/>
            <w:tcBorders>
              <w:top w:val="nil"/>
              <w:left w:val="nil"/>
              <w:bottom w:val="nil"/>
              <w:right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1.22</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1.18</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720" w:dyaOrig="360">
                <v:shape id="_x0000_i1454" type="#_x0000_t75" style="width:37.65pt;height:17.6pt" o:ole="">
                  <v:imagedata r:id="rId844" o:title=""/>
                </v:shape>
                <o:OLEObject Type="Embed" ProgID="Equation.DSMT4" ShapeID="_x0000_i1454" DrawAspect="Content" ObjectID="_1359267377" r:id="rId845"/>
              </w:object>
            </w:r>
          </w:p>
        </w:tc>
        <w:tc>
          <w:tcPr>
            <w:tcW w:w="1537" w:type="pct"/>
            <w:tcBorders>
              <w:top w:val="nil"/>
              <w:left w:val="nil"/>
              <w:bottom w:val="nil"/>
              <w:right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1.16</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1.37</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620" w:dyaOrig="340">
                <v:shape id="_x0000_i1455" type="#_x0000_t75" style="width:30.15pt;height:17.6pt" o:ole="">
                  <v:imagedata r:id="rId730" o:title=""/>
                </v:shape>
                <o:OLEObject Type="Embed" ProgID="Equation.DSMT4" ShapeID="_x0000_i1455" DrawAspect="Content" ObjectID="_1359267378" r:id="rId846"/>
              </w:object>
            </w:r>
          </w:p>
        </w:tc>
        <w:tc>
          <w:tcPr>
            <w:tcW w:w="1537" w:type="pct"/>
            <w:tcBorders>
              <w:top w:val="nil"/>
              <w:left w:val="nil"/>
              <w:bottom w:val="nil"/>
              <w:right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5.16</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5.11</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820" w:dyaOrig="340">
                <v:shape id="_x0000_i1456" type="#_x0000_t75" style="width:34.35pt;height:17.6pt" o:ole="">
                  <v:imagedata r:id="rId732" o:title=""/>
                </v:shape>
                <o:OLEObject Type="Embed" ProgID="Equation.DSMT4" ShapeID="_x0000_i1456" DrawAspect="Content" ObjectID="_1359267379" r:id="rId847"/>
              </w:object>
            </w:r>
          </w:p>
        </w:tc>
        <w:tc>
          <w:tcPr>
            <w:tcW w:w="1537" w:type="pct"/>
            <w:tcBorders>
              <w:top w:val="nil"/>
              <w:left w:val="nil"/>
              <w:bottom w:val="nil"/>
              <w:right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0.93</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0.92</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position w:val="-12"/>
              </w:rPr>
            </w:pPr>
            <w:r w:rsidRPr="00CE5A81">
              <w:rPr>
                <w:rFonts w:asciiTheme="majorBidi" w:hAnsiTheme="majorBidi" w:cstheme="majorBidi"/>
                <w:position w:val="-12"/>
                <w:sz w:val="22"/>
                <w:szCs w:val="22"/>
              </w:rPr>
              <w:object w:dxaOrig="700" w:dyaOrig="340">
                <v:shape id="_x0000_i1457" type="#_x0000_t75" style="width:34.35pt;height:17.6pt" o:ole="">
                  <v:imagedata r:id="rId848" o:title=""/>
                </v:shape>
                <o:OLEObject Type="Embed" ProgID="Equation.DSMT4" ShapeID="_x0000_i1457" DrawAspect="Content" ObjectID="_1359267380" r:id="rId849"/>
              </w:object>
            </w:r>
          </w:p>
        </w:tc>
        <w:tc>
          <w:tcPr>
            <w:tcW w:w="1537" w:type="pct"/>
            <w:tcBorders>
              <w:top w:val="nil"/>
              <w:left w:val="nil"/>
              <w:bottom w:val="nil"/>
              <w:right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2.54</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2.10</w:t>
            </w:r>
          </w:p>
        </w:tc>
      </w:tr>
      <w:tr w:rsidR="0080197C" w:rsidRPr="00636E88" w:rsidTr="0080197C">
        <w:trPr>
          <w:trHeight w:hRule="exact" w:val="288"/>
        </w:trPr>
        <w:tc>
          <w:tcPr>
            <w:tcW w:w="5000" w:type="pct"/>
            <w:gridSpan w:val="3"/>
            <w:tcBorders>
              <w:top w:val="nil"/>
              <w:bottom w:val="nil"/>
            </w:tcBorders>
            <w:shd w:val="clear" w:color="auto" w:fill="auto"/>
            <w:noWrap/>
            <w:vAlign w:val="bottom"/>
            <w:hideMark/>
          </w:tcPr>
          <w:p w:rsidR="0080197C" w:rsidRPr="00CE5A81" w:rsidRDefault="0080197C" w:rsidP="0080197C">
            <w:pPr>
              <w:ind w:right="-166"/>
              <w:jc w:val="center"/>
              <w:rPr>
                <w:rFonts w:asciiTheme="majorBidi" w:hAnsiTheme="majorBidi" w:cstheme="majorBidi"/>
                <w:i/>
                <w:iCs/>
                <w:color w:val="000000"/>
              </w:rPr>
            </w:pPr>
            <w:r w:rsidRPr="00CE5A81">
              <w:rPr>
                <w:rFonts w:asciiTheme="majorBidi" w:hAnsiTheme="majorBidi" w:cstheme="majorBidi"/>
                <w:bCs/>
                <w:i/>
                <w:iCs/>
                <w:color w:val="000000"/>
                <w:sz w:val="22"/>
                <w:szCs w:val="22"/>
              </w:rPr>
              <w:t>Contemporaneous Correlations with Output</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999" w:dyaOrig="340">
                <v:shape id="_x0000_i1458" type="#_x0000_t75" style="width:47.7pt;height:17.6pt" o:ole="">
                  <v:imagedata r:id="rId736" o:title=""/>
                </v:shape>
                <o:OLEObject Type="Embed" ProgID="Equation.DSMT4" ShapeID="_x0000_i1458" DrawAspect="Content" ObjectID="_1359267381" r:id="rId850"/>
              </w:object>
            </w:r>
          </w:p>
        </w:tc>
        <w:tc>
          <w:tcPr>
            <w:tcW w:w="1537" w:type="pct"/>
            <w:tcBorders>
              <w:top w:val="nil"/>
              <w:left w:val="nil"/>
              <w:bottom w:val="nil"/>
              <w:right w:val="nil"/>
            </w:tcBorders>
            <w:shd w:val="clear" w:color="000000" w:fill="FFFFFF"/>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0.89</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0.94</w:t>
            </w:r>
          </w:p>
        </w:tc>
      </w:tr>
      <w:tr w:rsidR="0080197C" w:rsidRPr="00636E88" w:rsidTr="0080197C">
        <w:trPr>
          <w:trHeight w:hRule="exact" w:val="331"/>
        </w:trPr>
        <w:tc>
          <w:tcPr>
            <w:tcW w:w="1779" w:type="pct"/>
            <w:tcBorders>
              <w:top w:val="nil"/>
              <w:bottom w:val="nil"/>
              <w:right w:val="nil"/>
            </w:tcBorders>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80" w:dyaOrig="360">
                <v:shape id="_x0000_i1459" type="#_x0000_t75" style="width:55.25pt;height:17.6pt" o:ole="">
                  <v:imagedata r:id="rId851" o:title=""/>
                </v:shape>
                <o:OLEObject Type="Embed" ProgID="Equation.DSMT4" ShapeID="_x0000_i1459" DrawAspect="Content" ObjectID="_1359267382" r:id="rId852"/>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0.88</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0.86</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4"/>
                <w:sz w:val="22"/>
                <w:szCs w:val="22"/>
              </w:rPr>
              <w:object w:dxaOrig="1120" w:dyaOrig="400">
                <v:shape id="_x0000_i1460" type="#_x0000_t75" style="width:49.4pt;height:17.6pt" o:ole="">
                  <v:imagedata r:id="rId742" o:title=""/>
                </v:shape>
                <o:OLEObject Type="Embed" ProgID="Equation.DSMT4" ShapeID="_x0000_i1460" DrawAspect="Content" ObjectID="_1359267383" r:id="rId853"/>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0.77</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0.76</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160" w:dyaOrig="340">
                <v:shape id="_x0000_i1461" type="#_x0000_t75" style="width:54.4pt;height:17.6pt" o:ole="">
                  <v:imagedata r:id="rId744" o:title=""/>
                </v:shape>
                <o:OLEObject Type="Embed" ProgID="Equation.DSMT4" ShapeID="_x0000_i1461" DrawAspect="Content" ObjectID="_1359267384" r:id="rId854"/>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-0.29</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-0.29</w:t>
            </w:r>
          </w:p>
        </w:tc>
      </w:tr>
      <w:tr w:rsidR="0080197C" w:rsidRPr="00636E88" w:rsidTr="0080197C">
        <w:trPr>
          <w:trHeight w:hRule="exact" w:val="288"/>
        </w:trPr>
        <w:tc>
          <w:tcPr>
            <w:tcW w:w="5000" w:type="pct"/>
            <w:gridSpan w:val="3"/>
            <w:tcBorders>
              <w:top w:val="nil"/>
              <w:bottom w:val="nil"/>
            </w:tcBorders>
            <w:shd w:val="clear" w:color="000000" w:fill="FFFFFF"/>
            <w:noWrap/>
            <w:vAlign w:val="bottom"/>
            <w:hideMark/>
          </w:tcPr>
          <w:p w:rsidR="0080197C" w:rsidRPr="00CE5A81" w:rsidRDefault="0080197C" w:rsidP="0080197C">
            <w:pPr>
              <w:ind w:right="-173"/>
              <w:jc w:val="center"/>
              <w:rPr>
                <w:rFonts w:asciiTheme="majorBidi" w:hAnsiTheme="majorBidi" w:cstheme="majorBidi"/>
                <w:i/>
                <w:iCs/>
                <w:color w:val="000000"/>
              </w:rPr>
            </w:pPr>
            <w:r w:rsidRPr="00CE5A81">
              <w:rPr>
                <w:rFonts w:asciiTheme="majorBidi" w:hAnsiTheme="majorBidi" w:cstheme="majorBidi"/>
                <w:bCs/>
                <w:i/>
                <w:iCs/>
                <w:color w:val="000000"/>
                <w:sz w:val="22"/>
                <w:szCs w:val="22"/>
              </w:rPr>
              <w:t>Contemporaneous Correlations with tot</w:t>
            </w:r>
          </w:p>
        </w:tc>
      </w:tr>
      <w:tr w:rsidR="0080197C" w:rsidRPr="00636E88" w:rsidTr="0080197C">
        <w:trPr>
          <w:trHeight w:hRule="exact" w:val="331"/>
        </w:trPr>
        <w:tc>
          <w:tcPr>
            <w:tcW w:w="1779" w:type="pct"/>
            <w:tcBorders>
              <w:top w:val="nil"/>
              <w:bottom w:val="nil"/>
              <w:right w:val="nil"/>
            </w:tcBorders>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40" w:dyaOrig="340">
                <v:shape id="_x0000_i1462" type="#_x0000_t75" style="width:49.4pt;height:17.6pt" o:ole="">
                  <v:imagedata r:id="rId855" o:title=""/>
                </v:shape>
                <o:OLEObject Type="Embed" ProgID="Equation.DSMT4" ShapeID="_x0000_i1462" DrawAspect="Content" ObjectID="_1359267385" r:id="rId856"/>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-0.27</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-0.27</w:t>
            </w:r>
          </w:p>
        </w:tc>
      </w:tr>
      <w:tr w:rsidR="0080197C" w:rsidRPr="00636E88" w:rsidTr="0080197C">
        <w:trPr>
          <w:trHeight w:hRule="exact" w:val="331"/>
        </w:trPr>
        <w:tc>
          <w:tcPr>
            <w:tcW w:w="1779" w:type="pct"/>
            <w:tcBorders>
              <w:top w:val="nil"/>
              <w:bottom w:val="nil"/>
              <w:right w:val="nil"/>
            </w:tcBorders>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20" w:dyaOrig="340">
                <v:shape id="_x0000_i1463" type="#_x0000_t75" style="width:49.4pt;height:17.6pt" o:ole="">
                  <v:imagedata r:id="rId857" o:title=""/>
                </v:shape>
                <o:OLEObject Type="Embed" ProgID="Equation.DSMT4" ShapeID="_x0000_i1463" DrawAspect="Content" ObjectID="_1359267386" r:id="rId858"/>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-0.35</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-0.58</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20" w:dyaOrig="340">
                <v:shape id="_x0000_i1464" type="#_x0000_t75" style="width:51.05pt;height:17.6pt" o:ole="">
                  <v:imagedata r:id="rId859" o:title=""/>
                </v:shape>
                <o:OLEObject Type="Embed" ProgID="Equation.DSMT4" ShapeID="_x0000_i1464" DrawAspect="Content" ObjectID="_1359267387" r:id="rId860"/>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-0.37</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-0.40</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980" w:dyaOrig="340">
                <v:shape id="_x0000_i1465" type="#_x0000_t75" style="width:43.55pt;height:17.6pt" o:ole="">
                  <v:imagedata r:id="rId861" o:title=""/>
                </v:shape>
                <o:OLEObject Type="Embed" ProgID="Equation.DSMT4" ShapeID="_x0000_i1465" DrawAspect="Content" ObjectID="_1359267388" r:id="rId862"/>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-0.44</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-0.43</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160" w:dyaOrig="340">
                <v:shape id="_x0000_i1466" type="#_x0000_t75" style="width:57.75pt;height:17.6pt" o:ole="">
                  <v:imagedata r:id="rId863" o:title=""/>
                </v:shape>
                <o:OLEObject Type="Embed" ProgID="Equation.DSMT4" ShapeID="_x0000_i1466" DrawAspect="Content" ObjectID="_1359267389" r:id="rId864"/>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0.41</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0.74</w:t>
            </w:r>
          </w:p>
        </w:tc>
      </w:tr>
      <w:tr w:rsidR="0080197C" w:rsidRPr="00636E88" w:rsidTr="0080197C">
        <w:trPr>
          <w:trHeight w:hRule="exact" w:val="288"/>
        </w:trPr>
        <w:tc>
          <w:tcPr>
            <w:tcW w:w="5000" w:type="pct"/>
            <w:gridSpan w:val="3"/>
            <w:tcBorders>
              <w:top w:val="nil"/>
              <w:bottom w:val="nil"/>
            </w:tcBorders>
            <w:shd w:val="clear" w:color="000000" w:fill="FFFFFF"/>
            <w:noWrap/>
            <w:vAlign w:val="bottom"/>
            <w:hideMark/>
          </w:tcPr>
          <w:p w:rsidR="0080197C" w:rsidRPr="00CE5A81" w:rsidRDefault="0080197C" w:rsidP="0080197C">
            <w:pPr>
              <w:ind w:right="-173"/>
              <w:jc w:val="center"/>
              <w:rPr>
                <w:rFonts w:asciiTheme="majorBidi" w:hAnsiTheme="majorBidi" w:cstheme="majorBidi"/>
                <w:bCs/>
                <w:i/>
                <w:iCs/>
                <w:color w:val="000000"/>
              </w:rPr>
            </w:pPr>
            <w:r w:rsidRPr="00CE5A81">
              <w:rPr>
                <w:rFonts w:asciiTheme="majorBidi" w:hAnsiTheme="majorBidi" w:cstheme="majorBidi"/>
                <w:bCs/>
                <w:i/>
                <w:iCs/>
                <w:color w:val="000000"/>
                <w:sz w:val="22"/>
                <w:szCs w:val="22"/>
              </w:rPr>
              <w:t>Serial Correlations</w:t>
            </w:r>
          </w:p>
        </w:tc>
      </w:tr>
      <w:tr w:rsidR="0080197C" w:rsidRPr="00636E88" w:rsidTr="0080197C">
        <w:trPr>
          <w:trHeight w:hRule="exact" w:val="331"/>
        </w:trPr>
        <w:tc>
          <w:tcPr>
            <w:tcW w:w="1779" w:type="pct"/>
            <w:tcBorders>
              <w:top w:val="nil"/>
              <w:bottom w:val="nil"/>
              <w:right w:val="nil"/>
            </w:tcBorders>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4"/>
                <w:sz w:val="22"/>
                <w:szCs w:val="22"/>
              </w:rPr>
              <w:object w:dxaOrig="1340" w:dyaOrig="400">
                <v:shape id="_x0000_i1467" type="#_x0000_t75" style="width:55.25pt;height:17.6pt" o:ole="">
                  <v:imagedata r:id="rId748" o:title=""/>
                </v:shape>
                <o:OLEObject Type="Embed" ProgID="Equation.DSMT4" ShapeID="_x0000_i1467" DrawAspect="Content" ObjectID="_1359267390" r:id="rId865"/>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0.91</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0.86</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100" w:dyaOrig="340">
                <v:shape id="_x0000_i1468" type="#_x0000_t75" style="width:49.4pt;height:17.6pt" o:ole="">
                  <v:imagedata r:id="rId750" o:title=""/>
                </v:shape>
                <o:OLEObject Type="Embed" ProgID="Equation.DSMT4" ShapeID="_x0000_i1468" DrawAspect="Content" ObjectID="_1359267391" r:id="rId866"/>
              </w:object>
            </w:r>
          </w:p>
        </w:tc>
        <w:tc>
          <w:tcPr>
            <w:tcW w:w="1537" w:type="pct"/>
            <w:tcBorders>
              <w:top w:val="nil"/>
              <w:left w:val="nil"/>
              <w:bottom w:val="nil"/>
              <w:right w:val="nil"/>
            </w:tcBorders>
            <w:shd w:val="clear" w:color="000000" w:fill="FFFFFF"/>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0.86</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0.85</w:t>
            </w:r>
          </w:p>
        </w:tc>
      </w:tr>
      <w:tr w:rsidR="0080197C" w:rsidRPr="00636E88" w:rsidTr="0080197C">
        <w:trPr>
          <w:trHeight w:hRule="exact" w:val="331"/>
        </w:trPr>
        <w:tc>
          <w:tcPr>
            <w:tcW w:w="1779" w:type="pct"/>
            <w:tcBorders>
              <w:top w:val="nil"/>
              <w:bottom w:val="nil"/>
              <w:right w:val="nil"/>
            </w:tcBorders>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180" w:dyaOrig="360">
                <v:shape id="_x0000_i1469" type="#_x0000_t75" style="width:58.6pt;height:17.6pt" o:ole="">
                  <v:imagedata r:id="rId867" o:title=""/>
                </v:shape>
                <o:OLEObject Type="Embed" ProgID="Equation.DSMT4" ShapeID="_x0000_i1469" DrawAspect="Content" ObjectID="_1359267392" r:id="rId868"/>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0.91</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0.95</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020" w:dyaOrig="340">
                <v:shape id="_x0000_i1470" type="#_x0000_t75" style="width:46.9pt;height:17.6pt" o:ole="">
                  <v:imagedata r:id="rId756" o:title=""/>
                </v:shape>
                <o:OLEObject Type="Embed" ProgID="Equation.DSMT4" ShapeID="_x0000_i1470" DrawAspect="Content" ObjectID="_1359267393" r:id="rId869"/>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0.89</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0.67</w:t>
            </w:r>
          </w:p>
        </w:tc>
      </w:tr>
      <w:tr w:rsidR="0080197C" w:rsidRPr="00636E88" w:rsidTr="0080197C">
        <w:trPr>
          <w:trHeight w:hRule="exact" w:val="331"/>
        </w:trPr>
        <w:tc>
          <w:tcPr>
            <w:tcW w:w="1779" w:type="pct"/>
            <w:tcBorders>
              <w:top w:val="nil"/>
              <w:bottom w:val="nil"/>
              <w:right w:val="nil"/>
            </w:tcBorders>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400" w:dyaOrig="340">
                <v:shape id="_x0000_i1471" type="#_x0000_t75" style="width:62.8pt;height:17.6pt" o:ole="">
                  <v:imagedata r:id="rId758" o:title=""/>
                </v:shape>
                <o:OLEObject Type="Embed" ProgID="Equation.DSMT4" ShapeID="_x0000_i1471" DrawAspect="Content" ObjectID="_1359267394" r:id="rId870"/>
              </w:object>
            </w:r>
          </w:p>
        </w:tc>
        <w:tc>
          <w:tcPr>
            <w:tcW w:w="1537" w:type="pct"/>
            <w:tcBorders>
              <w:top w:val="nil"/>
              <w:left w:val="nil"/>
              <w:bottom w:val="nil"/>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0.67</w:t>
            </w:r>
          </w:p>
        </w:tc>
        <w:tc>
          <w:tcPr>
            <w:tcW w:w="1684" w:type="pct"/>
            <w:tcBorders>
              <w:top w:val="nil"/>
              <w:left w:val="nil"/>
              <w:bottom w:val="nil"/>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0.63</w:t>
            </w:r>
          </w:p>
        </w:tc>
      </w:tr>
      <w:tr w:rsidR="0080197C" w:rsidRPr="00636E88" w:rsidTr="0080197C">
        <w:trPr>
          <w:trHeight w:hRule="exact" w:val="331"/>
        </w:trPr>
        <w:tc>
          <w:tcPr>
            <w:tcW w:w="1779" w:type="pct"/>
            <w:tcBorders>
              <w:top w:val="nil"/>
              <w:bottom w:val="single" w:sz="2" w:space="0" w:color="auto"/>
              <w:right w:val="nil"/>
            </w:tcBorders>
            <w:shd w:val="clear" w:color="000000" w:fill="FFFFFF"/>
            <w:noWrap/>
            <w:vAlign w:val="bottom"/>
            <w:hideMark/>
          </w:tcPr>
          <w:p w:rsidR="0080197C" w:rsidRPr="00CE5A81" w:rsidRDefault="0080197C" w:rsidP="0080197C">
            <w:pPr>
              <w:rPr>
                <w:rFonts w:asciiTheme="majorBidi" w:hAnsiTheme="majorBidi" w:cstheme="majorBidi"/>
                <w:position w:val="-12"/>
              </w:rPr>
            </w:pPr>
            <w:r w:rsidRPr="00CE5A81">
              <w:rPr>
                <w:rFonts w:asciiTheme="majorBidi" w:hAnsiTheme="majorBidi" w:cstheme="majorBidi"/>
                <w:position w:val="-12"/>
                <w:sz w:val="22"/>
                <w:szCs w:val="22"/>
              </w:rPr>
              <w:object w:dxaOrig="1180" w:dyaOrig="340">
                <v:shape id="_x0000_i1472" type="#_x0000_t75" style="width:58.6pt;height:17.6pt" o:ole="">
                  <v:imagedata r:id="rId871" o:title=""/>
                </v:shape>
                <o:OLEObject Type="Embed" ProgID="Equation.DSMT4" ShapeID="_x0000_i1472" DrawAspect="Content" ObjectID="_1359267395" r:id="rId872"/>
              </w:object>
            </w:r>
          </w:p>
        </w:tc>
        <w:tc>
          <w:tcPr>
            <w:tcW w:w="1537" w:type="pct"/>
            <w:tcBorders>
              <w:top w:val="nil"/>
              <w:left w:val="nil"/>
              <w:bottom w:val="single" w:sz="2" w:space="0" w:color="auto"/>
              <w:right w:val="nil"/>
            </w:tcBorders>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0.81</w:t>
            </w:r>
          </w:p>
        </w:tc>
        <w:tc>
          <w:tcPr>
            <w:tcW w:w="1684" w:type="pct"/>
            <w:tcBorders>
              <w:top w:val="nil"/>
              <w:left w:val="nil"/>
              <w:bottom w:val="single" w:sz="2" w:space="0" w:color="auto"/>
            </w:tcBorders>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0.72</w:t>
            </w:r>
          </w:p>
        </w:tc>
      </w:tr>
    </w:tbl>
    <w:p w:rsidR="00EE6912" w:rsidRDefault="0080197C" w:rsidP="00EE6912">
      <w:pPr>
        <w:autoSpaceDE w:val="0"/>
        <w:autoSpaceDN w:val="0"/>
        <w:adjustRightInd w:val="0"/>
        <w:spacing w:before="60" w:after="120"/>
        <w:jc w:val="both"/>
        <w:rPr>
          <w:sz w:val="20"/>
          <w:szCs w:val="20"/>
        </w:rPr>
      </w:pPr>
      <w:r w:rsidRPr="00636E88">
        <w:rPr>
          <w:color w:val="000000"/>
          <w:sz w:val="20"/>
          <w:szCs w:val="20"/>
        </w:rPr>
        <w:t>Note:</w:t>
      </w:r>
      <w:r w:rsidRPr="00636E88">
        <w:rPr>
          <w:sz w:val="20"/>
          <w:szCs w:val="20"/>
        </w:rPr>
        <w:t xml:space="preserve"> 1. Data in the second column are in per capita. They were logged (except for trade-balance-output and current-account-output ratios) and HP filtered with smoothing parameter 1600 before computing the moments. Moments from all models are averages of 1,000 replications of length 200. They were computed using HP filtered % deviations from steady state. For symmetry with Canadian data, artificial data on the trade balance-output and current account to output ratios are not expressed in % deviation from steady state.</w:t>
      </w:r>
    </w:p>
    <w:p w:rsidR="0080197C" w:rsidRPr="00636E88" w:rsidRDefault="0080197C" w:rsidP="00EE6912">
      <w:pPr>
        <w:autoSpaceDE w:val="0"/>
        <w:autoSpaceDN w:val="0"/>
        <w:adjustRightInd w:val="0"/>
        <w:spacing w:before="60" w:after="120"/>
        <w:jc w:val="both"/>
        <w:rPr>
          <w:sz w:val="20"/>
          <w:szCs w:val="20"/>
        </w:rPr>
      </w:pPr>
      <w:r w:rsidRPr="00636E88">
        <w:rPr>
          <w:sz w:val="20"/>
          <w:szCs w:val="20"/>
        </w:rPr>
        <w:t>2. For the sake of symmetry</w:t>
      </w:r>
      <w:r w:rsidRPr="00636E88">
        <w:rPr>
          <w:position w:val="-10"/>
        </w:rPr>
        <w:object w:dxaOrig="200" w:dyaOrig="300">
          <v:shape id="_x0000_i1473" type="#_x0000_t75" style="width:9.2pt;height:16.75pt" o:ole="">
            <v:imagedata r:id="rId873" o:title=""/>
          </v:shape>
          <o:OLEObject Type="Embed" ProgID="Equation.DSMT4" ShapeID="_x0000_i1473" DrawAspect="Content" ObjectID="_1359267396" r:id="rId874"/>
        </w:object>
      </w:r>
      <w:r w:rsidRPr="00636E88">
        <w:rPr>
          <w:sz w:val="20"/>
          <w:szCs w:val="20"/>
        </w:rPr>
        <w:t>in the bench mark model represents the percentage deviation from the hp trend of total consumption expenditure on goods and services including: 1 spending on durables, 2 spending on nondurables and 3 spending on semi durables.</w:t>
      </w:r>
      <w:r w:rsidRPr="00636E88">
        <w:rPr>
          <w:position w:val="-12"/>
        </w:rPr>
        <w:t xml:space="preserve"> </w:t>
      </w:r>
    </w:p>
    <w:p w:rsidR="0069234D" w:rsidRDefault="0069234D" w:rsidP="0080197C"/>
    <w:p w:rsidR="0080197C" w:rsidRDefault="0080197C" w:rsidP="0080197C"/>
    <w:tbl>
      <w:tblPr>
        <w:tblW w:w="5000" w:type="pct"/>
        <w:tblLayout w:type="fixed"/>
        <w:tblCellMar>
          <w:left w:w="0" w:type="dxa"/>
          <w:right w:w="0" w:type="dxa"/>
        </w:tblCellMar>
        <w:tblLook w:val="04A0"/>
      </w:tblPr>
      <w:tblGrid>
        <w:gridCol w:w="2605"/>
        <w:gridCol w:w="1351"/>
        <w:gridCol w:w="1616"/>
        <w:gridCol w:w="90"/>
        <w:gridCol w:w="2067"/>
        <w:gridCol w:w="1631"/>
      </w:tblGrid>
      <w:tr w:rsidR="0080197C" w:rsidRPr="00636E88" w:rsidTr="009040DC">
        <w:trPr>
          <w:trHeight w:hRule="exact" w:val="621"/>
        </w:trPr>
        <w:tc>
          <w:tcPr>
            <w:tcW w:w="5000" w:type="pct"/>
            <w:gridSpan w:val="6"/>
            <w:tcBorders>
              <w:bottom w:val="single" w:sz="2" w:space="0" w:color="auto"/>
            </w:tcBorders>
          </w:tcPr>
          <w:p w:rsidR="0080197C" w:rsidRPr="00A13655" w:rsidRDefault="00FE50AD" w:rsidP="00085BE7">
            <w:pPr>
              <w:pStyle w:val="Caption"/>
              <w:rPr>
                <w:b w:val="0"/>
              </w:rPr>
            </w:pPr>
            <w:bookmarkStart w:id="68" w:name="_Toc284613308"/>
            <w:bookmarkStart w:id="69" w:name="_Toc285392589"/>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8</w:t>
            </w:r>
            <w:r w:rsidR="00AB7C8D" w:rsidRPr="00085BE7">
              <w:rPr>
                <w:b w:val="0"/>
                <w:sz w:val="24"/>
                <w:szCs w:val="24"/>
              </w:rPr>
              <w:fldChar w:fldCharType="end"/>
            </w:r>
            <w:r w:rsidRPr="00085BE7">
              <w:rPr>
                <w:b w:val="0"/>
                <w:sz w:val="24"/>
                <w:szCs w:val="24"/>
              </w:rPr>
              <w:t xml:space="preserve">: </w:t>
            </w:r>
            <w:r w:rsidR="0080197C" w:rsidRPr="00085BE7">
              <w:rPr>
                <w:b w:val="0"/>
                <w:sz w:val="24"/>
                <w:szCs w:val="24"/>
              </w:rPr>
              <w:t>The Role of ToT Uncertainty</w:t>
            </w:r>
            <w:bookmarkEnd w:id="68"/>
            <w:bookmarkEnd w:id="69"/>
          </w:p>
        </w:tc>
      </w:tr>
      <w:tr w:rsidR="0080197C" w:rsidRPr="0093009C" w:rsidTr="00CE5A81">
        <w:trPr>
          <w:trHeight w:hRule="exact" w:val="545"/>
        </w:trPr>
        <w:tc>
          <w:tcPr>
            <w:tcW w:w="1392" w:type="pct"/>
            <w:tcBorders>
              <w:top w:val="single" w:sz="2" w:space="0" w:color="auto"/>
            </w:tcBorders>
            <w:shd w:val="clear" w:color="auto" w:fill="auto"/>
            <w:noWrap/>
            <w:hideMark/>
          </w:tcPr>
          <w:p w:rsidR="0080197C" w:rsidRPr="00CE5A81" w:rsidRDefault="0080197C" w:rsidP="0080197C">
            <w:pPr>
              <w:jc w:val="center"/>
              <w:rPr>
                <w:color w:val="000000"/>
              </w:rPr>
            </w:pPr>
          </w:p>
        </w:tc>
        <w:tc>
          <w:tcPr>
            <w:tcW w:w="1585" w:type="pct"/>
            <w:gridSpan w:val="2"/>
            <w:tcBorders>
              <w:top w:val="single" w:sz="2" w:space="0" w:color="auto"/>
              <w:bottom w:val="single" w:sz="2" w:space="0" w:color="auto"/>
            </w:tcBorders>
            <w:shd w:val="clear" w:color="auto" w:fill="auto"/>
            <w:vAlign w:val="center"/>
            <w:hideMark/>
          </w:tcPr>
          <w:p w:rsidR="0080197C" w:rsidRPr="00CE5A81" w:rsidRDefault="0080197C" w:rsidP="0080197C">
            <w:pPr>
              <w:ind w:left="245" w:hanging="245"/>
              <w:jc w:val="center"/>
              <w:rPr>
                <w:color w:val="000000"/>
              </w:rPr>
            </w:pPr>
            <w:r w:rsidRPr="00CE5A81">
              <w:rPr>
                <w:color w:val="000000"/>
              </w:rPr>
              <w:t>Economy with Lower Durability</w:t>
            </w:r>
          </w:p>
          <w:p w:rsidR="0080197C" w:rsidRPr="00CE5A81" w:rsidRDefault="0080197C" w:rsidP="0080197C">
            <w:pPr>
              <w:ind w:left="245" w:hanging="245"/>
              <w:jc w:val="center"/>
              <w:rPr>
                <w:color w:val="000000"/>
              </w:rPr>
            </w:pPr>
          </w:p>
          <w:p w:rsidR="0080197C" w:rsidRPr="00CE5A81" w:rsidRDefault="0080197C" w:rsidP="0080197C">
            <w:pPr>
              <w:ind w:left="245" w:hanging="245"/>
              <w:jc w:val="center"/>
              <w:rPr>
                <w:color w:val="000000"/>
              </w:rPr>
            </w:pPr>
          </w:p>
        </w:tc>
        <w:tc>
          <w:tcPr>
            <w:tcW w:w="48" w:type="pct"/>
            <w:tcBorders>
              <w:top w:val="single" w:sz="2" w:space="0" w:color="auto"/>
            </w:tcBorders>
          </w:tcPr>
          <w:p w:rsidR="0080197C" w:rsidRPr="00CE5A81" w:rsidRDefault="0080197C" w:rsidP="0080197C">
            <w:pPr>
              <w:ind w:left="245" w:hanging="245"/>
              <w:jc w:val="center"/>
              <w:rPr>
                <w:color w:val="000000"/>
              </w:rPr>
            </w:pPr>
          </w:p>
        </w:tc>
        <w:tc>
          <w:tcPr>
            <w:tcW w:w="1975" w:type="pct"/>
            <w:gridSpan w:val="2"/>
            <w:tcBorders>
              <w:top w:val="single" w:sz="2" w:space="0" w:color="auto"/>
              <w:bottom w:val="single" w:sz="2" w:space="0" w:color="auto"/>
            </w:tcBorders>
            <w:shd w:val="clear" w:color="auto" w:fill="auto"/>
            <w:vAlign w:val="center"/>
          </w:tcPr>
          <w:p w:rsidR="0080197C" w:rsidRPr="00CE5A81" w:rsidRDefault="0080197C" w:rsidP="0080197C">
            <w:pPr>
              <w:ind w:left="245" w:hanging="245"/>
              <w:jc w:val="center"/>
              <w:rPr>
                <w:color w:val="000000"/>
              </w:rPr>
            </w:pPr>
            <w:r w:rsidRPr="00CE5A81">
              <w:rPr>
                <w:color w:val="000000"/>
              </w:rPr>
              <w:t>Economy with Higher Durability</w:t>
            </w:r>
          </w:p>
        </w:tc>
      </w:tr>
      <w:tr w:rsidR="0080197C" w:rsidRPr="0093009C" w:rsidTr="0080197C">
        <w:trPr>
          <w:trHeight w:hRule="exact" w:val="365"/>
        </w:trPr>
        <w:tc>
          <w:tcPr>
            <w:tcW w:w="1392" w:type="pct"/>
            <w:tcBorders>
              <w:bottom w:val="single" w:sz="2" w:space="0" w:color="auto"/>
            </w:tcBorders>
            <w:shd w:val="clear" w:color="auto" w:fill="auto"/>
            <w:noWrap/>
            <w:vAlign w:val="center"/>
            <w:hideMark/>
          </w:tcPr>
          <w:p w:rsidR="0080197C" w:rsidRPr="00CE5A81" w:rsidRDefault="0080197C" w:rsidP="0080197C">
            <w:pPr>
              <w:jc w:val="center"/>
              <w:rPr>
                <w:color w:val="000000"/>
              </w:rPr>
            </w:pPr>
          </w:p>
        </w:tc>
        <w:tc>
          <w:tcPr>
            <w:tcW w:w="722" w:type="pct"/>
            <w:tcBorders>
              <w:top w:val="single" w:sz="2" w:space="0" w:color="auto"/>
              <w:bottom w:val="single" w:sz="2" w:space="0" w:color="auto"/>
            </w:tcBorders>
            <w:shd w:val="clear" w:color="auto" w:fill="auto"/>
            <w:vAlign w:val="center"/>
            <w:hideMark/>
          </w:tcPr>
          <w:p w:rsidR="0080197C" w:rsidRPr="00CE5A81" w:rsidRDefault="00CE5A81" w:rsidP="0080197C">
            <w:pPr>
              <w:ind w:left="242" w:hanging="242"/>
              <w:jc w:val="center"/>
              <w:rPr>
                <w:color w:val="000000"/>
              </w:rPr>
            </w:pPr>
            <w:r>
              <w:rPr>
                <w:color w:val="000000"/>
              </w:rPr>
              <w:t>With ToT</w:t>
            </w:r>
          </w:p>
        </w:tc>
        <w:tc>
          <w:tcPr>
            <w:tcW w:w="863" w:type="pct"/>
            <w:tcBorders>
              <w:top w:val="single" w:sz="2" w:space="0" w:color="auto"/>
              <w:bottom w:val="single" w:sz="2" w:space="0" w:color="auto"/>
            </w:tcBorders>
            <w:shd w:val="clear" w:color="auto" w:fill="auto"/>
            <w:noWrap/>
            <w:vAlign w:val="center"/>
            <w:hideMark/>
          </w:tcPr>
          <w:p w:rsidR="0080197C" w:rsidRPr="00CE5A81" w:rsidRDefault="0080197C" w:rsidP="0080197C">
            <w:pPr>
              <w:ind w:left="242" w:hanging="242"/>
              <w:jc w:val="center"/>
              <w:rPr>
                <w:color w:val="000000"/>
              </w:rPr>
            </w:pPr>
            <w:r w:rsidRPr="00CE5A81">
              <w:rPr>
                <w:color w:val="000000"/>
              </w:rPr>
              <w:t>Without tot</w:t>
            </w:r>
          </w:p>
        </w:tc>
        <w:tc>
          <w:tcPr>
            <w:tcW w:w="48" w:type="pct"/>
            <w:tcBorders>
              <w:bottom w:val="single" w:sz="2" w:space="0" w:color="auto"/>
            </w:tcBorders>
          </w:tcPr>
          <w:p w:rsidR="0080197C" w:rsidRPr="00CE5A81" w:rsidRDefault="0080197C" w:rsidP="0080197C">
            <w:pPr>
              <w:ind w:left="242" w:hanging="242"/>
              <w:jc w:val="center"/>
              <w:rPr>
                <w:color w:val="000000"/>
              </w:rPr>
            </w:pPr>
          </w:p>
        </w:tc>
        <w:tc>
          <w:tcPr>
            <w:tcW w:w="1104" w:type="pct"/>
            <w:tcBorders>
              <w:top w:val="single" w:sz="2" w:space="0" w:color="auto"/>
              <w:bottom w:val="single" w:sz="2" w:space="0" w:color="auto"/>
            </w:tcBorders>
            <w:shd w:val="clear" w:color="auto" w:fill="auto"/>
            <w:vAlign w:val="center"/>
            <w:hideMark/>
          </w:tcPr>
          <w:p w:rsidR="0080197C" w:rsidRPr="00CE5A81" w:rsidRDefault="00CE5A81" w:rsidP="0080197C">
            <w:pPr>
              <w:ind w:left="242" w:hanging="242"/>
              <w:jc w:val="center"/>
              <w:rPr>
                <w:color w:val="000000"/>
              </w:rPr>
            </w:pPr>
            <w:r>
              <w:rPr>
                <w:color w:val="000000"/>
              </w:rPr>
              <w:t>With ToT</w:t>
            </w:r>
          </w:p>
        </w:tc>
        <w:tc>
          <w:tcPr>
            <w:tcW w:w="871" w:type="pct"/>
            <w:tcBorders>
              <w:top w:val="single" w:sz="2" w:space="0" w:color="auto"/>
              <w:bottom w:val="single" w:sz="2" w:space="0" w:color="auto"/>
            </w:tcBorders>
            <w:shd w:val="clear" w:color="auto" w:fill="auto"/>
            <w:vAlign w:val="center"/>
            <w:hideMark/>
          </w:tcPr>
          <w:p w:rsidR="0080197C" w:rsidRPr="00CE5A81" w:rsidRDefault="00CE5A81" w:rsidP="0080197C">
            <w:pPr>
              <w:ind w:left="242" w:hanging="242"/>
              <w:jc w:val="center"/>
              <w:rPr>
                <w:color w:val="000000"/>
              </w:rPr>
            </w:pPr>
            <w:r>
              <w:rPr>
                <w:color w:val="000000"/>
              </w:rPr>
              <w:t>Without ToT</w:t>
            </w:r>
          </w:p>
        </w:tc>
      </w:tr>
      <w:tr w:rsidR="00CE5A81" w:rsidRPr="00636E88" w:rsidTr="00CE5A81">
        <w:trPr>
          <w:trHeight w:hRule="exact" w:val="410"/>
        </w:trPr>
        <w:tc>
          <w:tcPr>
            <w:tcW w:w="5000" w:type="pct"/>
            <w:gridSpan w:val="6"/>
            <w:tcBorders>
              <w:top w:val="single" w:sz="2" w:space="0" w:color="auto"/>
            </w:tcBorders>
            <w:shd w:val="clear" w:color="auto" w:fill="auto"/>
            <w:noWrap/>
            <w:vAlign w:val="bottom"/>
            <w:hideMark/>
          </w:tcPr>
          <w:p w:rsidR="00CE5A81" w:rsidRPr="00CE5A81" w:rsidRDefault="00CE5A81" w:rsidP="00CE5A81">
            <w:pPr>
              <w:jc w:val="center"/>
              <w:rPr>
                <w:rFonts w:asciiTheme="majorBidi" w:hAnsiTheme="majorBidi" w:cstheme="majorBidi"/>
                <w:bCs/>
                <w:i/>
                <w:iCs/>
                <w:color w:val="000000"/>
              </w:rPr>
            </w:pPr>
            <w:r w:rsidRPr="00CE5A81">
              <w:rPr>
                <w:rFonts w:asciiTheme="majorBidi" w:hAnsiTheme="majorBidi" w:cstheme="majorBidi"/>
                <w:bCs/>
                <w:i/>
                <w:iCs/>
                <w:color w:val="000000"/>
                <w:sz w:val="22"/>
                <w:szCs w:val="22"/>
              </w:rPr>
              <w:t>Volatilities</w:t>
            </w:r>
          </w:p>
        </w:tc>
      </w:tr>
      <w:tr w:rsidR="0080197C" w:rsidRPr="00636E88" w:rsidTr="0080197C">
        <w:trPr>
          <w:trHeight w:hRule="exact" w:val="331"/>
        </w:trPr>
        <w:tc>
          <w:tcPr>
            <w:tcW w:w="1392" w:type="pct"/>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680" w:dyaOrig="340">
                <v:shape id="_x0000_i1474" type="#_x0000_t75" style="width:33.5pt;height:17.6pt" o:ole="">
                  <v:imagedata r:id="rId722" o:title=""/>
                </v:shape>
                <o:OLEObject Type="Embed" ProgID="Equation.DSMT4" ShapeID="_x0000_i1474" DrawAspect="Content" ObjectID="_1359267397" r:id="rId875"/>
              </w:object>
            </w:r>
          </w:p>
        </w:tc>
        <w:tc>
          <w:tcPr>
            <w:tcW w:w="722" w:type="pct"/>
            <w:shd w:val="clear" w:color="auto" w:fill="auto"/>
            <w:noWrap/>
            <w:vAlign w:val="bottom"/>
            <w:hideMark/>
          </w:tcPr>
          <w:p w:rsidR="0080197C" w:rsidRPr="00CE5A81" w:rsidRDefault="0080197C" w:rsidP="0080197C">
            <w:pPr>
              <w:jc w:val="center"/>
              <w:rPr>
                <w:rFonts w:asciiTheme="majorBidi" w:hAnsiTheme="majorBidi" w:cstheme="majorBidi"/>
                <w:bCs/>
                <w:color w:val="000000"/>
              </w:rPr>
            </w:pPr>
            <w:r w:rsidRPr="00CE5A81">
              <w:rPr>
                <w:rFonts w:asciiTheme="majorBidi" w:hAnsiTheme="majorBidi" w:cstheme="majorBidi"/>
                <w:bCs/>
                <w:color w:val="000000"/>
                <w:sz w:val="22"/>
                <w:szCs w:val="22"/>
              </w:rPr>
              <w:t>2.64</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1.98</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1.57</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1.34</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660" w:dyaOrig="340">
                <v:shape id="_x0000_i1475" type="#_x0000_t75" style="width:30.15pt;height:17.6pt" o:ole="">
                  <v:imagedata r:id="rId724" o:title=""/>
                </v:shape>
                <o:OLEObject Type="Embed" ProgID="Equation.DSMT4" ShapeID="_x0000_i1475" DrawAspect="Content" ObjectID="_1359267398" r:id="rId876"/>
              </w:object>
            </w:r>
          </w:p>
        </w:tc>
        <w:tc>
          <w:tcPr>
            <w:tcW w:w="722" w:type="pct"/>
            <w:shd w:val="clear" w:color="auto" w:fill="auto"/>
            <w:noWrap/>
            <w:vAlign w:val="bottom"/>
            <w:hideMark/>
          </w:tcPr>
          <w:p w:rsidR="0080197C" w:rsidRPr="00CE5A81" w:rsidRDefault="0080197C" w:rsidP="0080197C">
            <w:pPr>
              <w:jc w:val="center"/>
              <w:rPr>
                <w:rFonts w:asciiTheme="majorBidi" w:hAnsiTheme="majorBidi" w:cstheme="majorBidi"/>
                <w:bCs/>
                <w:color w:val="000000"/>
              </w:rPr>
            </w:pPr>
            <w:r w:rsidRPr="00CE5A81">
              <w:rPr>
                <w:rFonts w:asciiTheme="majorBidi" w:hAnsiTheme="majorBidi" w:cstheme="majorBidi"/>
                <w:bCs/>
                <w:color w:val="000000"/>
                <w:sz w:val="22"/>
                <w:szCs w:val="22"/>
              </w:rPr>
              <w:t>2.41</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1.40</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1.18</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0.74</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720" w:dyaOrig="360">
                <v:shape id="_x0000_i1476" type="#_x0000_t75" style="width:37.65pt;height:17.6pt" o:ole="">
                  <v:imagedata r:id="rId844" o:title=""/>
                </v:shape>
                <o:OLEObject Type="Embed" ProgID="Equation.DSMT4" ShapeID="_x0000_i1476" DrawAspect="Content" ObjectID="_1359267399" r:id="rId877"/>
              </w:object>
            </w:r>
          </w:p>
        </w:tc>
        <w:tc>
          <w:tcPr>
            <w:tcW w:w="722" w:type="pct"/>
            <w:shd w:val="clear" w:color="auto" w:fill="auto"/>
            <w:noWrap/>
            <w:vAlign w:val="bottom"/>
            <w:hideMark/>
          </w:tcPr>
          <w:p w:rsidR="0080197C" w:rsidRPr="00CE5A81" w:rsidRDefault="0080197C" w:rsidP="0080197C">
            <w:pPr>
              <w:jc w:val="center"/>
              <w:rPr>
                <w:rFonts w:asciiTheme="majorBidi" w:hAnsiTheme="majorBidi" w:cstheme="majorBidi"/>
                <w:bCs/>
                <w:color w:val="000000"/>
              </w:rPr>
            </w:pPr>
            <w:r w:rsidRPr="00CE5A81">
              <w:rPr>
                <w:rFonts w:asciiTheme="majorBidi" w:hAnsiTheme="majorBidi" w:cstheme="majorBidi"/>
                <w:bCs/>
                <w:color w:val="000000"/>
                <w:sz w:val="22"/>
                <w:szCs w:val="22"/>
              </w:rPr>
              <w:t>3.21</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2.02</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1.37</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0.94</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620" w:dyaOrig="340">
                <v:shape id="_x0000_i1477" type="#_x0000_t75" style="width:30.15pt;height:17.6pt" o:ole="">
                  <v:imagedata r:id="rId730" o:title=""/>
                </v:shape>
                <o:OLEObject Type="Embed" ProgID="Equation.DSMT4" ShapeID="_x0000_i1477" DrawAspect="Content" ObjectID="_1359267400" r:id="rId878"/>
              </w:object>
            </w:r>
          </w:p>
        </w:tc>
        <w:tc>
          <w:tcPr>
            <w:tcW w:w="722" w:type="pct"/>
            <w:shd w:val="clear" w:color="auto" w:fill="auto"/>
            <w:noWrap/>
            <w:vAlign w:val="bottom"/>
            <w:hideMark/>
          </w:tcPr>
          <w:p w:rsidR="0080197C" w:rsidRPr="00CE5A81" w:rsidRDefault="0080197C" w:rsidP="0080197C">
            <w:pPr>
              <w:jc w:val="center"/>
              <w:rPr>
                <w:rFonts w:asciiTheme="majorBidi" w:hAnsiTheme="majorBidi" w:cstheme="majorBidi"/>
                <w:bCs/>
                <w:color w:val="000000"/>
              </w:rPr>
            </w:pPr>
            <w:r w:rsidRPr="00CE5A81">
              <w:rPr>
                <w:rFonts w:asciiTheme="majorBidi" w:hAnsiTheme="majorBidi" w:cstheme="majorBidi"/>
                <w:bCs/>
                <w:color w:val="000000"/>
                <w:sz w:val="22"/>
                <w:szCs w:val="22"/>
              </w:rPr>
              <w:t>6.40</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4.85</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5.11</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4.56</w:t>
            </w:r>
          </w:p>
        </w:tc>
      </w:tr>
      <w:tr w:rsidR="0080197C" w:rsidRPr="00636E88" w:rsidTr="0080197C">
        <w:trPr>
          <w:trHeight w:hRule="exact" w:val="315"/>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820" w:dyaOrig="340">
                <v:shape id="_x0000_i1478" type="#_x0000_t75" style="width:34.35pt;height:17.6pt" o:ole="">
                  <v:imagedata r:id="rId732" o:title=""/>
                </v:shape>
                <o:OLEObject Type="Embed" ProgID="Equation.DSMT4" ShapeID="_x0000_i1478" DrawAspect="Content" ObjectID="_1359267401" r:id="rId879"/>
              </w:object>
            </w:r>
          </w:p>
        </w:tc>
        <w:tc>
          <w:tcPr>
            <w:tcW w:w="722" w:type="pct"/>
            <w:shd w:val="clear" w:color="auto" w:fill="auto"/>
            <w:noWrap/>
            <w:vAlign w:val="bottom"/>
            <w:hideMark/>
          </w:tcPr>
          <w:p w:rsidR="0080197C" w:rsidRPr="00CE5A81" w:rsidRDefault="0080197C" w:rsidP="0080197C">
            <w:pPr>
              <w:jc w:val="center"/>
              <w:rPr>
                <w:rFonts w:asciiTheme="majorBidi" w:hAnsiTheme="majorBidi" w:cstheme="majorBidi"/>
                <w:bCs/>
                <w:color w:val="000000"/>
              </w:rPr>
            </w:pPr>
            <w:r w:rsidRPr="00CE5A81">
              <w:rPr>
                <w:rFonts w:asciiTheme="majorBidi" w:hAnsiTheme="majorBidi" w:cstheme="majorBidi"/>
                <w:bCs/>
                <w:color w:val="000000"/>
                <w:sz w:val="22"/>
                <w:szCs w:val="22"/>
              </w:rPr>
              <w:t>1.31</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0.74</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0.92</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0.50</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700" w:dyaOrig="340">
                <v:shape id="_x0000_i1479" type="#_x0000_t75" style="width:34.35pt;height:17.6pt" o:ole="">
                  <v:imagedata r:id="rId848" o:title=""/>
                </v:shape>
                <o:OLEObject Type="Embed" ProgID="Equation.DSMT4" ShapeID="_x0000_i1479" DrawAspect="Content" ObjectID="_1359267402" r:id="rId880"/>
              </w:object>
            </w:r>
          </w:p>
        </w:tc>
        <w:tc>
          <w:tcPr>
            <w:tcW w:w="722" w:type="pct"/>
            <w:shd w:val="clear" w:color="auto" w:fill="auto"/>
            <w:noWrap/>
            <w:vAlign w:val="bottom"/>
            <w:hideMark/>
          </w:tcPr>
          <w:p w:rsidR="0080197C" w:rsidRPr="00CE5A81" w:rsidRDefault="0080197C" w:rsidP="0080197C">
            <w:pPr>
              <w:jc w:val="center"/>
              <w:rPr>
                <w:rFonts w:asciiTheme="majorBidi" w:hAnsiTheme="majorBidi" w:cstheme="majorBidi"/>
                <w:bCs/>
                <w:color w:val="000000"/>
              </w:rPr>
            </w:pPr>
            <w:r w:rsidRPr="00CE5A81">
              <w:rPr>
                <w:rFonts w:asciiTheme="majorBidi" w:hAnsiTheme="majorBidi" w:cstheme="majorBidi"/>
                <w:bCs/>
                <w:color w:val="000000"/>
                <w:sz w:val="22"/>
                <w:szCs w:val="22"/>
              </w:rPr>
              <w:t>2.10</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2.10</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r>
      <w:tr w:rsidR="00CE5A81" w:rsidRPr="00636E88" w:rsidTr="00CE5A81">
        <w:trPr>
          <w:trHeight w:hRule="exact" w:val="288"/>
        </w:trPr>
        <w:tc>
          <w:tcPr>
            <w:tcW w:w="5000" w:type="pct"/>
            <w:gridSpan w:val="6"/>
            <w:shd w:val="clear" w:color="auto" w:fill="auto"/>
            <w:noWrap/>
            <w:vAlign w:val="bottom"/>
            <w:hideMark/>
          </w:tcPr>
          <w:p w:rsidR="00CE5A81" w:rsidRPr="00CE5A81" w:rsidRDefault="00CE5A81" w:rsidP="0080197C">
            <w:pPr>
              <w:jc w:val="center"/>
              <w:rPr>
                <w:rFonts w:asciiTheme="majorBidi" w:hAnsiTheme="majorBidi" w:cstheme="majorBidi"/>
                <w:color w:val="000000"/>
              </w:rPr>
            </w:pPr>
            <w:r w:rsidRPr="00CE5A81">
              <w:rPr>
                <w:rFonts w:asciiTheme="majorBidi" w:hAnsiTheme="majorBidi" w:cstheme="majorBidi"/>
                <w:bCs/>
                <w:i/>
                <w:iCs/>
                <w:color w:val="000000"/>
                <w:sz w:val="22"/>
                <w:szCs w:val="22"/>
              </w:rPr>
              <w:t>Contemporaneous Correlations with Output</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999" w:dyaOrig="340">
                <v:shape id="_x0000_i1480" type="#_x0000_t75" style="width:47.7pt;height:17.6pt" o:ole="">
                  <v:imagedata r:id="rId736" o:title=""/>
                </v:shape>
                <o:OLEObject Type="Embed" ProgID="Equation.DSMT4" ShapeID="_x0000_i1480" DrawAspect="Content" ObjectID="_1359267403" r:id="rId881"/>
              </w:object>
            </w:r>
          </w:p>
        </w:tc>
        <w:tc>
          <w:tcPr>
            <w:tcW w:w="722" w:type="pct"/>
            <w:shd w:val="clear" w:color="000000" w:fill="FFFFFF"/>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0.96</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0.96</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0.89</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1.00</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80" w:dyaOrig="360">
                <v:shape id="_x0000_i1481" type="#_x0000_t75" style="width:55.25pt;height:17.6pt" o:ole="">
                  <v:imagedata r:id="rId851" o:title=""/>
                </v:shape>
                <o:OLEObject Type="Embed" ProgID="Equation.DSMT4" ShapeID="_x0000_i1481" DrawAspect="Content" ObjectID="_1359267404" r:id="rId882"/>
              </w:object>
            </w:r>
          </w:p>
        </w:tc>
        <w:tc>
          <w:tcPr>
            <w:tcW w:w="722" w:type="pct"/>
            <w:shd w:val="clear" w:color="000000" w:fill="FFFFFF"/>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0.97</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0.99</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0.95</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0.85</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4"/>
                <w:sz w:val="22"/>
                <w:szCs w:val="22"/>
              </w:rPr>
              <w:object w:dxaOrig="1120" w:dyaOrig="400">
                <v:shape id="_x0000_i1482" type="#_x0000_t75" style="width:49.4pt;height:17.6pt" o:ole="">
                  <v:imagedata r:id="rId742" o:title=""/>
                </v:shape>
                <o:OLEObject Type="Embed" ProgID="Equation.DSMT4" ShapeID="_x0000_i1482" DrawAspect="Content" ObjectID="_1359267405" r:id="rId883"/>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0.68</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0.85</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0.69</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0.90</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160" w:dyaOrig="340">
                <v:shape id="_x0000_i1483" type="#_x0000_t75" style="width:54.4pt;height:17.6pt" o:ole="">
                  <v:imagedata r:id="rId744" o:title=""/>
                </v:shape>
                <o:OLEObject Type="Embed" ProgID="Equation.DSMT4" ShapeID="_x0000_i1483" DrawAspect="Content" ObjectID="_1359267406" r:id="rId884"/>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-0.55</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-0.63</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-0.44</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-0.57</w:t>
            </w:r>
          </w:p>
        </w:tc>
      </w:tr>
      <w:tr w:rsidR="00CE5A81" w:rsidRPr="00636E88" w:rsidTr="00CE5A81">
        <w:trPr>
          <w:trHeight w:hRule="exact" w:val="288"/>
        </w:trPr>
        <w:tc>
          <w:tcPr>
            <w:tcW w:w="5000" w:type="pct"/>
            <w:gridSpan w:val="6"/>
            <w:shd w:val="clear" w:color="000000" w:fill="FFFFFF"/>
            <w:noWrap/>
            <w:vAlign w:val="bottom"/>
            <w:hideMark/>
          </w:tcPr>
          <w:p w:rsidR="00CE5A81" w:rsidRPr="00CE5A81" w:rsidRDefault="00CE5A81" w:rsidP="0080197C">
            <w:pPr>
              <w:jc w:val="center"/>
              <w:rPr>
                <w:rFonts w:asciiTheme="majorBidi" w:hAnsiTheme="majorBidi" w:cstheme="majorBidi"/>
                <w:color w:val="000000"/>
              </w:rPr>
            </w:pPr>
            <w:r w:rsidRPr="00CE5A81">
              <w:rPr>
                <w:rFonts w:asciiTheme="majorBidi" w:hAnsiTheme="majorBidi" w:cstheme="majorBidi"/>
                <w:bCs/>
                <w:i/>
                <w:iCs/>
                <w:color w:val="000000"/>
                <w:sz w:val="22"/>
                <w:szCs w:val="22"/>
              </w:rPr>
              <w:t>Contemporaneous Correlations with tot</w:t>
            </w:r>
            <w:r w:rsidRPr="00CE5A81">
              <w:rPr>
                <w:rFonts w:asciiTheme="majorBidi" w:hAnsiTheme="majorBidi" w:cstheme="majorBidi"/>
                <w:i/>
                <w:iCs/>
                <w:color w:val="000000"/>
                <w:sz w:val="22"/>
                <w:szCs w:val="22"/>
              </w:rPr>
              <w:t xml:space="preserve">  </w:t>
            </w:r>
          </w:p>
        </w:tc>
      </w:tr>
      <w:tr w:rsidR="0080197C" w:rsidRPr="00636E88" w:rsidTr="0080197C">
        <w:trPr>
          <w:trHeight w:hRule="exact" w:val="331"/>
        </w:trPr>
        <w:tc>
          <w:tcPr>
            <w:tcW w:w="1392" w:type="pct"/>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40" w:dyaOrig="340">
                <v:shape id="_x0000_i1484" type="#_x0000_t75" style="width:49.4pt;height:17.6pt" o:ole="">
                  <v:imagedata r:id="rId855" o:title=""/>
                </v:shape>
                <o:OLEObject Type="Embed" ProgID="Equation.DSMT4" ShapeID="_x0000_i1484" DrawAspect="Content" ObjectID="_1359267407" r:id="rId885"/>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-0.53</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-0.39</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r>
      <w:tr w:rsidR="0080197C" w:rsidRPr="00636E88" w:rsidTr="0080197C">
        <w:trPr>
          <w:trHeight w:hRule="exact" w:val="331"/>
        </w:trPr>
        <w:tc>
          <w:tcPr>
            <w:tcW w:w="1392" w:type="pct"/>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20" w:dyaOrig="340">
                <v:shape id="_x0000_i1485" type="#_x0000_t75" style="width:49.4pt;height:17.6pt" o:ole="">
                  <v:imagedata r:id="rId857" o:title=""/>
                </v:shape>
                <o:OLEObject Type="Embed" ProgID="Equation.DSMT4" ShapeID="_x0000_i1485" DrawAspect="Content" ObjectID="_1359267408" r:id="rId886"/>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-0.65</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-0.54</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r>
      <w:tr w:rsidR="0080197C" w:rsidRPr="00636E88" w:rsidTr="0080197C">
        <w:trPr>
          <w:trHeight w:hRule="exact" w:val="331"/>
        </w:trPr>
        <w:tc>
          <w:tcPr>
            <w:tcW w:w="1392" w:type="pct"/>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020" w:dyaOrig="340">
                <v:shape id="_x0000_i1486" type="#_x0000_t75" style="width:51.05pt;height:17.6pt" o:ole="">
                  <v:imagedata r:id="rId859" o:title=""/>
                </v:shape>
                <o:OLEObject Type="Embed" ProgID="Equation.DSMT4" ShapeID="_x0000_i1486" DrawAspect="Content" ObjectID="_1359267409" r:id="rId887"/>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-0.60</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-0.47</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980" w:dyaOrig="340">
                <v:shape id="_x0000_i1487" type="#_x0000_t75" style="width:43.55pt;height:17.6pt" o:ole="">
                  <v:imagedata r:id="rId861" o:title=""/>
                </v:shape>
                <o:OLEObject Type="Embed" ProgID="Equation.DSMT4" ShapeID="_x0000_i1487" DrawAspect="Content" ObjectID="_1359267410" r:id="rId888"/>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-0.58</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-0.56</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160" w:dyaOrig="340">
                <v:shape id="_x0000_i1488" type="#_x0000_t75" style="width:57.75pt;height:17.6pt" o:ole="">
                  <v:imagedata r:id="rId863" o:title=""/>
                </v:shape>
                <o:OLEObject Type="Embed" ProgID="Equation.DSMT4" ShapeID="_x0000_i1488" DrawAspect="Content" ObjectID="_1359267411" r:id="rId889"/>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0.71</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0.75</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p>
        </w:tc>
      </w:tr>
      <w:tr w:rsidR="00CE5A81" w:rsidRPr="00636E88" w:rsidTr="00CE5A81">
        <w:trPr>
          <w:trHeight w:hRule="exact" w:val="288"/>
        </w:trPr>
        <w:tc>
          <w:tcPr>
            <w:tcW w:w="5000" w:type="pct"/>
            <w:gridSpan w:val="6"/>
            <w:shd w:val="clear" w:color="000000" w:fill="FFFFFF"/>
            <w:noWrap/>
            <w:vAlign w:val="bottom"/>
            <w:hideMark/>
          </w:tcPr>
          <w:p w:rsidR="00CE5A81" w:rsidRPr="00CE5A81" w:rsidRDefault="00CE5A81" w:rsidP="0080197C">
            <w:pPr>
              <w:jc w:val="center"/>
              <w:rPr>
                <w:rFonts w:asciiTheme="majorBidi" w:hAnsiTheme="majorBidi" w:cstheme="majorBidi"/>
                <w:color w:val="000000"/>
              </w:rPr>
            </w:pPr>
            <w:r w:rsidRPr="00CE5A81">
              <w:rPr>
                <w:rFonts w:asciiTheme="majorBidi" w:hAnsiTheme="majorBidi" w:cstheme="majorBidi"/>
                <w:bCs/>
                <w:i/>
                <w:iCs/>
                <w:color w:val="000000"/>
                <w:sz w:val="22"/>
                <w:szCs w:val="22"/>
              </w:rPr>
              <w:t>Serial Correlations</w:t>
            </w:r>
          </w:p>
        </w:tc>
      </w:tr>
      <w:tr w:rsidR="0080197C" w:rsidRPr="00636E88" w:rsidTr="0080197C">
        <w:trPr>
          <w:trHeight w:hRule="exact" w:val="331"/>
        </w:trPr>
        <w:tc>
          <w:tcPr>
            <w:tcW w:w="1392" w:type="pct"/>
            <w:shd w:val="clear" w:color="auto" w:fill="auto"/>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4"/>
                <w:sz w:val="22"/>
                <w:szCs w:val="22"/>
              </w:rPr>
              <w:object w:dxaOrig="1340" w:dyaOrig="400">
                <v:shape id="_x0000_i1489" type="#_x0000_t75" style="width:55.25pt;height:17.6pt" o:ole="">
                  <v:imagedata r:id="rId748" o:title=""/>
                </v:shape>
                <o:OLEObject Type="Embed" ProgID="Equation.DSMT4" ShapeID="_x0000_i1489" DrawAspect="Content" ObjectID="_1359267412" r:id="rId890"/>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0.88</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0.86</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0.87</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0.82</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100" w:dyaOrig="340">
                <v:shape id="_x0000_i1490" type="#_x0000_t75" style="width:49.4pt;height:17.6pt" o:ole="">
                  <v:imagedata r:id="rId750" o:title=""/>
                </v:shape>
                <o:OLEObject Type="Embed" ProgID="Equation.DSMT4" ShapeID="_x0000_i1490" DrawAspect="Content" ObjectID="_1359267413" r:id="rId891"/>
              </w:object>
            </w:r>
          </w:p>
        </w:tc>
        <w:tc>
          <w:tcPr>
            <w:tcW w:w="722" w:type="pct"/>
            <w:shd w:val="clear" w:color="000000" w:fill="FFFFFF"/>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0.92</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0.92</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0.94</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0.81</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color w:val="000000"/>
                <w:sz w:val="22"/>
                <w:szCs w:val="22"/>
              </w:rPr>
              <w:t> </w:t>
            </w:r>
            <w:r w:rsidRPr="00CE5A81">
              <w:rPr>
                <w:rFonts w:asciiTheme="majorBidi" w:hAnsiTheme="majorBidi" w:cstheme="majorBidi"/>
                <w:position w:val="-12"/>
                <w:sz w:val="22"/>
                <w:szCs w:val="22"/>
              </w:rPr>
              <w:object w:dxaOrig="1180" w:dyaOrig="360">
                <v:shape id="_x0000_i1491" type="#_x0000_t75" style="width:58.6pt;height:17.6pt" o:ole="">
                  <v:imagedata r:id="rId867" o:title=""/>
                </v:shape>
                <o:OLEObject Type="Embed" ProgID="Equation.DSMT4" ShapeID="_x0000_i1491" DrawAspect="Content" ObjectID="_1359267414" r:id="rId892"/>
              </w:object>
            </w:r>
          </w:p>
        </w:tc>
        <w:tc>
          <w:tcPr>
            <w:tcW w:w="722" w:type="pct"/>
            <w:shd w:val="clear" w:color="000000" w:fill="FFFFFF"/>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0.91</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0.89</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0.91</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0.94</w:t>
            </w:r>
          </w:p>
        </w:tc>
      </w:tr>
      <w:tr w:rsidR="0080197C" w:rsidRPr="00636E88" w:rsidTr="0080197C">
        <w:trPr>
          <w:trHeight w:hRule="exact" w:val="331"/>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020" w:dyaOrig="340">
                <v:shape id="_x0000_i1492" type="#_x0000_t75" style="width:46.9pt;height:17.6pt" o:ole="">
                  <v:imagedata r:id="rId756" o:title=""/>
                </v:shape>
                <o:OLEObject Type="Embed" ProgID="Equation.DSMT4" ShapeID="_x0000_i1492" DrawAspect="Content" ObjectID="_1359267415" r:id="rId893"/>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0.65</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0.67</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0.67</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0.69</w:t>
            </w:r>
          </w:p>
        </w:tc>
      </w:tr>
      <w:tr w:rsidR="0080197C" w:rsidRPr="00636E88" w:rsidTr="0080197C">
        <w:trPr>
          <w:trHeight w:hRule="exact" w:val="333"/>
        </w:trPr>
        <w:tc>
          <w:tcPr>
            <w:tcW w:w="1392" w:type="pct"/>
            <w:shd w:val="clear" w:color="000000" w:fill="FFFFFF"/>
            <w:noWrap/>
            <w:vAlign w:val="bottom"/>
            <w:hideMark/>
          </w:tcPr>
          <w:p w:rsidR="0080197C" w:rsidRPr="00CE5A81" w:rsidRDefault="0080197C" w:rsidP="0080197C">
            <w:pPr>
              <w:rPr>
                <w:rFonts w:asciiTheme="majorBidi" w:hAnsiTheme="majorBidi" w:cstheme="majorBidi"/>
                <w:color w:val="000000"/>
              </w:rPr>
            </w:pPr>
            <w:r w:rsidRPr="00CE5A81">
              <w:rPr>
                <w:rFonts w:asciiTheme="majorBidi" w:hAnsiTheme="majorBidi" w:cstheme="majorBidi"/>
                <w:position w:val="-12"/>
                <w:sz w:val="22"/>
                <w:szCs w:val="22"/>
              </w:rPr>
              <w:object w:dxaOrig="1400" w:dyaOrig="340">
                <v:shape id="_x0000_i1493" type="#_x0000_t75" style="width:62.8pt;height:17.6pt" o:ole="">
                  <v:imagedata r:id="rId758" o:title=""/>
                </v:shape>
                <o:OLEObject Type="Embed" ProgID="Equation.DSMT4" ShapeID="_x0000_i1493" DrawAspect="Content" ObjectID="_1359267416" r:id="rId894"/>
              </w:object>
            </w:r>
          </w:p>
        </w:tc>
        <w:tc>
          <w:tcPr>
            <w:tcW w:w="722" w:type="pct"/>
            <w:shd w:val="clear" w:color="000000" w:fill="FFFFFF"/>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0.83</w:t>
            </w:r>
          </w:p>
        </w:tc>
        <w:tc>
          <w:tcPr>
            <w:tcW w:w="863"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0.79</w:t>
            </w:r>
          </w:p>
        </w:tc>
        <w:tc>
          <w:tcPr>
            <w:tcW w:w="48" w:type="pct"/>
          </w:tcPr>
          <w:p w:rsidR="0080197C" w:rsidRPr="00CE5A81" w:rsidRDefault="0080197C" w:rsidP="0080197C">
            <w:pPr>
              <w:jc w:val="center"/>
              <w:rPr>
                <w:rFonts w:asciiTheme="majorBidi" w:hAnsiTheme="majorBidi" w:cstheme="majorBidi"/>
                <w:color w:val="000000"/>
              </w:rPr>
            </w:pPr>
          </w:p>
        </w:tc>
        <w:tc>
          <w:tcPr>
            <w:tcW w:w="1104"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0.74</w:t>
            </w:r>
          </w:p>
        </w:tc>
        <w:tc>
          <w:tcPr>
            <w:tcW w:w="871" w:type="pct"/>
            <w:shd w:val="clear" w:color="auto" w:fill="auto"/>
            <w:noWrap/>
            <w:vAlign w:val="bottom"/>
            <w:hideMark/>
          </w:tcPr>
          <w:p w:rsidR="0080197C" w:rsidRPr="00CE5A81" w:rsidRDefault="0080197C" w:rsidP="0080197C">
            <w:pPr>
              <w:jc w:val="center"/>
              <w:rPr>
                <w:rFonts w:asciiTheme="majorBidi" w:hAnsiTheme="majorBidi" w:cstheme="majorBidi"/>
                <w:color w:val="000000"/>
              </w:rPr>
            </w:pPr>
            <w:r w:rsidRPr="00CE5A81">
              <w:rPr>
                <w:rFonts w:asciiTheme="majorBidi" w:hAnsiTheme="majorBidi" w:cstheme="majorBidi"/>
                <w:color w:val="000000"/>
                <w:sz w:val="22"/>
                <w:szCs w:val="22"/>
              </w:rPr>
              <w:t>0.60</w:t>
            </w:r>
          </w:p>
        </w:tc>
      </w:tr>
      <w:tr w:rsidR="0080197C" w:rsidRPr="00636E88" w:rsidTr="0080197C">
        <w:trPr>
          <w:trHeight w:hRule="exact" w:val="331"/>
        </w:trPr>
        <w:tc>
          <w:tcPr>
            <w:tcW w:w="1392" w:type="pct"/>
            <w:tcBorders>
              <w:bottom w:val="single" w:sz="2" w:space="0" w:color="auto"/>
            </w:tcBorders>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1180" w:dyaOrig="340">
                <v:shape id="_x0000_i1494" type="#_x0000_t75" style="width:58.6pt;height:17.6pt" o:ole="">
                  <v:imagedata r:id="rId871" o:title=""/>
                </v:shape>
                <o:OLEObject Type="Embed" ProgID="Equation.DSMT4" ShapeID="_x0000_i1494" DrawAspect="Content" ObjectID="_1359267417" r:id="rId895"/>
              </w:object>
            </w:r>
          </w:p>
        </w:tc>
        <w:tc>
          <w:tcPr>
            <w:tcW w:w="722" w:type="pct"/>
            <w:tcBorders>
              <w:bottom w:val="single" w:sz="2" w:space="0" w:color="auto"/>
            </w:tcBorders>
            <w:shd w:val="clear" w:color="000000" w:fill="FFFFFF"/>
            <w:noWrap/>
            <w:vAlign w:val="bottom"/>
            <w:hideMark/>
          </w:tcPr>
          <w:p w:rsidR="0080197C" w:rsidRPr="00CE5A81" w:rsidRDefault="0080197C" w:rsidP="0080197C">
            <w:pPr>
              <w:jc w:val="center"/>
              <w:rPr>
                <w:color w:val="000000"/>
              </w:rPr>
            </w:pPr>
            <w:r w:rsidRPr="00CE5A81">
              <w:rPr>
                <w:color w:val="000000"/>
              </w:rPr>
              <w:t>0.72</w:t>
            </w:r>
          </w:p>
        </w:tc>
        <w:tc>
          <w:tcPr>
            <w:tcW w:w="863" w:type="pct"/>
            <w:tcBorders>
              <w:bottom w:val="single" w:sz="2" w:space="0" w:color="auto"/>
            </w:tcBorders>
            <w:shd w:val="clear" w:color="auto" w:fill="auto"/>
            <w:noWrap/>
            <w:vAlign w:val="bottom"/>
            <w:hideMark/>
          </w:tcPr>
          <w:p w:rsidR="0080197C" w:rsidRPr="00A13655" w:rsidRDefault="0080197C" w:rsidP="0080197C">
            <w:pPr>
              <w:jc w:val="center"/>
              <w:rPr>
                <w:color w:val="000000"/>
              </w:rPr>
            </w:pPr>
          </w:p>
        </w:tc>
        <w:tc>
          <w:tcPr>
            <w:tcW w:w="48" w:type="pct"/>
            <w:tcBorders>
              <w:bottom w:val="single" w:sz="2" w:space="0" w:color="auto"/>
            </w:tcBorders>
          </w:tcPr>
          <w:p w:rsidR="0080197C" w:rsidRPr="00CE5A81" w:rsidRDefault="0080197C" w:rsidP="0080197C">
            <w:pPr>
              <w:jc w:val="center"/>
              <w:rPr>
                <w:color w:val="000000"/>
              </w:rPr>
            </w:pPr>
          </w:p>
        </w:tc>
        <w:tc>
          <w:tcPr>
            <w:tcW w:w="1104" w:type="pct"/>
            <w:tcBorders>
              <w:bottom w:val="single" w:sz="2" w:space="0" w:color="auto"/>
            </w:tcBorders>
            <w:shd w:val="clear" w:color="auto" w:fill="auto"/>
            <w:noWrap/>
            <w:vAlign w:val="bottom"/>
            <w:hideMark/>
          </w:tcPr>
          <w:p w:rsidR="0080197C" w:rsidRPr="00CE5A81" w:rsidRDefault="0080197C" w:rsidP="0080197C">
            <w:pPr>
              <w:jc w:val="center"/>
              <w:rPr>
                <w:color w:val="000000"/>
              </w:rPr>
            </w:pPr>
            <w:r w:rsidRPr="00CE5A81">
              <w:rPr>
                <w:color w:val="000000"/>
              </w:rPr>
              <w:t>0.72</w:t>
            </w:r>
          </w:p>
        </w:tc>
        <w:tc>
          <w:tcPr>
            <w:tcW w:w="871" w:type="pct"/>
            <w:tcBorders>
              <w:bottom w:val="single" w:sz="2" w:space="0" w:color="auto"/>
            </w:tcBorders>
            <w:shd w:val="clear" w:color="auto" w:fill="auto"/>
            <w:noWrap/>
            <w:vAlign w:val="bottom"/>
            <w:hideMark/>
          </w:tcPr>
          <w:p w:rsidR="0080197C" w:rsidRPr="00CE5A81" w:rsidRDefault="0080197C" w:rsidP="0080197C">
            <w:pPr>
              <w:jc w:val="center"/>
              <w:rPr>
                <w:color w:val="000000"/>
              </w:rPr>
            </w:pPr>
          </w:p>
        </w:tc>
      </w:tr>
    </w:tbl>
    <w:p w:rsidR="0080197C" w:rsidRPr="00636E88" w:rsidRDefault="0080197C" w:rsidP="0080197C"/>
    <w:p w:rsidR="0080197C" w:rsidRPr="00636E88" w:rsidRDefault="0080197C" w:rsidP="0080197C"/>
    <w:p w:rsidR="0080197C" w:rsidRPr="00636E88" w:rsidRDefault="0080197C" w:rsidP="0080197C"/>
    <w:p w:rsidR="0080197C" w:rsidRDefault="0080197C" w:rsidP="0080197C"/>
    <w:p w:rsidR="0080197C" w:rsidRDefault="0080197C" w:rsidP="0080197C"/>
    <w:p w:rsidR="0080197C" w:rsidRDefault="0080197C" w:rsidP="0080197C"/>
    <w:p w:rsidR="0080197C" w:rsidRDefault="0080197C" w:rsidP="0080197C"/>
    <w:p w:rsidR="00ED38D3" w:rsidRDefault="00ED38D3" w:rsidP="0080197C"/>
    <w:p w:rsidR="0051003D" w:rsidRDefault="0051003D" w:rsidP="0080197C"/>
    <w:tbl>
      <w:tblPr>
        <w:tblW w:w="4952" w:type="pct"/>
        <w:tblInd w:w="90" w:type="dxa"/>
        <w:tblLayout w:type="fixed"/>
        <w:tblCellMar>
          <w:left w:w="0" w:type="dxa"/>
          <w:right w:w="0" w:type="dxa"/>
        </w:tblCellMar>
        <w:tblLook w:val="04A0"/>
      </w:tblPr>
      <w:tblGrid>
        <w:gridCol w:w="2243"/>
        <w:gridCol w:w="1806"/>
        <w:gridCol w:w="1715"/>
        <w:gridCol w:w="1886"/>
        <w:gridCol w:w="1620"/>
      </w:tblGrid>
      <w:tr w:rsidR="0080197C" w:rsidRPr="00636E88" w:rsidTr="009040DC">
        <w:trPr>
          <w:trHeight w:hRule="exact" w:val="621"/>
        </w:trPr>
        <w:tc>
          <w:tcPr>
            <w:tcW w:w="5000" w:type="pct"/>
            <w:gridSpan w:val="5"/>
            <w:tcBorders>
              <w:bottom w:val="single" w:sz="2" w:space="0" w:color="auto"/>
            </w:tcBorders>
            <w:shd w:val="clear" w:color="auto" w:fill="auto"/>
            <w:noWrap/>
            <w:hideMark/>
          </w:tcPr>
          <w:p w:rsidR="0080197C" w:rsidRPr="00A13655" w:rsidRDefault="00FE50AD" w:rsidP="00085BE7">
            <w:pPr>
              <w:pStyle w:val="Caption"/>
              <w:rPr>
                <w:b w:val="0"/>
                <w:color w:val="000000"/>
              </w:rPr>
            </w:pPr>
            <w:bookmarkStart w:id="70" w:name="_Toc284613309"/>
            <w:bookmarkStart w:id="71" w:name="_Toc285392590"/>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9</w:t>
            </w:r>
            <w:r w:rsidR="00AB7C8D" w:rsidRPr="00085BE7">
              <w:rPr>
                <w:b w:val="0"/>
                <w:sz w:val="24"/>
                <w:szCs w:val="24"/>
              </w:rPr>
              <w:fldChar w:fldCharType="end"/>
            </w:r>
            <w:r w:rsidRPr="00085BE7">
              <w:rPr>
                <w:b w:val="0"/>
                <w:sz w:val="24"/>
                <w:szCs w:val="24"/>
              </w:rPr>
              <w:t xml:space="preserve">: </w:t>
            </w:r>
            <w:r w:rsidR="0080197C" w:rsidRPr="00085BE7">
              <w:rPr>
                <w:b w:val="0"/>
                <w:sz w:val="24"/>
                <w:szCs w:val="24"/>
              </w:rPr>
              <w:t>The Role of Durability</w:t>
            </w:r>
            <w:bookmarkEnd w:id="70"/>
            <w:bookmarkEnd w:id="71"/>
          </w:p>
        </w:tc>
      </w:tr>
      <w:tr w:rsidR="0080197C" w:rsidRPr="00636E88" w:rsidTr="0080197C">
        <w:trPr>
          <w:trHeight w:hRule="exact" w:val="720"/>
        </w:trPr>
        <w:tc>
          <w:tcPr>
            <w:tcW w:w="1210" w:type="pct"/>
            <w:tcBorders>
              <w:top w:val="single" w:sz="2" w:space="0" w:color="auto"/>
              <w:bottom w:val="single" w:sz="2" w:space="0" w:color="auto"/>
            </w:tcBorders>
            <w:shd w:val="clear" w:color="auto" w:fill="auto"/>
            <w:noWrap/>
            <w:vAlign w:val="center"/>
            <w:hideMark/>
          </w:tcPr>
          <w:p w:rsidR="0080197C" w:rsidRPr="00636E88" w:rsidRDefault="0080197C" w:rsidP="0080197C">
            <w:pPr>
              <w:jc w:val="center"/>
              <w:rPr>
                <w:color w:val="000000"/>
              </w:rPr>
            </w:pPr>
          </w:p>
        </w:tc>
        <w:tc>
          <w:tcPr>
            <w:tcW w:w="974" w:type="pct"/>
            <w:tcBorders>
              <w:top w:val="single" w:sz="2" w:space="0" w:color="auto"/>
              <w:bottom w:val="single" w:sz="2" w:space="0" w:color="auto"/>
            </w:tcBorders>
            <w:shd w:val="clear" w:color="auto" w:fill="auto"/>
            <w:noWrap/>
            <w:vAlign w:val="center"/>
            <w:hideMark/>
          </w:tcPr>
          <w:p w:rsidR="0080197C" w:rsidRDefault="0080197C" w:rsidP="0080197C">
            <w:pPr>
              <w:ind w:left="245" w:hanging="245"/>
              <w:jc w:val="center"/>
              <w:rPr>
                <w:color w:val="000000"/>
              </w:rPr>
            </w:pPr>
            <w:r w:rsidRPr="00772B5B">
              <w:rPr>
                <w:color w:val="000000"/>
              </w:rPr>
              <w:t xml:space="preserve">Higher Durability </w:t>
            </w:r>
          </w:p>
          <w:p w:rsidR="0080197C" w:rsidRPr="00772B5B" w:rsidRDefault="0080197C" w:rsidP="0080197C">
            <w:pPr>
              <w:ind w:left="245" w:hanging="245"/>
              <w:jc w:val="center"/>
              <w:rPr>
                <w:color w:val="000000"/>
              </w:rPr>
            </w:pPr>
            <w:r w:rsidRPr="00772B5B">
              <w:rPr>
                <w:color w:val="000000"/>
              </w:rPr>
              <w:t>in Both Goods</w:t>
            </w:r>
          </w:p>
        </w:tc>
        <w:tc>
          <w:tcPr>
            <w:tcW w:w="925" w:type="pct"/>
            <w:tcBorders>
              <w:top w:val="single" w:sz="2" w:space="0" w:color="auto"/>
              <w:bottom w:val="single" w:sz="2" w:space="0" w:color="auto"/>
            </w:tcBorders>
            <w:shd w:val="clear" w:color="auto" w:fill="auto"/>
            <w:noWrap/>
            <w:vAlign w:val="center"/>
            <w:hideMark/>
          </w:tcPr>
          <w:p w:rsidR="0080197C" w:rsidRDefault="0080197C" w:rsidP="0080197C">
            <w:pPr>
              <w:ind w:left="242" w:hanging="242"/>
              <w:jc w:val="center"/>
              <w:rPr>
                <w:color w:val="000000"/>
              </w:rPr>
            </w:pPr>
            <w:r>
              <w:rPr>
                <w:color w:val="000000"/>
              </w:rPr>
              <w:t xml:space="preserve">No </w:t>
            </w:r>
            <w:r w:rsidRPr="00772B5B">
              <w:rPr>
                <w:color w:val="000000"/>
              </w:rPr>
              <w:t xml:space="preserve">Durability </w:t>
            </w:r>
          </w:p>
          <w:p w:rsidR="0080197C" w:rsidRPr="00772B5B" w:rsidRDefault="0080197C" w:rsidP="0080197C">
            <w:pPr>
              <w:ind w:left="242" w:hanging="242"/>
              <w:jc w:val="center"/>
              <w:rPr>
                <w:color w:val="000000"/>
              </w:rPr>
            </w:pPr>
            <w:r w:rsidRPr="00772B5B">
              <w:rPr>
                <w:color w:val="000000"/>
              </w:rPr>
              <w:t xml:space="preserve">in Both Goods </w:t>
            </w:r>
          </w:p>
        </w:tc>
        <w:tc>
          <w:tcPr>
            <w:tcW w:w="1017" w:type="pct"/>
            <w:tcBorders>
              <w:top w:val="single" w:sz="2" w:space="0" w:color="auto"/>
              <w:bottom w:val="single" w:sz="2" w:space="0" w:color="auto"/>
            </w:tcBorders>
            <w:shd w:val="clear" w:color="auto" w:fill="auto"/>
            <w:vAlign w:val="center"/>
            <w:hideMark/>
          </w:tcPr>
          <w:p w:rsidR="0080197C" w:rsidRPr="00772B5B" w:rsidRDefault="0080197C" w:rsidP="0080197C">
            <w:pPr>
              <w:ind w:left="242" w:hanging="242"/>
              <w:jc w:val="center"/>
              <w:rPr>
                <w:color w:val="000000"/>
              </w:rPr>
            </w:pPr>
            <w:r w:rsidRPr="00772B5B">
              <w:rPr>
                <w:color w:val="000000"/>
              </w:rPr>
              <w:t>Durability in</w:t>
            </w:r>
          </w:p>
          <w:p w:rsidR="0080197C" w:rsidRPr="00772B5B" w:rsidRDefault="0080197C" w:rsidP="0080197C">
            <w:pPr>
              <w:ind w:left="242" w:hanging="242"/>
              <w:jc w:val="center"/>
              <w:rPr>
                <w:color w:val="000000"/>
              </w:rPr>
            </w:pPr>
            <w:r w:rsidRPr="00772B5B">
              <w:rPr>
                <w:color w:val="000000"/>
              </w:rPr>
              <w:t xml:space="preserve"> Domestic Goods</w:t>
            </w:r>
          </w:p>
        </w:tc>
        <w:tc>
          <w:tcPr>
            <w:tcW w:w="874" w:type="pct"/>
            <w:tcBorders>
              <w:top w:val="single" w:sz="2" w:space="0" w:color="auto"/>
              <w:bottom w:val="single" w:sz="2" w:space="0" w:color="auto"/>
            </w:tcBorders>
            <w:shd w:val="clear" w:color="auto" w:fill="auto"/>
            <w:vAlign w:val="center"/>
            <w:hideMark/>
          </w:tcPr>
          <w:p w:rsidR="0080197C" w:rsidRPr="00772B5B" w:rsidRDefault="0080197C" w:rsidP="006F6B5E">
            <w:pPr>
              <w:ind w:left="242" w:hanging="242"/>
              <w:jc w:val="center"/>
              <w:rPr>
                <w:color w:val="000000"/>
              </w:rPr>
            </w:pPr>
            <w:proofErr w:type="spellStart"/>
            <w:r w:rsidRPr="00772B5B">
              <w:rPr>
                <w:color w:val="000000"/>
              </w:rPr>
              <w:t>Durab</w:t>
            </w:r>
            <w:proofErr w:type="spellEnd"/>
            <w:r w:rsidRPr="00772B5B">
              <w:rPr>
                <w:color w:val="000000"/>
              </w:rPr>
              <w:t xml:space="preserve"> in</w:t>
            </w:r>
          </w:p>
          <w:p w:rsidR="0080197C" w:rsidRPr="00772B5B" w:rsidRDefault="0080197C" w:rsidP="0080197C">
            <w:pPr>
              <w:ind w:left="242" w:hanging="242"/>
              <w:jc w:val="center"/>
              <w:rPr>
                <w:color w:val="000000"/>
              </w:rPr>
            </w:pPr>
            <w:r w:rsidRPr="00772B5B">
              <w:rPr>
                <w:color w:val="000000"/>
              </w:rPr>
              <w:t xml:space="preserve">Foreign Goods </w:t>
            </w:r>
          </w:p>
        </w:tc>
      </w:tr>
      <w:tr w:rsidR="0080197C" w:rsidRPr="00636E88" w:rsidTr="0080197C">
        <w:trPr>
          <w:trHeight w:hRule="exact" w:val="410"/>
        </w:trPr>
        <w:tc>
          <w:tcPr>
            <w:tcW w:w="5000" w:type="pct"/>
            <w:gridSpan w:val="5"/>
            <w:tcBorders>
              <w:top w:val="single" w:sz="2" w:space="0" w:color="auto"/>
            </w:tcBorders>
            <w:shd w:val="clear" w:color="auto" w:fill="auto"/>
            <w:noWrap/>
            <w:vAlign w:val="bottom"/>
            <w:hideMark/>
          </w:tcPr>
          <w:p w:rsidR="0080197C" w:rsidRPr="00CE5A81" w:rsidRDefault="0080197C" w:rsidP="0080197C">
            <w:pPr>
              <w:spacing w:before="120"/>
              <w:jc w:val="center"/>
              <w:rPr>
                <w:bCs/>
                <w:i/>
                <w:iCs/>
                <w:color w:val="000000"/>
              </w:rPr>
            </w:pPr>
            <w:r w:rsidRPr="00CE5A81">
              <w:rPr>
                <w:bCs/>
                <w:i/>
                <w:iCs/>
                <w:color w:val="000000"/>
                <w:sz w:val="22"/>
                <w:szCs w:val="22"/>
              </w:rPr>
              <w:t>Volatilities</w:t>
            </w:r>
          </w:p>
          <w:p w:rsidR="0080197C" w:rsidRPr="00A13655" w:rsidRDefault="0080197C" w:rsidP="0080197C">
            <w:pPr>
              <w:rPr>
                <w:bCs/>
                <w:i/>
                <w:iCs/>
                <w:color w:val="000000"/>
                <w:sz w:val="20"/>
                <w:szCs w:val="20"/>
              </w:rPr>
            </w:pPr>
            <w:r w:rsidRPr="00A13655">
              <w:rPr>
                <w:bCs/>
                <w:i/>
                <w:iCs/>
                <w:color w:val="000000"/>
                <w:sz w:val="20"/>
                <w:szCs w:val="20"/>
              </w:rPr>
              <w:t> </w:t>
            </w:r>
          </w:p>
          <w:p w:rsidR="0080197C" w:rsidRPr="00A13655" w:rsidRDefault="0080197C" w:rsidP="0080197C">
            <w:pPr>
              <w:jc w:val="center"/>
              <w:rPr>
                <w:bCs/>
                <w:i/>
                <w:iCs/>
                <w:color w:val="000000"/>
                <w:sz w:val="20"/>
                <w:szCs w:val="20"/>
              </w:rPr>
            </w:pPr>
            <w:r w:rsidRPr="00A13655">
              <w:rPr>
                <w:bCs/>
                <w:i/>
                <w:iCs/>
                <w:color w:val="000000"/>
                <w:sz w:val="20"/>
                <w:szCs w:val="20"/>
              </w:rPr>
              <w:t> </w:t>
            </w:r>
          </w:p>
        </w:tc>
      </w:tr>
      <w:tr w:rsidR="0080197C" w:rsidRPr="00636E88" w:rsidTr="0080197C">
        <w:trPr>
          <w:trHeight w:hRule="exact" w:val="331"/>
        </w:trPr>
        <w:tc>
          <w:tcPr>
            <w:tcW w:w="1210" w:type="pct"/>
            <w:shd w:val="clear" w:color="auto" w:fill="auto"/>
            <w:noWrap/>
            <w:vAlign w:val="bottom"/>
            <w:hideMark/>
          </w:tcPr>
          <w:p w:rsidR="0080197C" w:rsidRPr="00A13655" w:rsidRDefault="0080197C" w:rsidP="0080197C">
            <w:pPr>
              <w:rPr>
                <w:color w:val="000000"/>
                <w:sz w:val="20"/>
                <w:szCs w:val="20"/>
              </w:rPr>
            </w:pPr>
            <w:r w:rsidRPr="00A13655">
              <w:rPr>
                <w:position w:val="-12"/>
                <w:sz w:val="20"/>
                <w:szCs w:val="20"/>
              </w:rPr>
              <w:object w:dxaOrig="680" w:dyaOrig="340">
                <v:shape id="_x0000_i1495" type="#_x0000_t75" style="width:33.5pt;height:17.6pt" o:ole="">
                  <v:imagedata r:id="rId722" o:title=""/>
                </v:shape>
                <o:OLEObject Type="Embed" ProgID="Equation.DSMT4" ShapeID="_x0000_i1495" DrawAspect="Content" ObjectID="_1359267418" r:id="rId896"/>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1.57</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2.64</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1.77</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1.90</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660" w:dyaOrig="340">
                <v:shape id="_x0000_i1496" type="#_x0000_t75" style="width:30.15pt;height:17.6pt" o:ole="">
                  <v:imagedata r:id="rId724" o:title=""/>
                </v:shape>
                <o:OLEObject Type="Embed" ProgID="Equation.DSMT4" ShapeID="_x0000_i1496" DrawAspect="Content" ObjectID="_1359267419" r:id="rId897"/>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1.18</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2.41</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1.43</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1.50</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720" w:dyaOrig="360">
                <v:shape id="_x0000_i1497" type="#_x0000_t75" style="width:37.65pt;height:17.6pt" o:ole="">
                  <v:imagedata r:id="rId844" o:title=""/>
                </v:shape>
                <o:OLEObject Type="Embed" ProgID="Equation.DSMT4" ShapeID="_x0000_i1497" DrawAspect="Content" ObjectID="_1359267420" r:id="rId898"/>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1.37</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3.21</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1.69</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1.84</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620" w:dyaOrig="340">
                <v:shape id="_x0000_i1498" type="#_x0000_t75" style="width:30.15pt;height:17.6pt" o:ole="">
                  <v:imagedata r:id="rId730" o:title=""/>
                </v:shape>
                <o:OLEObject Type="Embed" ProgID="Equation.DSMT4" ShapeID="_x0000_i1498" DrawAspect="Content" ObjectID="_1359267421" r:id="rId899"/>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5.11</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6.40</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6.05</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5.41</w:t>
            </w:r>
          </w:p>
        </w:tc>
      </w:tr>
      <w:tr w:rsidR="0080197C" w:rsidRPr="00636E88" w:rsidTr="0080197C">
        <w:trPr>
          <w:trHeight w:hRule="exact" w:val="315"/>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820" w:dyaOrig="340">
                <v:shape id="_x0000_i1499" type="#_x0000_t75" style="width:34.35pt;height:17.6pt" o:ole="">
                  <v:imagedata r:id="rId732" o:title=""/>
                </v:shape>
                <o:OLEObject Type="Embed" ProgID="Equation.DSMT4" ShapeID="_x0000_i1499" DrawAspect="Content" ObjectID="_1359267422" r:id="rId900"/>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0.92</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1.31</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0.88</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0.98</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700" w:dyaOrig="340">
                <v:shape id="_x0000_i1500" type="#_x0000_t75" style="width:34.35pt;height:17.6pt" o:ole="">
                  <v:imagedata r:id="rId848" o:title=""/>
                </v:shape>
                <o:OLEObject Type="Embed" ProgID="Equation.DSMT4" ShapeID="_x0000_i1500" DrawAspect="Content" ObjectID="_1359267423" r:id="rId901"/>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2.10</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2.10</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2.10</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2.10</w:t>
            </w:r>
          </w:p>
        </w:tc>
      </w:tr>
      <w:tr w:rsidR="0080197C" w:rsidRPr="00636E88" w:rsidTr="0080197C">
        <w:trPr>
          <w:trHeight w:hRule="exact" w:val="288"/>
        </w:trPr>
        <w:tc>
          <w:tcPr>
            <w:tcW w:w="5000" w:type="pct"/>
            <w:gridSpan w:val="5"/>
            <w:shd w:val="clear" w:color="auto" w:fill="auto"/>
            <w:noWrap/>
            <w:vAlign w:val="bottom"/>
            <w:hideMark/>
          </w:tcPr>
          <w:p w:rsidR="0080197C" w:rsidRPr="00CE5A81" w:rsidRDefault="0080197C" w:rsidP="0080197C">
            <w:pPr>
              <w:jc w:val="center"/>
              <w:rPr>
                <w:i/>
                <w:iCs/>
                <w:color w:val="000000"/>
              </w:rPr>
            </w:pPr>
            <w:r w:rsidRPr="00CE5A81">
              <w:rPr>
                <w:bCs/>
                <w:i/>
                <w:iCs/>
                <w:color w:val="000000"/>
                <w:sz w:val="22"/>
                <w:szCs w:val="22"/>
              </w:rPr>
              <w:t>Contemporaneous Correlations with Output</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sz w:val="20"/>
                <w:szCs w:val="20"/>
              </w:rPr>
              <w:object w:dxaOrig="999" w:dyaOrig="340">
                <v:shape id="_x0000_i1501" type="#_x0000_t75" style="width:47.7pt;height:17.6pt" o:ole="">
                  <v:imagedata r:id="rId736" o:title=""/>
                </v:shape>
                <o:OLEObject Type="Embed" ProgID="Equation.DSMT4" ShapeID="_x0000_i1501" DrawAspect="Content" ObjectID="_1359267424" r:id="rId902"/>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0.86</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0.96</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0.89</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0.92</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1080" w:dyaOrig="360">
                <v:shape id="_x0000_i1502" type="#_x0000_t75" style="width:55.25pt;height:17.6pt" o:ole="">
                  <v:imagedata r:id="rId851" o:title=""/>
                </v:shape>
                <o:OLEObject Type="Embed" ProgID="Equation.DSMT4" ShapeID="_x0000_i1502" DrawAspect="Content" ObjectID="_1359267425" r:id="rId903"/>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0.94</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0.97</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0.95</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0.97</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4"/>
                <w:sz w:val="20"/>
                <w:szCs w:val="20"/>
              </w:rPr>
              <w:object w:dxaOrig="1120" w:dyaOrig="400">
                <v:shape id="_x0000_i1503" type="#_x0000_t75" style="width:49.4pt;height:17.6pt" o:ole="">
                  <v:imagedata r:id="rId742" o:title=""/>
                </v:shape>
                <o:OLEObject Type="Embed" ProgID="Equation.DSMT4" ShapeID="_x0000_i1503" DrawAspect="Content" ObjectID="_1359267426" r:id="rId904"/>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0.76</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0.68</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0.69</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0.73</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1160" w:dyaOrig="340">
                <v:shape id="_x0000_i1504" type="#_x0000_t75" style="width:54.4pt;height:17.6pt" o:ole="">
                  <v:imagedata r:id="rId744" o:title=""/>
                </v:shape>
                <o:OLEObject Type="Embed" ProgID="Equation.DSMT4" ShapeID="_x0000_i1504" DrawAspect="Content" ObjectID="_1359267427" r:id="rId905"/>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-0.29</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-0.55</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-0.44</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-0.36</w:t>
            </w:r>
          </w:p>
        </w:tc>
      </w:tr>
      <w:tr w:rsidR="0080197C" w:rsidRPr="00636E88" w:rsidTr="0080197C">
        <w:trPr>
          <w:trHeight w:hRule="exact" w:val="288"/>
        </w:trPr>
        <w:tc>
          <w:tcPr>
            <w:tcW w:w="5000" w:type="pct"/>
            <w:gridSpan w:val="5"/>
            <w:shd w:val="clear" w:color="000000" w:fill="FFFFFF"/>
            <w:noWrap/>
            <w:vAlign w:val="bottom"/>
            <w:hideMark/>
          </w:tcPr>
          <w:p w:rsidR="0080197C" w:rsidRPr="00CE5A81" w:rsidRDefault="0080197C" w:rsidP="0080197C">
            <w:pPr>
              <w:jc w:val="center"/>
              <w:rPr>
                <w:i/>
                <w:iCs/>
                <w:color w:val="000000"/>
              </w:rPr>
            </w:pPr>
            <w:r w:rsidRPr="00CE5A81">
              <w:rPr>
                <w:bCs/>
                <w:i/>
                <w:iCs/>
                <w:color w:val="000000"/>
                <w:sz w:val="22"/>
                <w:szCs w:val="22"/>
              </w:rPr>
              <w:t>Conte</w:t>
            </w:r>
            <w:r w:rsidR="00CE5A81">
              <w:rPr>
                <w:bCs/>
                <w:i/>
                <w:iCs/>
                <w:color w:val="000000"/>
                <w:sz w:val="22"/>
                <w:szCs w:val="22"/>
              </w:rPr>
              <w:t>mporaneous Correlations with ToT</w:t>
            </w:r>
            <w:r w:rsidRPr="00CE5A81">
              <w:rPr>
                <w:i/>
                <w:iCs/>
                <w:color w:val="000000"/>
                <w:sz w:val="22"/>
                <w:szCs w:val="22"/>
              </w:rPr>
              <w:t xml:space="preserve">  </w:t>
            </w:r>
          </w:p>
        </w:tc>
      </w:tr>
      <w:tr w:rsidR="0080197C" w:rsidRPr="00636E88" w:rsidTr="0080197C">
        <w:trPr>
          <w:trHeight w:hRule="exact" w:val="331"/>
        </w:trPr>
        <w:tc>
          <w:tcPr>
            <w:tcW w:w="1210" w:type="pct"/>
            <w:shd w:val="clear" w:color="auto" w:fill="auto"/>
            <w:noWrap/>
            <w:vAlign w:val="bottom"/>
            <w:hideMark/>
          </w:tcPr>
          <w:p w:rsidR="0080197C" w:rsidRPr="00A13655" w:rsidRDefault="0080197C" w:rsidP="0080197C">
            <w:pPr>
              <w:rPr>
                <w:color w:val="000000"/>
              </w:rPr>
            </w:pPr>
            <w:r w:rsidRPr="00A13655">
              <w:rPr>
                <w:color w:val="000000"/>
              </w:rPr>
              <w:t> </w:t>
            </w:r>
            <w:r w:rsidRPr="00A13655">
              <w:rPr>
                <w:position w:val="-12"/>
              </w:rPr>
              <w:object w:dxaOrig="1040" w:dyaOrig="340">
                <v:shape id="_x0000_i1505" type="#_x0000_t75" style="width:49.4pt;height:17.6pt" o:ole="">
                  <v:imagedata r:id="rId855" o:title=""/>
                </v:shape>
                <o:OLEObject Type="Embed" ProgID="Equation.DSMT4" ShapeID="_x0000_i1505" DrawAspect="Content" ObjectID="_1359267428" r:id="rId906"/>
              </w:object>
            </w:r>
          </w:p>
        </w:tc>
        <w:tc>
          <w:tcPr>
            <w:tcW w:w="9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-0.27</w:t>
            </w:r>
          </w:p>
        </w:tc>
        <w:tc>
          <w:tcPr>
            <w:tcW w:w="925"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-0.53</w:t>
            </w:r>
          </w:p>
        </w:tc>
        <w:tc>
          <w:tcPr>
            <w:tcW w:w="1017"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-0.39</w:t>
            </w:r>
          </w:p>
        </w:tc>
        <w:tc>
          <w:tcPr>
            <w:tcW w:w="8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-0.27</w:t>
            </w:r>
          </w:p>
        </w:tc>
      </w:tr>
      <w:tr w:rsidR="0080197C" w:rsidRPr="00636E88" w:rsidTr="0080197C">
        <w:trPr>
          <w:trHeight w:hRule="exact" w:val="331"/>
        </w:trPr>
        <w:tc>
          <w:tcPr>
            <w:tcW w:w="1210" w:type="pct"/>
            <w:shd w:val="clear" w:color="auto" w:fill="auto"/>
            <w:noWrap/>
            <w:vAlign w:val="bottom"/>
            <w:hideMark/>
          </w:tcPr>
          <w:p w:rsidR="0080197C" w:rsidRPr="00A13655" w:rsidRDefault="0080197C" w:rsidP="0080197C">
            <w:pPr>
              <w:rPr>
                <w:color w:val="000000"/>
              </w:rPr>
            </w:pPr>
            <w:r w:rsidRPr="00A13655">
              <w:rPr>
                <w:color w:val="000000"/>
              </w:rPr>
              <w:t> </w:t>
            </w:r>
            <w:r w:rsidRPr="00A13655">
              <w:rPr>
                <w:position w:val="-12"/>
              </w:rPr>
              <w:object w:dxaOrig="1020" w:dyaOrig="340">
                <v:shape id="_x0000_i1506" type="#_x0000_t75" style="width:49.4pt;height:17.6pt" o:ole="">
                  <v:imagedata r:id="rId857" o:title=""/>
                </v:shape>
                <o:OLEObject Type="Embed" ProgID="Equation.DSMT4" ShapeID="_x0000_i1506" DrawAspect="Content" ObjectID="_1359267429" r:id="rId907"/>
              </w:object>
            </w:r>
          </w:p>
        </w:tc>
        <w:tc>
          <w:tcPr>
            <w:tcW w:w="9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-0.40</w:t>
            </w:r>
          </w:p>
        </w:tc>
        <w:tc>
          <w:tcPr>
            <w:tcW w:w="925"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-0.65</w:t>
            </w:r>
          </w:p>
        </w:tc>
        <w:tc>
          <w:tcPr>
            <w:tcW w:w="1017"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-0.54</w:t>
            </w:r>
          </w:p>
        </w:tc>
        <w:tc>
          <w:tcPr>
            <w:tcW w:w="8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-0.38</w:t>
            </w:r>
          </w:p>
        </w:tc>
      </w:tr>
      <w:tr w:rsidR="0080197C" w:rsidRPr="00636E88" w:rsidTr="0080197C">
        <w:trPr>
          <w:trHeight w:hRule="exact" w:val="331"/>
        </w:trPr>
        <w:tc>
          <w:tcPr>
            <w:tcW w:w="1210" w:type="pct"/>
            <w:shd w:val="clear" w:color="auto" w:fill="auto"/>
            <w:noWrap/>
            <w:vAlign w:val="bottom"/>
            <w:hideMark/>
          </w:tcPr>
          <w:p w:rsidR="0080197C" w:rsidRPr="00A13655" w:rsidRDefault="0080197C" w:rsidP="0080197C">
            <w:pPr>
              <w:rPr>
                <w:color w:val="000000"/>
              </w:rPr>
            </w:pPr>
            <w:r w:rsidRPr="00A13655">
              <w:rPr>
                <w:color w:val="000000"/>
              </w:rPr>
              <w:t> </w:t>
            </w:r>
            <w:r w:rsidRPr="00A13655">
              <w:rPr>
                <w:position w:val="-12"/>
              </w:rPr>
              <w:object w:dxaOrig="1020" w:dyaOrig="340">
                <v:shape id="_x0000_i1507" type="#_x0000_t75" style="width:51.05pt;height:17.6pt" o:ole="">
                  <v:imagedata r:id="rId859" o:title=""/>
                </v:shape>
                <o:OLEObject Type="Embed" ProgID="Equation.DSMT4" ShapeID="_x0000_i1507" DrawAspect="Content" ObjectID="_1359267430" r:id="rId908"/>
              </w:object>
            </w:r>
          </w:p>
        </w:tc>
        <w:tc>
          <w:tcPr>
            <w:tcW w:w="9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-0.58</w:t>
            </w:r>
          </w:p>
        </w:tc>
        <w:tc>
          <w:tcPr>
            <w:tcW w:w="925"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-0.60</w:t>
            </w:r>
          </w:p>
        </w:tc>
        <w:tc>
          <w:tcPr>
            <w:tcW w:w="1017"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-0.47</w:t>
            </w:r>
          </w:p>
        </w:tc>
        <w:tc>
          <w:tcPr>
            <w:tcW w:w="8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-0.47</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980" w:dyaOrig="340">
                <v:shape id="_x0000_i1508" type="#_x0000_t75" style="width:43.55pt;height:17.6pt" o:ole="">
                  <v:imagedata r:id="rId861" o:title=""/>
                </v:shape>
                <o:OLEObject Type="Embed" ProgID="Equation.DSMT4" ShapeID="_x0000_i1508" DrawAspect="Content" ObjectID="_1359267431" r:id="rId909"/>
              </w:object>
            </w:r>
          </w:p>
        </w:tc>
        <w:tc>
          <w:tcPr>
            <w:tcW w:w="9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-0.43</w:t>
            </w:r>
          </w:p>
        </w:tc>
        <w:tc>
          <w:tcPr>
            <w:tcW w:w="925"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-0.58</w:t>
            </w:r>
          </w:p>
        </w:tc>
        <w:tc>
          <w:tcPr>
            <w:tcW w:w="1017"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-0.56</w:t>
            </w:r>
          </w:p>
        </w:tc>
        <w:tc>
          <w:tcPr>
            <w:tcW w:w="8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-0.46</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1160" w:dyaOrig="340">
                <v:shape id="_x0000_i1509" type="#_x0000_t75" style="width:57.75pt;height:17.6pt" o:ole="">
                  <v:imagedata r:id="rId863" o:title=""/>
                </v:shape>
                <o:OLEObject Type="Embed" ProgID="Equation.DSMT4" ShapeID="_x0000_i1509" DrawAspect="Content" ObjectID="_1359267432" r:id="rId910"/>
              </w:object>
            </w:r>
          </w:p>
        </w:tc>
        <w:tc>
          <w:tcPr>
            <w:tcW w:w="9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0.74</w:t>
            </w:r>
          </w:p>
        </w:tc>
        <w:tc>
          <w:tcPr>
            <w:tcW w:w="925"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0.71</w:t>
            </w:r>
          </w:p>
        </w:tc>
        <w:tc>
          <w:tcPr>
            <w:tcW w:w="1017"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0.75</w:t>
            </w:r>
          </w:p>
        </w:tc>
        <w:tc>
          <w:tcPr>
            <w:tcW w:w="874"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0.72</w:t>
            </w:r>
          </w:p>
        </w:tc>
      </w:tr>
      <w:tr w:rsidR="0080197C" w:rsidRPr="00636E88" w:rsidTr="0080197C">
        <w:trPr>
          <w:trHeight w:hRule="exact" w:val="288"/>
        </w:trPr>
        <w:tc>
          <w:tcPr>
            <w:tcW w:w="5000" w:type="pct"/>
            <w:gridSpan w:val="5"/>
            <w:shd w:val="clear" w:color="000000" w:fill="FFFFFF"/>
            <w:noWrap/>
            <w:vAlign w:val="bottom"/>
            <w:hideMark/>
          </w:tcPr>
          <w:p w:rsidR="0080197C" w:rsidRPr="00CE5A81" w:rsidRDefault="0080197C" w:rsidP="0080197C">
            <w:pPr>
              <w:jc w:val="center"/>
              <w:rPr>
                <w:i/>
                <w:iCs/>
                <w:color w:val="000000"/>
              </w:rPr>
            </w:pPr>
            <w:r w:rsidRPr="00CE5A81">
              <w:rPr>
                <w:bCs/>
                <w:i/>
                <w:iCs/>
                <w:color w:val="000000"/>
                <w:sz w:val="22"/>
                <w:szCs w:val="22"/>
              </w:rPr>
              <w:t>Serial Correlations</w:t>
            </w:r>
          </w:p>
        </w:tc>
      </w:tr>
      <w:tr w:rsidR="0080197C" w:rsidRPr="00636E88" w:rsidTr="0080197C">
        <w:trPr>
          <w:trHeight w:hRule="exact" w:val="331"/>
        </w:trPr>
        <w:tc>
          <w:tcPr>
            <w:tcW w:w="1210" w:type="pct"/>
            <w:shd w:val="clear" w:color="auto" w:fill="auto"/>
            <w:noWrap/>
            <w:vAlign w:val="bottom"/>
            <w:hideMark/>
          </w:tcPr>
          <w:p w:rsidR="0080197C" w:rsidRPr="00A13655" w:rsidRDefault="0080197C" w:rsidP="0080197C">
            <w:pPr>
              <w:rPr>
                <w:color w:val="000000"/>
                <w:sz w:val="20"/>
                <w:szCs w:val="20"/>
              </w:rPr>
            </w:pPr>
            <w:r w:rsidRPr="00A13655">
              <w:rPr>
                <w:position w:val="-14"/>
                <w:sz w:val="20"/>
                <w:szCs w:val="20"/>
              </w:rPr>
              <w:object w:dxaOrig="1340" w:dyaOrig="400">
                <v:shape id="_x0000_i1510" type="#_x0000_t75" style="width:55.25pt;height:17.6pt" o:ole="">
                  <v:imagedata r:id="rId748" o:title=""/>
                </v:shape>
                <o:OLEObject Type="Embed" ProgID="Equation.DSMT4" ShapeID="_x0000_i1510" DrawAspect="Content" ObjectID="_1359267433" r:id="rId911"/>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0.86</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0.88</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0.87</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0.87</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1100" w:dyaOrig="340">
                <v:shape id="_x0000_i1511" type="#_x0000_t75" style="width:49.4pt;height:17.6pt" o:ole="">
                  <v:imagedata r:id="rId750" o:title=""/>
                </v:shape>
                <o:OLEObject Type="Embed" ProgID="Equation.DSMT4" ShapeID="_x0000_i1511" DrawAspect="Content" ObjectID="_1359267434" r:id="rId912"/>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0.95</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0.92</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0.94</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0.94</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1180" w:dyaOrig="360">
                <v:shape id="_x0000_i1512" type="#_x0000_t75" style="width:58.6pt;height:17.6pt" o:ole="">
                  <v:imagedata r:id="rId867" o:title=""/>
                </v:shape>
                <o:OLEObject Type="Embed" ProgID="Equation.DSMT4" ShapeID="_x0000_i1512" DrawAspect="Content" ObjectID="_1359267435" r:id="rId913"/>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0.85</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0.91</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0.91</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0.89</w:t>
            </w:r>
          </w:p>
        </w:tc>
      </w:tr>
      <w:tr w:rsidR="0080197C" w:rsidRPr="00636E88" w:rsidTr="0080197C">
        <w:trPr>
          <w:trHeight w:hRule="exact" w:val="331"/>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1020" w:dyaOrig="340">
                <v:shape id="_x0000_i1513" type="#_x0000_t75" style="width:46.9pt;height:17.6pt" o:ole="">
                  <v:imagedata r:id="rId756" o:title=""/>
                </v:shape>
                <o:OLEObject Type="Embed" ProgID="Equation.DSMT4" ShapeID="_x0000_i1513" DrawAspect="Content" ObjectID="_1359267436" r:id="rId914"/>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0.67</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0.65</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0.67</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0.67</w:t>
            </w:r>
          </w:p>
        </w:tc>
      </w:tr>
      <w:tr w:rsidR="0080197C" w:rsidRPr="00636E88" w:rsidTr="0080197C">
        <w:trPr>
          <w:trHeight w:hRule="exact" w:val="333"/>
        </w:trPr>
        <w:tc>
          <w:tcPr>
            <w:tcW w:w="1210"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1400" w:dyaOrig="340">
                <v:shape id="_x0000_i1514" type="#_x0000_t75" style="width:62.8pt;height:17.6pt" o:ole="">
                  <v:imagedata r:id="rId758" o:title=""/>
                </v:shape>
                <o:OLEObject Type="Embed" ProgID="Equation.DSMT4" ShapeID="_x0000_i1514" DrawAspect="Content" ObjectID="_1359267437" r:id="rId915"/>
              </w:object>
            </w:r>
          </w:p>
        </w:tc>
        <w:tc>
          <w:tcPr>
            <w:tcW w:w="9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0.63</w:t>
            </w:r>
          </w:p>
        </w:tc>
        <w:tc>
          <w:tcPr>
            <w:tcW w:w="925"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0.83</w:t>
            </w:r>
          </w:p>
        </w:tc>
        <w:tc>
          <w:tcPr>
            <w:tcW w:w="1017"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0.74</w:t>
            </w:r>
          </w:p>
        </w:tc>
        <w:tc>
          <w:tcPr>
            <w:tcW w:w="874" w:type="pct"/>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0.69</w:t>
            </w:r>
          </w:p>
        </w:tc>
      </w:tr>
      <w:tr w:rsidR="0080197C" w:rsidRPr="00636E88" w:rsidTr="0080197C">
        <w:trPr>
          <w:trHeight w:hRule="exact" w:val="331"/>
        </w:trPr>
        <w:tc>
          <w:tcPr>
            <w:tcW w:w="1210" w:type="pct"/>
            <w:tcBorders>
              <w:bottom w:val="single" w:sz="2" w:space="0" w:color="auto"/>
            </w:tcBorders>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1180" w:dyaOrig="340">
                <v:shape id="_x0000_i1515" type="#_x0000_t75" style="width:58.6pt;height:17.6pt" o:ole="">
                  <v:imagedata r:id="rId871" o:title=""/>
                </v:shape>
                <o:OLEObject Type="Embed" ProgID="Equation.DSMT4" ShapeID="_x0000_i1515" DrawAspect="Content" ObjectID="_1359267438" r:id="rId916"/>
              </w:object>
            </w:r>
          </w:p>
        </w:tc>
        <w:tc>
          <w:tcPr>
            <w:tcW w:w="974" w:type="pct"/>
            <w:tcBorders>
              <w:bottom w:val="single" w:sz="2" w:space="0" w:color="auto"/>
            </w:tcBorders>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0.72</w:t>
            </w:r>
          </w:p>
        </w:tc>
        <w:tc>
          <w:tcPr>
            <w:tcW w:w="925" w:type="pct"/>
            <w:tcBorders>
              <w:bottom w:val="single" w:sz="2" w:space="0" w:color="auto"/>
            </w:tcBorders>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0.72</w:t>
            </w:r>
          </w:p>
        </w:tc>
        <w:tc>
          <w:tcPr>
            <w:tcW w:w="1017" w:type="pct"/>
            <w:tcBorders>
              <w:bottom w:val="single" w:sz="2" w:space="0" w:color="auto"/>
            </w:tcBorders>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0.72</w:t>
            </w:r>
          </w:p>
        </w:tc>
        <w:tc>
          <w:tcPr>
            <w:tcW w:w="874" w:type="pct"/>
            <w:tcBorders>
              <w:bottom w:val="single" w:sz="2" w:space="0" w:color="auto"/>
            </w:tcBorders>
            <w:shd w:val="clear" w:color="auto" w:fill="auto"/>
            <w:noWrap/>
            <w:vAlign w:val="bottom"/>
            <w:hideMark/>
          </w:tcPr>
          <w:p w:rsidR="0080197C" w:rsidRPr="00CE5A81" w:rsidRDefault="0080197C" w:rsidP="0080197C">
            <w:pPr>
              <w:jc w:val="center"/>
              <w:rPr>
                <w:color w:val="000000"/>
              </w:rPr>
            </w:pPr>
            <w:r w:rsidRPr="00CE5A81">
              <w:rPr>
                <w:color w:val="000000"/>
                <w:sz w:val="22"/>
                <w:szCs w:val="22"/>
              </w:rPr>
              <w:t>0.72</w:t>
            </w:r>
          </w:p>
        </w:tc>
      </w:tr>
      <w:tr w:rsidR="0080197C" w:rsidRPr="00636E88" w:rsidTr="0080197C">
        <w:trPr>
          <w:trHeight w:hRule="exact" w:val="365"/>
        </w:trPr>
        <w:tc>
          <w:tcPr>
            <w:tcW w:w="5000" w:type="pct"/>
            <w:gridSpan w:val="5"/>
            <w:tcBorders>
              <w:top w:val="single" w:sz="2" w:space="0" w:color="auto"/>
            </w:tcBorders>
            <w:shd w:val="clear" w:color="000000" w:fill="FFFFFF"/>
            <w:noWrap/>
            <w:vAlign w:val="bottom"/>
            <w:hideMark/>
          </w:tcPr>
          <w:p w:rsidR="0080197C" w:rsidRPr="00636E88" w:rsidRDefault="0080197C" w:rsidP="0080197C">
            <w:pPr>
              <w:spacing w:before="120" w:after="240"/>
              <w:rPr>
                <w:color w:val="000000"/>
                <w:sz w:val="20"/>
                <w:szCs w:val="20"/>
              </w:rPr>
            </w:pPr>
            <w:r w:rsidRPr="00636E88">
              <w:rPr>
                <w:color w:val="000000"/>
                <w:sz w:val="20"/>
                <w:szCs w:val="20"/>
              </w:rPr>
              <w:t>Note: 1. The comments on Table 3</w:t>
            </w:r>
          </w:p>
        </w:tc>
      </w:tr>
      <w:tr w:rsidR="0080197C" w:rsidRPr="00636E88" w:rsidTr="0080197C">
        <w:trPr>
          <w:trHeight w:hRule="exact" w:val="635"/>
        </w:trPr>
        <w:tc>
          <w:tcPr>
            <w:tcW w:w="5000" w:type="pct"/>
            <w:gridSpan w:val="5"/>
            <w:shd w:val="clear" w:color="000000" w:fill="FFFFFF"/>
            <w:noWrap/>
            <w:vAlign w:val="bottom"/>
            <w:hideMark/>
          </w:tcPr>
          <w:p w:rsidR="0080197C" w:rsidRPr="00636E88" w:rsidRDefault="0080197C" w:rsidP="0080197C">
            <w:pPr>
              <w:spacing w:before="120"/>
              <w:rPr>
                <w:color w:val="000000"/>
                <w:sz w:val="20"/>
                <w:szCs w:val="20"/>
              </w:rPr>
            </w:pPr>
          </w:p>
        </w:tc>
      </w:tr>
    </w:tbl>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80197C" w:rsidRDefault="0080197C" w:rsidP="0080197C">
      <w:pPr>
        <w:autoSpaceDE w:val="0"/>
        <w:autoSpaceDN w:val="0"/>
        <w:adjustRightInd w:val="0"/>
      </w:pPr>
    </w:p>
    <w:p w:rsidR="00ED38D3" w:rsidRDefault="00ED38D3" w:rsidP="0080197C">
      <w:pPr>
        <w:autoSpaceDE w:val="0"/>
        <w:autoSpaceDN w:val="0"/>
        <w:adjustRightInd w:val="0"/>
      </w:pPr>
    </w:p>
    <w:tbl>
      <w:tblPr>
        <w:tblW w:w="5000" w:type="pct"/>
        <w:tblCellMar>
          <w:left w:w="0" w:type="dxa"/>
          <w:right w:w="0" w:type="dxa"/>
        </w:tblCellMar>
        <w:tblLook w:val="04A0"/>
      </w:tblPr>
      <w:tblGrid>
        <w:gridCol w:w="2700"/>
        <w:gridCol w:w="2340"/>
        <w:gridCol w:w="2250"/>
        <w:gridCol w:w="2070"/>
      </w:tblGrid>
      <w:tr w:rsidR="0080197C" w:rsidRPr="006E3102" w:rsidTr="0080197C">
        <w:trPr>
          <w:trHeight w:hRule="exact" w:val="576"/>
        </w:trPr>
        <w:tc>
          <w:tcPr>
            <w:tcW w:w="5000" w:type="pct"/>
            <w:gridSpan w:val="4"/>
            <w:tcBorders>
              <w:bottom w:val="single" w:sz="2" w:space="0" w:color="auto"/>
            </w:tcBorders>
            <w:shd w:val="clear" w:color="auto" w:fill="auto"/>
            <w:noWrap/>
            <w:hideMark/>
          </w:tcPr>
          <w:p w:rsidR="0080197C" w:rsidRPr="00085BE7" w:rsidRDefault="00FE50AD" w:rsidP="00085BE7">
            <w:pPr>
              <w:pStyle w:val="Caption"/>
              <w:rPr>
                <w:b w:val="0"/>
                <w:sz w:val="24"/>
                <w:szCs w:val="24"/>
              </w:rPr>
            </w:pPr>
            <w:bookmarkStart w:id="72" w:name="_Toc284613310"/>
            <w:bookmarkStart w:id="73" w:name="_Toc285392591"/>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10</w:t>
            </w:r>
            <w:r w:rsidR="00AB7C8D" w:rsidRPr="00085BE7">
              <w:rPr>
                <w:b w:val="0"/>
                <w:sz w:val="24"/>
                <w:szCs w:val="24"/>
              </w:rPr>
              <w:fldChar w:fldCharType="end"/>
            </w:r>
            <w:r w:rsidRPr="00085BE7">
              <w:rPr>
                <w:b w:val="0"/>
                <w:sz w:val="24"/>
                <w:szCs w:val="24"/>
              </w:rPr>
              <w:t xml:space="preserve">: </w:t>
            </w:r>
            <w:r w:rsidR="0080197C" w:rsidRPr="00085BE7">
              <w:rPr>
                <w:b w:val="0"/>
                <w:sz w:val="24"/>
                <w:szCs w:val="24"/>
              </w:rPr>
              <w:t>Persistence of the ToT and the Business Cycle*</w:t>
            </w:r>
            <w:bookmarkEnd w:id="72"/>
            <w:bookmarkEnd w:id="73"/>
            <w:r w:rsidR="0080197C" w:rsidRPr="00085BE7">
              <w:rPr>
                <w:b w:val="0"/>
                <w:sz w:val="24"/>
                <w:szCs w:val="24"/>
              </w:rPr>
              <w:t xml:space="preserve"> </w:t>
            </w:r>
          </w:p>
        </w:tc>
      </w:tr>
      <w:tr w:rsidR="00A612A2" w:rsidRPr="006E3102" w:rsidTr="0080197C">
        <w:trPr>
          <w:trHeight w:hRule="exact" w:val="576"/>
        </w:trPr>
        <w:tc>
          <w:tcPr>
            <w:tcW w:w="1442" w:type="pct"/>
            <w:tcBorders>
              <w:top w:val="single" w:sz="2" w:space="0" w:color="auto"/>
              <w:bottom w:val="single" w:sz="2" w:space="0" w:color="auto"/>
            </w:tcBorders>
            <w:shd w:val="clear" w:color="auto" w:fill="auto"/>
            <w:noWrap/>
            <w:hideMark/>
          </w:tcPr>
          <w:p w:rsidR="0080197C" w:rsidRPr="00636E88" w:rsidRDefault="0080197C" w:rsidP="0080197C">
            <w:pPr>
              <w:rPr>
                <w:color w:val="000000"/>
              </w:rPr>
            </w:pPr>
          </w:p>
        </w:tc>
        <w:tc>
          <w:tcPr>
            <w:tcW w:w="1250" w:type="pct"/>
            <w:tcBorders>
              <w:top w:val="single" w:sz="2" w:space="0" w:color="auto"/>
              <w:bottom w:val="single" w:sz="2" w:space="0" w:color="auto"/>
            </w:tcBorders>
            <w:shd w:val="clear" w:color="auto" w:fill="auto"/>
            <w:noWrap/>
            <w:vAlign w:val="bottom"/>
            <w:hideMark/>
          </w:tcPr>
          <w:p w:rsidR="0080197C" w:rsidRPr="00636E88" w:rsidRDefault="0080197C" w:rsidP="0080197C">
            <w:pPr>
              <w:tabs>
                <w:tab w:val="center" w:pos="780"/>
                <w:tab w:val="right" w:pos="1560"/>
              </w:tabs>
              <w:ind w:left="242" w:hanging="242"/>
              <w:jc w:val="center"/>
              <w:rPr>
                <w:color w:val="000000"/>
              </w:rPr>
            </w:pPr>
            <w:r w:rsidRPr="00636E88">
              <w:rPr>
                <w:color w:val="000000"/>
                <w:position w:val="-14"/>
              </w:rPr>
              <w:object w:dxaOrig="1020" w:dyaOrig="360">
                <v:shape id="_x0000_i1516" type="#_x0000_t75" style="width:49.4pt;height:17.6pt" o:ole="">
                  <v:imagedata r:id="rId917" o:title=""/>
                </v:shape>
                <o:OLEObject Type="Embed" ProgID="Equation.DSMT4" ShapeID="_x0000_i1516" DrawAspect="Content" ObjectID="_1359267439" r:id="rId918"/>
              </w:object>
            </w:r>
          </w:p>
        </w:tc>
        <w:tc>
          <w:tcPr>
            <w:tcW w:w="1202" w:type="pct"/>
            <w:tcBorders>
              <w:top w:val="single" w:sz="2" w:space="0" w:color="auto"/>
              <w:bottom w:val="single" w:sz="2" w:space="0" w:color="auto"/>
            </w:tcBorders>
            <w:vAlign w:val="bottom"/>
          </w:tcPr>
          <w:p w:rsidR="0080197C" w:rsidRPr="00636E88" w:rsidRDefault="0080197C" w:rsidP="0080197C">
            <w:pPr>
              <w:ind w:left="245" w:hanging="245"/>
              <w:jc w:val="center"/>
              <w:rPr>
                <w:color w:val="000000"/>
              </w:rPr>
            </w:pPr>
            <w:r w:rsidRPr="00636E88">
              <w:rPr>
                <w:color w:val="000000"/>
                <w:position w:val="-14"/>
              </w:rPr>
              <w:object w:dxaOrig="920" w:dyaOrig="360">
                <v:shape id="_x0000_i1517" type="#_x0000_t75" style="width:46.9pt;height:17.6pt" o:ole="">
                  <v:imagedata r:id="rId919" o:title=""/>
                </v:shape>
                <o:OLEObject Type="Embed" ProgID="Equation.DSMT4" ShapeID="_x0000_i1517" DrawAspect="Content" ObjectID="_1359267440" r:id="rId920"/>
              </w:object>
            </w:r>
          </w:p>
        </w:tc>
        <w:tc>
          <w:tcPr>
            <w:tcW w:w="1106" w:type="pct"/>
            <w:tcBorders>
              <w:top w:val="single" w:sz="2" w:space="0" w:color="auto"/>
              <w:bottom w:val="single" w:sz="2" w:space="0" w:color="auto"/>
            </w:tcBorders>
            <w:vAlign w:val="bottom"/>
          </w:tcPr>
          <w:p w:rsidR="0080197C" w:rsidRPr="00636E88" w:rsidRDefault="0080197C" w:rsidP="0080197C">
            <w:pPr>
              <w:ind w:left="245" w:hanging="245"/>
              <w:jc w:val="center"/>
              <w:rPr>
                <w:color w:val="000000"/>
              </w:rPr>
            </w:pPr>
            <w:r w:rsidRPr="00636E88">
              <w:rPr>
                <w:color w:val="000000"/>
                <w:position w:val="-14"/>
              </w:rPr>
              <w:object w:dxaOrig="920" w:dyaOrig="360">
                <v:shape id="_x0000_i1518" type="#_x0000_t75" style="width:46.9pt;height:17.6pt" o:ole="">
                  <v:imagedata r:id="rId921" o:title=""/>
                </v:shape>
                <o:OLEObject Type="Embed" ProgID="Equation.DSMT4" ShapeID="_x0000_i1518" DrawAspect="Content" ObjectID="_1359267441" r:id="rId922"/>
              </w:object>
            </w:r>
          </w:p>
        </w:tc>
      </w:tr>
      <w:tr w:rsidR="0080197C" w:rsidRPr="006E3102" w:rsidTr="0080197C">
        <w:trPr>
          <w:trHeight w:hRule="exact" w:val="410"/>
        </w:trPr>
        <w:tc>
          <w:tcPr>
            <w:tcW w:w="5000" w:type="pct"/>
            <w:gridSpan w:val="4"/>
            <w:tcBorders>
              <w:top w:val="single" w:sz="2" w:space="0" w:color="auto"/>
            </w:tcBorders>
            <w:shd w:val="clear" w:color="auto" w:fill="auto"/>
            <w:noWrap/>
            <w:vAlign w:val="bottom"/>
            <w:hideMark/>
          </w:tcPr>
          <w:p w:rsidR="0080197C" w:rsidRPr="00A13655" w:rsidRDefault="0080197C" w:rsidP="0080197C">
            <w:pPr>
              <w:spacing w:before="120"/>
              <w:jc w:val="center"/>
              <w:rPr>
                <w:bCs/>
                <w:i/>
                <w:iCs/>
                <w:color w:val="000000"/>
                <w:sz w:val="20"/>
                <w:szCs w:val="20"/>
              </w:rPr>
            </w:pPr>
            <w:r w:rsidRPr="00A13655">
              <w:rPr>
                <w:bCs/>
                <w:i/>
                <w:iCs/>
                <w:color w:val="000000"/>
                <w:sz w:val="20"/>
                <w:szCs w:val="20"/>
              </w:rPr>
              <w:t>Volatilities</w:t>
            </w:r>
          </w:p>
          <w:p w:rsidR="0080197C" w:rsidRPr="00A13655" w:rsidRDefault="0080197C" w:rsidP="0080197C">
            <w:pPr>
              <w:jc w:val="center"/>
              <w:rPr>
                <w:bCs/>
                <w:i/>
                <w:iCs/>
                <w:color w:val="000000"/>
                <w:sz w:val="20"/>
                <w:szCs w:val="20"/>
              </w:rPr>
            </w:pPr>
          </w:p>
        </w:tc>
      </w:tr>
      <w:tr w:rsidR="00A612A2" w:rsidRPr="006E3102" w:rsidTr="0080197C">
        <w:trPr>
          <w:trHeight w:hRule="exact" w:val="331"/>
        </w:trPr>
        <w:tc>
          <w:tcPr>
            <w:tcW w:w="1442" w:type="pct"/>
            <w:shd w:val="clear" w:color="auto" w:fill="auto"/>
            <w:noWrap/>
            <w:vAlign w:val="bottom"/>
            <w:hideMark/>
          </w:tcPr>
          <w:p w:rsidR="0080197C" w:rsidRPr="00A13655" w:rsidRDefault="0080197C" w:rsidP="0080197C">
            <w:pPr>
              <w:rPr>
                <w:color w:val="000000"/>
                <w:sz w:val="20"/>
                <w:szCs w:val="20"/>
              </w:rPr>
            </w:pPr>
            <w:r w:rsidRPr="00A13655">
              <w:rPr>
                <w:position w:val="-12"/>
                <w:sz w:val="20"/>
                <w:szCs w:val="20"/>
              </w:rPr>
              <w:object w:dxaOrig="680" w:dyaOrig="340">
                <v:shape id="_x0000_i1519" type="#_x0000_t75" style="width:33.5pt;height:17.6pt" o:ole="">
                  <v:imagedata r:id="rId722" o:title=""/>
                </v:shape>
                <o:OLEObject Type="Embed" ProgID="Equation.DSMT4" ShapeID="_x0000_i1519" DrawAspect="Content" ObjectID="_1359267442" r:id="rId923"/>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2.64</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2.61</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2.52</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660" w:dyaOrig="340">
                <v:shape id="_x0000_i1520" type="#_x0000_t75" style="width:30.15pt;height:17.6pt" o:ole="">
                  <v:imagedata r:id="rId724" o:title=""/>
                </v:shape>
                <o:OLEObject Type="Embed" ProgID="Equation.DSMT4" ShapeID="_x0000_i1520" DrawAspect="Content" ObjectID="_1359267443" r:id="rId924"/>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2.41</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2.35</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2.27</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720" w:dyaOrig="360">
                <v:shape id="_x0000_i1521" type="#_x0000_t75" style="width:37.65pt;height:17.6pt" o:ole="">
                  <v:imagedata r:id="rId844" o:title=""/>
                </v:shape>
                <o:OLEObject Type="Embed" ProgID="Equation.DSMT4" ShapeID="_x0000_i1521" DrawAspect="Content" ObjectID="_1359267444" r:id="rId925"/>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3.21</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2.94</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3.25</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620" w:dyaOrig="340">
                <v:shape id="_x0000_i1522" type="#_x0000_t75" style="width:30.15pt;height:17.6pt" o:ole="">
                  <v:imagedata r:id="rId730" o:title=""/>
                </v:shape>
                <o:OLEObject Type="Embed" ProgID="Equation.DSMT4" ShapeID="_x0000_i1522" DrawAspect="Content" ObjectID="_1359267445" r:id="rId926"/>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6.40</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8.52</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6.04</w:t>
            </w:r>
          </w:p>
        </w:tc>
      </w:tr>
      <w:tr w:rsidR="00A612A2" w:rsidRPr="006E3102" w:rsidTr="0080197C">
        <w:trPr>
          <w:trHeight w:hRule="exact" w:val="315"/>
        </w:trPr>
        <w:tc>
          <w:tcPr>
            <w:tcW w:w="1442"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820" w:dyaOrig="340">
                <v:shape id="_x0000_i1523" type="#_x0000_t75" style="width:34.35pt;height:17.6pt" o:ole="">
                  <v:imagedata r:id="rId732" o:title=""/>
                </v:shape>
                <o:OLEObject Type="Embed" ProgID="Equation.DSMT4" ShapeID="_x0000_i1523" DrawAspect="Content" ObjectID="_1359267446" r:id="rId927"/>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1.31</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1.71</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1.29</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700" w:dyaOrig="340">
                <v:shape id="_x0000_i1524" type="#_x0000_t75" style="width:34.35pt;height:17.6pt" o:ole="">
                  <v:imagedata r:id="rId848" o:title=""/>
                </v:shape>
                <o:OLEObject Type="Embed" ProgID="Equation.DSMT4" ShapeID="_x0000_i1524" DrawAspect="Content" ObjectID="_1359267447" r:id="rId928"/>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2.10</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2.10</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2.07</w:t>
            </w:r>
          </w:p>
        </w:tc>
      </w:tr>
      <w:tr w:rsidR="0080197C" w:rsidRPr="006E3102" w:rsidTr="0080197C">
        <w:trPr>
          <w:trHeight w:hRule="exact" w:val="288"/>
        </w:trPr>
        <w:tc>
          <w:tcPr>
            <w:tcW w:w="5000" w:type="pct"/>
            <w:gridSpan w:val="4"/>
            <w:shd w:val="clear" w:color="auto" w:fill="auto"/>
            <w:noWrap/>
            <w:vAlign w:val="bottom"/>
            <w:hideMark/>
          </w:tcPr>
          <w:p w:rsidR="0080197C" w:rsidRPr="00A13655" w:rsidRDefault="0080197C" w:rsidP="0080197C">
            <w:pPr>
              <w:jc w:val="center"/>
              <w:rPr>
                <w:i/>
                <w:iCs/>
                <w:color w:val="000000"/>
              </w:rPr>
            </w:pPr>
            <w:r w:rsidRPr="00A13655">
              <w:rPr>
                <w:bCs/>
                <w:i/>
                <w:iCs/>
                <w:color w:val="000000"/>
                <w:sz w:val="20"/>
                <w:szCs w:val="20"/>
              </w:rPr>
              <w:t>Contemporaneous Correlations with Output</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sz w:val="20"/>
                <w:szCs w:val="20"/>
              </w:rPr>
              <w:object w:dxaOrig="999" w:dyaOrig="340">
                <v:shape id="_x0000_i1525" type="#_x0000_t75" style="width:47.7pt;height:17.6pt" o:ole="">
                  <v:imagedata r:id="rId736" o:title=""/>
                </v:shape>
                <o:OLEObject Type="Embed" ProgID="Equation.DSMT4" ShapeID="_x0000_i1525" DrawAspect="Content" ObjectID="_1359267448" r:id="rId929"/>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0.96</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0.96</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0.95</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1080" w:dyaOrig="360">
                <v:shape id="_x0000_i1526" type="#_x0000_t75" style="width:55.25pt;height:17.6pt" o:ole="">
                  <v:imagedata r:id="rId851" o:title=""/>
                </v:shape>
                <o:OLEObject Type="Embed" ProgID="Equation.DSMT4" ShapeID="_x0000_i1526" DrawAspect="Content" ObjectID="_1359267449" r:id="rId930"/>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0.97</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0.97</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0.96</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sz w:val="20"/>
                <w:szCs w:val="20"/>
              </w:rPr>
            </w:pPr>
            <w:r w:rsidRPr="00A13655">
              <w:rPr>
                <w:position w:val="-14"/>
                <w:sz w:val="20"/>
                <w:szCs w:val="20"/>
              </w:rPr>
              <w:object w:dxaOrig="1120" w:dyaOrig="400">
                <v:shape id="_x0000_i1527" type="#_x0000_t75" style="width:49.4pt;height:17.6pt" o:ole="">
                  <v:imagedata r:id="rId742" o:title=""/>
                </v:shape>
                <o:OLEObject Type="Embed" ProgID="Equation.DSMT4" ShapeID="_x0000_i1527" DrawAspect="Content" ObjectID="_1359267450" r:id="rId931"/>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0.68</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0.61</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0.46</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sz w:val="20"/>
                <w:szCs w:val="20"/>
              </w:rPr>
            </w:pPr>
            <w:r w:rsidRPr="00A13655">
              <w:rPr>
                <w:position w:val="-12"/>
                <w:sz w:val="20"/>
                <w:szCs w:val="20"/>
              </w:rPr>
              <w:object w:dxaOrig="1160" w:dyaOrig="340">
                <v:shape id="_x0000_i1528" type="#_x0000_t75" style="width:54.4pt;height:17.6pt" o:ole="">
                  <v:imagedata r:id="rId744" o:title=""/>
                </v:shape>
                <o:OLEObject Type="Embed" ProgID="Equation.DSMT4" ShapeID="_x0000_i1528" DrawAspect="Content" ObjectID="_1359267451" r:id="rId932"/>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-0.55</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-0.44</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-0.4</w:t>
            </w:r>
          </w:p>
        </w:tc>
      </w:tr>
      <w:tr w:rsidR="0080197C" w:rsidRPr="006E3102" w:rsidTr="0080197C">
        <w:trPr>
          <w:trHeight w:hRule="exact" w:val="288"/>
        </w:trPr>
        <w:tc>
          <w:tcPr>
            <w:tcW w:w="5000" w:type="pct"/>
            <w:gridSpan w:val="4"/>
            <w:shd w:val="clear" w:color="000000" w:fill="FFFFFF"/>
            <w:noWrap/>
            <w:vAlign w:val="bottom"/>
            <w:hideMark/>
          </w:tcPr>
          <w:p w:rsidR="0080197C" w:rsidRPr="00A13655" w:rsidRDefault="0080197C" w:rsidP="0080197C">
            <w:pPr>
              <w:jc w:val="center"/>
              <w:rPr>
                <w:i/>
                <w:iCs/>
                <w:color w:val="000000"/>
              </w:rPr>
            </w:pPr>
            <w:r w:rsidRPr="00A13655">
              <w:rPr>
                <w:bCs/>
                <w:i/>
                <w:iCs/>
                <w:color w:val="000000"/>
                <w:sz w:val="20"/>
                <w:szCs w:val="20"/>
              </w:rPr>
              <w:t>Contemporaneous Correlations with tot</w:t>
            </w:r>
            <w:r w:rsidRPr="00A13655">
              <w:rPr>
                <w:i/>
                <w:iCs/>
                <w:color w:val="000000"/>
              </w:rPr>
              <w:t xml:space="preserve">  </w:t>
            </w:r>
          </w:p>
        </w:tc>
      </w:tr>
      <w:tr w:rsidR="00A612A2" w:rsidRPr="006E3102" w:rsidTr="0080197C">
        <w:trPr>
          <w:trHeight w:hRule="exact" w:val="331"/>
        </w:trPr>
        <w:tc>
          <w:tcPr>
            <w:tcW w:w="1442" w:type="pct"/>
            <w:shd w:val="clear" w:color="auto" w:fill="auto"/>
            <w:noWrap/>
            <w:vAlign w:val="bottom"/>
            <w:hideMark/>
          </w:tcPr>
          <w:p w:rsidR="0080197C" w:rsidRPr="00A13655" w:rsidRDefault="0080197C" w:rsidP="0080197C">
            <w:pPr>
              <w:rPr>
                <w:color w:val="000000"/>
              </w:rPr>
            </w:pPr>
            <w:r w:rsidRPr="00A13655">
              <w:rPr>
                <w:color w:val="000000"/>
              </w:rPr>
              <w:t> </w:t>
            </w:r>
            <w:r w:rsidRPr="00A13655">
              <w:rPr>
                <w:position w:val="-12"/>
              </w:rPr>
              <w:object w:dxaOrig="1040" w:dyaOrig="340">
                <v:shape id="_x0000_i1529" type="#_x0000_t75" style="width:49.4pt;height:17.6pt" o:ole="">
                  <v:imagedata r:id="rId855" o:title=""/>
                </v:shape>
                <o:OLEObject Type="Embed" ProgID="Equation.DSMT4" ShapeID="_x0000_i1529" DrawAspect="Content" ObjectID="_1359267452" r:id="rId933"/>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-0.53</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-0.52</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-0.48</w:t>
            </w:r>
          </w:p>
        </w:tc>
      </w:tr>
      <w:tr w:rsidR="00A612A2" w:rsidRPr="006E3102" w:rsidTr="0080197C">
        <w:trPr>
          <w:trHeight w:hRule="exact" w:val="331"/>
        </w:trPr>
        <w:tc>
          <w:tcPr>
            <w:tcW w:w="1442" w:type="pct"/>
            <w:shd w:val="clear" w:color="auto" w:fill="auto"/>
            <w:noWrap/>
            <w:vAlign w:val="bottom"/>
            <w:hideMark/>
          </w:tcPr>
          <w:p w:rsidR="0080197C" w:rsidRPr="00A13655" w:rsidRDefault="0080197C" w:rsidP="0080197C">
            <w:pPr>
              <w:rPr>
                <w:color w:val="000000"/>
              </w:rPr>
            </w:pPr>
            <w:r w:rsidRPr="00A13655">
              <w:rPr>
                <w:color w:val="000000"/>
              </w:rPr>
              <w:t> </w:t>
            </w:r>
            <w:r w:rsidRPr="00A13655">
              <w:rPr>
                <w:position w:val="-12"/>
              </w:rPr>
              <w:object w:dxaOrig="1020" w:dyaOrig="340">
                <v:shape id="_x0000_i1530" type="#_x0000_t75" style="width:49.4pt;height:17.6pt" o:ole="">
                  <v:imagedata r:id="rId857" o:title=""/>
                </v:shape>
                <o:OLEObject Type="Embed" ProgID="Equation.DSMT4" ShapeID="_x0000_i1530" DrawAspect="Content" ObjectID="_1359267453" r:id="rId934"/>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-0.65</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-0.64</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-0.6</w:t>
            </w:r>
          </w:p>
        </w:tc>
      </w:tr>
      <w:tr w:rsidR="00A612A2" w:rsidRPr="006E3102" w:rsidTr="0080197C">
        <w:trPr>
          <w:trHeight w:hRule="exact" w:val="331"/>
        </w:trPr>
        <w:tc>
          <w:tcPr>
            <w:tcW w:w="1442" w:type="pct"/>
            <w:shd w:val="clear" w:color="auto" w:fill="auto"/>
            <w:noWrap/>
            <w:vAlign w:val="bottom"/>
            <w:hideMark/>
          </w:tcPr>
          <w:p w:rsidR="0080197C" w:rsidRPr="00A13655" w:rsidRDefault="0080197C" w:rsidP="0080197C">
            <w:pPr>
              <w:rPr>
                <w:color w:val="000000"/>
              </w:rPr>
            </w:pPr>
            <w:r w:rsidRPr="00A13655">
              <w:rPr>
                <w:color w:val="000000"/>
              </w:rPr>
              <w:t> </w:t>
            </w:r>
            <w:r w:rsidRPr="00A13655">
              <w:rPr>
                <w:position w:val="-12"/>
              </w:rPr>
              <w:object w:dxaOrig="1020" w:dyaOrig="340">
                <v:shape id="_x0000_i1531" type="#_x0000_t75" style="width:51.05pt;height:17.6pt" o:ole="">
                  <v:imagedata r:id="rId859" o:title=""/>
                </v:shape>
                <o:OLEObject Type="Embed" ProgID="Equation.DSMT4" ShapeID="_x0000_i1531" DrawAspect="Content" ObjectID="_1359267454" r:id="rId935"/>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-0.60</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-0.56</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-0.54</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980" w:dyaOrig="340">
                <v:shape id="_x0000_i1532" type="#_x0000_t75" style="width:43.55pt;height:17.6pt" o:ole="">
                  <v:imagedata r:id="rId861" o:title=""/>
                </v:shape>
                <o:OLEObject Type="Embed" ProgID="Equation.DSMT4" ShapeID="_x0000_i1532" DrawAspect="Content" ObjectID="_1359267455" r:id="rId936"/>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-0.58</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-0.75</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0.46</w:t>
            </w:r>
          </w:p>
        </w:tc>
      </w:tr>
      <w:tr w:rsidR="00A612A2" w:rsidRPr="006E3102" w:rsidTr="0080197C">
        <w:trPr>
          <w:trHeight w:hRule="exact" w:val="331"/>
        </w:trPr>
        <w:tc>
          <w:tcPr>
            <w:tcW w:w="1442" w:type="pct"/>
            <w:shd w:val="clear" w:color="000000" w:fill="FFFFFF"/>
            <w:noWrap/>
            <w:vAlign w:val="bottom"/>
            <w:hideMark/>
          </w:tcPr>
          <w:p w:rsidR="0080197C" w:rsidRPr="00A13655" w:rsidRDefault="0080197C" w:rsidP="0080197C">
            <w:pPr>
              <w:rPr>
                <w:color w:val="000000"/>
              </w:rPr>
            </w:pPr>
            <w:r w:rsidRPr="00A13655">
              <w:rPr>
                <w:color w:val="000000"/>
              </w:rPr>
              <w:t> </w:t>
            </w:r>
            <w:r w:rsidRPr="00A13655">
              <w:rPr>
                <w:position w:val="-12"/>
              </w:rPr>
              <w:object w:dxaOrig="1160" w:dyaOrig="340">
                <v:shape id="_x0000_i1533" type="#_x0000_t75" style="width:57.75pt;height:17.6pt" o:ole="">
                  <v:imagedata r:id="rId863" o:title=""/>
                </v:shape>
                <o:OLEObject Type="Embed" ProgID="Equation.DSMT4" ShapeID="_x0000_i1533" DrawAspect="Content" ObjectID="_1359267456" r:id="rId937"/>
              </w:object>
            </w:r>
          </w:p>
        </w:tc>
        <w:tc>
          <w:tcPr>
            <w:tcW w:w="1250" w:type="pct"/>
            <w:shd w:val="clear" w:color="auto" w:fill="auto"/>
            <w:noWrap/>
            <w:vAlign w:val="bottom"/>
            <w:hideMark/>
          </w:tcPr>
          <w:p w:rsidR="0080197C" w:rsidRPr="00A13655" w:rsidRDefault="0080197C" w:rsidP="0080197C">
            <w:pPr>
              <w:jc w:val="center"/>
              <w:rPr>
                <w:color w:val="000000"/>
                <w:sz w:val="20"/>
                <w:szCs w:val="20"/>
              </w:rPr>
            </w:pPr>
            <w:r w:rsidRPr="00A13655">
              <w:rPr>
                <w:color w:val="000000"/>
                <w:sz w:val="20"/>
                <w:szCs w:val="20"/>
              </w:rPr>
              <w:t>0.71</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0.76</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-0.31</w:t>
            </w:r>
          </w:p>
        </w:tc>
      </w:tr>
      <w:tr w:rsidR="0080197C" w:rsidRPr="006E3102" w:rsidTr="0080197C">
        <w:trPr>
          <w:trHeight w:hRule="exact" w:val="288"/>
        </w:trPr>
        <w:tc>
          <w:tcPr>
            <w:tcW w:w="5000" w:type="pct"/>
            <w:gridSpan w:val="4"/>
            <w:shd w:val="clear" w:color="000000" w:fill="FFFFFF"/>
            <w:noWrap/>
            <w:vAlign w:val="bottom"/>
            <w:hideMark/>
          </w:tcPr>
          <w:p w:rsidR="0080197C" w:rsidRPr="00A13655" w:rsidRDefault="0080197C" w:rsidP="0080197C">
            <w:pPr>
              <w:jc w:val="center"/>
              <w:rPr>
                <w:i/>
                <w:iCs/>
                <w:color w:val="000000"/>
              </w:rPr>
            </w:pPr>
            <w:r w:rsidRPr="00A13655">
              <w:rPr>
                <w:bCs/>
                <w:i/>
                <w:iCs/>
                <w:color w:val="000000"/>
                <w:sz w:val="20"/>
                <w:szCs w:val="20"/>
              </w:rPr>
              <w:t>Serial Correlations</w:t>
            </w:r>
          </w:p>
        </w:tc>
      </w:tr>
      <w:tr w:rsidR="00A612A2" w:rsidRPr="006E3102" w:rsidTr="0080197C">
        <w:trPr>
          <w:trHeight w:hRule="exact" w:val="331"/>
        </w:trPr>
        <w:tc>
          <w:tcPr>
            <w:tcW w:w="1442" w:type="pct"/>
            <w:shd w:val="clear" w:color="auto" w:fill="auto"/>
            <w:noWrap/>
            <w:vAlign w:val="bottom"/>
            <w:hideMark/>
          </w:tcPr>
          <w:p w:rsidR="0080197C" w:rsidRPr="00636E88" w:rsidRDefault="0080197C" w:rsidP="0080197C">
            <w:pPr>
              <w:rPr>
                <w:color w:val="000000"/>
                <w:sz w:val="20"/>
                <w:szCs w:val="20"/>
              </w:rPr>
            </w:pPr>
            <w:r w:rsidRPr="00636E88">
              <w:rPr>
                <w:position w:val="-14"/>
                <w:sz w:val="20"/>
                <w:szCs w:val="20"/>
              </w:rPr>
              <w:object w:dxaOrig="1340" w:dyaOrig="400">
                <v:shape id="_x0000_i1534" type="#_x0000_t75" style="width:55.25pt;height:17.6pt" o:ole="">
                  <v:imagedata r:id="rId748" o:title=""/>
                </v:shape>
                <o:OLEObject Type="Embed" ProgID="Equation.DSMT4" ShapeID="_x0000_i1534" DrawAspect="Content" ObjectID="_1359267457" r:id="rId938"/>
              </w:object>
            </w:r>
          </w:p>
        </w:tc>
        <w:tc>
          <w:tcPr>
            <w:tcW w:w="1250" w:type="pct"/>
            <w:shd w:val="clear" w:color="auto" w:fill="auto"/>
            <w:noWrap/>
            <w:vAlign w:val="bottom"/>
            <w:hideMark/>
          </w:tcPr>
          <w:p w:rsidR="0080197C" w:rsidRPr="00636E88" w:rsidRDefault="0080197C" w:rsidP="0080197C">
            <w:pPr>
              <w:jc w:val="center"/>
              <w:rPr>
                <w:color w:val="000000"/>
                <w:sz w:val="20"/>
                <w:szCs w:val="20"/>
              </w:rPr>
            </w:pPr>
            <w:r w:rsidRPr="00636E88">
              <w:rPr>
                <w:color w:val="000000"/>
                <w:sz w:val="20"/>
                <w:szCs w:val="20"/>
              </w:rPr>
              <w:t>0.88</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0.88</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0.88</w:t>
            </w:r>
          </w:p>
        </w:tc>
      </w:tr>
      <w:tr w:rsidR="00A612A2" w:rsidRPr="006E3102" w:rsidTr="0080197C">
        <w:trPr>
          <w:trHeight w:hRule="exact" w:val="331"/>
        </w:trPr>
        <w:tc>
          <w:tcPr>
            <w:tcW w:w="1442" w:type="pct"/>
            <w:shd w:val="clear" w:color="000000" w:fill="FFFFFF"/>
            <w:noWrap/>
            <w:vAlign w:val="bottom"/>
            <w:hideMark/>
          </w:tcPr>
          <w:p w:rsidR="0080197C" w:rsidRPr="00636E88" w:rsidRDefault="0080197C" w:rsidP="0080197C">
            <w:pPr>
              <w:rPr>
                <w:color w:val="000000"/>
                <w:sz w:val="20"/>
                <w:szCs w:val="20"/>
              </w:rPr>
            </w:pPr>
            <w:r w:rsidRPr="00636E88">
              <w:rPr>
                <w:position w:val="-12"/>
                <w:sz w:val="20"/>
                <w:szCs w:val="20"/>
              </w:rPr>
              <w:object w:dxaOrig="1100" w:dyaOrig="340">
                <v:shape id="_x0000_i1535" type="#_x0000_t75" style="width:49.4pt;height:17.6pt" o:ole="">
                  <v:imagedata r:id="rId750" o:title=""/>
                </v:shape>
                <o:OLEObject Type="Embed" ProgID="Equation.DSMT4" ShapeID="_x0000_i1535" DrawAspect="Content" ObjectID="_1359267458" r:id="rId939"/>
              </w:object>
            </w:r>
          </w:p>
        </w:tc>
        <w:tc>
          <w:tcPr>
            <w:tcW w:w="1250" w:type="pct"/>
            <w:shd w:val="clear" w:color="auto" w:fill="auto"/>
            <w:noWrap/>
            <w:vAlign w:val="bottom"/>
            <w:hideMark/>
          </w:tcPr>
          <w:p w:rsidR="0080197C" w:rsidRPr="00636E88" w:rsidRDefault="0080197C" w:rsidP="0080197C">
            <w:pPr>
              <w:jc w:val="center"/>
              <w:rPr>
                <w:color w:val="000000"/>
                <w:sz w:val="20"/>
                <w:szCs w:val="20"/>
              </w:rPr>
            </w:pPr>
            <w:r w:rsidRPr="00636E88">
              <w:rPr>
                <w:color w:val="000000"/>
                <w:sz w:val="20"/>
                <w:szCs w:val="20"/>
              </w:rPr>
              <w:t>0.92</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0.92</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0.92</w:t>
            </w:r>
          </w:p>
        </w:tc>
      </w:tr>
      <w:tr w:rsidR="00A612A2" w:rsidRPr="006E3102" w:rsidTr="0080197C">
        <w:trPr>
          <w:trHeight w:hRule="exact" w:val="331"/>
        </w:trPr>
        <w:tc>
          <w:tcPr>
            <w:tcW w:w="1442" w:type="pct"/>
            <w:shd w:val="clear" w:color="000000" w:fill="FFFFFF"/>
            <w:noWrap/>
            <w:vAlign w:val="bottom"/>
            <w:hideMark/>
          </w:tcPr>
          <w:p w:rsidR="0080197C" w:rsidRPr="00636E88" w:rsidRDefault="0080197C" w:rsidP="0080197C">
            <w:pPr>
              <w:rPr>
                <w:color w:val="000000"/>
              </w:rPr>
            </w:pPr>
            <w:r w:rsidRPr="00636E88">
              <w:rPr>
                <w:color w:val="000000"/>
              </w:rPr>
              <w:t> </w:t>
            </w:r>
            <w:r w:rsidRPr="00636E88">
              <w:rPr>
                <w:position w:val="-12"/>
              </w:rPr>
              <w:object w:dxaOrig="1180" w:dyaOrig="360">
                <v:shape id="_x0000_i1536" type="#_x0000_t75" style="width:58.6pt;height:17.6pt" o:ole="">
                  <v:imagedata r:id="rId867" o:title=""/>
                </v:shape>
                <o:OLEObject Type="Embed" ProgID="Equation.DSMT4" ShapeID="_x0000_i1536" DrawAspect="Content" ObjectID="_1359267459" r:id="rId940"/>
              </w:object>
            </w:r>
          </w:p>
        </w:tc>
        <w:tc>
          <w:tcPr>
            <w:tcW w:w="1250" w:type="pct"/>
            <w:shd w:val="clear" w:color="auto" w:fill="auto"/>
            <w:noWrap/>
            <w:vAlign w:val="bottom"/>
            <w:hideMark/>
          </w:tcPr>
          <w:p w:rsidR="0080197C" w:rsidRPr="00636E88" w:rsidRDefault="0080197C" w:rsidP="0080197C">
            <w:pPr>
              <w:jc w:val="center"/>
              <w:rPr>
                <w:color w:val="000000"/>
                <w:sz w:val="20"/>
                <w:szCs w:val="20"/>
              </w:rPr>
            </w:pPr>
            <w:r w:rsidRPr="00636E88">
              <w:rPr>
                <w:color w:val="000000"/>
                <w:sz w:val="20"/>
                <w:szCs w:val="20"/>
              </w:rPr>
              <w:t>0.91</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0.9</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0.91</w:t>
            </w:r>
          </w:p>
        </w:tc>
      </w:tr>
      <w:tr w:rsidR="00A612A2" w:rsidRPr="006E3102" w:rsidTr="0080197C">
        <w:trPr>
          <w:trHeight w:hRule="exact" w:val="331"/>
        </w:trPr>
        <w:tc>
          <w:tcPr>
            <w:tcW w:w="1442" w:type="pct"/>
            <w:shd w:val="clear" w:color="000000" w:fill="FFFFFF"/>
            <w:noWrap/>
            <w:vAlign w:val="bottom"/>
            <w:hideMark/>
          </w:tcPr>
          <w:p w:rsidR="0080197C" w:rsidRPr="00636E88" w:rsidRDefault="0080197C" w:rsidP="0080197C">
            <w:pPr>
              <w:rPr>
                <w:color w:val="000000"/>
                <w:sz w:val="20"/>
                <w:szCs w:val="20"/>
              </w:rPr>
            </w:pPr>
            <w:r w:rsidRPr="00636E88">
              <w:rPr>
                <w:position w:val="-12"/>
                <w:sz w:val="20"/>
                <w:szCs w:val="20"/>
              </w:rPr>
              <w:object w:dxaOrig="1020" w:dyaOrig="340">
                <v:shape id="_x0000_i1537" type="#_x0000_t75" style="width:46.9pt;height:17.6pt" o:ole="">
                  <v:imagedata r:id="rId756" o:title=""/>
                </v:shape>
                <o:OLEObject Type="Embed" ProgID="Equation.DSMT4" ShapeID="_x0000_i1537" DrawAspect="Content" ObjectID="_1359267460" r:id="rId941"/>
              </w:object>
            </w:r>
          </w:p>
        </w:tc>
        <w:tc>
          <w:tcPr>
            <w:tcW w:w="1250" w:type="pct"/>
            <w:shd w:val="clear" w:color="auto" w:fill="auto"/>
            <w:noWrap/>
            <w:vAlign w:val="bottom"/>
            <w:hideMark/>
          </w:tcPr>
          <w:p w:rsidR="0080197C" w:rsidRPr="00636E88" w:rsidRDefault="0080197C" w:rsidP="0080197C">
            <w:pPr>
              <w:jc w:val="center"/>
              <w:rPr>
                <w:color w:val="000000"/>
                <w:sz w:val="20"/>
                <w:szCs w:val="20"/>
              </w:rPr>
            </w:pPr>
            <w:r w:rsidRPr="00636E88">
              <w:rPr>
                <w:color w:val="000000"/>
                <w:sz w:val="20"/>
                <w:szCs w:val="20"/>
              </w:rPr>
              <w:t>0.65</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0.63</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0.59</w:t>
            </w:r>
          </w:p>
        </w:tc>
      </w:tr>
      <w:tr w:rsidR="00A612A2" w:rsidRPr="006E3102" w:rsidTr="0080197C">
        <w:trPr>
          <w:trHeight w:hRule="exact" w:val="333"/>
        </w:trPr>
        <w:tc>
          <w:tcPr>
            <w:tcW w:w="1442" w:type="pct"/>
            <w:shd w:val="clear" w:color="000000" w:fill="FFFFFF"/>
            <w:noWrap/>
            <w:vAlign w:val="bottom"/>
            <w:hideMark/>
          </w:tcPr>
          <w:p w:rsidR="0080197C" w:rsidRPr="00636E88" w:rsidRDefault="0080197C" w:rsidP="0080197C">
            <w:pPr>
              <w:rPr>
                <w:color w:val="000000"/>
                <w:sz w:val="20"/>
                <w:szCs w:val="20"/>
              </w:rPr>
            </w:pPr>
            <w:r w:rsidRPr="00636E88">
              <w:rPr>
                <w:position w:val="-12"/>
                <w:sz w:val="20"/>
                <w:szCs w:val="20"/>
              </w:rPr>
              <w:object w:dxaOrig="1400" w:dyaOrig="340">
                <v:shape id="_x0000_i1538" type="#_x0000_t75" style="width:62.8pt;height:17.6pt" o:ole="">
                  <v:imagedata r:id="rId758" o:title=""/>
                </v:shape>
                <o:OLEObject Type="Embed" ProgID="Equation.DSMT4" ShapeID="_x0000_i1538" DrawAspect="Content" ObjectID="_1359267461" r:id="rId942"/>
              </w:object>
            </w:r>
          </w:p>
        </w:tc>
        <w:tc>
          <w:tcPr>
            <w:tcW w:w="1250" w:type="pct"/>
            <w:shd w:val="clear" w:color="auto" w:fill="auto"/>
            <w:noWrap/>
            <w:vAlign w:val="bottom"/>
            <w:hideMark/>
          </w:tcPr>
          <w:p w:rsidR="0080197C" w:rsidRPr="00636E88" w:rsidRDefault="0080197C" w:rsidP="0080197C">
            <w:pPr>
              <w:jc w:val="center"/>
              <w:rPr>
                <w:color w:val="000000"/>
                <w:sz w:val="20"/>
                <w:szCs w:val="20"/>
              </w:rPr>
            </w:pPr>
            <w:r w:rsidRPr="00636E88">
              <w:rPr>
                <w:color w:val="000000"/>
                <w:sz w:val="20"/>
                <w:szCs w:val="20"/>
              </w:rPr>
              <w:t>0.83</w:t>
            </w:r>
          </w:p>
        </w:tc>
        <w:tc>
          <w:tcPr>
            <w:tcW w:w="1202" w:type="pct"/>
            <w:vAlign w:val="bottom"/>
          </w:tcPr>
          <w:p w:rsidR="0080197C" w:rsidRPr="00636E88" w:rsidRDefault="0080197C" w:rsidP="0080197C">
            <w:pPr>
              <w:jc w:val="center"/>
              <w:rPr>
                <w:color w:val="000000"/>
                <w:sz w:val="20"/>
                <w:szCs w:val="20"/>
              </w:rPr>
            </w:pPr>
            <w:r w:rsidRPr="00636E88">
              <w:rPr>
                <w:color w:val="000000"/>
                <w:sz w:val="20"/>
                <w:szCs w:val="20"/>
              </w:rPr>
              <w:t>0.67</w:t>
            </w:r>
          </w:p>
        </w:tc>
        <w:tc>
          <w:tcPr>
            <w:tcW w:w="1106" w:type="pct"/>
            <w:vAlign w:val="bottom"/>
          </w:tcPr>
          <w:p w:rsidR="0080197C" w:rsidRPr="00636E88" w:rsidRDefault="0080197C" w:rsidP="0080197C">
            <w:pPr>
              <w:jc w:val="center"/>
              <w:rPr>
                <w:color w:val="000000"/>
                <w:sz w:val="20"/>
                <w:szCs w:val="20"/>
              </w:rPr>
            </w:pPr>
            <w:r w:rsidRPr="00636E88">
              <w:rPr>
                <w:color w:val="000000"/>
                <w:sz w:val="20"/>
                <w:szCs w:val="20"/>
              </w:rPr>
              <w:t>0.50</w:t>
            </w:r>
          </w:p>
        </w:tc>
      </w:tr>
      <w:tr w:rsidR="00A612A2" w:rsidRPr="006E3102" w:rsidTr="0080197C">
        <w:trPr>
          <w:trHeight w:hRule="exact" w:val="331"/>
        </w:trPr>
        <w:tc>
          <w:tcPr>
            <w:tcW w:w="1442" w:type="pct"/>
            <w:tcBorders>
              <w:bottom w:val="single" w:sz="2" w:space="0" w:color="auto"/>
            </w:tcBorders>
            <w:shd w:val="clear" w:color="000000" w:fill="FFFFFF"/>
            <w:noWrap/>
            <w:vAlign w:val="bottom"/>
            <w:hideMark/>
          </w:tcPr>
          <w:p w:rsidR="0080197C" w:rsidRPr="00636E88" w:rsidRDefault="0080197C" w:rsidP="0080197C">
            <w:pPr>
              <w:rPr>
                <w:color w:val="000000"/>
              </w:rPr>
            </w:pPr>
            <w:r w:rsidRPr="00636E88">
              <w:rPr>
                <w:color w:val="000000"/>
              </w:rPr>
              <w:t> </w:t>
            </w:r>
            <w:r w:rsidRPr="00636E88">
              <w:rPr>
                <w:position w:val="-12"/>
              </w:rPr>
              <w:object w:dxaOrig="1180" w:dyaOrig="340">
                <v:shape id="_x0000_i1539" type="#_x0000_t75" style="width:58.6pt;height:17.6pt" o:ole="">
                  <v:imagedata r:id="rId871" o:title=""/>
                </v:shape>
                <o:OLEObject Type="Embed" ProgID="Equation.DSMT4" ShapeID="_x0000_i1539" DrawAspect="Content" ObjectID="_1359267462" r:id="rId943"/>
              </w:object>
            </w:r>
          </w:p>
        </w:tc>
        <w:tc>
          <w:tcPr>
            <w:tcW w:w="1250" w:type="pct"/>
            <w:tcBorders>
              <w:bottom w:val="single" w:sz="2" w:space="0" w:color="auto"/>
            </w:tcBorders>
            <w:shd w:val="clear" w:color="auto" w:fill="auto"/>
            <w:noWrap/>
            <w:vAlign w:val="bottom"/>
            <w:hideMark/>
          </w:tcPr>
          <w:p w:rsidR="0080197C" w:rsidRPr="00636E88" w:rsidRDefault="0080197C" w:rsidP="0080197C">
            <w:pPr>
              <w:jc w:val="center"/>
              <w:rPr>
                <w:color w:val="000000"/>
                <w:sz w:val="20"/>
                <w:szCs w:val="20"/>
              </w:rPr>
            </w:pPr>
            <w:r w:rsidRPr="00636E88">
              <w:rPr>
                <w:color w:val="000000"/>
                <w:sz w:val="20"/>
                <w:szCs w:val="20"/>
              </w:rPr>
              <w:t>0.72</w:t>
            </w:r>
          </w:p>
        </w:tc>
        <w:tc>
          <w:tcPr>
            <w:tcW w:w="1202" w:type="pct"/>
            <w:tcBorders>
              <w:bottom w:val="single" w:sz="2" w:space="0" w:color="auto"/>
            </w:tcBorders>
            <w:vAlign w:val="bottom"/>
          </w:tcPr>
          <w:p w:rsidR="0080197C" w:rsidRPr="00636E88" w:rsidRDefault="0080197C" w:rsidP="0080197C">
            <w:pPr>
              <w:jc w:val="center"/>
              <w:rPr>
                <w:color w:val="000000"/>
                <w:sz w:val="20"/>
                <w:szCs w:val="20"/>
              </w:rPr>
            </w:pPr>
            <w:r w:rsidRPr="00636E88">
              <w:rPr>
                <w:color w:val="000000"/>
                <w:sz w:val="20"/>
                <w:szCs w:val="20"/>
              </w:rPr>
              <w:t>0.72</w:t>
            </w:r>
          </w:p>
        </w:tc>
        <w:tc>
          <w:tcPr>
            <w:tcW w:w="1106" w:type="pct"/>
            <w:tcBorders>
              <w:bottom w:val="single" w:sz="2" w:space="0" w:color="auto"/>
            </w:tcBorders>
            <w:vAlign w:val="bottom"/>
          </w:tcPr>
          <w:p w:rsidR="0080197C" w:rsidRPr="00636E88" w:rsidRDefault="0080197C" w:rsidP="0080197C">
            <w:pPr>
              <w:jc w:val="center"/>
              <w:rPr>
                <w:color w:val="000000"/>
                <w:sz w:val="20"/>
                <w:szCs w:val="20"/>
              </w:rPr>
            </w:pPr>
            <w:r w:rsidRPr="00636E88">
              <w:rPr>
                <w:color w:val="000000"/>
                <w:sz w:val="20"/>
                <w:szCs w:val="20"/>
              </w:rPr>
              <w:t>0.69</w:t>
            </w:r>
          </w:p>
        </w:tc>
      </w:tr>
      <w:tr w:rsidR="0080197C" w:rsidRPr="006E3102" w:rsidTr="00A612A2">
        <w:trPr>
          <w:trHeight w:hRule="exact" w:val="2264"/>
        </w:trPr>
        <w:tc>
          <w:tcPr>
            <w:tcW w:w="5000" w:type="pct"/>
            <w:gridSpan w:val="4"/>
            <w:tcBorders>
              <w:top w:val="single" w:sz="2" w:space="0" w:color="auto"/>
            </w:tcBorders>
            <w:shd w:val="clear" w:color="000000" w:fill="FFFFFF"/>
            <w:noWrap/>
            <w:hideMark/>
          </w:tcPr>
          <w:p w:rsidR="0080197C" w:rsidRDefault="0080197C" w:rsidP="00ED38D3">
            <w:pPr>
              <w:autoSpaceDE w:val="0"/>
              <w:autoSpaceDN w:val="0"/>
              <w:adjustRightInd w:val="0"/>
              <w:spacing w:before="60" w:after="60"/>
              <w:rPr>
                <w:color w:val="000000"/>
                <w:sz w:val="20"/>
                <w:szCs w:val="20"/>
              </w:rPr>
            </w:pPr>
            <w:r w:rsidRPr="00636E88">
              <w:rPr>
                <w:color w:val="000000"/>
                <w:sz w:val="20"/>
                <w:szCs w:val="20"/>
              </w:rPr>
              <w:t xml:space="preserve">Note : </w:t>
            </w:r>
          </w:p>
          <w:p w:rsidR="0080197C" w:rsidRDefault="00A612A2" w:rsidP="00ED38D3">
            <w:pPr>
              <w:autoSpaceDE w:val="0"/>
              <w:autoSpaceDN w:val="0"/>
              <w:adjustRightInd w:val="0"/>
              <w:spacing w:after="60"/>
              <w:rPr>
                <w:color w:val="000000"/>
                <w:sz w:val="20"/>
                <w:szCs w:val="20"/>
              </w:rPr>
            </w:pPr>
            <w:r>
              <w:rPr>
                <w:color w:val="000000"/>
                <w:sz w:val="20"/>
                <w:szCs w:val="20"/>
              </w:rPr>
              <w:t>1. See</w:t>
            </w:r>
            <w:r w:rsidR="0080197C">
              <w:rPr>
                <w:color w:val="000000"/>
                <w:sz w:val="20"/>
                <w:szCs w:val="20"/>
              </w:rPr>
              <w:t xml:space="preserve"> the note on Table 3.</w:t>
            </w:r>
          </w:p>
          <w:p w:rsidR="0080197C" w:rsidRPr="00636E88" w:rsidRDefault="00A612A2" w:rsidP="00ED38D3">
            <w:pPr>
              <w:autoSpaceDE w:val="0"/>
              <w:autoSpaceDN w:val="0"/>
              <w:adjustRightInd w:val="0"/>
              <w:spacing w:after="60"/>
              <w:rPr>
                <w:color w:val="000000"/>
                <w:sz w:val="20"/>
                <w:szCs w:val="20"/>
              </w:rPr>
            </w:pPr>
            <w:r>
              <w:rPr>
                <w:color w:val="000000"/>
                <w:sz w:val="20"/>
                <w:szCs w:val="20"/>
              </w:rPr>
              <w:t>2. In all model economies</w:t>
            </w:r>
            <w:r w:rsidR="0080197C" w:rsidRPr="0080197C">
              <w:rPr>
                <w:color w:val="000000"/>
                <w:sz w:val="20"/>
                <w:szCs w:val="20"/>
              </w:rPr>
              <w:t xml:space="preserve"> </w:t>
            </w:r>
            <w:r>
              <w:rPr>
                <w:color w:val="000000"/>
                <w:sz w:val="20"/>
                <w:szCs w:val="20"/>
              </w:rPr>
              <w:t>the degree of durability is zero in production and imported goods</w:t>
            </w:r>
            <w:r w:rsidR="0080197C" w:rsidRPr="0080197C">
              <w:rPr>
                <w:color w:val="000000"/>
                <w:sz w:val="20"/>
                <w:szCs w:val="20"/>
              </w:rPr>
              <w:t xml:space="preserve">. Accordingly differences in the business cycles </w:t>
            </w:r>
            <w:r>
              <w:rPr>
                <w:color w:val="000000"/>
                <w:sz w:val="20"/>
                <w:szCs w:val="20"/>
              </w:rPr>
              <w:t xml:space="preserve">across the theoretical economies </w:t>
            </w:r>
            <w:r w:rsidR="0080197C" w:rsidRPr="0080197C">
              <w:rPr>
                <w:color w:val="000000"/>
                <w:sz w:val="20"/>
                <w:szCs w:val="20"/>
              </w:rPr>
              <w:t xml:space="preserve">are </w:t>
            </w:r>
            <w:r>
              <w:rPr>
                <w:color w:val="000000"/>
                <w:sz w:val="20"/>
                <w:szCs w:val="20"/>
              </w:rPr>
              <w:t xml:space="preserve">due </w:t>
            </w:r>
            <w:r w:rsidR="0080197C" w:rsidRPr="0080197C">
              <w:rPr>
                <w:color w:val="000000"/>
                <w:sz w:val="20"/>
                <w:szCs w:val="20"/>
              </w:rPr>
              <w:t xml:space="preserve">to different </w:t>
            </w:r>
            <w:r w:rsidRPr="0080197C">
              <w:rPr>
                <w:color w:val="000000"/>
                <w:sz w:val="20"/>
                <w:szCs w:val="20"/>
              </w:rPr>
              <w:t>degrees</w:t>
            </w:r>
            <w:r w:rsidR="0080197C" w:rsidRPr="0080197C">
              <w:rPr>
                <w:color w:val="000000"/>
                <w:sz w:val="20"/>
                <w:szCs w:val="20"/>
              </w:rPr>
              <w:t xml:space="preserve"> of persistence </w:t>
            </w:r>
            <w:r>
              <w:rPr>
                <w:color w:val="000000"/>
                <w:sz w:val="20"/>
                <w:szCs w:val="20"/>
              </w:rPr>
              <w:t>of ToT persistence</w:t>
            </w:r>
            <w:r w:rsidR="0080197C" w:rsidRPr="0080197C">
              <w:rPr>
                <w:color w:val="000000"/>
                <w:sz w:val="20"/>
                <w:szCs w:val="20"/>
              </w:rPr>
              <w:t>.</w:t>
            </w:r>
          </w:p>
        </w:tc>
      </w:tr>
    </w:tbl>
    <w:p w:rsidR="00FE50AD" w:rsidRDefault="00FE50AD" w:rsidP="0080197C">
      <w:pPr>
        <w:autoSpaceDE w:val="0"/>
        <w:autoSpaceDN w:val="0"/>
        <w:adjustRightInd w:val="0"/>
      </w:pPr>
    </w:p>
    <w:p w:rsidR="00A2523B" w:rsidRDefault="00A2523B" w:rsidP="00A2523B">
      <w:pPr>
        <w:autoSpaceDE w:val="0"/>
        <w:autoSpaceDN w:val="0"/>
        <w:adjustRightInd w:val="0"/>
      </w:pPr>
    </w:p>
    <w:tbl>
      <w:tblPr>
        <w:tblW w:w="476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96"/>
        <w:gridCol w:w="1372"/>
        <w:gridCol w:w="6466"/>
      </w:tblGrid>
      <w:tr w:rsidR="00A2523B" w:rsidRPr="00C6021F" w:rsidTr="00FE50AD">
        <w:trPr>
          <w:trHeight w:hRule="exact" w:val="540"/>
          <w:jc w:val="center"/>
        </w:trPr>
        <w:tc>
          <w:tcPr>
            <w:tcW w:w="5000" w:type="pct"/>
            <w:gridSpan w:val="3"/>
            <w:tcBorders>
              <w:top w:val="nil"/>
              <w:left w:val="nil"/>
              <w:bottom w:val="single" w:sz="2" w:space="0" w:color="auto"/>
              <w:right w:val="nil"/>
            </w:tcBorders>
          </w:tcPr>
          <w:p w:rsidR="00A2523B" w:rsidRPr="00085BE7" w:rsidRDefault="00FE50AD" w:rsidP="00085BE7">
            <w:pPr>
              <w:pStyle w:val="Caption"/>
              <w:rPr>
                <w:b w:val="0"/>
                <w:sz w:val="24"/>
                <w:szCs w:val="24"/>
              </w:rPr>
            </w:pPr>
            <w:bookmarkStart w:id="74" w:name="_Toc284613311"/>
            <w:bookmarkStart w:id="75" w:name="_Toc285392592"/>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11</w:t>
            </w:r>
            <w:r w:rsidR="00AB7C8D" w:rsidRPr="00085BE7">
              <w:rPr>
                <w:b w:val="0"/>
                <w:sz w:val="24"/>
                <w:szCs w:val="24"/>
              </w:rPr>
              <w:fldChar w:fldCharType="end"/>
            </w:r>
            <w:r w:rsidRPr="00085BE7">
              <w:rPr>
                <w:b w:val="0"/>
                <w:sz w:val="24"/>
                <w:szCs w:val="24"/>
              </w:rPr>
              <w:t xml:space="preserve">: </w:t>
            </w:r>
            <w:r w:rsidR="00A2523B" w:rsidRPr="00085BE7">
              <w:rPr>
                <w:b w:val="0"/>
                <w:sz w:val="24"/>
                <w:szCs w:val="24"/>
              </w:rPr>
              <w:t>Parameters Values in the Baseline Model</w:t>
            </w:r>
            <w:bookmarkEnd w:id="74"/>
            <w:bookmarkEnd w:id="75"/>
          </w:p>
          <w:p w:rsidR="00A2523B" w:rsidRPr="00C6021F" w:rsidRDefault="00A2523B" w:rsidP="00FD1B12">
            <w:pPr>
              <w:pStyle w:val="ListParagraph"/>
              <w:ind w:left="0"/>
              <w:jc w:val="center"/>
              <w:rPr>
                <w:rFonts w:ascii="Book Antiqua" w:hAnsi="Book Antiqua" w:cs="Book Antiqua"/>
                <w:b/>
                <w:bCs/>
                <w:sz w:val="28"/>
                <w:szCs w:val="28"/>
              </w:rPr>
            </w:pPr>
          </w:p>
          <w:p w:rsidR="00A2523B" w:rsidRPr="00C6021F" w:rsidRDefault="00A2523B" w:rsidP="00FD1B12">
            <w:pPr>
              <w:pStyle w:val="ListParagraph"/>
              <w:ind w:left="0"/>
              <w:jc w:val="center"/>
              <w:rPr>
                <w:rFonts w:ascii="Book Antiqua" w:hAnsi="Book Antiqua" w:cs="Book Antiqua"/>
                <w:b/>
                <w:bCs/>
                <w:sz w:val="28"/>
                <w:szCs w:val="28"/>
              </w:rPr>
            </w:pPr>
          </w:p>
          <w:p w:rsidR="00A2523B" w:rsidRPr="00C6021F" w:rsidRDefault="00A2523B" w:rsidP="00FD1B12">
            <w:pPr>
              <w:pStyle w:val="ListParagraph"/>
              <w:ind w:left="0"/>
              <w:jc w:val="center"/>
              <w:rPr>
                <w:rFonts w:ascii="Book Antiqua" w:hAnsi="Book Antiqua" w:cs="Book Antiqua"/>
                <w:b/>
                <w:bCs/>
                <w:sz w:val="28"/>
                <w:szCs w:val="28"/>
              </w:rPr>
            </w:pPr>
          </w:p>
        </w:tc>
      </w:tr>
      <w:tr w:rsidR="00A2523B" w:rsidRPr="00C6021F" w:rsidTr="00FD1B12">
        <w:trPr>
          <w:trHeight w:hRule="exact" w:val="576"/>
          <w:jc w:val="center"/>
        </w:trPr>
        <w:tc>
          <w:tcPr>
            <w:tcW w:w="717" w:type="pct"/>
            <w:tcBorders>
              <w:top w:val="single" w:sz="2" w:space="0" w:color="auto"/>
              <w:left w:val="nil"/>
              <w:bottom w:val="single" w:sz="2" w:space="0" w:color="auto"/>
              <w:right w:val="nil"/>
            </w:tcBorders>
            <w:vAlign w:val="center"/>
          </w:tcPr>
          <w:p w:rsidR="00A2523B" w:rsidRPr="00194766" w:rsidRDefault="00A2523B" w:rsidP="00FD1B12">
            <w:pPr>
              <w:pStyle w:val="ListParagraph"/>
              <w:ind w:left="0"/>
              <w:rPr>
                <w:rFonts w:ascii="Times New Roman" w:hAnsi="Times New Roman"/>
                <w:position w:val="-6"/>
                <w:sz w:val="24"/>
                <w:szCs w:val="24"/>
              </w:rPr>
            </w:pPr>
            <w:r w:rsidRPr="00194766">
              <w:rPr>
                <w:rFonts w:ascii="Times New Roman" w:hAnsi="Times New Roman"/>
                <w:sz w:val="24"/>
                <w:szCs w:val="24"/>
              </w:rPr>
              <w:t>Parameter</w:t>
            </w:r>
          </w:p>
        </w:tc>
        <w:tc>
          <w:tcPr>
            <w:tcW w:w="736" w:type="pct"/>
            <w:tcBorders>
              <w:top w:val="single" w:sz="2" w:space="0" w:color="auto"/>
              <w:left w:val="nil"/>
              <w:bottom w:val="single" w:sz="2" w:space="0" w:color="auto"/>
              <w:right w:val="nil"/>
            </w:tcBorders>
            <w:vAlign w:val="center"/>
          </w:tcPr>
          <w:p w:rsidR="00A2523B" w:rsidRPr="00194766" w:rsidRDefault="00A2523B" w:rsidP="00FD1B12">
            <w:pPr>
              <w:pStyle w:val="ListParagraph"/>
              <w:ind w:left="0"/>
              <w:rPr>
                <w:rFonts w:ascii="Times New Roman" w:hAnsi="Times New Roman"/>
                <w:sz w:val="24"/>
                <w:szCs w:val="24"/>
              </w:rPr>
            </w:pPr>
            <w:r w:rsidRPr="00194766">
              <w:rPr>
                <w:rFonts w:ascii="Times New Roman" w:hAnsi="Times New Roman"/>
                <w:sz w:val="24"/>
                <w:szCs w:val="24"/>
              </w:rPr>
              <w:t>Value</w:t>
            </w:r>
          </w:p>
        </w:tc>
        <w:tc>
          <w:tcPr>
            <w:tcW w:w="3547" w:type="pct"/>
            <w:tcBorders>
              <w:top w:val="single" w:sz="2" w:space="0" w:color="auto"/>
              <w:left w:val="nil"/>
              <w:bottom w:val="single" w:sz="2" w:space="0" w:color="auto"/>
              <w:right w:val="nil"/>
            </w:tcBorders>
            <w:vAlign w:val="center"/>
          </w:tcPr>
          <w:p w:rsidR="00A2523B" w:rsidRPr="00194766" w:rsidRDefault="00A2523B" w:rsidP="00FD1B12">
            <w:pPr>
              <w:pStyle w:val="ListParagraph"/>
              <w:ind w:left="0"/>
              <w:rPr>
                <w:rFonts w:ascii="Times New Roman" w:hAnsi="Times New Roman"/>
                <w:sz w:val="24"/>
                <w:szCs w:val="24"/>
              </w:rPr>
            </w:pPr>
            <w:r w:rsidRPr="00194766">
              <w:rPr>
                <w:rFonts w:ascii="Times New Roman" w:hAnsi="Times New Roman"/>
                <w:sz w:val="24"/>
                <w:szCs w:val="24"/>
              </w:rPr>
              <w:t>Description</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460" w:dyaOrig="240">
                <v:shape id="_x0000_i1540" type="#_x0000_t75" style="width:22.6pt;height:13.4pt" o:ole="">
                  <v:imagedata r:id="rId662" o:title=""/>
                </v:shape>
                <o:OLEObject Type="Embed" ProgID="Equation.DSMT4" ShapeID="_x0000_i1540" DrawAspect="Content" ObjectID="_1359267463" r:id="rId944"/>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0.340</w:t>
            </w:r>
          </w:p>
        </w:tc>
        <w:tc>
          <w:tcPr>
            <w:tcW w:w="3547" w:type="pct"/>
            <w:tcBorders>
              <w:top w:val="single" w:sz="2" w:space="0" w:color="auto"/>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Employment share in output</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40" w:dyaOrig="300">
                <v:shape id="_x0000_i1541" type="#_x0000_t75" style="width:13.4pt;height:15.9pt" o:ole="">
                  <v:imagedata r:id="rId945" o:title=""/>
                </v:shape>
                <o:OLEObject Type="Embed" ProgID="Equation.DSMT4" ShapeID="_x0000_i1541" DrawAspect="Content" ObjectID="_1359267464" r:id="rId946"/>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0.015</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Depreciation rate of private capital stock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2"/>
                <w:sz w:val="20"/>
                <w:szCs w:val="20"/>
              </w:rPr>
              <w:object w:dxaOrig="260" w:dyaOrig="320">
                <v:shape id="_x0000_i1542" type="#_x0000_t75" style="width:13.4pt;height:15.9pt" o:ole="">
                  <v:imagedata r:id="rId947" o:title=""/>
                </v:shape>
                <o:OLEObject Type="Embed" ProgID="Equation.DSMT4" ShapeID="_x0000_i1542" DrawAspect="Content" ObjectID="_1359267465" r:id="rId948"/>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0.025</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Depreciation rate of public capital stock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20" w:dyaOrig="240">
                <v:shape id="_x0000_i1543" type="#_x0000_t75" style="width:8.35pt;height:9.2pt" o:ole="">
                  <v:imagedata r:id="rId684" o:title=""/>
                </v:shape>
                <o:OLEObject Type="Embed" ProgID="Equation.DSMT4" ShapeID="_x0000_i1543" DrawAspect="Content" ObjectID="_1359267466" r:id="rId949"/>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1.100</w:t>
            </w:r>
          </w:p>
          <w:p w:rsidR="00A2523B" w:rsidRPr="00B845A9" w:rsidRDefault="00A2523B" w:rsidP="00FD1B12">
            <w:pPr>
              <w:pStyle w:val="ListParagraph"/>
              <w:ind w:left="0"/>
              <w:jc w:val="center"/>
              <w:rPr>
                <w:rFonts w:ascii="Times New Roman" w:hAnsi="Times New Roman"/>
                <w:sz w:val="20"/>
                <w:szCs w:val="20"/>
              </w:rPr>
            </w:pP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Elasticity of substitution between private and public consumption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180" w:dyaOrig="200">
                <v:shape id="_x0000_i1544" type="#_x0000_t75" style="width:9.2pt;height:9.2pt" o:ole="">
                  <v:imagedata r:id="rId950" o:title=""/>
                </v:shape>
                <o:OLEObject Type="Embed" ProgID="Equation.DSMT4" ShapeID="_x0000_i1544" DrawAspect="Content" ObjectID="_1359267467" r:id="rId951"/>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1.120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Elasticity of substitution between private and public capital</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220" w:dyaOrig="200">
                <v:shape id="_x0000_i1545" type="#_x0000_t75" style="width:8.35pt;height:9.2pt" o:ole="">
                  <v:imagedata r:id="rId952" o:title=""/>
                </v:shape>
                <o:OLEObject Type="Embed" ProgID="Equation.DSMT4" ShapeID="_x0000_i1545" DrawAspect="Content" ObjectID="_1359267468" r:id="rId953"/>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0.500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Risk aversion parameter</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180" w:dyaOrig="260">
                <v:shape id="_x0000_i1546" type="#_x0000_t75" style="width:9.2pt;height:9.2pt" o:ole="">
                  <v:imagedata r:id="rId954" o:title=""/>
                </v:shape>
                <o:OLEObject Type="Embed" ProgID="Equation.DSMT4" ShapeID="_x0000_i1546" DrawAspect="Content" ObjectID="_1359267469" r:id="rId955"/>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0.300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Steady state hours worked</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220" w:dyaOrig="200">
                <v:shape id="_x0000_i1547" type="#_x0000_t75" style="width:8.35pt;height:9.2pt" o:ole="">
                  <v:imagedata r:id="rId956" o:title=""/>
                </v:shape>
                <o:OLEObject Type="Embed" ProgID="Equation.DSMT4" ShapeID="_x0000_i1547" DrawAspect="Content" ObjectID="_1359267470" r:id="rId957"/>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1.200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Labor supply elasticity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180" w:dyaOrig="279">
                <v:shape id="_x0000_i1548" type="#_x0000_t75" style="width:9.2pt;height:13.4pt" o:ole="">
                  <v:imagedata r:id="rId690" o:title=""/>
                </v:shape>
                <o:OLEObject Type="Embed" ProgID="Equation.DSMT4" ShapeID="_x0000_i1548" DrawAspect="Content" ObjectID="_1359267471" r:id="rId958"/>
              </w:object>
            </w:r>
          </w:p>
        </w:tc>
        <w:tc>
          <w:tcPr>
            <w:tcW w:w="736" w:type="pct"/>
            <w:tcBorders>
              <w:top w:val="nil"/>
              <w:left w:val="nil"/>
              <w:bottom w:val="nil"/>
              <w:right w:val="nil"/>
            </w:tcBorders>
            <w:vAlign w:val="bottom"/>
          </w:tcPr>
          <w:p w:rsidR="00A2523B" w:rsidRPr="00B845A9" w:rsidRDefault="00A2523B" w:rsidP="00FD1B12">
            <w:pPr>
              <w:jc w:val="center"/>
              <w:rPr>
                <w:color w:val="000000"/>
                <w:sz w:val="20"/>
                <w:szCs w:val="20"/>
              </w:rPr>
            </w:pPr>
            <w:r w:rsidRPr="00B845A9">
              <w:rPr>
                <w:color w:val="000000"/>
                <w:sz w:val="20"/>
                <w:szCs w:val="20"/>
              </w:rPr>
              <w:t>0.860</w:t>
            </w:r>
          </w:p>
        </w:tc>
        <w:tc>
          <w:tcPr>
            <w:tcW w:w="3547" w:type="pct"/>
            <w:tcBorders>
              <w:top w:val="nil"/>
              <w:left w:val="nil"/>
              <w:bottom w:val="nil"/>
              <w:right w:val="nil"/>
            </w:tcBorders>
            <w:vAlign w:val="bottom"/>
          </w:tcPr>
          <w:p w:rsidR="00A2523B" w:rsidRPr="00B845A9" w:rsidRDefault="00A2523B" w:rsidP="00FD1B12">
            <w:pPr>
              <w:rPr>
                <w:color w:val="000000"/>
                <w:sz w:val="20"/>
                <w:szCs w:val="20"/>
              </w:rPr>
            </w:pPr>
            <w:r w:rsidRPr="00B845A9">
              <w:rPr>
                <w:color w:val="000000"/>
                <w:sz w:val="20"/>
                <w:szCs w:val="20"/>
              </w:rPr>
              <w:t xml:space="preserve">Labor scaling parameter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4"/>
                <w:sz w:val="20"/>
                <w:szCs w:val="20"/>
              </w:rPr>
              <w:object w:dxaOrig="260" w:dyaOrig="260">
                <v:shape id="_x0000_i1549" type="#_x0000_t75" style="width:13.4pt;height:13.4pt" o:ole="">
                  <v:imagedata r:id="rId959" o:title=""/>
                </v:shape>
                <o:OLEObject Type="Embed" ProgID="Equation.DSMT4" ShapeID="_x0000_i1549" DrawAspect="Content" ObjectID="_1359267472" r:id="rId960"/>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560" w:dyaOrig="279">
                <v:shape id="_x0000_i1550" type="#_x0000_t75" style="width:25.95pt;height:13.4pt" o:ole="">
                  <v:imagedata r:id="rId961" o:title=""/>
                </v:shape>
                <o:OLEObject Type="Embed" ProgID="Equation.DSMT4" ShapeID="_x0000_i1550" DrawAspect="Content" ObjectID="_1359267473" r:id="rId962"/>
              </w:objec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Long run average gross interest rate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20" w:dyaOrig="279">
                <v:shape id="_x0000_i1551" type="#_x0000_t75" style="width:8.35pt;height:13.4pt" o:ole="">
                  <v:imagedata r:id="rId963" o:title=""/>
                </v:shape>
                <o:OLEObject Type="Embed" ProgID="Equation.DSMT4" ShapeID="_x0000_i1551" DrawAspect="Content" ObjectID="_1359267474" r:id="rId964"/>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639" w:dyaOrig="279">
                <v:shape id="_x0000_i1552" type="#_x0000_t75" style="width:30.15pt;height:13.4pt" o:ole="">
                  <v:imagedata r:id="rId965" o:title=""/>
                </v:shape>
                <o:OLEObject Type="Embed" ProgID="Equation.DSMT4" ShapeID="_x0000_i1552" DrawAspect="Content" ObjectID="_1359267475" r:id="rId966"/>
              </w:objec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Subjective discount factor</w:t>
            </w:r>
          </w:p>
        </w:tc>
      </w:tr>
      <w:tr w:rsidR="00A2523B" w:rsidRPr="00C6021F" w:rsidTr="00FD1B12">
        <w:trPr>
          <w:trHeight w:hRule="exact" w:val="343"/>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40" w:dyaOrig="300">
                <v:shape id="_x0000_i1553" type="#_x0000_t75" style="width:13.4pt;height:16.75pt" o:ole="">
                  <v:imagedata r:id="rId692" o:title=""/>
                </v:shape>
                <o:OLEObject Type="Embed" ProgID="Equation.DSMT4" ShapeID="_x0000_i1553" DrawAspect="Content" ObjectID="_1359267476" r:id="rId967"/>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0.840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Habit intensity of nondurable expenditure</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60" w:dyaOrig="300">
                <v:shape id="_x0000_i1554" type="#_x0000_t75" style="width:13.4pt;height:16.75pt" o:ole="">
                  <v:imagedata r:id="rId968" o:title=""/>
                </v:shape>
                <o:OLEObject Type="Embed" ProgID="Equation.DSMT4" ShapeID="_x0000_i1554" DrawAspect="Content" ObjectID="_1359267477" r:id="rId969"/>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0.700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Habit intensity of labor supply</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180" w:dyaOrig="240">
                <v:shape id="_x0000_i1555" type="#_x0000_t75" style="width:7.55pt;height:13.4pt" o:ole="">
                  <v:imagedata r:id="rId970" o:title=""/>
                </v:shape>
                <o:OLEObject Type="Embed" ProgID="Equation.DSMT4" ShapeID="_x0000_i1555" DrawAspect="Content" ObjectID="_1359267478" r:id="rId971"/>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0.100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Share parameter in the utility</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180" w:dyaOrig="279">
                <v:shape id="_x0000_i1556" type="#_x0000_t75" style="width:7.55pt;height:14.25pt" o:ole="">
                  <v:imagedata r:id="rId972" o:title=""/>
                </v:shape>
                <o:OLEObject Type="Embed" ProgID="Equation.DSMT4" ShapeID="_x0000_i1556" DrawAspect="Content" ObjectID="_1359267479" r:id="rId973"/>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0.193</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Share parameter in the production function</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40" w:dyaOrig="300">
                <v:shape id="_x0000_i1557" type="#_x0000_t75" style="width:9.2pt;height:16.75pt" o:ole="">
                  <v:imagedata r:id="rId698" o:title=""/>
                </v:shape>
                <o:OLEObject Type="Embed" ProgID="Equation.DSMT4" ShapeID="_x0000_i1557" DrawAspect="Content" ObjectID="_1359267480" r:id="rId974"/>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25.00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Capital adjustment cost parameter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60" w:dyaOrig="300">
                <v:shape id="_x0000_i1558" type="#_x0000_t75" style="width:13.4pt;height:16.75pt" o:ole="">
                  <v:imagedata r:id="rId975" o:title=""/>
                </v:shape>
                <o:OLEObject Type="Embed" ProgID="Equation.DSMT4" ShapeID="_x0000_i1558" DrawAspect="Content" ObjectID="_1359267481" r:id="rId976"/>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0.350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Portfolio adjustment cost parameter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position w:val="-10"/>
                <w:sz w:val="20"/>
                <w:szCs w:val="20"/>
              </w:rPr>
            </w:pPr>
            <w:r w:rsidRPr="00B845A9">
              <w:rPr>
                <w:rFonts w:ascii="Times New Roman" w:hAnsi="Times New Roman"/>
                <w:position w:val="-10"/>
                <w:sz w:val="20"/>
                <w:szCs w:val="20"/>
              </w:rPr>
              <w:object w:dxaOrig="200" w:dyaOrig="279">
                <v:shape id="_x0000_i1559" type="#_x0000_t75" style="width:9.2pt;height:13.4pt" o:ole="">
                  <v:imagedata r:id="rId710" o:title=""/>
                </v:shape>
                <o:OLEObject Type="Embed" ProgID="Equation.DSMT4" ShapeID="_x0000_i1559" DrawAspect="Content" ObjectID="_1359267482" r:id="rId977"/>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0. 010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Elasticity of risk premium to GDP</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240" w:dyaOrig="279">
                <v:shape id="_x0000_i1560" type="#_x0000_t75" style="width:9.2pt;height:13.4pt" o:ole="">
                  <v:imagedata r:id="rId978" o:title=""/>
                </v:shape>
                <o:OLEObject Type="Embed" ProgID="Equation.DSMT4" ShapeID="_x0000_i1560" DrawAspect="Content" ObjectID="_1359267483" r:id="rId979"/>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0.180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Average income tax rate</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6"/>
                <w:sz w:val="20"/>
                <w:szCs w:val="20"/>
              </w:rPr>
              <w:object w:dxaOrig="240" w:dyaOrig="279">
                <v:shape id="_x0000_i1561" type="#_x0000_t75" style="width:9.2pt;height:13.4pt" o:ole="">
                  <v:imagedata r:id="rId980" o:title=""/>
                </v:shape>
                <o:OLEObject Type="Embed" ProgID="Equation.DSMT4" ShapeID="_x0000_i1561" DrawAspect="Content" ObjectID="_1359267484" r:id="rId981"/>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0.090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Average consumption tax rate</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60" w:dyaOrig="300">
                <v:shape id="_x0000_i1562" type="#_x0000_t75" style="width:13.4pt;height:13.4pt" o:ole="">
                  <v:imagedata r:id="rId982" o:title=""/>
                </v:shape>
                <o:OLEObject Type="Embed" ProgID="Equation.DSMT4" ShapeID="_x0000_i1562" DrawAspect="Content" ObjectID="_1359267485" r:id="rId983"/>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0.209</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Share of gvt productive spending in gvt revenue</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60" w:dyaOrig="300">
                <v:shape id="_x0000_i1563" type="#_x0000_t75" style="width:13.4pt;height:13.4pt" o:ole="">
                  <v:imagedata r:id="rId982" o:title=""/>
                </v:shape>
                <o:OLEObject Type="Embed" ProgID="Equation.DSMT4" ShapeID="_x0000_i1563" DrawAspect="Content" ObjectID="_1359267486" r:id="rId984"/>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0.628</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Share of gvt spending on consumption services in gvt revenue</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60" w:dyaOrig="240">
                <v:shape id="_x0000_i1564" type="#_x0000_t75" style="width:9.2pt;height:13.4pt" o:ole="">
                  <v:imagedata r:id="rId985" o:title=""/>
                </v:shape>
                <o:OLEObject Type="Embed" ProgID="Equation.DSMT4" ShapeID="_x0000_i1564" DrawAspect="Content" ObjectID="_1359267487" r:id="rId986"/>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0.150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Government consumption services to output ratio</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79" w:dyaOrig="240">
                <v:shape id="_x0000_i1565" type="#_x0000_t75" style="width:13.4pt;height:9.2pt" o:ole="">
                  <v:imagedata r:id="rId987" o:title=""/>
                </v:shape>
                <o:OLEObject Type="Embed" ProgID="Equation.DSMT4" ShapeID="_x0000_i1565" DrawAspect="Content" ObjectID="_1359267488" r:id="rId988"/>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0.050</w:t>
            </w:r>
          </w:p>
          <w:p w:rsidR="00A2523B" w:rsidRPr="00B845A9" w:rsidRDefault="00A2523B" w:rsidP="00FD1B12">
            <w:pPr>
              <w:pStyle w:val="ListParagraph"/>
              <w:ind w:left="0"/>
              <w:jc w:val="center"/>
              <w:rPr>
                <w:rFonts w:ascii="Times New Roman" w:hAnsi="Times New Roman"/>
                <w:sz w:val="20"/>
                <w:szCs w:val="20"/>
              </w:rPr>
            </w:pP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Government investment in public capital to output ratio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79" w:dyaOrig="279">
                <v:shape id="_x0000_i1566" type="#_x0000_t75" style="width:13.4pt;height:13.4pt" o:ole="">
                  <v:imagedata r:id="rId989" o:title=""/>
                </v:shape>
                <o:OLEObject Type="Embed" ProgID="Equation.DSMT4" ShapeID="_x0000_i1566" DrawAspect="Content" ObjectID="_1359267489" r:id="rId990"/>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0.039</w:t>
            </w:r>
          </w:p>
          <w:p w:rsidR="00A2523B" w:rsidRPr="00B845A9" w:rsidRDefault="00A2523B" w:rsidP="00FD1B12">
            <w:pPr>
              <w:pStyle w:val="ListParagraph"/>
              <w:ind w:left="0"/>
              <w:jc w:val="center"/>
              <w:rPr>
                <w:rFonts w:ascii="Times New Roman" w:hAnsi="Times New Roman"/>
                <w:sz w:val="20"/>
                <w:szCs w:val="20"/>
              </w:rPr>
            </w:pP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Government transfer payment to output ratio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320" w:dyaOrig="279">
                <v:shape id="_x0000_i1567" type="#_x0000_t75" style="width:15.9pt;height:13.4pt" o:ole="">
                  <v:imagedata r:id="rId991" o:title=""/>
                </v:shape>
                <o:OLEObject Type="Embed" ProgID="Equation.DSMT4" ShapeID="_x0000_i1567" DrawAspect="Content" ObjectID="_1359267490" r:id="rId992"/>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2"/>
                <w:sz w:val="20"/>
                <w:szCs w:val="20"/>
              </w:rPr>
              <w:object w:dxaOrig="1160" w:dyaOrig="340">
                <v:shape id="_x0000_i1568" type="#_x0000_t75" style="width:57.75pt;height:14.25pt" o:ole="">
                  <v:imagedata r:id="rId993" o:title=""/>
                </v:shape>
                <o:OLEObject Type="Embed" ProgID="Equation.DSMT4" ShapeID="_x0000_i1568" DrawAspect="Content" ObjectID="_1359267491" r:id="rId994"/>
              </w:objec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BSF size is 10 percent of government size</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60" w:dyaOrig="300">
                <v:shape id="_x0000_i1569" type="#_x0000_t75" style="width:13.4pt;height:16.75pt" o:ole="">
                  <v:imagedata r:id="rId995" o:title=""/>
                </v:shape>
                <o:OLEObject Type="Embed" ProgID="Equation.DSMT4" ShapeID="_x0000_i1569" DrawAspect="Content" ObjectID="_1359267492" r:id="rId996"/>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0.950</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AR (1) coefficient of technical progress </w:t>
            </w:r>
          </w:p>
        </w:tc>
      </w:tr>
      <w:tr w:rsidR="00A2523B" w:rsidRPr="00C6021F" w:rsidTr="00FD1B12">
        <w:trPr>
          <w:trHeight w:hRule="exact" w:val="288"/>
          <w:jc w:val="center"/>
        </w:trPr>
        <w:tc>
          <w:tcPr>
            <w:tcW w:w="717"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position w:val="-10"/>
                <w:sz w:val="20"/>
                <w:szCs w:val="20"/>
              </w:rPr>
              <w:object w:dxaOrig="260" w:dyaOrig="300">
                <v:shape id="_x0000_i1570" type="#_x0000_t75" style="width:13.4pt;height:16.75pt" o:ole="">
                  <v:imagedata r:id="rId997" o:title=""/>
                </v:shape>
                <o:OLEObject Type="Embed" ProgID="Equation.DSMT4" ShapeID="_x0000_i1570" DrawAspect="Content" ObjectID="_1359267493" r:id="rId998"/>
              </w:object>
            </w:r>
          </w:p>
        </w:tc>
        <w:tc>
          <w:tcPr>
            <w:tcW w:w="736" w:type="pct"/>
            <w:tcBorders>
              <w:top w:val="nil"/>
              <w:left w:val="nil"/>
              <w:bottom w:val="nil"/>
              <w:right w:val="nil"/>
            </w:tcBorders>
          </w:tcPr>
          <w:p w:rsidR="00A2523B" w:rsidRPr="00B845A9" w:rsidRDefault="00A2523B" w:rsidP="00FD1B12">
            <w:pPr>
              <w:pStyle w:val="ListParagraph"/>
              <w:ind w:left="0"/>
              <w:jc w:val="center"/>
              <w:rPr>
                <w:rFonts w:ascii="Times New Roman" w:hAnsi="Times New Roman"/>
                <w:sz w:val="20"/>
                <w:szCs w:val="20"/>
              </w:rPr>
            </w:pPr>
            <w:r w:rsidRPr="00B845A9">
              <w:rPr>
                <w:rFonts w:ascii="Times New Roman" w:hAnsi="Times New Roman"/>
                <w:sz w:val="20"/>
                <w:szCs w:val="20"/>
              </w:rPr>
              <w:t>0.007</w:t>
            </w:r>
          </w:p>
        </w:tc>
        <w:tc>
          <w:tcPr>
            <w:tcW w:w="3547" w:type="pct"/>
            <w:tcBorders>
              <w:top w:val="nil"/>
              <w:left w:val="nil"/>
              <w:bottom w:val="nil"/>
              <w:right w:val="nil"/>
            </w:tcBorders>
          </w:tcPr>
          <w:p w:rsidR="00A2523B" w:rsidRPr="00B845A9" w:rsidRDefault="00A2523B" w:rsidP="00FD1B12">
            <w:pPr>
              <w:pStyle w:val="ListParagraph"/>
              <w:ind w:left="0"/>
              <w:rPr>
                <w:rFonts w:ascii="Times New Roman" w:hAnsi="Times New Roman"/>
                <w:sz w:val="20"/>
                <w:szCs w:val="20"/>
              </w:rPr>
            </w:pPr>
            <w:r w:rsidRPr="00B845A9">
              <w:rPr>
                <w:rFonts w:ascii="Times New Roman" w:hAnsi="Times New Roman"/>
                <w:sz w:val="20"/>
                <w:szCs w:val="20"/>
              </w:rPr>
              <w:t xml:space="preserve">Standard deviation of technology shock </w:t>
            </w:r>
          </w:p>
        </w:tc>
      </w:tr>
      <w:tr w:rsidR="00A2523B" w:rsidRPr="00C6021F" w:rsidTr="00FD1B12">
        <w:trPr>
          <w:trHeight w:hRule="exact" w:val="144"/>
          <w:jc w:val="center"/>
        </w:trPr>
        <w:tc>
          <w:tcPr>
            <w:tcW w:w="717" w:type="pct"/>
            <w:tcBorders>
              <w:top w:val="nil"/>
              <w:left w:val="nil"/>
              <w:bottom w:val="single" w:sz="2" w:space="0" w:color="auto"/>
              <w:right w:val="nil"/>
            </w:tcBorders>
          </w:tcPr>
          <w:p w:rsidR="00A2523B" w:rsidRPr="00C6021F" w:rsidRDefault="00A2523B" w:rsidP="00FD1B12">
            <w:pPr>
              <w:pStyle w:val="ListParagraph"/>
              <w:ind w:left="0"/>
              <w:jc w:val="center"/>
              <w:rPr>
                <w:rFonts w:ascii="Book Antiqua" w:hAnsi="Book Antiqua" w:cs="Book Antiqua"/>
                <w:position w:val="-12"/>
                <w:sz w:val="20"/>
                <w:szCs w:val="20"/>
              </w:rPr>
            </w:pPr>
          </w:p>
        </w:tc>
        <w:tc>
          <w:tcPr>
            <w:tcW w:w="736" w:type="pct"/>
            <w:tcBorders>
              <w:top w:val="nil"/>
              <w:left w:val="nil"/>
              <w:bottom w:val="single" w:sz="2" w:space="0" w:color="auto"/>
              <w:right w:val="nil"/>
            </w:tcBorders>
          </w:tcPr>
          <w:p w:rsidR="00A2523B" w:rsidRPr="00C6021F" w:rsidRDefault="00A2523B" w:rsidP="00FD1B12">
            <w:pPr>
              <w:pStyle w:val="ListParagraph"/>
              <w:ind w:left="0"/>
              <w:rPr>
                <w:rFonts w:ascii="Book Antiqua" w:hAnsi="Book Antiqua" w:cs="Book Antiqua"/>
                <w:sz w:val="20"/>
                <w:szCs w:val="20"/>
              </w:rPr>
            </w:pPr>
          </w:p>
        </w:tc>
        <w:tc>
          <w:tcPr>
            <w:tcW w:w="3547" w:type="pct"/>
            <w:tcBorders>
              <w:top w:val="nil"/>
              <w:left w:val="nil"/>
              <w:bottom w:val="single" w:sz="2" w:space="0" w:color="auto"/>
              <w:right w:val="nil"/>
            </w:tcBorders>
          </w:tcPr>
          <w:p w:rsidR="00A2523B" w:rsidRPr="00C6021F" w:rsidRDefault="00A2523B" w:rsidP="00FD1B12">
            <w:pPr>
              <w:pStyle w:val="ListParagraph"/>
              <w:ind w:left="0"/>
              <w:rPr>
                <w:rFonts w:ascii="Book Antiqua" w:hAnsi="Book Antiqua" w:cs="Book Antiqua"/>
                <w:sz w:val="20"/>
                <w:szCs w:val="20"/>
              </w:rPr>
            </w:pPr>
          </w:p>
        </w:tc>
      </w:tr>
    </w:tbl>
    <w:p w:rsidR="00A2523B" w:rsidRDefault="00A2523B" w:rsidP="00A2523B"/>
    <w:p w:rsidR="00A2523B" w:rsidRDefault="00A2523B" w:rsidP="00A2523B">
      <w:pPr>
        <w:autoSpaceDE w:val="0"/>
        <w:autoSpaceDN w:val="0"/>
        <w:adjustRightInd w:val="0"/>
      </w:pPr>
    </w:p>
    <w:p w:rsidR="00A2523B" w:rsidRDefault="00A2523B" w:rsidP="00A2523B">
      <w:pPr>
        <w:autoSpaceDE w:val="0"/>
        <w:autoSpaceDN w:val="0"/>
        <w:adjustRightInd w:val="0"/>
      </w:pPr>
    </w:p>
    <w:p w:rsidR="00A2523B" w:rsidRDefault="00A2523B" w:rsidP="00A2523B">
      <w:pPr>
        <w:autoSpaceDE w:val="0"/>
        <w:autoSpaceDN w:val="0"/>
        <w:adjustRightInd w:val="0"/>
      </w:pPr>
    </w:p>
    <w:p w:rsidR="00A2523B" w:rsidRDefault="00A2523B" w:rsidP="00A2523B">
      <w:pPr>
        <w:autoSpaceDE w:val="0"/>
        <w:autoSpaceDN w:val="0"/>
        <w:adjustRightInd w:val="0"/>
        <w:rPr>
          <w:rFonts w:ascii="Book Antiqua" w:hAnsi="Book Antiqua" w:cs="Book Antiqua"/>
        </w:rPr>
      </w:pPr>
    </w:p>
    <w:p w:rsidR="009C0AA3" w:rsidRDefault="009C0AA3" w:rsidP="00A2523B">
      <w:pPr>
        <w:autoSpaceDE w:val="0"/>
        <w:autoSpaceDN w:val="0"/>
        <w:adjustRightInd w:val="0"/>
        <w:rPr>
          <w:rFonts w:ascii="Book Antiqua" w:hAnsi="Book Antiqua" w:cs="Book Antiqua"/>
        </w:rPr>
      </w:pPr>
    </w:p>
    <w:p w:rsidR="009C0AA3" w:rsidRDefault="009C0AA3" w:rsidP="00A2523B">
      <w:pPr>
        <w:autoSpaceDE w:val="0"/>
        <w:autoSpaceDN w:val="0"/>
        <w:adjustRightInd w:val="0"/>
        <w:rPr>
          <w:rFonts w:ascii="Book Antiqua" w:hAnsi="Book Antiqua" w:cs="Book Antiqua"/>
        </w:rPr>
      </w:pPr>
    </w:p>
    <w:p w:rsidR="009C0AA3" w:rsidRDefault="009C0AA3" w:rsidP="00A2523B">
      <w:pPr>
        <w:autoSpaceDE w:val="0"/>
        <w:autoSpaceDN w:val="0"/>
        <w:adjustRightInd w:val="0"/>
        <w:rPr>
          <w:rFonts w:ascii="Book Antiqua" w:hAnsi="Book Antiqua" w:cs="Book Antiqua"/>
        </w:rPr>
      </w:pPr>
    </w:p>
    <w:p w:rsidR="009C0AA3" w:rsidRDefault="009C0AA3" w:rsidP="00A2523B">
      <w:pPr>
        <w:autoSpaceDE w:val="0"/>
        <w:autoSpaceDN w:val="0"/>
        <w:adjustRightInd w:val="0"/>
        <w:rPr>
          <w:rFonts w:ascii="Book Antiqua" w:hAnsi="Book Antiqua" w:cs="Book Antiqua"/>
        </w:rPr>
      </w:pPr>
    </w:p>
    <w:p w:rsidR="009C0AA3" w:rsidRDefault="009C0AA3" w:rsidP="00A2523B">
      <w:pPr>
        <w:autoSpaceDE w:val="0"/>
        <w:autoSpaceDN w:val="0"/>
        <w:adjustRightInd w:val="0"/>
        <w:rPr>
          <w:rFonts w:ascii="Book Antiqua" w:hAnsi="Book Antiqua" w:cs="Book Antiqua"/>
        </w:rPr>
      </w:pPr>
    </w:p>
    <w:p w:rsidR="00ED38D3" w:rsidRDefault="00ED38D3" w:rsidP="00A2523B">
      <w:pPr>
        <w:autoSpaceDE w:val="0"/>
        <w:autoSpaceDN w:val="0"/>
        <w:adjustRightInd w:val="0"/>
        <w:rPr>
          <w:rFonts w:ascii="Book Antiqua" w:hAnsi="Book Antiqua" w:cs="Book Antiqua"/>
        </w:rPr>
      </w:pPr>
    </w:p>
    <w:p w:rsidR="00A2523B" w:rsidRPr="00C6021F" w:rsidRDefault="00A2523B" w:rsidP="00A2523B">
      <w:pPr>
        <w:autoSpaceDE w:val="0"/>
        <w:autoSpaceDN w:val="0"/>
        <w:adjustRightInd w:val="0"/>
        <w:rPr>
          <w:rFonts w:ascii="Book Antiqua" w:hAnsi="Book Antiqua" w:cs="Book Antiqua"/>
        </w:rPr>
      </w:pPr>
    </w:p>
    <w:tbl>
      <w:tblPr>
        <w:tblW w:w="9576" w:type="dxa"/>
        <w:jc w:val="center"/>
        <w:tblLayout w:type="fixed"/>
        <w:tblLook w:val="00A0"/>
      </w:tblPr>
      <w:tblGrid>
        <w:gridCol w:w="3618"/>
        <w:gridCol w:w="2970"/>
        <w:gridCol w:w="2988"/>
      </w:tblGrid>
      <w:tr w:rsidR="00A2523B" w:rsidRPr="00C6021F" w:rsidTr="00FD1B12">
        <w:trPr>
          <w:trHeight w:hRule="exact" w:val="576"/>
          <w:jc w:val="center"/>
        </w:trPr>
        <w:tc>
          <w:tcPr>
            <w:tcW w:w="9576" w:type="dxa"/>
            <w:gridSpan w:val="3"/>
            <w:tcBorders>
              <w:bottom w:val="single" w:sz="2" w:space="0" w:color="auto"/>
            </w:tcBorders>
            <w:noWrap/>
            <w:vAlign w:val="bottom"/>
          </w:tcPr>
          <w:p w:rsidR="00A2523B" w:rsidRPr="00FE50AD" w:rsidRDefault="00FE50AD" w:rsidP="00FE50AD">
            <w:pPr>
              <w:pStyle w:val="Caption"/>
              <w:rPr>
                <w:b w:val="0"/>
                <w:sz w:val="24"/>
                <w:szCs w:val="24"/>
              </w:rPr>
            </w:pPr>
            <w:bookmarkStart w:id="76" w:name="_Toc284613312"/>
            <w:bookmarkStart w:id="77" w:name="_Toc285392593"/>
            <w:r w:rsidRPr="00085BE7">
              <w:rPr>
                <w:b w:val="0"/>
                <w:sz w:val="24"/>
                <w:szCs w:val="24"/>
              </w:rPr>
              <w:t xml:space="preserve">Table </w:t>
            </w:r>
            <w:r w:rsidR="00F15834">
              <w:rPr>
                <w:b w:val="0"/>
                <w:sz w:val="24"/>
                <w:szCs w:val="24"/>
              </w:rPr>
              <w:t>A.</w:t>
            </w:r>
            <w:r w:rsidR="00AB7C8D" w:rsidRPr="00085BE7">
              <w:rPr>
                <w:b w:val="0"/>
                <w:sz w:val="24"/>
                <w:szCs w:val="24"/>
              </w:rPr>
              <w:fldChar w:fldCharType="begin"/>
            </w:r>
            <w:r w:rsidRPr="00085BE7">
              <w:rPr>
                <w:b w:val="0"/>
                <w:sz w:val="24"/>
                <w:szCs w:val="24"/>
              </w:rPr>
              <w:instrText xml:space="preserve"> SEQ Table \* ARABIC </w:instrText>
            </w:r>
            <w:r w:rsidR="00AB7C8D" w:rsidRPr="00085BE7">
              <w:rPr>
                <w:b w:val="0"/>
                <w:sz w:val="24"/>
                <w:szCs w:val="24"/>
              </w:rPr>
              <w:fldChar w:fldCharType="separate"/>
            </w:r>
            <w:r w:rsidR="00531AB5">
              <w:rPr>
                <w:b w:val="0"/>
                <w:noProof/>
                <w:sz w:val="24"/>
                <w:szCs w:val="24"/>
              </w:rPr>
              <w:t>12</w:t>
            </w:r>
            <w:r w:rsidR="00AB7C8D" w:rsidRPr="00085BE7">
              <w:rPr>
                <w:b w:val="0"/>
                <w:sz w:val="24"/>
                <w:szCs w:val="24"/>
              </w:rPr>
              <w:fldChar w:fldCharType="end"/>
            </w:r>
            <w:r w:rsidRPr="00085BE7">
              <w:rPr>
                <w:b w:val="0"/>
                <w:sz w:val="24"/>
                <w:szCs w:val="24"/>
              </w:rPr>
              <w:t xml:space="preserve">: </w:t>
            </w:r>
            <w:r w:rsidR="00A2523B" w:rsidRPr="00FE50AD">
              <w:rPr>
                <w:b w:val="0"/>
                <w:sz w:val="24"/>
                <w:szCs w:val="24"/>
              </w:rPr>
              <w:t xml:space="preserve">Moments </w:t>
            </w:r>
            <w:r w:rsidR="009040DC" w:rsidRPr="00FE50AD">
              <w:rPr>
                <w:b w:val="0"/>
                <w:sz w:val="24"/>
                <w:szCs w:val="24"/>
              </w:rPr>
              <w:t>Comparison (With</w:t>
            </w:r>
            <w:r w:rsidR="00A2523B" w:rsidRPr="00FE50AD">
              <w:rPr>
                <w:b w:val="0"/>
                <w:sz w:val="24"/>
                <w:szCs w:val="24"/>
              </w:rPr>
              <w:t xml:space="preserve"> and Without BSF</w:t>
            </w:r>
            <w:r w:rsidR="009040DC" w:rsidRPr="00FE50AD">
              <w:rPr>
                <w:b w:val="0"/>
                <w:sz w:val="24"/>
                <w:szCs w:val="24"/>
              </w:rPr>
              <w:t>)</w:t>
            </w:r>
            <w:bookmarkEnd w:id="76"/>
            <w:bookmarkEnd w:id="77"/>
          </w:p>
          <w:p w:rsidR="00A2523B" w:rsidRPr="00C6021F" w:rsidRDefault="00A2523B" w:rsidP="00FD1B12">
            <w:pPr>
              <w:jc w:val="center"/>
              <w:rPr>
                <w:rFonts w:ascii="Book Antiqua" w:hAnsi="Book Antiqua" w:cs="Book Antiqua"/>
                <w:color w:val="000000"/>
              </w:rPr>
            </w:pPr>
          </w:p>
        </w:tc>
      </w:tr>
      <w:tr w:rsidR="00A2523B" w:rsidRPr="00C6021F" w:rsidTr="00FD1B12">
        <w:trPr>
          <w:trHeight w:hRule="exact" w:val="720"/>
          <w:jc w:val="center"/>
        </w:trPr>
        <w:tc>
          <w:tcPr>
            <w:tcW w:w="3618" w:type="dxa"/>
            <w:tcBorders>
              <w:top w:val="single" w:sz="2" w:space="0" w:color="auto"/>
              <w:bottom w:val="single" w:sz="2" w:space="0" w:color="auto"/>
            </w:tcBorders>
            <w:noWrap/>
            <w:vAlign w:val="center"/>
          </w:tcPr>
          <w:p w:rsidR="00A2523B" w:rsidRPr="00B845A9" w:rsidRDefault="00A2523B" w:rsidP="00FD1B12">
            <w:pPr>
              <w:jc w:val="center"/>
              <w:rPr>
                <w:color w:val="000000"/>
                <w:sz w:val="20"/>
                <w:szCs w:val="20"/>
              </w:rPr>
            </w:pPr>
          </w:p>
        </w:tc>
        <w:tc>
          <w:tcPr>
            <w:tcW w:w="2970" w:type="dxa"/>
            <w:tcBorders>
              <w:top w:val="single" w:sz="2" w:space="0" w:color="auto"/>
              <w:bottom w:val="single" w:sz="2" w:space="0" w:color="auto"/>
            </w:tcBorders>
            <w:noWrap/>
            <w:vAlign w:val="center"/>
          </w:tcPr>
          <w:p w:rsidR="00A2523B" w:rsidRPr="00B845A9" w:rsidRDefault="00A2523B" w:rsidP="00FD1B12">
            <w:pPr>
              <w:jc w:val="center"/>
              <w:rPr>
                <w:color w:val="000000"/>
              </w:rPr>
            </w:pPr>
            <w:r w:rsidRPr="00B845A9">
              <w:rPr>
                <w:color w:val="000000"/>
              </w:rPr>
              <w:t>Baseline</w:t>
            </w:r>
          </w:p>
          <w:p w:rsidR="00A2523B" w:rsidRPr="00B845A9" w:rsidRDefault="00A2523B" w:rsidP="00FD1B12">
            <w:pPr>
              <w:jc w:val="center"/>
              <w:rPr>
                <w:color w:val="000000"/>
              </w:rPr>
            </w:pPr>
            <w:r w:rsidRPr="00B845A9">
              <w:rPr>
                <w:color w:val="000000"/>
              </w:rPr>
              <w:t>Economy</w:t>
            </w:r>
          </w:p>
        </w:tc>
        <w:tc>
          <w:tcPr>
            <w:tcW w:w="2988" w:type="dxa"/>
            <w:tcBorders>
              <w:top w:val="single" w:sz="2" w:space="0" w:color="auto"/>
              <w:bottom w:val="single" w:sz="2" w:space="0" w:color="auto"/>
            </w:tcBorders>
            <w:vAlign w:val="center"/>
          </w:tcPr>
          <w:p w:rsidR="00A2523B" w:rsidRPr="00B845A9" w:rsidRDefault="00A2523B" w:rsidP="00FD1B12">
            <w:pPr>
              <w:jc w:val="center"/>
              <w:rPr>
                <w:color w:val="000000"/>
              </w:rPr>
            </w:pPr>
            <w:r w:rsidRPr="00B845A9">
              <w:rPr>
                <w:color w:val="000000"/>
              </w:rPr>
              <w:t>BSF</w:t>
            </w:r>
          </w:p>
          <w:p w:rsidR="00A2523B" w:rsidRPr="00B845A9" w:rsidRDefault="00A2523B" w:rsidP="00FD1B12">
            <w:pPr>
              <w:jc w:val="center"/>
              <w:rPr>
                <w:color w:val="000000"/>
              </w:rPr>
            </w:pPr>
            <w:r w:rsidRPr="00B845A9">
              <w:rPr>
                <w:color w:val="000000"/>
              </w:rPr>
              <w:t>Economy</w:t>
            </w:r>
          </w:p>
        </w:tc>
      </w:tr>
      <w:tr w:rsidR="00A2523B" w:rsidRPr="00C6021F" w:rsidTr="00FD1B12">
        <w:trPr>
          <w:trHeight w:hRule="exact" w:val="429"/>
          <w:jc w:val="center"/>
        </w:trPr>
        <w:tc>
          <w:tcPr>
            <w:tcW w:w="9576" w:type="dxa"/>
            <w:gridSpan w:val="3"/>
            <w:tcBorders>
              <w:top w:val="single" w:sz="2" w:space="0" w:color="auto"/>
            </w:tcBorders>
            <w:noWrap/>
            <w:vAlign w:val="bottom"/>
          </w:tcPr>
          <w:p w:rsidR="00A2523B" w:rsidRPr="00B845A9" w:rsidRDefault="00A2523B" w:rsidP="00FD1B12">
            <w:pPr>
              <w:jc w:val="center"/>
              <w:rPr>
                <w:b/>
                <w:bCs/>
                <w:i/>
                <w:iCs/>
                <w:color w:val="000000"/>
                <w:sz w:val="20"/>
                <w:szCs w:val="20"/>
              </w:rPr>
            </w:pPr>
            <w:r w:rsidRPr="00B845A9">
              <w:rPr>
                <w:b/>
                <w:bCs/>
                <w:i/>
                <w:iCs/>
                <w:color w:val="000000"/>
                <w:sz w:val="20"/>
                <w:szCs w:val="20"/>
              </w:rPr>
              <w:t>Volatilities</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680" w:dyaOrig="340">
                <v:shape id="_x0000_i1571" type="#_x0000_t75" style="width:33.5pt;height:17.6pt" o:ole="">
                  <v:imagedata r:id="rId999" o:title=""/>
                </v:shape>
                <o:OLEObject Type="Embed" ProgID="Equation.DSMT4" ShapeID="_x0000_i1571" DrawAspect="Content" ObjectID="_1359267494" r:id="rId1000"/>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1.431</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1.392</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660" w:dyaOrig="340">
                <v:shape id="_x0000_i1572" type="#_x0000_t75" style="width:30.15pt;height:14.25pt" o:ole="">
                  <v:imagedata r:id="rId1001" o:title=""/>
                </v:shape>
                <o:OLEObject Type="Embed" ProgID="Equation.DSMT4" ShapeID="_x0000_i1572" DrawAspect="Content" ObjectID="_1359267495" r:id="rId1002"/>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0.894</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0.877</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660" w:dyaOrig="340">
                <v:shape id="_x0000_i1573" type="#_x0000_t75" style="width:30.15pt;height:14.25pt" o:ole="">
                  <v:imagedata r:id="rId1003" o:title=""/>
                </v:shape>
                <o:OLEObject Type="Embed" ProgID="Equation.DSMT4" ShapeID="_x0000_i1573" DrawAspect="Content" ObjectID="_1359267496" r:id="rId1004"/>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0.870</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0.860</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900" w:dyaOrig="340">
                <v:shape id="_x0000_i1574" type="#_x0000_t75" style="width:41pt;height:14.25pt" o:ole="">
                  <v:imagedata r:id="rId1005" o:title=""/>
                </v:shape>
                <o:OLEObject Type="Embed" ProgID="Equation.DSMT4" ShapeID="_x0000_i1574" DrawAspect="Content" ObjectID="_1359267497" r:id="rId1006"/>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1.263</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1.377</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position w:val="-12"/>
                <w:sz w:val="20"/>
                <w:szCs w:val="20"/>
              </w:rPr>
            </w:pPr>
            <w:r w:rsidRPr="00B845A9">
              <w:rPr>
                <w:position w:val="-12"/>
                <w:sz w:val="20"/>
                <w:szCs w:val="20"/>
              </w:rPr>
              <w:object w:dxaOrig="940" w:dyaOrig="340">
                <v:shape id="_x0000_i1575" type="#_x0000_t75" style="width:41.85pt;height:14.25pt" o:ole="">
                  <v:imagedata r:id="rId1007" o:title=""/>
                </v:shape>
                <o:OLEObject Type="Embed" ProgID="Equation.DSMT4" ShapeID="_x0000_i1575" DrawAspect="Content" ObjectID="_1359267498" r:id="rId1008"/>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1.263</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1.232</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620" w:dyaOrig="340">
                <v:shape id="_x0000_i1576" type="#_x0000_t75" style="width:30.15pt;height:14.25pt" o:ole="">
                  <v:imagedata r:id="rId1009" o:title=""/>
                </v:shape>
                <o:OLEObject Type="Embed" ProgID="Equation.DSMT4" ShapeID="_x0000_i1576" DrawAspect="Content" ObjectID="_1359267499" r:id="rId1010"/>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4.773</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5.012</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1040" w:dyaOrig="340">
                <v:shape id="_x0000_i1577" type="#_x0000_t75" style="width:46.9pt;height:14.25pt" o:ole="">
                  <v:imagedata r:id="rId1011" o:title=""/>
                </v:shape>
                <o:OLEObject Type="Embed" ProgID="Equation.DSMT4" ShapeID="_x0000_i1577" DrawAspect="Content" ObjectID="_1359267500" r:id="rId1012"/>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1.128</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1.114</w:t>
            </w:r>
          </w:p>
        </w:tc>
      </w:tr>
      <w:tr w:rsidR="00A2523B" w:rsidRPr="00C6021F" w:rsidTr="00FD1B12">
        <w:trPr>
          <w:trHeight w:hRule="exact" w:val="288"/>
          <w:jc w:val="center"/>
        </w:trPr>
        <w:tc>
          <w:tcPr>
            <w:tcW w:w="9576" w:type="dxa"/>
            <w:gridSpan w:val="3"/>
            <w:noWrap/>
            <w:vAlign w:val="center"/>
          </w:tcPr>
          <w:p w:rsidR="00A2523B" w:rsidRPr="00B845A9" w:rsidRDefault="00A2523B" w:rsidP="00FD1B12">
            <w:pPr>
              <w:jc w:val="center"/>
              <w:rPr>
                <w:b/>
                <w:bCs/>
                <w:color w:val="000000"/>
                <w:sz w:val="20"/>
                <w:szCs w:val="20"/>
              </w:rPr>
            </w:pPr>
            <w:r w:rsidRPr="00B845A9">
              <w:rPr>
                <w:b/>
                <w:bCs/>
                <w:i/>
                <w:iCs/>
                <w:color w:val="000000"/>
                <w:sz w:val="20"/>
                <w:szCs w:val="20"/>
              </w:rPr>
              <w:t>Contemporaneous Correlations with Output</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999" w:dyaOrig="340">
                <v:shape id="_x0000_i1578" type="#_x0000_t75" style="width:46.05pt;height:14.25pt" o:ole="">
                  <v:imagedata r:id="rId736" o:title=""/>
                </v:shape>
                <o:OLEObject Type="Embed" ProgID="Equation.DSMT4" ShapeID="_x0000_i1578" DrawAspect="Content" ObjectID="_1359267501" r:id="rId1013"/>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0.93</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0.90</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999" w:dyaOrig="340">
                <v:shape id="_x0000_i1579" type="#_x0000_t75" style="width:49.4pt;height:14.25pt" o:ole="">
                  <v:imagedata r:id="rId738" o:title=""/>
                </v:shape>
                <o:OLEObject Type="Embed" ProgID="Equation.DSMT4" ShapeID="_x0000_i1579" DrawAspect="Content" ObjectID="_1359267502" r:id="rId1014"/>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0.84</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0.84</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1240" w:dyaOrig="340">
                <v:shape id="_x0000_i1580" type="#_x0000_t75" style="width:55.25pt;height:14.25pt" o:ole="">
                  <v:imagedata r:id="rId1015" o:title=""/>
                </v:shape>
                <o:OLEObject Type="Embed" ProgID="Equation.DSMT4" ShapeID="_x0000_i1580" DrawAspect="Content" ObjectID="_1359267503" r:id="rId1016"/>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1.00</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0.78</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position w:val="-12"/>
                <w:sz w:val="20"/>
                <w:szCs w:val="20"/>
              </w:rPr>
            </w:pPr>
            <w:r w:rsidRPr="00B845A9">
              <w:rPr>
                <w:position w:val="-12"/>
                <w:sz w:val="20"/>
                <w:szCs w:val="20"/>
              </w:rPr>
              <w:object w:dxaOrig="1280" w:dyaOrig="340">
                <v:shape id="_x0000_i1581" type="#_x0000_t75" style="width:55.25pt;height:14.25pt" o:ole="">
                  <v:imagedata r:id="rId1017" o:title=""/>
                </v:shape>
                <o:OLEObject Type="Embed" ProgID="Equation.DSMT4" ShapeID="_x0000_i1581" DrawAspect="Content" ObjectID="_1359267504" r:id="rId1018"/>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1.00</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1.00</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4"/>
                <w:sz w:val="20"/>
                <w:szCs w:val="20"/>
              </w:rPr>
              <w:object w:dxaOrig="1120" w:dyaOrig="400">
                <v:shape id="_x0000_i1582" type="#_x0000_t75" style="width:49.4pt;height:17.6pt" o:ole="">
                  <v:imagedata r:id="rId1019" o:title=""/>
                </v:shape>
                <o:OLEObject Type="Embed" ProgID="Equation.DSMT4" ShapeID="_x0000_i1582" DrawAspect="Content" ObjectID="_1359267505" r:id="rId1020"/>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0.94</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0.91</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1380" w:dyaOrig="340">
                <v:shape id="_x0000_i1583" type="#_x0000_t75" style="width:64.45pt;height:14.25pt" o:ole="">
                  <v:imagedata r:id="rId1021" o:title=""/>
                </v:shape>
                <o:OLEObject Type="Embed" ProgID="Equation.DSMT4" ShapeID="_x0000_i1583" DrawAspect="Content" ObjectID="_1359267506" r:id="rId1022"/>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0.92</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0.91</w:t>
            </w:r>
          </w:p>
        </w:tc>
      </w:tr>
      <w:tr w:rsidR="00A2523B" w:rsidRPr="00C6021F" w:rsidTr="00FD1B12">
        <w:trPr>
          <w:trHeight w:hRule="exact" w:val="288"/>
          <w:jc w:val="center"/>
        </w:trPr>
        <w:tc>
          <w:tcPr>
            <w:tcW w:w="9576" w:type="dxa"/>
            <w:gridSpan w:val="3"/>
            <w:shd w:val="clear" w:color="000000" w:fill="FFFFFF"/>
            <w:noWrap/>
            <w:vAlign w:val="center"/>
          </w:tcPr>
          <w:p w:rsidR="00A2523B" w:rsidRPr="00B845A9" w:rsidRDefault="00A2523B" w:rsidP="00FD1B12">
            <w:pPr>
              <w:jc w:val="center"/>
              <w:rPr>
                <w:b/>
                <w:bCs/>
                <w:color w:val="000000"/>
                <w:sz w:val="20"/>
                <w:szCs w:val="20"/>
              </w:rPr>
            </w:pPr>
            <w:r w:rsidRPr="00B845A9">
              <w:rPr>
                <w:b/>
                <w:bCs/>
                <w:i/>
                <w:iCs/>
                <w:color w:val="000000"/>
                <w:sz w:val="20"/>
                <w:szCs w:val="20"/>
              </w:rPr>
              <w:t>Serial Correlations</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4"/>
                <w:sz w:val="20"/>
                <w:szCs w:val="20"/>
              </w:rPr>
              <w:object w:dxaOrig="1340" w:dyaOrig="400">
                <v:shape id="_x0000_i1584" type="#_x0000_t75" style="width:55.25pt;height:15.9pt" o:ole="">
                  <v:imagedata r:id="rId1023" o:title=""/>
                </v:shape>
                <o:OLEObject Type="Embed" ProgID="Equation.DSMT4" ShapeID="_x0000_i1584" DrawAspect="Content" ObjectID="_1359267507" r:id="rId1024"/>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0.81</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0.82</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1100" w:dyaOrig="340">
                <v:shape id="_x0000_i1585" type="#_x0000_t75" style="width:49.4pt;height:14.25pt" o:ole="">
                  <v:imagedata r:id="rId1025" o:title=""/>
                </v:shape>
                <o:OLEObject Type="Embed" ProgID="Equation.DSMT4" ShapeID="_x0000_i1585" DrawAspect="Content" ObjectID="_1359267508" r:id="rId1026"/>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0.91</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0.93</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1080" w:dyaOrig="340">
                <v:shape id="_x0000_i1586" type="#_x0000_t75" style="width:55.25pt;height:14.25pt" o:ole="">
                  <v:imagedata r:id="rId1027" o:title=""/>
                </v:shape>
                <o:OLEObject Type="Embed" ProgID="Equation.DSMT4" ShapeID="_x0000_i1586" DrawAspect="Content" ObjectID="_1359267509" r:id="rId1028"/>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0.94</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0.94</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1579" w:dyaOrig="340">
                <v:shape id="_x0000_i1587" type="#_x0000_t75" style="width:69.5pt;height:14.25pt" o:ole="">
                  <v:imagedata r:id="rId1029" o:title=""/>
                </v:shape>
                <o:OLEObject Type="Embed" ProgID="Equation.DSMT4" ShapeID="_x0000_i1587" DrawAspect="Content" ObjectID="_1359267510" r:id="rId1030"/>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0.83</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0.90</w:t>
            </w:r>
          </w:p>
        </w:tc>
      </w:tr>
      <w:tr w:rsidR="00A2523B" w:rsidRPr="00C6021F" w:rsidTr="00FD1B12">
        <w:trPr>
          <w:trHeight w:hRule="exact" w:val="288"/>
          <w:jc w:val="center"/>
        </w:trPr>
        <w:tc>
          <w:tcPr>
            <w:tcW w:w="3618" w:type="dxa"/>
            <w:shd w:val="clear" w:color="000000" w:fill="FFFFFF"/>
            <w:noWrap/>
            <w:vAlign w:val="bottom"/>
          </w:tcPr>
          <w:p w:rsidR="00A2523B" w:rsidRPr="00B845A9" w:rsidRDefault="00A2523B" w:rsidP="00FD1B12">
            <w:pPr>
              <w:rPr>
                <w:position w:val="-12"/>
                <w:sz w:val="20"/>
                <w:szCs w:val="20"/>
              </w:rPr>
            </w:pPr>
            <w:r w:rsidRPr="00B845A9">
              <w:rPr>
                <w:position w:val="-12"/>
                <w:sz w:val="20"/>
                <w:szCs w:val="20"/>
              </w:rPr>
              <w:object w:dxaOrig="1640" w:dyaOrig="340">
                <v:shape id="_x0000_i1588" type="#_x0000_t75" style="width:1in;height:14.25pt" o:ole="">
                  <v:imagedata r:id="rId1031" o:title=""/>
                </v:shape>
                <o:OLEObject Type="Embed" ProgID="Equation.DSMT4" ShapeID="_x0000_i1588" DrawAspect="Content" ObjectID="_1359267511" r:id="rId1032"/>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0.83</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0.84</w:t>
            </w:r>
          </w:p>
        </w:tc>
      </w:tr>
      <w:tr w:rsidR="00A2523B" w:rsidRPr="00C6021F" w:rsidTr="00FD1B12">
        <w:trPr>
          <w:trHeight w:hRule="exact" w:val="235"/>
          <w:jc w:val="center"/>
        </w:trPr>
        <w:tc>
          <w:tcPr>
            <w:tcW w:w="3618" w:type="dxa"/>
            <w:shd w:val="clear" w:color="000000" w:fill="FFFFFF"/>
            <w:noWrap/>
            <w:vAlign w:val="bottom"/>
          </w:tcPr>
          <w:p w:rsidR="00A2523B" w:rsidRPr="00B845A9" w:rsidRDefault="00A2523B" w:rsidP="00FD1B12">
            <w:pPr>
              <w:rPr>
                <w:color w:val="000000"/>
                <w:sz w:val="20"/>
                <w:szCs w:val="20"/>
              </w:rPr>
            </w:pPr>
            <w:r w:rsidRPr="00B845A9">
              <w:rPr>
                <w:position w:val="-12"/>
                <w:sz w:val="20"/>
                <w:szCs w:val="20"/>
              </w:rPr>
              <w:object w:dxaOrig="1020" w:dyaOrig="340">
                <v:shape id="_x0000_i1589" type="#_x0000_t75" style="width:46.9pt;height:14.25pt" o:ole="">
                  <v:imagedata r:id="rId1033" o:title=""/>
                </v:shape>
                <o:OLEObject Type="Embed" ProgID="Equation.DSMT4" ShapeID="_x0000_i1589" DrawAspect="Content" ObjectID="_1359267512" r:id="rId1034"/>
              </w:object>
            </w:r>
          </w:p>
        </w:tc>
        <w:tc>
          <w:tcPr>
            <w:tcW w:w="2970" w:type="dxa"/>
            <w:noWrap/>
            <w:vAlign w:val="bottom"/>
          </w:tcPr>
          <w:p w:rsidR="00A2523B" w:rsidRPr="00B845A9" w:rsidRDefault="00A2523B" w:rsidP="00FD1B12">
            <w:pPr>
              <w:jc w:val="center"/>
              <w:rPr>
                <w:color w:val="000000"/>
                <w:sz w:val="20"/>
                <w:szCs w:val="20"/>
              </w:rPr>
            </w:pPr>
            <w:r w:rsidRPr="00B845A9">
              <w:rPr>
                <w:color w:val="000000"/>
                <w:sz w:val="20"/>
                <w:szCs w:val="20"/>
              </w:rPr>
              <w:t>0.74</w:t>
            </w:r>
          </w:p>
        </w:tc>
        <w:tc>
          <w:tcPr>
            <w:tcW w:w="2988" w:type="dxa"/>
            <w:noWrap/>
            <w:vAlign w:val="bottom"/>
          </w:tcPr>
          <w:p w:rsidR="00A2523B" w:rsidRPr="00B845A9" w:rsidRDefault="00A2523B" w:rsidP="00FD1B12">
            <w:pPr>
              <w:jc w:val="center"/>
              <w:rPr>
                <w:color w:val="000000"/>
                <w:sz w:val="20"/>
                <w:szCs w:val="20"/>
              </w:rPr>
            </w:pPr>
            <w:r w:rsidRPr="00B845A9">
              <w:rPr>
                <w:color w:val="000000"/>
                <w:sz w:val="20"/>
                <w:szCs w:val="20"/>
              </w:rPr>
              <w:t>0.72</w:t>
            </w:r>
          </w:p>
        </w:tc>
      </w:tr>
      <w:tr w:rsidR="00A2523B" w:rsidRPr="00C6021F" w:rsidTr="00FD1B12">
        <w:trPr>
          <w:trHeight w:hRule="exact" w:val="451"/>
          <w:jc w:val="center"/>
        </w:trPr>
        <w:tc>
          <w:tcPr>
            <w:tcW w:w="3618" w:type="dxa"/>
            <w:tcBorders>
              <w:bottom w:val="single" w:sz="2" w:space="0" w:color="auto"/>
            </w:tcBorders>
            <w:shd w:val="clear" w:color="000000" w:fill="FFFFFF"/>
            <w:noWrap/>
          </w:tcPr>
          <w:p w:rsidR="00A2523B" w:rsidRPr="00B845A9" w:rsidRDefault="00A2523B" w:rsidP="00FD1B12">
            <w:pPr>
              <w:rPr>
                <w:color w:val="000000"/>
                <w:sz w:val="20"/>
                <w:szCs w:val="20"/>
              </w:rPr>
            </w:pPr>
            <w:r w:rsidRPr="00B845A9">
              <w:rPr>
                <w:position w:val="-12"/>
                <w:sz w:val="20"/>
                <w:szCs w:val="20"/>
              </w:rPr>
              <w:object w:dxaOrig="1860" w:dyaOrig="340">
                <v:shape id="_x0000_i1590" type="#_x0000_t75" style="width:81.2pt;height:14.25pt" o:ole="">
                  <v:imagedata r:id="rId1035" o:title=""/>
                </v:shape>
                <o:OLEObject Type="Embed" ProgID="Equation.DSMT4" ShapeID="_x0000_i1590" DrawAspect="Content" ObjectID="_1359267513" r:id="rId1036"/>
              </w:object>
            </w:r>
          </w:p>
        </w:tc>
        <w:tc>
          <w:tcPr>
            <w:tcW w:w="2970" w:type="dxa"/>
            <w:tcBorders>
              <w:bottom w:val="single" w:sz="2" w:space="0" w:color="auto"/>
            </w:tcBorders>
            <w:noWrap/>
          </w:tcPr>
          <w:p w:rsidR="00A2523B" w:rsidRPr="00B845A9" w:rsidRDefault="00A2523B" w:rsidP="00FD1B12">
            <w:pPr>
              <w:jc w:val="center"/>
              <w:rPr>
                <w:color w:val="000000"/>
                <w:sz w:val="20"/>
                <w:szCs w:val="20"/>
              </w:rPr>
            </w:pPr>
            <w:r w:rsidRPr="00B845A9">
              <w:rPr>
                <w:color w:val="000000"/>
                <w:sz w:val="20"/>
                <w:szCs w:val="20"/>
              </w:rPr>
              <w:t>0.72</w:t>
            </w:r>
          </w:p>
        </w:tc>
        <w:tc>
          <w:tcPr>
            <w:tcW w:w="2988" w:type="dxa"/>
            <w:tcBorders>
              <w:bottom w:val="single" w:sz="2" w:space="0" w:color="auto"/>
            </w:tcBorders>
            <w:noWrap/>
          </w:tcPr>
          <w:p w:rsidR="00A2523B" w:rsidRPr="00B845A9" w:rsidRDefault="00A2523B" w:rsidP="00FD1B12">
            <w:pPr>
              <w:jc w:val="center"/>
              <w:rPr>
                <w:color w:val="000000"/>
                <w:sz w:val="20"/>
                <w:szCs w:val="20"/>
              </w:rPr>
            </w:pPr>
            <w:r w:rsidRPr="00B845A9">
              <w:rPr>
                <w:color w:val="000000"/>
                <w:sz w:val="20"/>
                <w:szCs w:val="20"/>
              </w:rPr>
              <w:t>0.72</w:t>
            </w:r>
          </w:p>
        </w:tc>
      </w:tr>
    </w:tbl>
    <w:p w:rsidR="00A2523B" w:rsidRDefault="00A2523B" w:rsidP="00A2523B">
      <w:pPr>
        <w:autoSpaceDE w:val="0"/>
        <w:autoSpaceDN w:val="0"/>
        <w:adjustRightInd w:val="0"/>
        <w:rPr>
          <w:rFonts w:ascii="Book Antiqua" w:hAnsi="Book Antiqua" w:cs="Book Antiqua"/>
        </w:rPr>
      </w:pPr>
    </w:p>
    <w:p w:rsidR="00A2523B" w:rsidRDefault="00A2523B" w:rsidP="00A2523B">
      <w:pPr>
        <w:autoSpaceDE w:val="0"/>
        <w:autoSpaceDN w:val="0"/>
        <w:adjustRightInd w:val="0"/>
        <w:rPr>
          <w:rFonts w:ascii="Book Antiqua" w:hAnsi="Book Antiqua" w:cs="Book Antiqua"/>
        </w:rPr>
      </w:pPr>
    </w:p>
    <w:p w:rsidR="00A2523B" w:rsidRDefault="00A2523B" w:rsidP="00A2523B">
      <w:pPr>
        <w:autoSpaceDE w:val="0"/>
        <w:autoSpaceDN w:val="0"/>
        <w:adjustRightInd w:val="0"/>
        <w:rPr>
          <w:rFonts w:ascii="Book Antiqua" w:hAnsi="Book Antiqua" w:cs="Book Antiqua"/>
        </w:rPr>
      </w:pPr>
    </w:p>
    <w:p w:rsidR="00A2523B" w:rsidRDefault="00A2523B" w:rsidP="00A2523B">
      <w:pPr>
        <w:autoSpaceDE w:val="0"/>
        <w:autoSpaceDN w:val="0"/>
        <w:adjustRightInd w:val="0"/>
        <w:rPr>
          <w:rFonts w:ascii="Book Antiqua" w:hAnsi="Book Antiqua" w:cs="Book Antiqua"/>
        </w:rPr>
      </w:pPr>
    </w:p>
    <w:p w:rsidR="00A2523B" w:rsidRDefault="00A2523B" w:rsidP="00A2523B">
      <w:pPr>
        <w:autoSpaceDE w:val="0"/>
        <w:autoSpaceDN w:val="0"/>
        <w:adjustRightInd w:val="0"/>
        <w:rPr>
          <w:rFonts w:ascii="Book Antiqua" w:hAnsi="Book Antiqua" w:cs="Book Antiqua"/>
        </w:rPr>
      </w:pPr>
    </w:p>
    <w:p w:rsidR="00A2523B" w:rsidRDefault="00A2523B" w:rsidP="00A2523B">
      <w:pPr>
        <w:autoSpaceDE w:val="0"/>
        <w:autoSpaceDN w:val="0"/>
        <w:adjustRightInd w:val="0"/>
        <w:rPr>
          <w:rFonts w:ascii="Book Antiqua" w:hAnsi="Book Antiqua" w:cs="Book Antiqua"/>
        </w:rPr>
      </w:pPr>
    </w:p>
    <w:p w:rsidR="0080197C" w:rsidRDefault="0080197C" w:rsidP="00625317">
      <w:pPr>
        <w:autoSpaceDE w:val="0"/>
        <w:autoSpaceDN w:val="0"/>
        <w:adjustRightInd w:val="0"/>
        <w:spacing w:line="480" w:lineRule="auto"/>
        <w:ind w:firstLine="720"/>
        <w:rPr>
          <w:rFonts w:ascii="Book Antiqua" w:hAnsi="Book Antiqua"/>
        </w:rPr>
      </w:pPr>
    </w:p>
    <w:p w:rsidR="00A2523B" w:rsidRDefault="00A2523B" w:rsidP="00625317">
      <w:pPr>
        <w:autoSpaceDE w:val="0"/>
        <w:autoSpaceDN w:val="0"/>
        <w:adjustRightInd w:val="0"/>
        <w:spacing w:line="480" w:lineRule="auto"/>
        <w:ind w:firstLine="720"/>
        <w:rPr>
          <w:rFonts w:ascii="Book Antiqua" w:hAnsi="Book Antiqua"/>
        </w:rPr>
      </w:pPr>
    </w:p>
    <w:p w:rsidR="00A2523B" w:rsidRDefault="00A2523B" w:rsidP="00625317">
      <w:pPr>
        <w:autoSpaceDE w:val="0"/>
        <w:autoSpaceDN w:val="0"/>
        <w:adjustRightInd w:val="0"/>
        <w:spacing w:line="480" w:lineRule="auto"/>
        <w:ind w:firstLine="720"/>
        <w:rPr>
          <w:rFonts w:ascii="Book Antiqua" w:hAnsi="Book Antiqua"/>
        </w:rPr>
      </w:pPr>
    </w:p>
    <w:p w:rsidR="00A2523B" w:rsidRDefault="00A2523B" w:rsidP="00625317">
      <w:pPr>
        <w:autoSpaceDE w:val="0"/>
        <w:autoSpaceDN w:val="0"/>
        <w:adjustRightInd w:val="0"/>
        <w:spacing w:line="480" w:lineRule="auto"/>
        <w:ind w:firstLine="720"/>
        <w:rPr>
          <w:rFonts w:ascii="Book Antiqua" w:hAnsi="Book Antiqua"/>
        </w:rPr>
      </w:pPr>
    </w:p>
    <w:p w:rsidR="00211C57" w:rsidRDefault="00211C57" w:rsidP="00625317">
      <w:pPr>
        <w:autoSpaceDE w:val="0"/>
        <w:autoSpaceDN w:val="0"/>
        <w:adjustRightInd w:val="0"/>
        <w:spacing w:line="480" w:lineRule="auto"/>
        <w:ind w:firstLine="720"/>
        <w:rPr>
          <w:rFonts w:ascii="Book Antiqua" w:hAnsi="Book Antiqua"/>
        </w:rPr>
      </w:pPr>
    </w:p>
    <w:p w:rsidR="00211C57" w:rsidRDefault="00211C57" w:rsidP="00625317">
      <w:pPr>
        <w:autoSpaceDE w:val="0"/>
        <w:autoSpaceDN w:val="0"/>
        <w:adjustRightInd w:val="0"/>
        <w:spacing w:line="480" w:lineRule="auto"/>
        <w:ind w:firstLine="720"/>
        <w:rPr>
          <w:rFonts w:ascii="Book Antiqua" w:hAnsi="Book Antiqua"/>
        </w:rPr>
      </w:pPr>
    </w:p>
    <w:p w:rsidR="00211C57" w:rsidRDefault="00211C57" w:rsidP="00625317">
      <w:pPr>
        <w:autoSpaceDE w:val="0"/>
        <w:autoSpaceDN w:val="0"/>
        <w:adjustRightInd w:val="0"/>
        <w:spacing w:line="480" w:lineRule="auto"/>
        <w:ind w:firstLine="720"/>
        <w:rPr>
          <w:rFonts w:ascii="Book Antiqua" w:hAnsi="Book Antiqua"/>
        </w:rPr>
      </w:pPr>
    </w:p>
    <w:p w:rsidR="00D3282F" w:rsidRDefault="00D3282F" w:rsidP="00625317">
      <w:pPr>
        <w:autoSpaceDE w:val="0"/>
        <w:autoSpaceDN w:val="0"/>
        <w:adjustRightInd w:val="0"/>
        <w:spacing w:line="480" w:lineRule="auto"/>
        <w:ind w:firstLine="720"/>
        <w:rPr>
          <w:rFonts w:ascii="Book Antiqua" w:hAnsi="Book Antiqua"/>
        </w:rPr>
      </w:pPr>
    </w:p>
    <w:p w:rsidR="0076619F" w:rsidRDefault="0076619F" w:rsidP="00625317">
      <w:pPr>
        <w:autoSpaceDE w:val="0"/>
        <w:autoSpaceDN w:val="0"/>
        <w:adjustRightInd w:val="0"/>
        <w:spacing w:line="480" w:lineRule="auto"/>
        <w:ind w:firstLine="720"/>
        <w:rPr>
          <w:rFonts w:ascii="Book Antiqua" w:hAnsi="Book Antiqua"/>
        </w:rPr>
      </w:pPr>
    </w:p>
    <w:p w:rsidR="0076619F" w:rsidRDefault="0076619F" w:rsidP="00625317">
      <w:pPr>
        <w:autoSpaceDE w:val="0"/>
        <w:autoSpaceDN w:val="0"/>
        <w:adjustRightInd w:val="0"/>
        <w:spacing w:line="480" w:lineRule="auto"/>
        <w:ind w:firstLine="720"/>
        <w:rPr>
          <w:rFonts w:ascii="Book Antiqua" w:hAnsi="Book Antiqua"/>
        </w:rPr>
      </w:pPr>
    </w:p>
    <w:p w:rsidR="009D464A" w:rsidRPr="009D464A" w:rsidRDefault="009D464A" w:rsidP="00D7460A">
      <w:pPr>
        <w:pStyle w:val="Heading1"/>
        <w:numPr>
          <w:ilvl w:val="0"/>
          <w:numId w:val="1"/>
        </w:numPr>
        <w:ind w:left="720" w:hanging="720"/>
        <w:rPr>
          <w:rFonts w:asciiTheme="majorBidi" w:hAnsiTheme="majorBidi"/>
          <w:b w:val="0"/>
          <w:bCs w:val="0"/>
          <w:color w:val="auto"/>
          <w:sz w:val="48"/>
          <w:szCs w:val="48"/>
        </w:rPr>
      </w:pPr>
      <w:bookmarkStart w:id="78" w:name="_Toc285478041"/>
      <w:r>
        <w:rPr>
          <w:rFonts w:asciiTheme="majorBidi" w:hAnsiTheme="majorBidi"/>
          <w:b w:val="0"/>
          <w:bCs w:val="0"/>
          <w:color w:val="auto"/>
          <w:sz w:val="48"/>
          <w:szCs w:val="48"/>
        </w:rPr>
        <w:t>Figures</w:t>
      </w:r>
      <w:bookmarkEnd w:id="78"/>
      <w:r>
        <w:rPr>
          <w:rFonts w:asciiTheme="majorBidi" w:hAnsiTheme="majorBidi"/>
          <w:b w:val="0"/>
          <w:bCs w:val="0"/>
          <w:color w:val="auto"/>
          <w:sz w:val="48"/>
          <w:szCs w:val="48"/>
        </w:rPr>
        <w:t xml:space="preserve"> </w:t>
      </w:r>
    </w:p>
    <w:p w:rsidR="009D464A" w:rsidRPr="009D464A" w:rsidRDefault="009D464A" w:rsidP="009D464A"/>
    <w:p w:rsidR="00C94108" w:rsidRDefault="00C94108" w:rsidP="00625317">
      <w:pPr>
        <w:autoSpaceDE w:val="0"/>
        <w:autoSpaceDN w:val="0"/>
        <w:adjustRightInd w:val="0"/>
        <w:spacing w:line="480" w:lineRule="auto"/>
        <w:ind w:firstLine="720"/>
        <w:rPr>
          <w:rFonts w:ascii="Book Antiqua" w:hAnsi="Book Antiqua"/>
        </w:rPr>
      </w:pPr>
    </w:p>
    <w:p w:rsidR="00C94108" w:rsidRDefault="00C94108" w:rsidP="00625317">
      <w:pPr>
        <w:autoSpaceDE w:val="0"/>
        <w:autoSpaceDN w:val="0"/>
        <w:adjustRightInd w:val="0"/>
        <w:spacing w:line="480" w:lineRule="auto"/>
        <w:ind w:firstLine="720"/>
        <w:rPr>
          <w:rFonts w:ascii="Book Antiqua" w:hAnsi="Book Antiqua"/>
        </w:rPr>
      </w:pPr>
    </w:p>
    <w:p w:rsidR="00EE218F" w:rsidRDefault="00EE218F" w:rsidP="00625317">
      <w:pPr>
        <w:autoSpaceDE w:val="0"/>
        <w:autoSpaceDN w:val="0"/>
        <w:adjustRightInd w:val="0"/>
        <w:spacing w:line="480" w:lineRule="auto"/>
        <w:ind w:firstLine="720"/>
        <w:rPr>
          <w:rFonts w:ascii="Book Antiqua" w:hAnsi="Book Antiqua"/>
        </w:rPr>
      </w:pPr>
    </w:p>
    <w:p w:rsidR="00EE218F" w:rsidRDefault="00EE218F" w:rsidP="00625317">
      <w:pPr>
        <w:autoSpaceDE w:val="0"/>
        <w:autoSpaceDN w:val="0"/>
        <w:adjustRightInd w:val="0"/>
        <w:spacing w:line="480" w:lineRule="auto"/>
        <w:ind w:firstLine="720"/>
        <w:rPr>
          <w:rFonts w:ascii="Book Antiqua" w:hAnsi="Book Antiqua"/>
        </w:rPr>
      </w:pPr>
    </w:p>
    <w:p w:rsidR="00EE218F" w:rsidRDefault="00EE218F" w:rsidP="00625317">
      <w:pPr>
        <w:autoSpaceDE w:val="0"/>
        <w:autoSpaceDN w:val="0"/>
        <w:adjustRightInd w:val="0"/>
        <w:spacing w:line="480" w:lineRule="auto"/>
        <w:ind w:firstLine="720"/>
        <w:rPr>
          <w:rFonts w:ascii="Book Antiqua" w:hAnsi="Book Antiqua"/>
        </w:rPr>
      </w:pPr>
    </w:p>
    <w:p w:rsidR="00C94108" w:rsidRDefault="00C94108" w:rsidP="00625317">
      <w:pPr>
        <w:autoSpaceDE w:val="0"/>
        <w:autoSpaceDN w:val="0"/>
        <w:adjustRightInd w:val="0"/>
        <w:spacing w:line="480" w:lineRule="auto"/>
        <w:ind w:firstLine="720"/>
        <w:rPr>
          <w:rFonts w:ascii="Book Antiqua" w:hAnsi="Book Antiqua"/>
        </w:rPr>
      </w:pPr>
    </w:p>
    <w:p w:rsidR="00C94108" w:rsidRDefault="00C94108" w:rsidP="00625317">
      <w:pPr>
        <w:autoSpaceDE w:val="0"/>
        <w:autoSpaceDN w:val="0"/>
        <w:adjustRightInd w:val="0"/>
        <w:spacing w:line="480" w:lineRule="auto"/>
        <w:ind w:firstLine="720"/>
        <w:rPr>
          <w:rFonts w:ascii="Book Antiqua" w:hAnsi="Book Antiqua"/>
        </w:rPr>
      </w:pPr>
    </w:p>
    <w:p w:rsidR="00C94108" w:rsidRDefault="00C94108" w:rsidP="00625317">
      <w:pPr>
        <w:autoSpaceDE w:val="0"/>
        <w:autoSpaceDN w:val="0"/>
        <w:adjustRightInd w:val="0"/>
        <w:spacing w:line="480" w:lineRule="auto"/>
        <w:ind w:firstLine="720"/>
        <w:rPr>
          <w:rFonts w:ascii="Book Antiqua" w:hAnsi="Book Antiqua"/>
        </w:rPr>
      </w:pPr>
    </w:p>
    <w:p w:rsidR="00625317" w:rsidRPr="00A13655" w:rsidRDefault="00625317" w:rsidP="003C2FA1">
      <w:pPr>
        <w:autoSpaceDE w:val="0"/>
        <w:autoSpaceDN w:val="0"/>
        <w:adjustRightInd w:val="0"/>
        <w:ind w:firstLine="720"/>
      </w:pPr>
      <w:r w:rsidRPr="00A13655">
        <w:rPr>
          <w:noProof/>
        </w:rPr>
        <w:drawing>
          <wp:inline distT="0" distB="0" distL="0" distR="0">
            <wp:extent cx="4838700" cy="2114550"/>
            <wp:effectExtent l="0" t="0" r="0" b="0"/>
            <wp:docPr id="1"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7"/>
              </a:graphicData>
            </a:graphic>
          </wp:inline>
        </w:drawing>
      </w:r>
    </w:p>
    <w:p w:rsidR="008C1A67" w:rsidRPr="00A13655" w:rsidRDefault="00C803A9" w:rsidP="00A45369">
      <w:pPr>
        <w:pStyle w:val="NormalWeb"/>
        <w:spacing w:before="0" w:beforeAutospacing="0" w:after="120" w:afterAutospacing="0"/>
        <w:rPr>
          <w:rFonts w:eastAsia="+mn-ea"/>
          <w:bCs/>
        </w:rPr>
      </w:pPr>
      <w:r w:rsidRPr="00A13655">
        <w:rPr>
          <w:rFonts w:eastAsia="+mn-ea"/>
          <w:bCs/>
        </w:rPr>
        <w:t>a</w:t>
      </w:r>
      <w:r w:rsidR="00A45369" w:rsidRPr="00A13655">
        <w:rPr>
          <w:rFonts w:eastAsia="+mn-ea"/>
          <w:bCs/>
        </w:rPr>
        <w:t>.</w:t>
      </w:r>
      <w:r w:rsidR="00727B0A" w:rsidRPr="00A13655">
        <w:rPr>
          <w:rFonts w:eastAsia="+mn-ea"/>
          <w:bCs/>
        </w:rPr>
        <w:t xml:space="preserve"> D</w:t>
      </w:r>
      <w:r w:rsidR="008C1A67" w:rsidRPr="00A13655">
        <w:rPr>
          <w:rFonts w:eastAsia="+mn-ea"/>
          <w:bCs/>
        </w:rPr>
        <w:t>urable spending and output</w:t>
      </w:r>
    </w:p>
    <w:p w:rsidR="00A55804" w:rsidRDefault="00A55804" w:rsidP="008C1A67">
      <w:pPr>
        <w:pStyle w:val="NormalWeb"/>
        <w:spacing w:before="0" w:beforeAutospacing="0" w:after="120" w:afterAutospacing="0"/>
        <w:jc w:val="center"/>
        <w:rPr>
          <w:rFonts w:eastAsia="+mn-ea"/>
          <w:b/>
          <w:bCs/>
        </w:rPr>
      </w:pPr>
    </w:p>
    <w:p w:rsidR="003C2FA1" w:rsidRDefault="00625317" w:rsidP="003C2FA1">
      <w:pPr>
        <w:autoSpaceDE w:val="0"/>
        <w:autoSpaceDN w:val="0"/>
        <w:adjustRightInd w:val="0"/>
        <w:ind w:firstLine="720"/>
        <w:rPr>
          <w:rFonts w:eastAsia="+mn-ea"/>
          <w:b/>
          <w:bCs/>
        </w:rPr>
      </w:pPr>
      <w:r w:rsidRPr="00583D0A">
        <w:rPr>
          <w:noProof/>
        </w:rPr>
        <w:drawing>
          <wp:inline distT="0" distB="0" distL="0" distR="0">
            <wp:extent cx="4838700" cy="2019300"/>
            <wp:effectExtent l="0" t="0" r="0" b="0"/>
            <wp:docPr id="2"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8"/>
              </a:graphicData>
            </a:graphic>
          </wp:inline>
        </w:drawing>
      </w:r>
    </w:p>
    <w:p w:rsidR="003C2FA1" w:rsidRPr="003C2FA1" w:rsidRDefault="00C803A9" w:rsidP="003C2FA1">
      <w:pPr>
        <w:autoSpaceDE w:val="0"/>
        <w:autoSpaceDN w:val="0"/>
        <w:adjustRightInd w:val="0"/>
        <w:rPr>
          <w:rFonts w:eastAsia="+mn-ea"/>
          <w:bCs/>
        </w:rPr>
      </w:pPr>
      <w:r w:rsidRPr="003C2FA1">
        <w:rPr>
          <w:rFonts w:eastAsia="+mn-ea"/>
          <w:bCs/>
        </w:rPr>
        <w:t>b</w:t>
      </w:r>
      <w:r w:rsidR="00A45369" w:rsidRPr="003C2FA1">
        <w:rPr>
          <w:rFonts w:eastAsia="+mn-ea"/>
          <w:bCs/>
        </w:rPr>
        <w:t>.</w:t>
      </w:r>
      <w:r w:rsidR="00727B0A" w:rsidRPr="003C2FA1">
        <w:rPr>
          <w:rFonts w:eastAsia="+mn-ea"/>
          <w:bCs/>
        </w:rPr>
        <w:t xml:space="preserve"> Durable </w:t>
      </w:r>
      <w:r w:rsidR="008C1A67" w:rsidRPr="003C2FA1">
        <w:rPr>
          <w:rFonts w:eastAsia="+mn-ea"/>
          <w:bCs/>
        </w:rPr>
        <w:t>spending</w:t>
      </w:r>
      <w:r w:rsidR="00A45369" w:rsidRPr="003C2FA1">
        <w:rPr>
          <w:rFonts w:eastAsia="+mn-ea"/>
          <w:bCs/>
        </w:rPr>
        <w:t>, labor, nondurable consumption and investment</w:t>
      </w:r>
    </w:p>
    <w:p w:rsidR="003C2FA1" w:rsidRDefault="003C2FA1" w:rsidP="003C2FA1">
      <w:pPr>
        <w:autoSpaceDE w:val="0"/>
        <w:autoSpaceDN w:val="0"/>
        <w:adjustRightInd w:val="0"/>
        <w:ind w:firstLine="720"/>
        <w:rPr>
          <w:rFonts w:eastAsia="+mn-ea"/>
          <w:b/>
          <w:bCs/>
        </w:rPr>
      </w:pPr>
    </w:p>
    <w:p w:rsidR="003C2FA1" w:rsidRDefault="003C2FA1" w:rsidP="003C2FA1">
      <w:pPr>
        <w:autoSpaceDE w:val="0"/>
        <w:autoSpaceDN w:val="0"/>
        <w:adjustRightInd w:val="0"/>
        <w:ind w:firstLine="720"/>
        <w:rPr>
          <w:rFonts w:eastAsia="+mn-ea"/>
          <w:b/>
          <w:bCs/>
        </w:rPr>
      </w:pPr>
    </w:p>
    <w:p w:rsidR="003C2FA1" w:rsidRDefault="00625317" w:rsidP="003C2FA1">
      <w:pPr>
        <w:autoSpaceDE w:val="0"/>
        <w:autoSpaceDN w:val="0"/>
        <w:adjustRightInd w:val="0"/>
        <w:ind w:firstLine="720"/>
      </w:pPr>
      <w:r w:rsidRPr="00583D0A">
        <w:rPr>
          <w:noProof/>
        </w:rPr>
        <w:drawing>
          <wp:inline distT="0" distB="0" distL="0" distR="0">
            <wp:extent cx="4845132" cy="2196935"/>
            <wp:effectExtent l="0" t="0" r="0" b="0"/>
            <wp:docPr id="3"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9"/>
              </a:graphicData>
            </a:graphic>
          </wp:inline>
        </w:drawing>
      </w:r>
    </w:p>
    <w:p w:rsidR="00FF23C0" w:rsidRDefault="00C803A9" w:rsidP="00A45369">
      <w:pPr>
        <w:pStyle w:val="NormalWeb"/>
        <w:spacing w:before="0" w:beforeAutospacing="0" w:after="120" w:afterAutospacing="0"/>
        <w:rPr>
          <w:rFonts w:eastAsia="+mn-ea"/>
          <w:bCs/>
        </w:rPr>
      </w:pPr>
      <w:r w:rsidRPr="003C2FA1">
        <w:rPr>
          <w:rFonts w:eastAsia="+mn-ea"/>
          <w:bCs/>
        </w:rPr>
        <w:t xml:space="preserve">c. </w:t>
      </w:r>
      <w:r w:rsidR="002871EC" w:rsidRPr="003C2FA1">
        <w:rPr>
          <w:rFonts w:eastAsia="+mn-ea"/>
          <w:bCs/>
        </w:rPr>
        <w:t>D</w:t>
      </w:r>
      <w:r w:rsidR="00FF23C0" w:rsidRPr="003C2FA1">
        <w:rPr>
          <w:rFonts w:eastAsia="+mn-ea"/>
          <w:bCs/>
        </w:rPr>
        <w:t xml:space="preserve">urable spending and external accounts </w:t>
      </w:r>
    </w:p>
    <w:p w:rsidR="00D3282F" w:rsidRPr="003C2FA1" w:rsidRDefault="00D3282F" w:rsidP="00A45369">
      <w:pPr>
        <w:pStyle w:val="NormalWeb"/>
        <w:spacing w:before="0" w:beforeAutospacing="0" w:after="120" w:afterAutospacing="0"/>
        <w:rPr>
          <w:rFonts w:eastAsia="+mn-ea"/>
          <w:bCs/>
        </w:rPr>
      </w:pPr>
    </w:p>
    <w:p w:rsidR="002871EC" w:rsidRPr="009C0AA3" w:rsidRDefault="003F00A5" w:rsidP="00135946">
      <w:pPr>
        <w:pStyle w:val="Caption"/>
        <w:rPr>
          <w:rFonts w:eastAsia="+mn-ea"/>
          <w:b w:val="0"/>
          <w:bCs w:val="0"/>
          <w:sz w:val="24"/>
          <w:szCs w:val="24"/>
        </w:rPr>
      </w:pPr>
      <w:bookmarkStart w:id="79" w:name="_Toc285478071"/>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w:t>
      </w:r>
      <w:r w:rsidR="00AB7C8D" w:rsidRPr="009C0AA3">
        <w:rPr>
          <w:rFonts w:eastAsia="+mn-ea"/>
          <w:b w:val="0"/>
          <w:bCs w:val="0"/>
          <w:sz w:val="24"/>
          <w:szCs w:val="24"/>
        </w:rPr>
        <w:fldChar w:fldCharType="end"/>
      </w:r>
      <w:r w:rsidRPr="009C0AA3">
        <w:rPr>
          <w:rFonts w:eastAsia="+mn-ea"/>
          <w:b w:val="0"/>
          <w:bCs w:val="0"/>
          <w:sz w:val="24"/>
          <w:szCs w:val="24"/>
        </w:rPr>
        <w:t xml:space="preserve">: </w:t>
      </w:r>
      <w:r w:rsidR="002871EC" w:rsidRPr="009C0AA3">
        <w:rPr>
          <w:rFonts w:eastAsia="+mn-ea"/>
          <w:b w:val="0"/>
          <w:bCs w:val="0"/>
          <w:sz w:val="24"/>
          <w:szCs w:val="24"/>
        </w:rPr>
        <w:t>Comovement between durable spending and national accounts</w:t>
      </w:r>
      <w:r w:rsidR="00A45369" w:rsidRPr="009C0AA3">
        <w:rPr>
          <w:rFonts w:eastAsia="+mn-ea"/>
          <w:b w:val="0"/>
          <w:bCs w:val="0"/>
          <w:sz w:val="24"/>
          <w:szCs w:val="24"/>
        </w:rPr>
        <w:t xml:space="preserve"> (actual data)</w:t>
      </w:r>
      <w:bookmarkEnd w:id="79"/>
    </w:p>
    <w:p w:rsidR="00625317" w:rsidRDefault="00625317" w:rsidP="001B3147">
      <w:pPr>
        <w:autoSpaceDE w:val="0"/>
        <w:autoSpaceDN w:val="0"/>
        <w:adjustRightInd w:val="0"/>
        <w:ind w:firstLine="720"/>
        <w:jc w:val="center"/>
      </w:pPr>
      <w:r w:rsidRPr="00890EEB">
        <w:rPr>
          <w:noProof/>
        </w:rPr>
        <w:drawing>
          <wp:inline distT="0" distB="0" distL="0" distR="0">
            <wp:extent cx="5533901" cy="3099459"/>
            <wp:effectExtent l="0" t="0" r="0"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0"/>
              </a:graphicData>
            </a:graphic>
          </wp:inline>
        </w:drawing>
      </w:r>
    </w:p>
    <w:p w:rsidR="00FF23C0" w:rsidRPr="00D3282F" w:rsidRDefault="006943A3" w:rsidP="00D3282F">
      <w:pPr>
        <w:pStyle w:val="Caption"/>
        <w:spacing w:before="0" w:after="0"/>
        <w:rPr>
          <w:rFonts w:eastAsia="+mn-ea"/>
          <w:b w:val="0"/>
          <w:bCs w:val="0"/>
          <w:sz w:val="24"/>
          <w:szCs w:val="24"/>
        </w:rPr>
      </w:pPr>
      <w:bookmarkStart w:id="80" w:name="_Toc284614709"/>
      <w:bookmarkStart w:id="81" w:name="_Toc285478072"/>
      <w:r w:rsidRPr="009C0AA3">
        <w:rPr>
          <w:rFonts w:eastAsia="+mn-ea"/>
          <w:b w:val="0"/>
          <w:bCs w:val="0"/>
          <w:sz w:val="24"/>
          <w:szCs w:val="24"/>
        </w:rPr>
        <w:t>Figure</w:t>
      </w:r>
      <w:r w:rsidR="003C2FA1" w:rsidRPr="009C0AA3">
        <w:rPr>
          <w:rFonts w:eastAsia="+mn-ea"/>
          <w:b w:val="0"/>
          <w:bCs w:val="0"/>
          <w:sz w:val="24"/>
          <w:szCs w:val="24"/>
        </w:rPr>
        <w:t xml:space="preserv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2</w:t>
      </w:r>
      <w:r w:rsidR="00AB7C8D" w:rsidRPr="009C0AA3">
        <w:rPr>
          <w:rFonts w:eastAsia="+mn-ea"/>
          <w:b w:val="0"/>
          <w:bCs w:val="0"/>
          <w:sz w:val="24"/>
          <w:szCs w:val="24"/>
        </w:rPr>
        <w:fldChar w:fldCharType="end"/>
      </w:r>
      <w:r w:rsidR="00727B0A" w:rsidRPr="009C0AA3">
        <w:rPr>
          <w:rFonts w:eastAsia="+mn-ea"/>
          <w:b w:val="0"/>
          <w:bCs w:val="0"/>
          <w:sz w:val="24"/>
          <w:szCs w:val="24"/>
        </w:rPr>
        <w:t xml:space="preserve">: </w:t>
      </w:r>
      <w:r w:rsidR="00FF23C0" w:rsidRPr="009C0AA3">
        <w:rPr>
          <w:rFonts w:eastAsia="+mn-ea"/>
          <w:b w:val="0"/>
          <w:bCs w:val="0"/>
          <w:sz w:val="24"/>
          <w:szCs w:val="24"/>
        </w:rPr>
        <w:t>Cross</w:t>
      </w:r>
      <w:r w:rsidR="00727B0A" w:rsidRPr="009C0AA3">
        <w:rPr>
          <w:rFonts w:eastAsia="+mn-ea"/>
          <w:b w:val="0"/>
          <w:bCs w:val="0"/>
          <w:sz w:val="24"/>
          <w:szCs w:val="24"/>
        </w:rPr>
        <w:t xml:space="preserve"> </w:t>
      </w:r>
      <w:r w:rsidR="00FF23C0" w:rsidRPr="009C0AA3">
        <w:rPr>
          <w:rFonts w:eastAsia="+mn-ea"/>
          <w:b w:val="0"/>
          <w:bCs w:val="0"/>
          <w:sz w:val="24"/>
          <w:szCs w:val="24"/>
        </w:rPr>
        <w:t>correlation between GDP and durable spending</w:t>
      </w:r>
      <w:bookmarkEnd w:id="80"/>
      <w:bookmarkEnd w:id="81"/>
      <w:r w:rsidR="00FF23C0" w:rsidRPr="009C0AA3">
        <w:rPr>
          <w:rFonts w:eastAsia="+mn-ea"/>
          <w:b w:val="0"/>
          <w:bCs w:val="0"/>
          <w:sz w:val="24"/>
          <w:szCs w:val="24"/>
        </w:rPr>
        <w:t xml:space="preserve"> </w:t>
      </w:r>
    </w:p>
    <w:p w:rsidR="00FF23C0" w:rsidRDefault="00FF23C0" w:rsidP="00625317">
      <w:pPr>
        <w:autoSpaceDE w:val="0"/>
        <w:autoSpaceDN w:val="0"/>
        <w:adjustRightInd w:val="0"/>
        <w:spacing w:line="480" w:lineRule="auto"/>
        <w:ind w:firstLine="720"/>
        <w:jc w:val="center"/>
      </w:pPr>
    </w:p>
    <w:p w:rsidR="00625317" w:rsidRDefault="007F4733" w:rsidP="00625317">
      <w:pPr>
        <w:autoSpaceDE w:val="0"/>
        <w:autoSpaceDN w:val="0"/>
        <w:adjustRightInd w:val="0"/>
        <w:spacing w:line="480" w:lineRule="auto"/>
        <w:jc w:val="center"/>
      </w:pPr>
      <w:r w:rsidRPr="007F4733">
        <w:rPr>
          <w:noProof/>
        </w:rPr>
        <w:drawing>
          <wp:inline distT="0" distB="0" distL="0" distR="0">
            <wp:extent cx="4714504" cy="3016332"/>
            <wp:effectExtent l="0" t="0" r="0" b="0"/>
            <wp:docPr id="3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1"/>
              </a:graphicData>
            </a:graphic>
          </wp:inline>
        </w:drawing>
      </w:r>
    </w:p>
    <w:p w:rsidR="001B3147" w:rsidRPr="009C0AA3" w:rsidRDefault="007F4733" w:rsidP="00D3282F">
      <w:pPr>
        <w:pStyle w:val="Caption"/>
        <w:spacing w:before="0" w:after="0"/>
        <w:rPr>
          <w:rFonts w:eastAsia="+mn-ea"/>
          <w:b w:val="0"/>
          <w:bCs w:val="0"/>
          <w:sz w:val="24"/>
          <w:szCs w:val="24"/>
        </w:rPr>
      </w:pPr>
      <w:bookmarkStart w:id="82" w:name="_Toc284614710"/>
      <w:bookmarkStart w:id="83" w:name="_Toc285478073"/>
      <w:r w:rsidRPr="009C0AA3">
        <w:rPr>
          <w:rFonts w:eastAsia="+mn-ea"/>
          <w:b w:val="0"/>
          <w:bCs w:val="0"/>
          <w:sz w:val="24"/>
          <w:szCs w:val="24"/>
        </w:rPr>
        <w:t>Figure</w:t>
      </w:r>
      <w:r w:rsidR="003C2FA1" w:rsidRPr="009C0AA3">
        <w:rPr>
          <w:rFonts w:eastAsia="+mn-ea"/>
          <w:b w:val="0"/>
          <w:bCs w:val="0"/>
          <w:sz w:val="24"/>
          <w:szCs w:val="24"/>
        </w:rPr>
        <w:t xml:space="preserv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3</w:t>
      </w:r>
      <w:r w:rsidR="00AB7C8D" w:rsidRPr="009C0AA3">
        <w:rPr>
          <w:rFonts w:eastAsia="+mn-ea"/>
          <w:b w:val="0"/>
          <w:bCs w:val="0"/>
          <w:sz w:val="24"/>
          <w:szCs w:val="24"/>
        </w:rPr>
        <w:fldChar w:fldCharType="end"/>
      </w:r>
      <w:r w:rsidR="00727B0A" w:rsidRPr="009C0AA3">
        <w:rPr>
          <w:rFonts w:eastAsia="+mn-ea"/>
          <w:b w:val="0"/>
          <w:bCs w:val="0"/>
          <w:sz w:val="24"/>
          <w:szCs w:val="24"/>
        </w:rPr>
        <w:t xml:space="preserve">: </w:t>
      </w:r>
      <w:r w:rsidR="00FF23C0" w:rsidRPr="009C0AA3">
        <w:rPr>
          <w:rFonts w:eastAsia="+mn-ea"/>
          <w:b w:val="0"/>
          <w:bCs w:val="0"/>
          <w:sz w:val="24"/>
          <w:szCs w:val="24"/>
        </w:rPr>
        <w:t xml:space="preserve">Impulse responses </w:t>
      </w:r>
      <w:r w:rsidR="00A45369" w:rsidRPr="009C0AA3">
        <w:rPr>
          <w:rFonts w:eastAsia="+mn-ea"/>
          <w:b w:val="0"/>
          <w:bCs w:val="0"/>
          <w:sz w:val="24"/>
          <w:szCs w:val="24"/>
        </w:rPr>
        <w:t xml:space="preserve">of national accounts to </w:t>
      </w:r>
      <w:r w:rsidR="00B37585">
        <w:rPr>
          <w:rFonts w:eastAsia="+mn-ea"/>
          <w:b w:val="0"/>
          <w:bCs w:val="0"/>
          <w:sz w:val="24"/>
          <w:szCs w:val="24"/>
        </w:rPr>
        <w:t xml:space="preserve">an </w:t>
      </w:r>
      <w:r w:rsidR="00A45369" w:rsidRPr="009C0AA3">
        <w:rPr>
          <w:rFonts w:eastAsia="+mn-ea"/>
          <w:b w:val="0"/>
          <w:bCs w:val="0"/>
          <w:sz w:val="24"/>
          <w:szCs w:val="24"/>
        </w:rPr>
        <w:t>interest rate shock (baseline m</w:t>
      </w:r>
      <w:r w:rsidR="00FF23C0" w:rsidRPr="009C0AA3">
        <w:rPr>
          <w:rFonts w:eastAsia="+mn-ea"/>
          <w:b w:val="0"/>
          <w:bCs w:val="0"/>
          <w:sz w:val="24"/>
          <w:szCs w:val="24"/>
        </w:rPr>
        <w:t>odel)</w:t>
      </w:r>
      <w:bookmarkEnd w:id="82"/>
      <w:bookmarkEnd w:id="83"/>
      <w:r w:rsidR="00FF23C0" w:rsidRPr="009C0AA3">
        <w:rPr>
          <w:rFonts w:eastAsia="+mn-ea"/>
          <w:b w:val="0"/>
          <w:bCs w:val="0"/>
          <w:sz w:val="24"/>
          <w:szCs w:val="24"/>
        </w:rPr>
        <w:t xml:space="preserve"> </w:t>
      </w:r>
    </w:p>
    <w:p w:rsidR="001B3147" w:rsidRDefault="001B3147" w:rsidP="0051003D">
      <w:pPr>
        <w:pStyle w:val="NormalWeb"/>
        <w:spacing w:before="0" w:beforeAutospacing="0" w:after="0" w:afterAutospacing="0"/>
        <w:jc w:val="center"/>
        <w:rPr>
          <w:rFonts w:eastAsia="+mn-ea"/>
          <w:bCs/>
          <w:sz w:val="28"/>
          <w:szCs w:val="28"/>
        </w:rPr>
      </w:pPr>
      <w:r w:rsidRPr="007F269B">
        <w:rPr>
          <w:b/>
          <w:bCs/>
          <w:noProof/>
        </w:rPr>
        <w:drawing>
          <wp:inline distT="0" distB="0" distL="0" distR="0">
            <wp:extent cx="2371725" cy="1228725"/>
            <wp:effectExtent l="0" t="0" r="0" b="0"/>
            <wp:docPr id="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2"/>
              </a:graphicData>
            </a:graphic>
          </wp:inline>
        </w:drawing>
      </w:r>
      <w:r w:rsidR="007F5F8C">
        <w:rPr>
          <w:rFonts w:eastAsia="+mn-ea"/>
          <w:bCs/>
          <w:sz w:val="28"/>
          <w:szCs w:val="28"/>
        </w:rPr>
        <w:t xml:space="preserve">                    </w:t>
      </w:r>
      <w:r w:rsidRPr="007F269B">
        <w:rPr>
          <w:b/>
          <w:bCs/>
          <w:noProof/>
        </w:rPr>
        <w:drawing>
          <wp:inline distT="0" distB="0" distL="0" distR="0">
            <wp:extent cx="2343150" cy="1209675"/>
            <wp:effectExtent l="0" t="0" r="0" b="0"/>
            <wp:docPr id="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3"/>
              </a:graphicData>
            </a:graphic>
          </wp:inline>
        </w:drawing>
      </w:r>
    </w:p>
    <w:p w:rsidR="007E68E4" w:rsidRDefault="001B3147" w:rsidP="00A13655">
      <w:pPr>
        <w:pStyle w:val="NormalWeb"/>
        <w:spacing w:before="0" w:beforeAutospacing="0" w:after="0" w:afterAutospacing="0"/>
        <w:rPr>
          <w:rFonts w:eastAsia="+mn-ea"/>
          <w:bCs/>
        </w:rPr>
      </w:pPr>
      <w:r>
        <w:rPr>
          <w:rFonts w:eastAsia="+mn-ea"/>
          <w:bCs/>
        </w:rPr>
        <w:t>a</w:t>
      </w:r>
      <w:r w:rsidR="003B40CC">
        <w:rPr>
          <w:rFonts w:eastAsia="+mn-ea"/>
          <w:bCs/>
        </w:rPr>
        <w:t>.</w:t>
      </w:r>
      <w:r w:rsidRPr="001B3147">
        <w:rPr>
          <w:rFonts w:eastAsia="+mn-ea"/>
          <w:bCs/>
        </w:rPr>
        <w:t xml:space="preserve"> Output</w:t>
      </w:r>
      <w:r w:rsidRPr="001B3147">
        <w:rPr>
          <w:rFonts w:eastAsiaTheme="minorEastAsia"/>
          <w:b/>
          <w:bCs/>
          <w:sz w:val="16"/>
          <w:szCs w:val="16"/>
        </w:rPr>
        <w:t xml:space="preserve"> </w:t>
      </w:r>
      <w:r>
        <w:rPr>
          <w:rFonts w:eastAsiaTheme="minorEastAsia"/>
          <w:b/>
          <w:bCs/>
          <w:sz w:val="16"/>
          <w:szCs w:val="16"/>
        </w:rPr>
        <w:t xml:space="preserve">                                                                                          </w:t>
      </w:r>
      <w:r w:rsidR="003B40CC">
        <w:rPr>
          <w:rFonts w:eastAsiaTheme="minorEastAsia"/>
          <w:b/>
          <w:bCs/>
          <w:sz w:val="16"/>
          <w:szCs w:val="16"/>
        </w:rPr>
        <w:t xml:space="preserve">     </w:t>
      </w:r>
      <w:r>
        <w:rPr>
          <w:rFonts w:eastAsiaTheme="minorEastAsia"/>
          <w:b/>
          <w:bCs/>
          <w:sz w:val="16"/>
          <w:szCs w:val="16"/>
        </w:rPr>
        <w:t xml:space="preserve">  </w:t>
      </w:r>
      <w:r w:rsidR="003B40CC" w:rsidRPr="003B40CC">
        <w:rPr>
          <w:rFonts w:eastAsia="+mn-ea"/>
          <w:bCs/>
        </w:rPr>
        <w:t>b</w:t>
      </w:r>
      <w:r w:rsidRPr="003B40CC">
        <w:rPr>
          <w:rFonts w:eastAsia="+mn-ea"/>
          <w:bCs/>
        </w:rPr>
        <w:t>. Employment</w:t>
      </w:r>
    </w:p>
    <w:p w:rsidR="007F5F8C" w:rsidRDefault="007F5F8C" w:rsidP="007F5F8C">
      <w:pPr>
        <w:pStyle w:val="NormalWeb"/>
        <w:spacing w:before="0" w:beforeAutospacing="0" w:after="120" w:afterAutospacing="0"/>
        <w:rPr>
          <w:rFonts w:eastAsia="+mn-ea"/>
          <w:b/>
          <w:bCs/>
        </w:rPr>
      </w:pPr>
    </w:p>
    <w:p w:rsidR="007E68E4" w:rsidRDefault="003B40CC" w:rsidP="0051003D">
      <w:pPr>
        <w:pStyle w:val="NormalWeb"/>
        <w:spacing w:before="0" w:beforeAutospacing="0" w:after="0" w:afterAutospacing="0"/>
        <w:jc w:val="center"/>
        <w:rPr>
          <w:rFonts w:eastAsia="+mn-ea"/>
          <w:bCs/>
          <w:sz w:val="28"/>
          <w:szCs w:val="28"/>
        </w:rPr>
      </w:pPr>
      <w:r w:rsidRPr="00DE4AD1">
        <w:rPr>
          <w:b/>
          <w:bCs/>
          <w:noProof/>
        </w:rPr>
        <w:drawing>
          <wp:inline distT="0" distB="0" distL="0" distR="0">
            <wp:extent cx="2370125" cy="1294790"/>
            <wp:effectExtent l="0" t="0" r="0" b="0"/>
            <wp:docPr id="3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4"/>
              </a:graphicData>
            </a:graphic>
          </wp:inline>
        </w:drawing>
      </w:r>
      <w:r w:rsidR="007F5F8C">
        <w:rPr>
          <w:rFonts w:eastAsia="+mn-ea"/>
          <w:bCs/>
          <w:sz w:val="28"/>
          <w:szCs w:val="28"/>
        </w:rPr>
        <w:t xml:space="preserve">                  </w:t>
      </w:r>
      <w:r w:rsidRPr="00CD5812">
        <w:rPr>
          <w:b/>
          <w:bCs/>
          <w:noProof/>
        </w:rPr>
        <w:drawing>
          <wp:inline distT="0" distB="0" distL="0" distR="0">
            <wp:extent cx="2553005" cy="1324051"/>
            <wp:effectExtent l="0" t="0" r="0" b="0"/>
            <wp:docPr id="3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5"/>
              </a:graphicData>
            </a:graphic>
          </wp:inline>
        </w:drawing>
      </w:r>
    </w:p>
    <w:p w:rsidR="007F5F8C" w:rsidRDefault="003B40CC" w:rsidP="00A13655">
      <w:pPr>
        <w:pStyle w:val="NormalWeb"/>
        <w:spacing w:before="0" w:beforeAutospacing="0" w:after="0" w:afterAutospacing="0"/>
        <w:rPr>
          <w:rFonts w:eastAsia="+mn-ea"/>
          <w:bCs/>
        </w:rPr>
      </w:pPr>
      <w:r>
        <w:rPr>
          <w:rFonts w:eastAsia="+mn-ea"/>
          <w:bCs/>
        </w:rPr>
        <w:t>c</w:t>
      </w:r>
      <w:r w:rsidR="007E68E4">
        <w:rPr>
          <w:rFonts w:eastAsia="+mn-ea"/>
          <w:bCs/>
        </w:rPr>
        <w:t>. N</w:t>
      </w:r>
      <w:r w:rsidRPr="003B40CC">
        <w:rPr>
          <w:rFonts w:eastAsia="+mn-ea"/>
          <w:bCs/>
        </w:rPr>
        <w:t xml:space="preserve">ondurable consumption </w:t>
      </w:r>
      <w:r>
        <w:rPr>
          <w:rFonts w:eastAsia="+mn-ea"/>
          <w:bCs/>
        </w:rPr>
        <w:t xml:space="preserve">                                     </w:t>
      </w:r>
      <w:r w:rsidRPr="003B40CC">
        <w:rPr>
          <w:rFonts w:eastAsia="+mn-ea"/>
          <w:bCs/>
        </w:rPr>
        <w:t>d. Expenditure on durables</w:t>
      </w:r>
    </w:p>
    <w:p w:rsidR="007F5F8C" w:rsidRDefault="007F5F8C" w:rsidP="007F5F8C">
      <w:pPr>
        <w:pStyle w:val="NormalWeb"/>
        <w:spacing w:before="0" w:beforeAutospacing="0" w:after="120" w:afterAutospacing="0"/>
        <w:rPr>
          <w:rFonts w:eastAsia="+mn-ea"/>
          <w:bCs/>
        </w:rPr>
      </w:pPr>
    </w:p>
    <w:p w:rsidR="007F5F8C" w:rsidRDefault="003B40CC" w:rsidP="004D1BD4">
      <w:pPr>
        <w:pStyle w:val="NormalWeb"/>
        <w:spacing w:before="0" w:beforeAutospacing="0" w:after="0" w:afterAutospacing="0"/>
        <w:jc w:val="center"/>
        <w:rPr>
          <w:rFonts w:eastAsia="+mn-ea"/>
          <w:bCs/>
        </w:rPr>
      </w:pPr>
      <w:r w:rsidRPr="00AA6A50">
        <w:rPr>
          <w:b/>
          <w:bCs/>
          <w:noProof/>
        </w:rPr>
        <w:drawing>
          <wp:inline distT="0" distB="0" distL="0" distR="0">
            <wp:extent cx="2282342" cy="1470355"/>
            <wp:effectExtent l="0" t="0" r="0" b="0"/>
            <wp:docPr id="3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6"/>
              </a:graphicData>
            </a:graphic>
          </wp:inline>
        </w:drawing>
      </w:r>
      <w:r w:rsidR="007F5F8C">
        <w:rPr>
          <w:rFonts w:eastAsia="+mn-ea"/>
          <w:bCs/>
        </w:rPr>
        <w:t xml:space="preserve">                          </w:t>
      </w:r>
      <w:r w:rsidRPr="00E43AEC">
        <w:rPr>
          <w:b/>
          <w:bCs/>
          <w:noProof/>
        </w:rPr>
        <w:drawing>
          <wp:inline distT="0" distB="0" distL="0" distR="0">
            <wp:extent cx="2361062" cy="1419367"/>
            <wp:effectExtent l="0" t="0" r="0" b="0"/>
            <wp:docPr id="3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7"/>
              </a:graphicData>
            </a:graphic>
          </wp:inline>
        </w:drawing>
      </w:r>
    </w:p>
    <w:p w:rsidR="007E68E4" w:rsidRDefault="007E68E4" w:rsidP="00A13655">
      <w:pPr>
        <w:pStyle w:val="NormalWeb"/>
        <w:spacing w:before="0" w:beforeAutospacing="0" w:after="0" w:afterAutospacing="0"/>
        <w:rPr>
          <w:rFonts w:eastAsia="+mn-ea"/>
          <w:bCs/>
          <w:sz w:val="28"/>
          <w:szCs w:val="28"/>
        </w:rPr>
      </w:pPr>
      <w:r>
        <w:rPr>
          <w:rFonts w:eastAsia="+mn-ea"/>
          <w:bCs/>
        </w:rPr>
        <w:t xml:space="preserve">E. </w:t>
      </w:r>
      <w:r w:rsidRPr="007E68E4">
        <w:rPr>
          <w:rFonts w:eastAsia="+mn-ea"/>
          <w:bCs/>
        </w:rPr>
        <w:t xml:space="preserve">Investment spending </w:t>
      </w:r>
      <w:r>
        <w:rPr>
          <w:rFonts w:eastAsia="+mn-ea"/>
          <w:bCs/>
        </w:rPr>
        <w:t xml:space="preserve">                                       </w:t>
      </w:r>
      <w:r w:rsidR="007F5F8C">
        <w:rPr>
          <w:rFonts w:eastAsia="+mn-ea"/>
          <w:bCs/>
        </w:rPr>
        <w:t xml:space="preserve">  </w:t>
      </w:r>
      <w:r>
        <w:rPr>
          <w:rFonts w:eastAsia="+mn-ea"/>
          <w:bCs/>
        </w:rPr>
        <w:t xml:space="preserve">      </w:t>
      </w:r>
      <w:r w:rsidRPr="007E68E4">
        <w:rPr>
          <w:rFonts w:eastAsia="+mn-ea"/>
          <w:bCs/>
        </w:rPr>
        <w:t>F. Trade balance to output ratio</w:t>
      </w:r>
    </w:p>
    <w:p w:rsidR="001B3147" w:rsidRDefault="003B40CC" w:rsidP="004D1BD4">
      <w:pPr>
        <w:pStyle w:val="NormalWeb"/>
        <w:spacing w:before="0" w:beforeAutospacing="0" w:after="0" w:afterAutospacing="0"/>
        <w:jc w:val="center"/>
        <w:rPr>
          <w:rFonts w:eastAsia="+mn-ea"/>
          <w:bCs/>
          <w:sz w:val="28"/>
          <w:szCs w:val="28"/>
        </w:rPr>
      </w:pPr>
      <w:r w:rsidRPr="00E43AEC">
        <w:rPr>
          <w:b/>
          <w:bCs/>
          <w:noProof/>
        </w:rPr>
        <w:drawing>
          <wp:inline distT="0" distB="0" distL="0" distR="0">
            <wp:extent cx="2794406" cy="1506931"/>
            <wp:effectExtent l="0" t="0" r="0" b="0"/>
            <wp:docPr id="3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8"/>
              </a:graphicData>
            </a:graphic>
          </wp:inline>
        </w:drawing>
      </w:r>
    </w:p>
    <w:p w:rsidR="007F5F8C" w:rsidRDefault="007E68E4" w:rsidP="007F5F8C">
      <w:pPr>
        <w:pStyle w:val="NormalWeb"/>
        <w:spacing w:before="0" w:beforeAutospacing="0" w:after="0" w:afterAutospacing="0"/>
        <w:jc w:val="center"/>
        <w:rPr>
          <w:rFonts w:eastAsia="+mn-ea"/>
          <w:bCs/>
        </w:rPr>
      </w:pPr>
      <w:r w:rsidRPr="007E68E4">
        <w:rPr>
          <w:rFonts w:eastAsia="+mn-ea"/>
          <w:bCs/>
        </w:rPr>
        <w:t>Figure1.4.g: Current account to output ratio</w:t>
      </w:r>
    </w:p>
    <w:p w:rsidR="004D1BD4" w:rsidRDefault="004D1BD4" w:rsidP="007F5F8C">
      <w:pPr>
        <w:pStyle w:val="NormalWeb"/>
        <w:spacing w:before="0" w:beforeAutospacing="0" w:after="0" w:afterAutospacing="0"/>
        <w:jc w:val="center"/>
        <w:rPr>
          <w:rFonts w:eastAsia="+mn-ea"/>
          <w:bCs/>
        </w:rPr>
      </w:pPr>
    </w:p>
    <w:p w:rsidR="003B40CC" w:rsidRPr="009C0AA3" w:rsidRDefault="003B40CC" w:rsidP="00B213C4">
      <w:pPr>
        <w:pStyle w:val="Caption"/>
        <w:rPr>
          <w:b w:val="0"/>
          <w:bCs w:val="0"/>
          <w:noProof/>
          <w:sz w:val="24"/>
          <w:szCs w:val="24"/>
        </w:rPr>
      </w:pPr>
      <w:bookmarkStart w:id="84" w:name="_Toc284614711"/>
      <w:bookmarkStart w:id="85" w:name="_Toc285478074"/>
      <w:r w:rsidRPr="009C0AA3">
        <w:rPr>
          <w:rFonts w:eastAsia="+mn-ea"/>
          <w:b w:val="0"/>
          <w:bCs w:val="0"/>
          <w:sz w:val="24"/>
          <w:szCs w:val="24"/>
        </w:rPr>
        <w:t>Fig</w:t>
      </w:r>
      <w:r w:rsidR="00C52963" w:rsidRPr="009C0AA3">
        <w:rPr>
          <w:rFonts w:eastAsia="+mn-ea"/>
          <w:b w:val="0"/>
          <w:bCs w:val="0"/>
          <w:sz w:val="24"/>
          <w:szCs w:val="24"/>
        </w:rPr>
        <w:t xml:space="preserve">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4</w:t>
      </w:r>
      <w:r w:rsidR="00AB7C8D" w:rsidRPr="009C0AA3">
        <w:rPr>
          <w:rFonts w:eastAsia="+mn-ea"/>
          <w:b w:val="0"/>
          <w:bCs w:val="0"/>
          <w:sz w:val="24"/>
          <w:szCs w:val="24"/>
        </w:rPr>
        <w:fldChar w:fldCharType="end"/>
      </w:r>
      <w:r w:rsidRPr="009C0AA3">
        <w:rPr>
          <w:b w:val="0"/>
          <w:bCs w:val="0"/>
          <w:noProof/>
          <w:sz w:val="24"/>
          <w:szCs w:val="24"/>
        </w:rPr>
        <w:t>: Impulse responces of national accoun</w:t>
      </w:r>
      <w:r w:rsidR="00B213C4" w:rsidRPr="009C0AA3">
        <w:rPr>
          <w:b w:val="0"/>
          <w:bCs w:val="0"/>
          <w:noProof/>
          <w:sz w:val="24"/>
          <w:szCs w:val="24"/>
        </w:rPr>
        <w:t xml:space="preserve">ts to </w:t>
      </w:r>
      <w:r w:rsidR="00B37585">
        <w:rPr>
          <w:b w:val="0"/>
          <w:bCs w:val="0"/>
          <w:noProof/>
          <w:sz w:val="24"/>
          <w:szCs w:val="24"/>
        </w:rPr>
        <w:t xml:space="preserve">an </w:t>
      </w:r>
      <w:r w:rsidR="00B213C4" w:rsidRPr="009C0AA3">
        <w:rPr>
          <w:b w:val="0"/>
          <w:bCs w:val="0"/>
          <w:noProof/>
          <w:sz w:val="24"/>
          <w:szCs w:val="24"/>
        </w:rPr>
        <w:t>interest rat</w:t>
      </w:r>
      <w:r w:rsidR="00B37585">
        <w:rPr>
          <w:b w:val="0"/>
          <w:bCs w:val="0"/>
          <w:noProof/>
          <w:sz w:val="24"/>
          <w:szCs w:val="24"/>
        </w:rPr>
        <w:t>e</w:t>
      </w:r>
      <w:r w:rsidR="00B213C4" w:rsidRPr="009C0AA3">
        <w:rPr>
          <w:b w:val="0"/>
          <w:bCs w:val="0"/>
          <w:noProof/>
          <w:sz w:val="24"/>
          <w:szCs w:val="24"/>
        </w:rPr>
        <w:t xml:space="preserve"> shock (alternative </w:t>
      </w:r>
      <w:r w:rsidRPr="009C0AA3">
        <w:rPr>
          <w:b w:val="0"/>
          <w:bCs w:val="0"/>
          <w:noProof/>
          <w:sz w:val="24"/>
          <w:szCs w:val="24"/>
        </w:rPr>
        <w:t>scenarios)</w:t>
      </w:r>
      <w:bookmarkEnd w:id="84"/>
      <w:bookmarkEnd w:id="85"/>
    </w:p>
    <w:p w:rsidR="00A2523B" w:rsidRPr="00C52963" w:rsidRDefault="00A2523B" w:rsidP="00C52963">
      <w:pPr>
        <w:autoSpaceDE w:val="0"/>
        <w:autoSpaceDN w:val="0"/>
        <w:adjustRightInd w:val="0"/>
        <w:spacing w:before="480"/>
        <w:ind w:left="1080" w:hanging="1080"/>
        <w:jc w:val="center"/>
        <w:rPr>
          <w:rFonts w:eastAsia="+mn-ea"/>
          <w:bCs/>
        </w:rPr>
      </w:pPr>
      <w:r w:rsidRPr="00C52963">
        <w:rPr>
          <w:rFonts w:eastAsia="+mn-ea"/>
          <w:bCs/>
          <w:noProof/>
        </w:rPr>
        <w:drawing>
          <wp:inline distT="0" distB="0" distL="0" distR="0">
            <wp:extent cx="4343400" cy="1990725"/>
            <wp:effectExtent l="0" t="0" r="0" b="0"/>
            <wp:docPr id="1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9"/>
              </a:graphicData>
            </a:graphic>
          </wp:inline>
        </w:drawing>
      </w:r>
    </w:p>
    <w:p w:rsidR="00A2523B" w:rsidRDefault="00311227" w:rsidP="00A2523B">
      <w:pPr>
        <w:autoSpaceDE w:val="0"/>
        <w:autoSpaceDN w:val="0"/>
        <w:adjustRightInd w:val="0"/>
        <w:rPr>
          <w:rFonts w:eastAsia="+mn-ea"/>
          <w:bCs/>
        </w:rPr>
      </w:pPr>
      <w:proofErr w:type="gramStart"/>
      <w:r w:rsidRPr="00C52963">
        <w:rPr>
          <w:rFonts w:eastAsia="+mn-ea"/>
          <w:bCs/>
        </w:rPr>
        <w:t>a</w:t>
      </w:r>
      <w:proofErr w:type="gramEnd"/>
      <w:r w:rsidR="001F736F" w:rsidRPr="00C52963">
        <w:rPr>
          <w:rFonts w:eastAsia="+mn-ea"/>
          <w:bCs/>
        </w:rPr>
        <w:t xml:space="preserve">: </w:t>
      </w:r>
      <w:r w:rsidR="00532B9E" w:rsidRPr="00C52963">
        <w:rPr>
          <w:rFonts w:eastAsia="+mn-ea"/>
          <w:bCs/>
        </w:rPr>
        <w:t xml:space="preserve">ToT </w:t>
      </w:r>
      <w:r w:rsidR="001F736F" w:rsidRPr="00C52963">
        <w:rPr>
          <w:rFonts w:eastAsia="+mn-ea"/>
          <w:bCs/>
        </w:rPr>
        <w:t xml:space="preserve">and </w:t>
      </w:r>
      <w:r w:rsidR="00532B9E" w:rsidRPr="00C52963">
        <w:rPr>
          <w:rFonts w:eastAsia="+mn-ea"/>
          <w:bCs/>
        </w:rPr>
        <w:t>output</w:t>
      </w:r>
    </w:p>
    <w:p w:rsidR="004D1BD4" w:rsidRPr="00C52963" w:rsidRDefault="004D1BD4" w:rsidP="00A2523B">
      <w:pPr>
        <w:autoSpaceDE w:val="0"/>
        <w:autoSpaceDN w:val="0"/>
        <w:adjustRightInd w:val="0"/>
        <w:rPr>
          <w:rFonts w:eastAsia="+mn-ea"/>
          <w:bCs/>
        </w:rPr>
      </w:pPr>
    </w:p>
    <w:p w:rsidR="00A2523B" w:rsidRDefault="00A2523B" w:rsidP="00A2523B">
      <w:pPr>
        <w:autoSpaceDE w:val="0"/>
        <w:autoSpaceDN w:val="0"/>
        <w:adjustRightInd w:val="0"/>
        <w:jc w:val="center"/>
        <w:rPr>
          <w:noProof/>
        </w:rPr>
      </w:pPr>
    </w:p>
    <w:p w:rsidR="00A2523B" w:rsidRDefault="00A2523B" w:rsidP="00A2523B">
      <w:pPr>
        <w:autoSpaceDE w:val="0"/>
        <w:autoSpaceDN w:val="0"/>
        <w:adjustRightInd w:val="0"/>
        <w:jc w:val="center"/>
      </w:pPr>
      <w:r w:rsidRPr="00A2523B">
        <w:rPr>
          <w:noProof/>
          <w:highlight w:val="lightGray"/>
        </w:rPr>
        <w:drawing>
          <wp:inline distT="0" distB="0" distL="0" distR="0">
            <wp:extent cx="4495800" cy="2085975"/>
            <wp:effectExtent l="0" t="0" r="0" b="0"/>
            <wp:docPr id="1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0"/>
              </a:graphicData>
            </a:graphic>
          </wp:inline>
        </w:drawing>
      </w:r>
    </w:p>
    <w:p w:rsidR="00A2523B" w:rsidRDefault="00311227" w:rsidP="00A13655">
      <w:pPr>
        <w:autoSpaceDE w:val="0"/>
        <w:autoSpaceDN w:val="0"/>
        <w:adjustRightInd w:val="0"/>
        <w:rPr>
          <w:rFonts w:eastAsia="+mn-ea"/>
          <w:bCs/>
        </w:rPr>
      </w:pPr>
      <w:proofErr w:type="gramStart"/>
      <w:r w:rsidRPr="00C52963">
        <w:rPr>
          <w:rFonts w:eastAsia="+mn-ea"/>
          <w:bCs/>
        </w:rPr>
        <w:t>b</w:t>
      </w:r>
      <w:proofErr w:type="gramEnd"/>
      <w:r w:rsidR="001F736F" w:rsidRPr="00C52963">
        <w:rPr>
          <w:rFonts w:eastAsia="+mn-ea"/>
          <w:bCs/>
        </w:rPr>
        <w:t xml:space="preserve">: </w:t>
      </w:r>
      <w:r w:rsidR="00532B9E" w:rsidRPr="00C52963">
        <w:rPr>
          <w:rFonts w:eastAsia="+mn-ea"/>
          <w:bCs/>
        </w:rPr>
        <w:t>ToT, employment, aggregate consumption and investment</w:t>
      </w:r>
    </w:p>
    <w:p w:rsidR="004D1BD4" w:rsidRPr="00C52963" w:rsidRDefault="004D1BD4" w:rsidP="00A13655">
      <w:pPr>
        <w:autoSpaceDE w:val="0"/>
        <w:autoSpaceDN w:val="0"/>
        <w:adjustRightInd w:val="0"/>
        <w:rPr>
          <w:rFonts w:eastAsia="+mn-ea"/>
          <w:bCs/>
        </w:rPr>
      </w:pPr>
    </w:p>
    <w:p w:rsidR="00A2523B" w:rsidRDefault="00A2523B" w:rsidP="00A2523B">
      <w:pPr>
        <w:autoSpaceDE w:val="0"/>
        <w:autoSpaceDN w:val="0"/>
        <w:adjustRightInd w:val="0"/>
        <w:jc w:val="center"/>
      </w:pPr>
    </w:p>
    <w:p w:rsidR="00A2523B" w:rsidRDefault="00A2523B" w:rsidP="00C52963">
      <w:pPr>
        <w:autoSpaceDE w:val="0"/>
        <w:autoSpaceDN w:val="0"/>
        <w:adjustRightInd w:val="0"/>
        <w:jc w:val="center"/>
      </w:pPr>
      <w:r w:rsidRPr="00F1667D">
        <w:rPr>
          <w:noProof/>
        </w:rPr>
        <w:drawing>
          <wp:inline distT="0" distB="0" distL="0" distR="0">
            <wp:extent cx="4524375" cy="2085975"/>
            <wp:effectExtent l="0" t="0" r="0" b="0"/>
            <wp:docPr id="1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1"/>
              </a:graphicData>
            </a:graphic>
          </wp:inline>
        </w:drawing>
      </w:r>
    </w:p>
    <w:p w:rsidR="00135946" w:rsidRDefault="00311227" w:rsidP="00C52963">
      <w:pPr>
        <w:autoSpaceDE w:val="0"/>
        <w:autoSpaceDN w:val="0"/>
        <w:adjustRightInd w:val="0"/>
        <w:rPr>
          <w:rFonts w:eastAsia="+mn-ea"/>
          <w:bCs/>
        </w:rPr>
      </w:pPr>
      <w:proofErr w:type="gramStart"/>
      <w:r w:rsidRPr="00C52963">
        <w:rPr>
          <w:rFonts w:eastAsia="+mn-ea"/>
          <w:bCs/>
        </w:rPr>
        <w:t>c</w:t>
      </w:r>
      <w:proofErr w:type="gramEnd"/>
      <w:r w:rsidR="001F736F" w:rsidRPr="00C52963">
        <w:rPr>
          <w:rFonts w:eastAsia="+mn-ea"/>
          <w:bCs/>
        </w:rPr>
        <w:t xml:space="preserve">: </w:t>
      </w:r>
      <w:r w:rsidR="00532B9E" w:rsidRPr="00C52963">
        <w:rPr>
          <w:rFonts w:eastAsia="+mn-ea"/>
          <w:bCs/>
        </w:rPr>
        <w:t xml:space="preserve">ToT </w:t>
      </w:r>
      <w:r w:rsidR="001F736F" w:rsidRPr="00C52963">
        <w:rPr>
          <w:rFonts w:eastAsia="+mn-ea"/>
          <w:bCs/>
        </w:rPr>
        <w:t>and the trade balance</w:t>
      </w:r>
    </w:p>
    <w:p w:rsidR="001F736F" w:rsidRPr="009C0AA3" w:rsidRDefault="001F736F" w:rsidP="00135946">
      <w:pPr>
        <w:pStyle w:val="Caption"/>
        <w:rPr>
          <w:rFonts w:eastAsia="+mn-ea"/>
          <w:b w:val="0"/>
          <w:bCs w:val="0"/>
          <w:sz w:val="24"/>
          <w:szCs w:val="24"/>
        </w:rPr>
      </w:pPr>
      <w:r w:rsidRPr="009C0AA3">
        <w:rPr>
          <w:rFonts w:eastAsia="+mn-ea"/>
          <w:b w:val="0"/>
          <w:bCs w:val="0"/>
          <w:sz w:val="24"/>
          <w:szCs w:val="24"/>
        </w:rPr>
        <w:t xml:space="preserve"> </w:t>
      </w:r>
      <w:bookmarkStart w:id="86" w:name="_Toc284614712"/>
      <w:bookmarkStart w:id="87" w:name="_Toc285478075"/>
      <w:r w:rsidR="00C52963" w:rsidRPr="009C0AA3">
        <w:rPr>
          <w:rFonts w:eastAsia="+mn-ea"/>
          <w:b w:val="0"/>
          <w:bCs w:val="0"/>
          <w:sz w:val="24"/>
          <w:szCs w:val="24"/>
        </w:rPr>
        <w:t>Figure</w:t>
      </w:r>
      <w:r w:rsidR="003F00A5" w:rsidRPr="009C0AA3">
        <w:rPr>
          <w:rFonts w:eastAsia="+mn-ea"/>
          <w:b w:val="0"/>
          <w:bCs w:val="0"/>
          <w:sz w:val="24"/>
          <w:szCs w:val="24"/>
        </w:rPr>
        <w:t xml:space="preserv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5</w:t>
      </w:r>
      <w:r w:rsidR="00AB7C8D" w:rsidRPr="009C0AA3">
        <w:rPr>
          <w:rFonts w:eastAsia="+mn-ea"/>
          <w:b w:val="0"/>
          <w:bCs w:val="0"/>
          <w:sz w:val="24"/>
          <w:szCs w:val="24"/>
        </w:rPr>
        <w:fldChar w:fldCharType="end"/>
      </w:r>
      <w:r w:rsidRPr="009C0AA3">
        <w:rPr>
          <w:rFonts w:eastAsia="+mn-ea"/>
          <w:b w:val="0"/>
          <w:bCs w:val="0"/>
          <w:sz w:val="24"/>
          <w:szCs w:val="24"/>
        </w:rPr>
        <w:t>: Comovement between terms of trade and national accounts (actual data)</w:t>
      </w:r>
      <w:bookmarkEnd w:id="86"/>
      <w:bookmarkEnd w:id="87"/>
    </w:p>
    <w:p w:rsidR="00A2523B" w:rsidRDefault="00A2523B" w:rsidP="00A2523B">
      <w:pPr>
        <w:autoSpaceDE w:val="0"/>
        <w:autoSpaceDN w:val="0"/>
        <w:adjustRightInd w:val="0"/>
        <w:jc w:val="center"/>
      </w:pPr>
    </w:p>
    <w:p w:rsidR="00A2523B" w:rsidRDefault="00A2523B" w:rsidP="00A2523B">
      <w:pPr>
        <w:autoSpaceDE w:val="0"/>
        <w:autoSpaceDN w:val="0"/>
        <w:adjustRightInd w:val="0"/>
        <w:jc w:val="center"/>
      </w:pPr>
      <w:r w:rsidRPr="006325CD">
        <w:rPr>
          <w:noProof/>
        </w:rPr>
        <w:drawing>
          <wp:inline distT="0" distB="0" distL="0" distR="0">
            <wp:extent cx="4476750" cy="2724150"/>
            <wp:effectExtent l="0" t="0" r="0" b="0"/>
            <wp:docPr id="1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2"/>
              </a:graphicData>
            </a:graphic>
          </wp:inline>
        </w:drawing>
      </w:r>
    </w:p>
    <w:p w:rsidR="004D1BD4" w:rsidRDefault="003F00A5" w:rsidP="004D1BD4">
      <w:pPr>
        <w:pStyle w:val="Caption"/>
        <w:jc w:val="center"/>
        <w:rPr>
          <w:b w:val="0"/>
          <w:bCs w:val="0"/>
          <w:sz w:val="24"/>
          <w:szCs w:val="24"/>
        </w:rPr>
      </w:pPr>
      <w:bookmarkStart w:id="88" w:name="_Toc285478076"/>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6</w:t>
      </w:r>
      <w:r w:rsidR="00AB7C8D" w:rsidRPr="009C0AA3">
        <w:rPr>
          <w:rFonts w:eastAsia="+mn-ea"/>
          <w:b w:val="0"/>
          <w:bCs w:val="0"/>
          <w:sz w:val="24"/>
          <w:szCs w:val="24"/>
        </w:rPr>
        <w:fldChar w:fldCharType="end"/>
      </w:r>
      <w:r w:rsidRPr="009C0AA3">
        <w:rPr>
          <w:rFonts w:eastAsia="+mn-ea"/>
          <w:b w:val="0"/>
          <w:bCs w:val="0"/>
          <w:sz w:val="24"/>
          <w:szCs w:val="24"/>
        </w:rPr>
        <w:t>:</w:t>
      </w:r>
      <w:r w:rsidRPr="009C0AA3">
        <w:rPr>
          <w:b w:val="0"/>
          <w:bCs w:val="0"/>
          <w:sz w:val="24"/>
          <w:szCs w:val="24"/>
        </w:rPr>
        <w:t xml:space="preserve"> Impulse</w:t>
      </w:r>
      <w:r w:rsidR="0081340E" w:rsidRPr="009C0AA3">
        <w:rPr>
          <w:b w:val="0"/>
          <w:bCs w:val="0"/>
          <w:sz w:val="24"/>
          <w:szCs w:val="24"/>
        </w:rPr>
        <w:t xml:space="preserve"> responses due to a ToT Shock </w:t>
      </w:r>
      <w:r w:rsidR="005E7CA8" w:rsidRPr="009C0AA3">
        <w:rPr>
          <w:b w:val="0"/>
          <w:bCs w:val="0"/>
          <w:sz w:val="24"/>
          <w:szCs w:val="24"/>
        </w:rPr>
        <w:t xml:space="preserve">with </w:t>
      </w:r>
      <w:r w:rsidR="0081340E" w:rsidRPr="009C0AA3">
        <w:rPr>
          <w:b w:val="0"/>
          <w:bCs w:val="0"/>
          <w:sz w:val="24"/>
          <w:szCs w:val="24"/>
        </w:rPr>
        <w:t>constant interest rate</w:t>
      </w:r>
      <w:r w:rsidR="00A13655" w:rsidRPr="009C0AA3">
        <w:rPr>
          <w:b w:val="0"/>
          <w:bCs w:val="0"/>
          <w:sz w:val="24"/>
          <w:szCs w:val="24"/>
        </w:rPr>
        <w:t xml:space="preserve"> (</w:t>
      </w:r>
      <w:r w:rsidR="0081340E" w:rsidRPr="009C0AA3">
        <w:rPr>
          <w:b w:val="0"/>
          <w:bCs w:val="0"/>
          <w:sz w:val="24"/>
          <w:szCs w:val="24"/>
        </w:rPr>
        <w:t xml:space="preserve">ψ </w:t>
      </w:r>
      <w:r w:rsidRPr="009C0AA3">
        <w:rPr>
          <w:b w:val="0"/>
          <w:bCs w:val="0"/>
          <w:sz w:val="24"/>
          <w:szCs w:val="24"/>
        </w:rPr>
        <w:t>= ϛ</w:t>
      </w:r>
      <w:r w:rsidR="0081340E" w:rsidRPr="009C0AA3">
        <w:rPr>
          <w:b w:val="0"/>
          <w:bCs w:val="0"/>
          <w:sz w:val="24"/>
          <w:szCs w:val="24"/>
        </w:rPr>
        <w:t xml:space="preserve"> = </w:t>
      </w:r>
      <w:r w:rsidRPr="009C0AA3">
        <w:rPr>
          <w:b w:val="0"/>
          <w:bCs w:val="0"/>
          <w:sz w:val="24"/>
          <w:szCs w:val="24"/>
        </w:rPr>
        <w:t>0)</w:t>
      </w:r>
      <w:bookmarkEnd w:id="88"/>
    </w:p>
    <w:p w:rsidR="004D1BD4" w:rsidRDefault="004D1BD4" w:rsidP="004D1BD4">
      <w:pPr>
        <w:pStyle w:val="Caption"/>
        <w:jc w:val="center"/>
        <w:rPr>
          <w:b w:val="0"/>
          <w:bCs w:val="0"/>
          <w:sz w:val="24"/>
          <w:szCs w:val="24"/>
        </w:rPr>
      </w:pPr>
    </w:p>
    <w:p w:rsidR="004D1BD4" w:rsidRPr="004D1BD4" w:rsidRDefault="004D1BD4" w:rsidP="004D1BD4"/>
    <w:p w:rsidR="00A2523B" w:rsidRDefault="00A2523B" w:rsidP="004D1BD4">
      <w:pPr>
        <w:pStyle w:val="Caption"/>
        <w:jc w:val="center"/>
      </w:pPr>
      <w:r w:rsidRPr="006C1981">
        <w:rPr>
          <w:noProof/>
        </w:rPr>
        <w:drawing>
          <wp:inline distT="0" distB="0" distL="0" distR="0">
            <wp:extent cx="4599296" cy="2852382"/>
            <wp:effectExtent l="0" t="0" r="0" b="0"/>
            <wp:docPr id="2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3"/>
              </a:graphicData>
            </a:graphic>
          </wp:inline>
        </w:drawing>
      </w:r>
    </w:p>
    <w:p w:rsidR="0081340E" w:rsidRPr="009C0AA3" w:rsidRDefault="003F00A5" w:rsidP="00135946">
      <w:pPr>
        <w:pStyle w:val="Caption"/>
        <w:rPr>
          <w:b w:val="0"/>
          <w:bCs w:val="0"/>
          <w:sz w:val="24"/>
          <w:szCs w:val="24"/>
        </w:rPr>
      </w:pPr>
      <w:bookmarkStart w:id="89" w:name="_Toc285478077"/>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7</w:t>
      </w:r>
      <w:r w:rsidR="00AB7C8D" w:rsidRPr="009C0AA3">
        <w:rPr>
          <w:rFonts w:eastAsia="+mn-ea"/>
          <w:b w:val="0"/>
          <w:bCs w:val="0"/>
          <w:sz w:val="24"/>
          <w:szCs w:val="24"/>
        </w:rPr>
        <w:fldChar w:fldCharType="end"/>
      </w:r>
      <w:r w:rsidRPr="009C0AA3">
        <w:rPr>
          <w:rFonts w:eastAsia="+mn-ea"/>
          <w:b w:val="0"/>
          <w:bCs w:val="0"/>
          <w:sz w:val="24"/>
          <w:szCs w:val="24"/>
        </w:rPr>
        <w:t xml:space="preserve">: </w:t>
      </w:r>
      <w:r w:rsidR="0081340E" w:rsidRPr="009C0AA3">
        <w:rPr>
          <w:b w:val="0"/>
          <w:bCs w:val="0"/>
          <w:sz w:val="24"/>
          <w:szCs w:val="24"/>
        </w:rPr>
        <w:t xml:space="preserve">Impulse </w:t>
      </w:r>
      <w:r w:rsidR="006A0429" w:rsidRPr="009C0AA3">
        <w:rPr>
          <w:b w:val="0"/>
          <w:bCs w:val="0"/>
          <w:sz w:val="24"/>
          <w:szCs w:val="24"/>
        </w:rPr>
        <w:t>responses</w:t>
      </w:r>
      <w:r w:rsidR="005E7CA8" w:rsidRPr="009C0AA3">
        <w:rPr>
          <w:b w:val="0"/>
          <w:bCs w:val="0"/>
          <w:sz w:val="24"/>
          <w:szCs w:val="24"/>
        </w:rPr>
        <w:t xml:space="preserve"> due to a ToT s</w:t>
      </w:r>
      <w:r w:rsidR="0081340E" w:rsidRPr="009C0AA3">
        <w:rPr>
          <w:b w:val="0"/>
          <w:bCs w:val="0"/>
          <w:sz w:val="24"/>
          <w:szCs w:val="24"/>
        </w:rPr>
        <w:t>hock (Baseline Model)</w:t>
      </w:r>
      <w:bookmarkEnd w:id="89"/>
    </w:p>
    <w:p w:rsidR="00A2523B" w:rsidRDefault="00A2523B" w:rsidP="00A2523B">
      <w:pPr>
        <w:autoSpaceDE w:val="0"/>
        <w:autoSpaceDN w:val="0"/>
        <w:adjustRightInd w:val="0"/>
      </w:pPr>
    </w:p>
    <w:p w:rsidR="00A2523B" w:rsidRDefault="00A2523B" w:rsidP="00A2523B">
      <w:pPr>
        <w:autoSpaceDE w:val="0"/>
        <w:autoSpaceDN w:val="0"/>
        <w:adjustRightInd w:val="0"/>
      </w:pPr>
    </w:p>
    <w:p w:rsidR="00A2523B" w:rsidRDefault="00A2523B" w:rsidP="00A2523B">
      <w:pPr>
        <w:autoSpaceDE w:val="0"/>
        <w:autoSpaceDN w:val="0"/>
        <w:adjustRightInd w:val="0"/>
      </w:pPr>
    </w:p>
    <w:p w:rsidR="00A2523B" w:rsidRDefault="00A2523B" w:rsidP="001E2B0A">
      <w:pPr>
        <w:autoSpaceDE w:val="0"/>
        <w:autoSpaceDN w:val="0"/>
        <w:adjustRightInd w:val="0"/>
        <w:jc w:val="center"/>
      </w:pPr>
      <w:r w:rsidRPr="006C1981">
        <w:rPr>
          <w:noProof/>
        </w:rPr>
        <w:drawing>
          <wp:inline distT="0" distB="0" distL="0" distR="0">
            <wp:extent cx="4895850" cy="3048000"/>
            <wp:effectExtent l="0" t="0" r="0" b="0"/>
            <wp:docPr id="2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4"/>
              </a:graphicData>
            </a:graphic>
          </wp:inline>
        </w:drawing>
      </w:r>
    </w:p>
    <w:p w:rsidR="0081340E" w:rsidRPr="009C0AA3" w:rsidRDefault="003F00A5" w:rsidP="00135946">
      <w:pPr>
        <w:pStyle w:val="Caption"/>
        <w:rPr>
          <w:b w:val="0"/>
          <w:bCs w:val="0"/>
          <w:sz w:val="24"/>
          <w:szCs w:val="24"/>
        </w:rPr>
      </w:pPr>
      <w:bookmarkStart w:id="90" w:name="_Toc285478078"/>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8</w:t>
      </w:r>
      <w:r w:rsidR="00AB7C8D" w:rsidRPr="009C0AA3">
        <w:rPr>
          <w:rFonts w:eastAsia="+mn-ea"/>
          <w:b w:val="0"/>
          <w:bCs w:val="0"/>
          <w:sz w:val="24"/>
          <w:szCs w:val="24"/>
        </w:rPr>
        <w:fldChar w:fldCharType="end"/>
      </w:r>
      <w:r w:rsidRPr="009C0AA3">
        <w:rPr>
          <w:rFonts w:eastAsia="+mn-ea"/>
          <w:b w:val="0"/>
          <w:bCs w:val="0"/>
          <w:sz w:val="24"/>
          <w:szCs w:val="24"/>
        </w:rPr>
        <w:t xml:space="preserve">: </w:t>
      </w:r>
      <w:r w:rsidR="0081340E" w:rsidRPr="009C0AA3">
        <w:rPr>
          <w:b w:val="0"/>
          <w:bCs w:val="0"/>
          <w:sz w:val="24"/>
          <w:szCs w:val="24"/>
        </w:rPr>
        <w:t>Impulse responses due to a high-persistent ToT Shock (</w:t>
      </w:r>
      <w:proofErr w:type="spellStart"/>
      <w:r w:rsidR="0081340E" w:rsidRPr="00A03279">
        <w:rPr>
          <w:b w:val="0"/>
          <w:bCs w:val="0"/>
          <w:i/>
          <w:iCs/>
          <w:sz w:val="24"/>
          <w:szCs w:val="24"/>
        </w:rPr>
        <w:t>ρ</w:t>
      </w:r>
      <w:r w:rsidR="0081340E" w:rsidRPr="00A03279">
        <w:rPr>
          <w:b w:val="0"/>
          <w:bCs w:val="0"/>
          <w:sz w:val="16"/>
          <w:szCs w:val="16"/>
        </w:rPr>
        <w:t>p</w:t>
      </w:r>
      <w:proofErr w:type="spellEnd"/>
      <w:r w:rsidR="0081340E" w:rsidRPr="009C0AA3">
        <w:rPr>
          <w:b w:val="0"/>
          <w:bCs w:val="0"/>
          <w:sz w:val="24"/>
          <w:szCs w:val="24"/>
        </w:rPr>
        <w:t>=0.98)</w:t>
      </w:r>
      <w:bookmarkEnd w:id="90"/>
    </w:p>
    <w:p w:rsidR="0081340E" w:rsidRPr="0081340E" w:rsidRDefault="0081340E" w:rsidP="0081340E">
      <w:pPr>
        <w:autoSpaceDE w:val="0"/>
        <w:autoSpaceDN w:val="0"/>
        <w:adjustRightInd w:val="0"/>
        <w:rPr>
          <w:sz w:val="20"/>
          <w:szCs w:val="20"/>
        </w:rPr>
      </w:pPr>
    </w:p>
    <w:p w:rsidR="001E2B0A" w:rsidRDefault="001E2B0A" w:rsidP="001E2B0A">
      <w:pPr>
        <w:autoSpaceDE w:val="0"/>
        <w:autoSpaceDN w:val="0"/>
        <w:adjustRightInd w:val="0"/>
        <w:jc w:val="center"/>
      </w:pPr>
    </w:p>
    <w:p w:rsidR="00A2523B" w:rsidRDefault="00A2523B" w:rsidP="005A53C1">
      <w:pPr>
        <w:autoSpaceDE w:val="0"/>
        <w:autoSpaceDN w:val="0"/>
        <w:adjustRightInd w:val="0"/>
        <w:jc w:val="center"/>
      </w:pPr>
      <w:r w:rsidRPr="002B6014">
        <w:rPr>
          <w:noProof/>
        </w:rPr>
        <w:drawing>
          <wp:inline distT="0" distB="0" distL="0" distR="0">
            <wp:extent cx="5324475" cy="3067050"/>
            <wp:effectExtent l="0" t="0" r="0" b="0"/>
            <wp:docPr id="2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5"/>
              </a:graphicData>
            </a:graphic>
          </wp:inline>
        </w:drawing>
      </w:r>
    </w:p>
    <w:p w:rsidR="0081340E" w:rsidRPr="009C0AA3" w:rsidRDefault="003F00A5" w:rsidP="00135946">
      <w:pPr>
        <w:pStyle w:val="Caption"/>
        <w:rPr>
          <w:b w:val="0"/>
          <w:bCs w:val="0"/>
        </w:rPr>
      </w:pPr>
      <w:bookmarkStart w:id="91" w:name="_Toc285478079"/>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9</w:t>
      </w:r>
      <w:r w:rsidR="00AB7C8D" w:rsidRPr="009C0AA3">
        <w:rPr>
          <w:rFonts w:eastAsia="+mn-ea"/>
          <w:b w:val="0"/>
          <w:bCs w:val="0"/>
          <w:sz w:val="24"/>
          <w:szCs w:val="24"/>
        </w:rPr>
        <w:fldChar w:fldCharType="end"/>
      </w:r>
      <w:r w:rsidRPr="009C0AA3">
        <w:rPr>
          <w:rFonts w:eastAsia="+mn-ea"/>
          <w:b w:val="0"/>
          <w:bCs w:val="0"/>
          <w:sz w:val="24"/>
          <w:szCs w:val="24"/>
        </w:rPr>
        <w:t xml:space="preserve">: </w:t>
      </w:r>
      <w:r w:rsidR="0081340E" w:rsidRPr="009C0AA3">
        <w:rPr>
          <w:b w:val="0"/>
          <w:bCs w:val="0"/>
        </w:rPr>
        <w:t xml:space="preserve">Impulse </w:t>
      </w:r>
      <w:r w:rsidR="006A0429" w:rsidRPr="009C0AA3">
        <w:rPr>
          <w:b w:val="0"/>
          <w:bCs w:val="0"/>
        </w:rPr>
        <w:t>responses</w:t>
      </w:r>
      <w:r w:rsidR="0081340E" w:rsidRPr="009C0AA3">
        <w:rPr>
          <w:b w:val="0"/>
          <w:bCs w:val="0"/>
        </w:rPr>
        <w:t xml:space="preserve"> due to a moderately-persistent ToT Shock (</w:t>
      </w:r>
      <w:proofErr w:type="spellStart"/>
      <w:r w:rsidR="00CC1FA8" w:rsidRPr="00A03279">
        <w:rPr>
          <w:b w:val="0"/>
          <w:bCs w:val="0"/>
          <w:i/>
          <w:iCs/>
          <w:sz w:val="24"/>
          <w:szCs w:val="24"/>
        </w:rPr>
        <w:t>ρ</w:t>
      </w:r>
      <w:r w:rsidR="00CC1FA8" w:rsidRPr="00A03279">
        <w:rPr>
          <w:b w:val="0"/>
          <w:bCs w:val="0"/>
          <w:sz w:val="16"/>
          <w:szCs w:val="16"/>
        </w:rPr>
        <w:t>p</w:t>
      </w:r>
      <w:proofErr w:type="spellEnd"/>
      <w:r w:rsidR="0081340E" w:rsidRPr="009C0AA3">
        <w:rPr>
          <w:b w:val="0"/>
          <w:bCs w:val="0"/>
        </w:rPr>
        <w:t>=0.90)</w:t>
      </w:r>
      <w:bookmarkEnd w:id="91"/>
    </w:p>
    <w:p w:rsidR="0081340E" w:rsidRDefault="0081340E" w:rsidP="0081340E">
      <w:pPr>
        <w:autoSpaceDE w:val="0"/>
        <w:autoSpaceDN w:val="0"/>
        <w:adjustRightInd w:val="0"/>
      </w:pPr>
    </w:p>
    <w:p w:rsidR="00A2523B" w:rsidRDefault="00A2523B" w:rsidP="00A2523B">
      <w:pPr>
        <w:autoSpaceDE w:val="0"/>
        <w:autoSpaceDN w:val="0"/>
        <w:adjustRightInd w:val="0"/>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C08B9" w:rsidRDefault="002C08B9" w:rsidP="005A53C1">
      <w:pPr>
        <w:autoSpaceDE w:val="0"/>
        <w:autoSpaceDN w:val="0"/>
        <w:adjustRightInd w:val="0"/>
        <w:ind w:left="720" w:hanging="630"/>
        <w:jc w:val="center"/>
        <w:rPr>
          <w:rFonts w:ascii="Book Antiqua" w:hAnsi="Book Antiqua" w:cs="Book Antiqua"/>
        </w:rPr>
      </w:pPr>
      <w:r>
        <w:rPr>
          <w:noProof/>
        </w:rPr>
        <w:drawing>
          <wp:inline distT="0" distB="0" distL="0" distR="0">
            <wp:extent cx="4763069" cy="2920621"/>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6"/>
              </a:graphicData>
            </a:graphic>
          </wp:inline>
        </w:drawing>
      </w:r>
    </w:p>
    <w:p w:rsidR="0081340E" w:rsidRPr="009C0AA3" w:rsidRDefault="003F00A5" w:rsidP="00135946">
      <w:pPr>
        <w:pStyle w:val="Caption"/>
        <w:rPr>
          <w:b w:val="0"/>
          <w:bCs w:val="0"/>
          <w:sz w:val="24"/>
          <w:szCs w:val="24"/>
        </w:rPr>
      </w:pPr>
      <w:bookmarkStart w:id="92" w:name="_Toc285478080"/>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10</w:t>
      </w:r>
      <w:r w:rsidR="00AB7C8D" w:rsidRPr="009C0AA3">
        <w:rPr>
          <w:rFonts w:eastAsia="+mn-ea"/>
          <w:b w:val="0"/>
          <w:bCs w:val="0"/>
          <w:sz w:val="24"/>
          <w:szCs w:val="24"/>
        </w:rPr>
        <w:fldChar w:fldCharType="end"/>
      </w:r>
      <w:r w:rsidRPr="009C0AA3">
        <w:rPr>
          <w:rFonts w:eastAsia="+mn-ea"/>
          <w:b w:val="0"/>
          <w:bCs w:val="0"/>
          <w:sz w:val="24"/>
          <w:szCs w:val="24"/>
        </w:rPr>
        <w:t xml:space="preserve">: </w:t>
      </w:r>
      <w:r w:rsidR="0081340E" w:rsidRPr="009C0AA3">
        <w:rPr>
          <w:b w:val="0"/>
          <w:bCs w:val="0"/>
          <w:sz w:val="24"/>
          <w:szCs w:val="24"/>
        </w:rPr>
        <w:t>Impulse responses of total government expenditure to a technology shock</w:t>
      </w:r>
      <w:bookmarkEnd w:id="92"/>
    </w:p>
    <w:p w:rsidR="007A2327" w:rsidRDefault="007A2327" w:rsidP="00A2523B">
      <w:pPr>
        <w:autoSpaceDE w:val="0"/>
        <w:autoSpaceDN w:val="0"/>
        <w:adjustRightInd w:val="0"/>
        <w:ind w:left="720" w:hanging="630"/>
        <w:jc w:val="center"/>
        <w:rPr>
          <w:rFonts w:ascii="Book Antiqua" w:hAnsi="Book Antiqua" w:cs="Book Antiqua"/>
        </w:rPr>
      </w:pPr>
    </w:p>
    <w:p w:rsidR="007A2327" w:rsidRDefault="007A2327" w:rsidP="00A2523B">
      <w:pPr>
        <w:autoSpaceDE w:val="0"/>
        <w:autoSpaceDN w:val="0"/>
        <w:adjustRightInd w:val="0"/>
        <w:ind w:left="720" w:hanging="630"/>
        <w:jc w:val="center"/>
        <w:rPr>
          <w:rFonts w:ascii="Book Antiqua" w:hAnsi="Book Antiqua" w:cs="Book Antiqua"/>
        </w:rPr>
      </w:pPr>
    </w:p>
    <w:p w:rsidR="007A2327" w:rsidRDefault="007A2327" w:rsidP="00A2523B">
      <w:pPr>
        <w:autoSpaceDE w:val="0"/>
        <w:autoSpaceDN w:val="0"/>
        <w:adjustRightInd w:val="0"/>
        <w:ind w:left="720" w:hanging="630"/>
        <w:jc w:val="center"/>
        <w:rPr>
          <w:rFonts w:ascii="Book Antiqua" w:hAnsi="Book Antiqua" w:cs="Book Antiqua"/>
        </w:rPr>
      </w:pPr>
    </w:p>
    <w:p w:rsidR="007A2327" w:rsidRDefault="00B97F56" w:rsidP="00A2523B">
      <w:pPr>
        <w:autoSpaceDE w:val="0"/>
        <w:autoSpaceDN w:val="0"/>
        <w:adjustRightInd w:val="0"/>
        <w:ind w:left="720" w:hanging="630"/>
        <w:jc w:val="center"/>
        <w:rPr>
          <w:rFonts w:ascii="Book Antiqua" w:hAnsi="Book Antiqua" w:cs="Book Antiqua"/>
        </w:rPr>
      </w:pPr>
      <w:r>
        <w:rPr>
          <w:noProof/>
        </w:rPr>
        <w:drawing>
          <wp:inline distT="0" distB="0" distL="0" distR="0">
            <wp:extent cx="4872251" cy="2825087"/>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7"/>
              </a:graphicData>
            </a:graphic>
          </wp:inline>
        </w:drawing>
      </w:r>
    </w:p>
    <w:p w:rsidR="007A2327" w:rsidRPr="0081340E" w:rsidRDefault="007A2327" w:rsidP="00A2523B">
      <w:pPr>
        <w:autoSpaceDE w:val="0"/>
        <w:autoSpaceDN w:val="0"/>
        <w:adjustRightInd w:val="0"/>
        <w:ind w:left="720" w:hanging="630"/>
        <w:jc w:val="center"/>
        <w:rPr>
          <w:sz w:val="20"/>
          <w:szCs w:val="20"/>
        </w:rPr>
      </w:pPr>
    </w:p>
    <w:p w:rsidR="007A2327" w:rsidRPr="009C0AA3" w:rsidRDefault="003F00A5" w:rsidP="00135946">
      <w:pPr>
        <w:pStyle w:val="Caption"/>
        <w:rPr>
          <w:b w:val="0"/>
          <w:bCs w:val="0"/>
          <w:sz w:val="24"/>
          <w:szCs w:val="24"/>
        </w:rPr>
      </w:pPr>
      <w:bookmarkStart w:id="93" w:name="_Toc285478081"/>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11</w:t>
      </w:r>
      <w:r w:rsidR="00AB7C8D" w:rsidRPr="009C0AA3">
        <w:rPr>
          <w:rFonts w:eastAsia="+mn-ea"/>
          <w:b w:val="0"/>
          <w:bCs w:val="0"/>
          <w:sz w:val="24"/>
          <w:szCs w:val="24"/>
        </w:rPr>
        <w:fldChar w:fldCharType="end"/>
      </w:r>
      <w:r w:rsidRPr="009C0AA3">
        <w:rPr>
          <w:rFonts w:eastAsia="+mn-ea"/>
          <w:b w:val="0"/>
          <w:bCs w:val="0"/>
          <w:sz w:val="24"/>
          <w:szCs w:val="24"/>
        </w:rPr>
        <w:t xml:space="preserve">: </w:t>
      </w:r>
      <w:r w:rsidR="0081340E" w:rsidRPr="009C0AA3">
        <w:rPr>
          <w:b w:val="0"/>
          <w:bCs w:val="0"/>
          <w:sz w:val="24"/>
          <w:szCs w:val="24"/>
        </w:rPr>
        <w:t>Impulse responses of current government expenditure to a technology shock</w:t>
      </w:r>
      <w:bookmarkEnd w:id="93"/>
    </w:p>
    <w:p w:rsidR="007A2327" w:rsidRDefault="007A2327" w:rsidP="00A2523B">
      <w:pPr>
        <w:autoSpaceDE w:val="0"/>
        <w:autoSpaceDN w:val="0"/>
        <w:adjustRightInd w:val="0"/>
        <w:ind w:left="720" w:hanging="630"/>
        <w:jc w:val="center"/>
        <w:rPr>
          <w:rFonts w:ascii="Book Antiqua" w:hAnsi="Book Antiqua" w:cs="Book Antiqua"/>
        </w:rPr>
      </w:pPr>
    </w:p>
    <w:p w:rsidR="007A2327" w:rsidRDefault="007A2327" w:rsidP="00A2523B">
      <w:pPr>
        <w:autoSpaceDE w:val="0"/>
        <w:autoSpaceDN w:val="0"/>
        <w:adjustRightInd w:val="0"/>
        <w:ind w:left="720" w:hanging="630"/>
        <w:jc w:val="center"/>
        <w:rPr>
          <w:rFonts w:ascii="Book Antiqua" w:hAnsi="Book Antiqua" w:cs="Book Antiqua"/>
        </w:rPr>
      </w:pPr>
      <w:r>
        <w:rPr>
          <w:noProof/>
        </w:rPr>
        <w:drawing>
          <wp:inline distT="0" distB="0" distL="0" distR="0">
            <wp:extent cx="4940489" cy="2838735"/>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8"/>
              </a:graphicData>
            </a:graphic>
          </wp:inline>
        </w:drawing>
      </w:r>
    </w:p>
    <w:p w:rsidR="009C7F3A" w:rsidRPr="009C0AA3" w:rsidRDefault="003F00A5" w:rsidP="00135946">
      <w:pPr>
        <w:pStyle w:val="Caption"/>
        <w:rPr>
          <w:b w:val="0"/>
          <w:bCs w:val="0"/>
          <w:sz w:val="24"/>
          <w:szCs w:val="24"/>
        </w:rPr>
      </w:pPr>
      <w:bookmarkStart w:id="94" w:name="_Toc285478082"/>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12</w:t>
      </w:r>
      <w:r w:rsidR="00AB7C8D" w:rsidRPr="009C0AA3">
        <w:rPr>
          <w:rFonts w:eastAsia="+mn-ea"/>
          <w:b w:val="0"/>
          <w:bCs w:val="0"/>
          <w:sz w:val="24"/>
          <w:szCs w:val="24"/>
        </w:rPr>
        <w:fldChar w:fldCharType="end"/>
      </w:r>
      <w:r w:rsidRPr="009C0AA3">
        <w:rPr>
          <w:rFonts w:eastAsia="+mn-ea"/>
          <w:b w:val="0"/>
          <w:bCs w:val="0"/>
          <w:sz w:val="24"/>
          <w:szCs w:val="24"/>
        </w:rPr>
        <w:t xml:space="preserve">: </w:t>
      </w:r>
      <w:r w:rsidR="009C7F3A" w:rsidRPr="009C0AA3">
        <w:rPr>
          <w:b w:val="0"/>
          <w:bCs w:val="0"/>
          <w:sz w:val="24"/>
          <w:szCs w:val="24"/>
        </w:rPr>
        <w:t>Impulse responses of output to a technology shock</w:t>
      </w:r>
      <w:bookmarkEnd w:id="94"/>
    </w:p>
    <w:p w:rsidR="003F00A5" w:rsidRPr="003F00A5" w:rsidRDefault="003F00A5" w:rsidP="003F00A5"/>
    <w:p w:rsidR="009C7F3A" w:rsidRDefault="009C7F3A" w:rsidP="009C7F3A">
      <w:pPr>
        <w:autoSpaceDE w:val="0"/>
        <w:autoSpaceDN w:val="0"/>
        <w:adjustRightInd w:val="0"/>
        <w:ind w:left="720" w:hanging="630"/>
        <w:rPr>
          <w:rFonts w:ascii="Book Antiqua" w:hAnsi="Book Antiqua" w:cs="Book Antiqua"/>
        </w:rPr>
      </w:pPr>
    </w:p>
    <w:p w:rsidR="007A2327" w:rsidRDefault="007A2327" w:rsidP="00A2523B">
      <w:pPr>
        <w:autoSpaceDE w:val="0"/>
        <w:autoSpaceDN w:val="0"/>
        <w:adjustRightInd w:val="0"/>
        <w:ind w:left="720" w:hanging="630"/>
        <w:jc w:val="center"/>
        <w:rPr>
          <w:rFonts w:ascii="Book Antiqua" w:hAnsi="Book Antiqua" w:cs="Book Antiqua"/>
        </w:rPr>
      </w:pPr>
    </w:p>
    <w:p w:rsidR="009C7F3A" w:rsidRDefault="007509A1" w:rsidP="00A2523B">
      <w:pPr>
        <w:autoSpaceDE w:val="0"/>
        <w:autoSpaceDN w:val="0"/>
        <w:adjustRightInd w:val="0"/>
        <w:ind w:left="720" w:hanging="630"/>
        <w:jc w:val="center"/>
        <w:rPr>
          <w:rFonts w:ascii="Book Antiqua" w:hAnsi="Book Antiqua" w:cs="Book Antiqua"/>
        </w:rPr>
      </w:pPr>
      <w:r>
        <w:rPr>
          <w:noProof/>
        </w:rPr>
        <w:drawing>
          <wp:inline distT="0" distB="0" distL="0" distR="0">
            <wp:extent cx="5104263" cy="3029803"/>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9"/>
              </a:graphicData>
            </a:graphic>
          </wp:inline>
        </w:drawing>
      </w:r>
    </w:p>
    <w:p w:rsidR="009C7F3A" w:rsidRPr="009C0AA3" w:rsidRDefault="003F00A5" w:rsidP="00135946">
      <w:pPr>
        <w:pStyle w:val="Caption"/>
        <w:rPr>
          <w:b w:val="0"/>
          <w:bCs w:val="0"/>
          <w:sz w:val="24"/>
          <w:szCs w:val="24"/>
        </w:rPr>
      </w:pPr>
      <w:bookmarkStart w:id="95" w:name="_Toc285478083"/>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13</w:t>
      </w:r>
      <w:r w:rsidR="00AB7C8D" w:rsidRPr="009C0AA3">
        <w:rPr>
          <w:rFonts w:eastAsia="+mn-ea"/>
          <w:b w:val="0"/>
          <w:bCs w:val="0"/>
          <w:sz w:val="24"/>
          <w:szCs w:val="24"/>
        </w:rPr>
        <w:fldChar w:fldCharType="end"/>
      </w:r>
      <w:r w:rsidRPr="009C0AA3">
        <w:rPr>
          <w:rFonts w:eastAsia="+mn-ea"/>
          <w:b w:val="0"/>
          <w:bCs w:val="0"/>
          <w:sz w:val="24"/>
          <w:szCs w:val="24"/>
        </w:rPr>
        <w:t xml:space="preserve">: </w:t>
      </w:r>
      <w:r w:rsidR="009C7F3A" w:rsidRPr="009C0AA3">
        <w:rPr>
          <w:b w:val="0"/>
          <w:bCs w:val="0"/>
          <w:sz w:val="24"/>
          <w:szCs w:val="24"/>
        </w:rPr>
        <w:t>Impulse responses of private consumption to a technology shock</w:t>
      </w:r>
      <w:bookmarkEnd w:id="95"/>
    </w:p>
    <w:p w:rsidR="009C7F3A" w:rsidRPr="009C7F3A" w:rsidRDefault="009C7F3A" w:rsidP="009C7F3A">
      <w:pPr>
        <w:autoSpaceDE w:val="0"/>
        <w:autoSpaceDN w:val="0"/>
        <w:adjustRightInd w:val="0"/>
        <w:ind w:left="720" w:hanging="630"/>
        <w:rPr>
          <w:sz w:val="20"/>
          <w:szCs w:val="20"/>
        </w:rPr>
      </w:pPr>
    </w:p>
    <w:p w:rsidR="00A2523B" w:rsidRDefault="009C7F3A" w:rsidP="00A2523B">
      <w:pPr>
        <w:autoSpaceDE w:val="0"/>
        <w:autoSpaceDN w:val="0"/>
        <w:adjustRightInd w:val="0"/>
        <w:ind w:left="720" w:hanging="630"/>
        <w:jc w:val="center"/>
        <w:rPr>
          <w:rFonts w:ascii="Book Antiqua" w:hAnsi="Book Antiqua" w:cs="Book Antiqua"/>
          <w:noProof/>
        </w:rPr>
      </w:pPr>
      <w:r>
        <w:rPr>
          <w:noProof/>
        </w:rPr>
        <w:drawing>
          <wp:inline distT="0" distB="0" distL="0" distR="0">
            <wp:extent cx="4791075" cy="309562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0"/>
              </a:graphicData>
            </a:graphic>
          </wp:inline>
        </w:drawing>
      </w:r>
    </w:p>
    <w:p w:rsidR="00A2523B" w:rsidRPr="009C0AA3" w:rsidRDefault="003F00A5" w:rsidP="00135946">
      <w:pPr>
        <w:pStyle w:val="Caption"/>
        <w:rPr>
          <w:b w:val="0"/>
          <w:bCs w:val="0"/>
          <w:noProof/>
          <w:sz w:val="24"/>
          <w:szCs w:val="24"/>
        </w:rPr>
      </w:pPr>
      <w:bookmarkStart w:id="96" w:name="_Toc285478084"/>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14</w:t>
      </w:r>
      <w:r w:rsidR="00AB7C8D" w:rsidRPr="009C0AA3">
        <w:rPr>
          <w:rFonts w:eastAsia="+mn-ea"/>
          <w:b w:val="0"/>
          <w:bCs w:val="0"/>
          <w:sz w:val="24"/>
          <w:szCs w:val="24"/>
        </w:rPr>
        <w:fldChar w:fldCharType="end"/>
      </w:r>
      <w:r w:rsidRPr="009C0AA3">
        <w:rPr>
          <w:rFonts w:eastAsia="+mn-ea"/>
          <w:b w:val="0"/>
          <w:bCs w:val="0"/>
          <w:sz w:val="24"/>
          <w:szCs w:val="24"/>
        </w:rPr>
        <w:t xml:space="preserve">: </w:t>
      </w:r>
      <w:r w:rsidR="00135946" w:rsidRPr="009C0AA3">
        <w:rPr>
          <w:b w:val="0"/>
          <w:bCs w:val="0"/>
          <w:sz w:val="24"/>
          <w:szCs w:val="24"/>
        </w:rPr>
        <w:t>Impulse</w:t>
      </w:r>
      <w:r w:rsidR="009C7F3A" w:rsidRPr="009C0AA3">
        <w:rPr>
          <w:b w:val="0"/>
          <w:bCs w:val="0"/>
          <w:sz w:val="24"/>
          <w:szCs w:val="24"/>
        </w:rPr>
        <w:t xml:space="preserve"> responses of employment to technology shock</w:t>
      </w:r>
      <w:bookmarkEnd w:id="96"/>
    </w:p>
    <w:p w:rsidR="00A2523B" w:rsidRPr="00C6021F" w:rsidRDefault="00A2523B" w:rsidP="00A2523B">
      <w:pPr>
        <w:autoSpaceDE w:val="0"/>
        <w:autoSpaceDN w:val="0"/>
        <w:adjustRightInd w:val="0"/>
        <w:ind w:left="720" w:hanging="630"/>
        <w:jc w:val="center"/>
        <w:rPr>
          <w:rFonts w:ascii="Book Antiqua" w:hAnsi="Book Antiqua" w:cs="Book Antiqua"/>
        </w:rPr>
      </w:pPr>
    </w:p>
    <w:p w:rsidR="00A2523B" w:rsidRDefault="00A2523B" w:rsidP="00A2523B">
      <w:pPr>
        <w:autoSpaceDE w:val="0"/>
        <w:autoSpaceDN w:val="0"/>
        <w:adjustRightInd w:val="0"/>
        <w:ind w:left="720" w:hanging="630"/>
        <w:jc w:val="center"/>
        <w:rPr>
          <w:rFonts w:ascii="Book Antiqua" w:hAnsi="Book Antiqua" w:cs="Book Antiqua"/>
          <w:noProof/>
        </w:rPr>
      </w:pPr>
    </w:p>
    <w:p w:rsidR="00A2523B" w:rsidRDefault="00A306C0" w:rsidP="00A2523B">
      <w:pPr>
        <w:autoSpaceDE w:val="0"/>
        <w:autoSpaceDN w:val="0"/>
        <w:adjustRightInd w:val="0"/>
        <w:ind w:left="720" w:hanging="630"/>
        <w:jc w:val="center"/>
        <w:rPr>
          <w:rFonts w:ascii="Book Antiqua" w:hAnsi="Book Antiqua" w:cs="Book Antiqua"/>
          <w:noProof/>
        </w:rPr>
      </w:pPr>
      <w:r>
        <w:rPr>
          <w:noProof/>
        </w:rPr>
        <w:drawing>
          <wp:inline distT="0" distB="0" distL="0" distR="0">
            <wp:extent cx="4762500" cy="31623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1"/>
              </a:graphicData>
            </a:graphic>
          </wp:inline>
        </w:drawing>
      </w:r>
    </w:p>
    <w:p w:rsidR="00A306C0" w:rsidRPr="009C0AA3" w:rsidRDefault="003F00A5" w:rsidP="00135946">
      <w:pPr>
        <w:pStyle w:val="Caption"/>
        <w:rPr>
          <w:b w:val="0"/>
          <w:bCs w:val="0"/>
          <w:sz w:val="24"/>
          <w:szCs w:val="24"/>
        </w:rPr>
      </w:pPr>
      <w:bookmarkStart w:id="97" w:name="_Toc285478085"/>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15</w:t>
      </w:r>
      <w:r w:rsidR="00AB7C8D" w:rsidRPr="009C0AA3">
        <w:rPr>
          <w:rFonts w:eastAsia="+mn-ea"/>
          <w:b w:val="0"/>
          <w:bCs w:val="0"/>
          <w:sz w:val="24"/>
          <w:szCs w:val="24"/>
        </w:rPr>
        <w:fldChar w:fldCharType="end"/>
      </w:r>
      <w:r w:rsidRPr="009C0AA3">
        <w:rPr>
          <w:rFonts w:eastAsia="+mn-ea"/>
          <w:b w:val="0"/>
          <w:bCs w:val="0"/>
          <w:sz w:val="24"/>
          <w:szCs w:val="24"/>
        </w:rPr>
        <w:t xml:space="preserve">: </w:t>
      </w:r>
      <w:r w:rsidR="00135946" w:rsidRPr="009C0AA3">
        <w:rPr>
          <w:b w:val="0"/>
          <w:bCs w:val="0"/>
          <w:sz w:val="24"/>
          <w:szCs w:val="24"/>
        </w:rPr>
        <w:t>Impulse</w:t>
      </w:r>
      <w:r w:rsidR="00A306C0" w:rsidRPr="009C0AA3">
        <w:rPr>
          <w:b w:val="0"/>
          <w:bCs w:val="0"/>
          <w:sz w:val="24"/>
          <w:szCs w:val="24"/>
        </w:rPr>
        <w:t xml:space="preserve"> responses of private </w:t>
      </w:r>
      <w:r w:rsidR="00135946" w:rsidRPr="009C0AA3">
        <w:rPr>
          <w:b w:val="0"/>
          <w:bCs w:val="0"/>
          <w:sz w:val="24"/>
          <w:szCs w:val="24"/>
        </w:rPr>
        <w:t>investment</w:t>
      </w:r>
      <w:r w:rsidR="00A306C0" w:rsidRPr="009C0AA3">
        <w:rPr>
          <w:b w:val="0"/>
          <w:bCs w:val="0"/>
          <w:sz w:val="24"/>
          <w:szCs w:val="24"/>
        </w:rPr>
        <w:t xml:space="preserve"> to</w:t>
      </w:r>
      <w:r w:rsidR="000A5D21" w:rsidRPr="009C0AA3">
        <w:rPr>
          <w:b w:val="0"/>
          <w:bCs w:val="0"/>
          <w:sz w:val="24"/>
          <w:szCs w:val="24"/>
        </w:rPr>
        <w:t xml:space="preserve"> a</w:t>
      </w:r>
      <w:r w:rsidR="00A306C0" w:rsidRPr="009C0AA3">
        <w:rPr>
          <w:b w:val="0"/>
          <w:bCs w:val="0"/>
          <w:sz w:val="24"/>
          <w:szCs w:val="24"/>
        </w:rPr>
        <w:t xml:space="preserve"> technology shock</w:t>
      </w:r>
      <w:bookmarkEnd w:id="97"/>
    </w:p>
    <w:p w:rsidR="00A306C0" w:rsidRDefault="00A306C0" w:rsidP="00A306C0">
      <w:pPr>
        <w:autoSpaceDE w:val="0"/>
        <w:autoSpaceDN w:val="0"/>
        <w:adjustRightInd w:val="0"/>
        <w:ind w:left="720" w:hanging="630"/>
        <w:rPr>
          <w:rFonts w:ascii="Book Antiqua" w:hAnsi="Book Antiqua" w:cs="Book Antiqua"/>
          <w:noProof/>
        </w:rPr>
      </w:pPr>
    </w:p>
    <w:p w:rsidR="00A2523B" w:rsidRDefault="00A2523B" w:rsidP="00A2523B">
      <w:pPr>
        <w:autoSpaceDE w:val="0"/>
        <w:autoSpaceDN w:val="0"/>
        <w:adjustRightInd w:val="0"/>
        <w:ind w:left="720" w:hanging="630"/>
        <w:jc w:val="center"/>
        <w:rPr>
          <w:rFonts w:ascii="Book Antiqua" w:hAnsi="Book Antiqua" w:cs="Book Antiqua"/>
          <w:noProof/>
        </w:rPr>
      </w:pPr>
    </w:p>
    <w:p w:rsidR="00A2523B" w:rsidRPr="00C6021F" w:rsidRDefault="00A2523B" w:rsidP="00A2523B">
      <w:pPr>
        <w:autoSpaceDE w:val="0"/>
        <w:autoSpaceDN w:val="0"/>
        <w:adjustRightInd w:val="0"/>
        <w:ind w:left="720" w:hanging="630"/>
        <w:jc w:val="center"/>
        <w:rPr>
          <w:rFonts w:ascii="Book Antiqua" w:hAnsi="Book Antiqua" w:cs="Book Antiqua"/>
        </w:rPr>
      </w:pPr>
    </w:p>
    <w:p w:rsidR="00A2523B" w:rsidRPr="00C6021F" w:rsidRDefault="00A2523B" w:rsidP="00A2523B">
      <w:pPr>
        <w:autoSpaceDE w:val="0"/>
        <w:autoSpaceDN w:val="0"/>
        <w:adjustRightInd w:val="0"/>
        <w:ind w:left="720" w:hanging="630"/>
        <w:rPr>
          <w:rFonts w:ascii="Book Antiqua" w:hAnsi="Book Antiqua" w:cs="Book Antiqua"/>
        </w:rPr>
      </w:pPr>
    </w:p>
    <w:p w:rsidR="000A5D21" w:rsidRDefault="00A306C0" w:rsidP="00584A3D">
      <w:pPr>
        <w:spacing w:line="480" w:lineRule="auto"/>
        <w:jc w:val="center"/>
        <w:rPr>
          <w:b/>
          <w:bCs/>
          <w:position w:val="-12"/>
          <w:sz w:val="20"/>
          <w:szCs w:val="20"/>
        </w:rPr>
      </w:pPr>
      <w:r>
        <w:rPr>
          <w:noProof/>
        </w:rPr>
        <w:drawing>
          <wp:inline distT="0" distB="0" distL="0" distR="0">
            <wp:extent cx="5036024" cy="3220872"/>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2"/>
              </a:graphicData>
            </a:graphic>
          </wp:inline>
        </w:drawing>
      </w:r>
    </w:p>
    <w:p w:rsidR="000A5D21" w:rsidRPr="009C0AA3" w:rsidRDefault="003F00A5" w:rsidP="00135946">
      <w:pPr>
        <w:pStyle w:val="Caption"/>
        <w:rPr>
          <w:b w:val="0"/>
          <w:bCs w:val="0"/>
          <w:sz w:val="24"/>
          <w:szCs w:val="24"/>
        </w:rPr>
      </w:pPr>
      <w:bookmarkStart w:id="98" w:name="_Toc285478086"/>
      <w:r w:rsidRPr="009C0AA3">
        <w:rPr>
          <w:rFonts w:eastAsia="+mn-ea"/>
          <w:b w:val="0"/>
          <w:bCs w:val="0"/>
          <w:sz w:val="24"/>
          <w:szCs w:val="24"/>
        </w:rPr>
        <w:t xml:space="preserve">Figure </w:t>
      </w:r>
      <w:r w:rsidR="00F15834">
        <w:rPr>
          <w:rFonts w:eastAsia="+mn-ea"/>
          <w:b w:val="0"/>
          <w:bCs w:val="0"/>
          <w:sz w:val="24"/>
          <w:szCs w:val="24"/>
        </w:rPr>
        <w:t>B.</w:t>
      </w:r>
      <w:r w:rsidR="00AB7C8D" w:rsidRPr="009C0AA3">
        <w:rPr>
          <w:rFonts w:eastAsia="+mn-ea"/>
          <w:b w:val="0"/>
          <w:bCs w:val="0"/>
          <w:sz w:val="24"/>
          <w:szCs w:val="24"/>
        </w:rPr>
        <w:fldChar w:fldCharType="begin"/>
      </w:r>
      <w:r w:rsidRPr="009C0AA3">
        <w:rPr>
          <w:rFonts w:eastAsia="+mn-ea"/>
          <w:b w:val="0"/>
          <w:bCs w:val="0"/>
          <w:sz w:val="24"/>
          <w:szCs w:val="24"/>
        </w:rPr>
        <w:instrText xml:space="preserve"> SEQ Figure \* ARABIC </w:instrText>
      </w:r>
      <w:r w:rsidR="00AB7C8D" w:rsidRPr="009C0AA3">
        <w:rPr>
          <w:rFonts w:eastAsia="+mn-ea"/>
          <w:b w:val="0"/>
          <w:bCs w:val="0"/>
          <w:sz w:val="24"/>
          <w:szCs w:val="24"/>
        </w:rPr>
        <w:fldChar w:fldCharType="separate"/>
      </w:r>
      <w:r w:rsidR="00531AB5">
        <w:rPr>
          <w:rFonts w:eastAsia="+mn-ea"/>
          <w:b w:val="0"/>
          <w:bCs w:val="0"/>
          <w:noProof/>
          <w:sz w:val="24"/>
          <w:szCs w:val="24"/>
        </w:rPr>
        <w:t>16</w:t>
      </w:r>
      <w:r w:rsidR="00AB7C8D" w:rsidRPr="009C0AA3">
        <w:rPr>
          <w:rFonts w:eastAsia="+mn-ea"/>
          <w:b w:val="0"/>
          <w:bCs w:val="0"/>
          <w:sz w:val="24"/>
          <w:szCs w:val="24"/>
        </w:rPr>
        <w:fldChar w:fldCharType="end"/>
      </w:r>
      <w:r w:rsidRPr="009C0AA3">
        <w:rPr>
          <w:rFonts w:eastAsia="+mn-ea"/>
          <w:b w:val="0"/>
          <w:bCs w:val="0"/>
          <w:sz w:val="24"/>
          <w:szCs w:val="24"/>
        </w:rPr>
        <w:t xml:space="preserve">: </w:t>
      </w:r>
      <w:r w:rsidR="000A5D21" w:rsidRPr="009C0AA3">
        <w:rPr>
          <w:b w:val="0"/>
          <w:bCs w:val="0"/>
          <w:sz w:val="24"/>
          <w:szCs w:val="24"/>
        </w:rPr>
        <w:t>Impulse responses of household welfare to a technology shock</w:t>
      </w:r>
      <w:bookmarkEnd w:id="98"/>
    </w:p>
    <w:p w:rsidR="00A2523B" w:rsidRDefault="00A2523B" w:rsidP="00A2523B">
      <w:pPr>
        <w:spacing w:line="480" w:lineRule="auto"/>
        <w:jc w:val="center"/>
        <w:rPr>
          <w:b/>
          <w:position w:val="-12"/>
          <w:u w:val="single"/>
        </w:rPr>
      </w:pPr>
    </w:p>
    <w:p w:rsidR="00A2523B" w:rsidRDefault="00A2523B" w:rsidP="00A2523B">
      <w:pPr>
        <w:spacing w:line="480" w:lineRule="auto"/>
        <w:jc w:val="center"/>
        <w:rPr>
          <w:b/>
          <w:position w:val="-12"/>
          <w:u w:val="single"/>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80197C" w:rsidRDefault="0080197C"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A2523B" w:rsidRDefault="00A2523B"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7460A" w:rsidRDefault="00D7460A"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7460A" w:rsidRDefault="00D7460A"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1348AA" w:rsidRPr="009D464A" w:rsidRDefault="001348AA" w:rsidP="001348AA">
      <w:pPr>
        <w:pStyle w:val="Heading1"/>
        <w:numPr>
          <w:ilvl w:val="0"/>
          <w:numId w:val="1"/>
        </w:numPr>
        <w:ind w:left="720" w:hanging="720"/>
        <w:rPr>
          <w:rFonts w:asciiTheme="majorBidi" w:hAnsiTheme="majorBidi"/>
          <w:b w:val="0"/>
          <w:bCs w:val="0"/>
          <w:color w:val="auto"/>
          <w:sz w:val="48"/>
          <w:szCs w:val="48"/>
        </w:rPr>
      </w:pPr>
      <w:bookmarkStart w:id="99" w:name="_Toc285478042"/>
      <w:r>
        <w:rPr>
          <w:rFonts w:asciiTheme="majorBidi" w:hAnsiTheme="majorBidi"/>
          <w:b w:val="0"/>
          <w:bCs w:val="0"/>
          <w:color w:val="auto"/>
          <w:sz w:val="48"/>
          <w:szCs w:val="48"/>
        </w:rPr>
        <w:t>Technical Notes</w:t>
      </w:r>
      <w:bookmarkEnd w:id="99"/>
      <w:r>
        <w:rPr>
          <w:rFonts w:asciiTheme="majorBidi" w:hAnsiTheme="majorBidi"/>
          <w:b w:val="0"/>
          <w:bCs w:val="0"/>
          <w:color w:val="auto"/>
          <w:sz w:val="48"/>
          <w:szCs w:val="48"/>
        </w:rPr>
        <w:t xml:space="preserve"> </w:t>
      </w:r>
    </w:p>
    <w:p w:rsidR="00D7460A" w:rsidRDefault="00D7460A"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7460A" w:rsidRDefault="00D7460A"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7460A" w:rsidRDefault="00D7460A"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7460A" w:rsidRDefault="00D7460A"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610C59" w:rsidRDefault="00610C59"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3282F" w:rsidRDefault="00D3282F"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285D27" w:rsidRDefault="00285D27"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9D464A" w:rsidRDefault="00D7460A" w:rsidP="00D7460A">
      <w:pPr>
        <w:pStyle w:val="Heading1"/>
        <w:rPr>
          <w:rFonts w:asciiTheme="majorBidi" w:hAnsiTheme="majorBidi"/>
          <w:b w:val="0"/>
          <w:bCs w:val="0"/>
          <w:color w:val="auto"/>
          <w:sz w:val="48"/>
          <w:szCs w:val="48"/>
        </w:rPr>
      </w:pPr>
      <w:bookmarkStart w:id="100" w:name="_Toc285478043"/>
      <w:r>
        <w:rPr>
          <w:rFonts w:asciiTheme="majorBidi" w:hAnsiTheme="majorBidi"/>
          <w:b w:val="0"/>
          <w:bCs w:val="0"/>
          <w:color w:val="auto"/>
          <w:sz w:val="48"/>
          <w:szCs w:val="48"/>
        </w:rPr>
        <w:t xml:space="preserve">C.1 </w:t>
      </w:r>
      <w:r w:rsidR="00610C59">
        <w:rPr>
          <w:rFonts w:asciiTheme="majorBidi" w:hAnsiTheme="majorBidi"/>
          <w:b w:val="0"/>
          <w:bCs w:val="0"/>
          <w:color w:val="auto"/>
          <w:sz w:val="48"/>
          <w:szCs w:val="48"/>
        </w:rPr>
        <w:t>S</w:t>
      </w:r>
      <w:r w:rsidR="009D464A">
        <w:rPr>
          <w:rFonts w:asciiTheme="majorBidi" w:hAnsiTheme="majorBidi"/>
          <w:b w:val="0"/>
          <w:bCs w:val="0"/>
          <w:color w:val="auto"/>
          <w:sz w:val="48"/>
          <w:szCs w:val="48"/>
        </w:rPr>
        <w:t>olutions of the Dynamic Model in Essay</w:t>
      </w:r>
      <w:r w:rsidR="00D062E2">
        <w:rPr>
          <w:rFonts w:asciiTheme="majorBidi" w:hAnsiTheme="majorBidi"/>
          <w:b w:val="0"/>
          <w:bCs w:val="0"/>
          <w:color w:val="auto"/>
          <w:sz w:val="48"/>
          <w:szCs w:val="48"/>
        </w:rPr>
        <w:t xml:space="preserve"> </w:t>
      </w:r>
      <w:r w:rsidR="009D464A">
        <w:rPr>
          <w:rFonts w:asciiTheme="majorBidi" w:hAnsiTheme="majorBidi"/>
          <w:b w:val="0"/>
          <w:bCs w:val="0"/>
          <w:color w:val="auto"/>
          <w:sz w:val="48"/>
          <w:szCs w:val="48"/>
        </w:rPr>
        <w:t>1</w:t>
      </w:r>
      <w:bookmarkEnd w:id="100"/>
      <w:r w:rsidR="009D464A">
        <w:rPr>
          <w:rFonts w:asciiTheme="majorBidi" w:hAnsiTheme="majorBidi"/>
          <w:b w:val="0"/>
          <w:bCs w:val="0"/>
          <w:color w:val="auto"/>
          <w:sz w:val="48"/>
          <w:szCs w:val="48"/>
        </w:rPr>
        <w:t xml:space="preserve"> </w:t>
      </w:r>
    </w:p>
    <w:p w:rsidR="00C94108" w:rsidRDefault="00C9410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C94108" w:rsidRDefault="00C9410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D062E2" w:rsidRPr="00161F1F" w:rsidRDefault="00D062E2" w:rsidP="00601569">
      <w:pPr>
        <w:spacing w:line="480" w:lineRule="auto"/>
        <w:ind w:firstLine="720"/>
      </w:pPr>
      <w:r w:rsidRPr="00161F1F">
        <w:t xml:space="preserve"> To study the dynamic effects of external shocks we log-</w:t>
      </w:r>
      <w:proofErr w:type="spellStart"/>
      <w:r w:rsidRPr="00161F1F">
        <w:t>linearize</w:t>
      </w:r>
      <w:proofErr w:type="spellEnd"/>
      <w:r w:rsidRPr="00161F1F">
        <w:t xml:space="preserve"> the model around the initial steady state. The full dynamic model is, thus, expressed in terms of percentage deviations from the steady state values. In particular, a variable </w:t>
      </w:r>
      <m:oMath>
        <m:sSub>
          <m:sSubPr>
            <m:ctrlPr>
              <w:rPr>
                <w:rFonts w:ascii="Cambria Math" w:hAnsi="Cambria Math"/>
              </w:rPr>
            </m:ctrlPr>
          </m:sSubPr>
          <m:e>
            <m:r>
              <w:rPr>
                <w:rFonts w:ascii="Cambria Math" w:hAnsi="Cambria Math"/>
              </w:rPr>
              <m:t>x</m:t>
            </m:r>
          </m:e>
          <m:sub>
            <m:r>
              <w:rPr>
                <w:rFonts w:ascii="Cambria Math" w:hAnsi="Cambria Math"/>
              </w:rPr>
              <m:t>t</m:t>
            </m:r>
          </m:sub>
        </m:sSub>
      </m:oMath>
      <w:r w:rsidRPr="00161F1F">
        <w:t xml:space="preserve"> with stea</w:t>
      </w:r>
      <w:proofErr w:type="spellStart"/>
      <w:r w:rsidRPr="00161F1F">
        <w:t>dy</w:t>
      </w:r>
      <w:proofErr w:type="spellEnd"/>
      <w:r w:rsidRPr="00161F1F">
        <w:t xml:space="preserve"> state value </w:t>
      </w:r>
      <m:oMath>
        <m:acc>
          <m:accPr>
            <m:chr m:val="̅"/>
            <m:ctrlPr>
              <w:rPr>
                <w:rFonts w:ascii="Cambria Math" w:hAnsi="Cambria Math"/>
              </w:rPr>
            </m:ctrlPr>
          </m:accPr>
          <m:e>
            <m:r>
              <w:rPr>
                <w:rFonts w:ascii="Cambria Math" w:hAnsi="Cambria Math"/>
              </w:rPr>
              <m:t>x</m:t>
            </m:r>
          </m:e>
        </m:acc>
      </m:oMath>
      <w:r w:rsidRPr="00161F1F">
        <w:t xml:space="preserve"> is expressed as</w:t>
      </w:r>
      <w:r w:rsidR="00601569" w:rsidRPr="00601569">
        <w:rPr>
          <w:position w:val="-6"/>
        </w:rPr>
        <w:object w:dxaOrig="180" w:dyaOrig="240">
          <v:shape id="_x0000_i1591" type="#_x0000_t75" style="width:9.2pt;height:13.4pt" o:ole="">
            <v:imagedata r:id="rId1063" o:title=""/>
          </v:shape>
          <o:OLEObject Type="Embed" ProgID="Equation.DSMT4" ShapeID="_x0000_i1591" DrawAspect="Content" ObjectID="_1359267514" r:id="rId1064"/>
        </w:object>
      </w:r>
      <w:r w:rsidRPr="00161F1F">
        <w:t xml:space="preserve"> where</w:t>
      </w:r>
      <w:r w:rsidR="00601569" w:rsidRPr="000A3457">
        <w:rPr>
          <w:position w:val="-10"/>
        </w:rPr>
        <w:object w:dxaOrig="1680" w:dyaOrig="300">
          <v:shape id="_x0000_i1592" type="#_x0000_t75" style="width:80.35pt;height:16.75pt" o:ole="">
            <v:imagedata r:id="rId1065" o:title=""/>
          </v:shape>
          <o:OLEObject Type="Embed" ProgID="Equation.DSMT4" ShapeID="_x0000_i1592" DrawAspect="Content" ObjectID="_1359267515" r:id="rId1066"/>
        </w:object>
      </w:r>
      <w:r w:rsidRPr="00161F1F">
        <w:t>.  However, as trade balance and current account may take negative values we employ simple lineari</w:t>
      </w:r>
      <w:r w:rsidR="00CA7FCE">
        <w:t>zation for these two variables</w:t>
      </w:r>
      <w:proofErr w:type="gramStart"/>
      <w:r w:rsidR="00CA7FCE">
        <w:t>:</w:t>
      </w:r>
      <w:r w:rsidR="00601569" w:rsidRPr="000A3457">
        <w:rPr>
          <w:position w:val="-10"/>
        </w:rPr>
        <w:object w:dxaOrig="900" w:dyaOrig="300">
          <v:shape id="_x0000_i1593" type="#_x0000_t75" style="width:42.7pt;height:16.75pt" o:ole="">
            <v:imagedata r:id="rId1067" o:title=""/>
          </v:shape>
          <o:OLEObject Type="Embed" ProgID="Equation.DSMT4" ShapeID="_x0000_i1593" DrawAspect="Content" ObjectID="_1359267516" r:id="rId1068"/>
        </w:object>
      </w:r>
      <w:r w:rsidRPr="00161F1F">
        <w:t xml:space="preserve"> .</w:t>
      </w:r>
      <w:proofErr w:type="gramEnd"/>
      <w:r w:rsidRPr="00161F1F">
        <w:t xml:space="preserve"> This is a very standard approach in the literature. For details see Campbell (1994).</w:t>
      </w:r>
    </w:p>
    <w:p w:rsidR="00D062E2" w:rsidRPr="00D062E2" w:rsidRDefault="00D062E2" w:rsidP="00BC3E14">
      <w:pPr>
        <w:spacing w:line="480" w:lineRule="auto"/>
        <w:ind w:firstLine="720"/>
      </w:pPr>
      <w:r w:rsidRPr="00D062E2">
        <w:t>There are 16 equations in our model that control the dynamics of the economy. These are numbered as equations (</w:t>
      </w:r>
      <w:r w:rsidR="00604586">
        <w:t>1.</w:t>
      </w:r>
      <w:r w:rsidRPr="00D062E2">
        <w:t>4)-(</w:t>
      </w:r>
      <w:r w:rsidR="00604586">
        <w:t>1.</w:t>
      </w:r>
      <w:r w:rsidRPr="00D062E2">
        <w:t>11), (</w:t>
      </w:r>
      <w:r w:rsidR="00604586">
        <w:t>1.</w:t>
      </w:r>
      <w:r w:rsidRPr="00D062E2">
        <w:t>13)-(</w:t>
      </w:r>
      <w:r w:rsidR="00604586">
        <w:t>1.</w:t>
      </w:r>
      <w:r w:rsidRPr="00D062E2">
        <w:t xml:space="preserve">18) in the main text along with two equations defining trade and current accounts (not numbered). We </w:t>
      </w:r>
      <w:proofErr w:type="spellStart"/>
      <w:r w:rsidRPr="00D062E2">
        <w:t>linearize</w:t>
      </w:r>
      <w:proofErr w:type="spellEnd"/>
      <w:r w:rsidRPr="00D062E2">
        <w:t xml:space="preserve"> them one by one. Accordingly we rewrite the linearized version of the model </w:t>
      </w:r>
    </w:p>
    <w:p w:rsidR="00D062E2" w:rsidRPr="003C34D1" w:rsidRDefault="00D062E2" w:rsidP="003C34D1">
      <w:pPr>
        <w:spacing w:line="480" w:lineRule="auto"/>
        <w:rPr>
          <w:rFonts w:eastAsiaTheme="minorHAnsi"/>
          <w:position w:val="-24"/>
        </w:rPr>
      </w:pPr>
      <w:r w:rsidRPr="003C34D1">
        <w:rPr>
          <w:rFonts w:eastAsiaTheme="minorHAnsi"/>
          <w:position w:val="-24"/>
        </w:rPr>
        <w:object w:dxaOrig="4120" w:dyaOrig="540">
          <v:shape id="_x0000_i1594" type="#_x0000_t75" style="width:206.8pt;height:25.1pt" o:ole="">
            <v:imagedata r:id="rId1069" o:title=""/>
          </v:shape>
          <o:OLEObject Type="Embed" ProgID="Equation.DSMT4" ShapeID="_x0000_i1594" DrawAspect="Content" ObjectID="_1359267517" r:id="rId1070"/>
        </w:object>
      </w:r>
      <w:r w:rsidRPr="003C34D1">
        <w:rPr>
          <w:rFonts w:eastAsiaTheme="minorHAnsi"/>
          <w:position w:val="-24"/>
        </w:rPr>
        <w:t xml:space="preserve"> </w:t>
      </w:r>
      <w:r w:rsidR="00BC3E14" w:rsidRPr="003C34D1">
        <w:rPr>
          <w:rFonts w:eastAsiaTheme="minorHAnsi"/>
          <w:position w:val="-24"/>
        </w:rPr>
        <w:t xml:space="preserve">        </w:t>
      </w:r>
      <w:r w:rsid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604586" w:rsidRPr="003C34D1">
        <w:rPr>
          <w:rFonts w:eastAsiaTheme="minorHAnsi"/>
          <w:position w:val="-24"/>
        </w:rPr>
        <w:t xml:space="preserve">            </w:t>
      </w:r>
      <w:r w:rsidRPr="003C34D1">
        <w:rPr>
          <w:rFonts w:eastAsiaTheme="minorHAnsi"/>
          <w:position w:val="-24"/>
        </w:rPr>
        <w:t>(A.</w:t>
      </w:r>
      <w:r w:rsidR="00604586" w:rsidRPr="003C34D1">
        <w:rPr>
          <w:rFonts w:eastAsiaTheme="minorHAnsi"/>
          <w:position w:val="-24"/>
        </w:rPr>
        <w:t>1.</w:t>
      </w:r>
      <w:r w:rsidRPr="003C34D1">
        <w:rPr>
          <w:rFonts w:eastAsiaTheme="minorHAnsi"/>
          <w:position w:val="-24"/>
        </w:rPr>
        <w:t>4)</w:t>
      </w:r>
    </w:p>
    <w:p w:rsidR="00D062E2" w:rsidRPr="003C34D1" w:rsidRDefault="00D062E2" w:rsidP="003C34D1">
      <w:pPr>
        <w:spacing w:line="480" w:lineRule="auto"/>
        <w:rPr>
          <w:rFonts w:eastAsiaTheme="minorHAnsi"/>
          <w:position w:val="-24"/>
        </w:rPr>
      </w:pPr>
      <w:r w:rsidRPr="003C34D1">
        <w:rPr>
          <w:rFonts w:eastAsiaTheme="minorHAnsi"/>
          <w:position w:val="-24"/>
        </w:rPr>
        <w:object w:dxaOrig="2020" w:dyaOrig="340">
          <v:shape id="_x0000_i1595" type="#_x0000_t75" style="width:102.15pt;height:17.6pt" o:ole="">
            <v:imagedata r:id="rId1071" o:title=""/>
          </v:shape>
          <o:OLEObject Type="Embed" ProgID="Equation.DSMT4" ShapeID="_x0000_i1595" DrawAspect="Content" ObjectID="_1359267518" r:id="rId1072"/>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604586" w:rsidRPr="003C34D1">
        <w:rPr>
          <w:rFonts w:eastAsiaTheme="minorHAnsi"/>
          <w:position w:val="-24"/>
        </w:rPr>
        <w:t xml:space="preserve"> </w:t>
      </w:r>
      <w:r w:rsidR="003C34D1">
        <w:rPr>
          <w:rFonts w:eastAsiaTheme="minorHAnsi"/>
          <w:position w:val="-24"/>
        </w:rPr>
        <w:t xml:space="preserve">              </w:t>
      </w:r>
      <w:r w:rsidRPr="003C34D1">
        <w:rPr>
          <w:rFonts w:eastAsiaTheme="minorHAnsi"/>
          <w:position w:val="-24"/>
        </w:rPr>
        <w:t>(A.</w:t>
      </w:r>
      <w:r w:rsidR="00604586" w:rsidRPr="003C34D1">
        <w:rPr>
          <w:rFonts w:eastAsiaTheme="minorHAnsi"/>
          <w:position w:val="-24"/>
        </w:rPr>
        <w:t>1.</w:t>
      </w:r>
      <w:r w:rsidRPr="003C34D1">
        <w:rPr>
          <w:rFonts w:eastAsiaTheme="minorHAnsi"/>
          <w:position w:val="-24"/>
        </w:rPr>
        <w:t>5)</w:t>
      </w:r>
    </w:p>
    <w:p w:rsidR="00D062E2" w:rsidRPr="003C34D1" w:rsidRDefault="00D062E2" w:rsidP="006A3EF5">
      <w:pPr>
        <w:spacing w:line="480" w:lineRule="auto"/>
        <w:rPr>
          <w:rFonts w:eastAsiaTheme="minorHAnsi"/>
          <w:position w:val="-24"/>
        </w:rPr>
      </w:pPr>
      <w:r w:rsidRPr="003C34D1">
        <w:rPr>
          <w:rFonts w:eastAsiaTheme="minorHAnsi"/>
          <w:position w:val="-24"/>
        </w:rPr>
        <w:object w:dxaOrig="2339" w:dyaOrig="340">
          <v:shape id="_x0000_i1596" type="#_x0000_t75" style="width:118.9pt;height:17.6pt" o:ole="">
            <v:imagedata r:id="rId1073" o:title=""/>
          </v:shape>
          <o:OLEObject Type="Embed" ProgID="Equation.DSMT4" ShapeID="_x0000_i1596" DrawAspect="Content" ObjectID="_1359267519" r:id="rId1074"/>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6A3EF5">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604586" w:rsidRPr="003C34D1">
        <w:rPr>
          <w:rFonts w:eastAsiaTheme="minorHAnsi"/>
          <w:position w:val="-24"/>
        </w:rPr>
        <w:t xml:space="preserve">   </w:t>
      </w:r>
      <w:r w:rsidR="003C34D1">
        <w:rPr>
          <w:rFonts w:eastAsiaTheme="minorHAnsi"/>
          <w:position w:val="-24"/>
        </w:rPr>
        <w:t xml:space="preserve">            </w:t>
      </w:r>
      <w:r w:rsidR="00604586" w:rsidRPr="003C34D1">
        <w:rPr>
          <w:rFonts w:eastAsiaTheme="minorHAnsi"/>
          <w:position w:val="-24"/>
        </w:rPr>
        <w:t xml:space="preserve">  </w:t>
      </w:r>
      <w:r w:rsidRPr="003C34D1">
        <w:rPr>
          <w:rFonts w:eastAsiaTheme="minorHAnsi"/>
          <w:position w:val="-24"/>
        </w:rPr>
        <w:t xml:space="preserve"> (A.</w:t>
      </w:r>
      <w:r w:rsidR="00604586" w:rsidRPr="003C34D1">
        <w:rPr>
          <w:rFonts w:eastAsiaTheme="minorHAnsi"/>
          <w:position w:val="-24"/>
        </w:rPr>
        <w:t>1.</w:t>
      </w:r>
      <w:r w:rsidRPr="003C34D1">
        <w:rPr>
          <w:rFonts w:eastAsiaTheme="minorHAnsi"/>
          <w:position w:val="-24"/>
        </w:rPr>
        <w:t>6)</w:t>
      </w:r>
    </w:p>
    <w:p w:rsidR="00D062E2" w:rsidRPr="003C34D1" w:rsidRDefault="00D062E2" w:rsidP="003C34D1">
      <w:pPr>
        <w:spacing w:line="480" w:lineRule="auto"/>
        <w:rPr>
          <w:rFonts w:eastAsiaTheme="minorHAnsi"/>
          <w:position w:val="-24"/>
        </w:rPr>
      </w:pPr>
      <w:r w:rsidRPr="003C34D1">
        <w:rPr>
          <w:rFonts w:eastAsiaTheme="minorHAnsi"/>
          <w:position w:val="-24"/>
        </w:rPr>
        <w:object w:dxaOrig="1179" w:dyaOrig="340">
          <v:shape id="_x0000_i1597" type="#_x0000_t75" style="width:62.8pt;height:17.6pt" o:ole="">
            <v:imagedata r:id="rId1075" o:title=""/>
          </v:shape>
          <o:OLEObject Type="Embed" ProgID="Equation.DSMT4" ShapeID="_x0000_i1597" DrawAspect="Content" ObjectID="_1359267520" r:id="rId1076"/>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3C34D1">
        <w:rPr>
          <w:rFonts w:eastAsiaTheme="minorHAnsi"/>
          <w:position w:val="-24"/>
        </w:rPr>
        <w:t xml:space="preserve">            </w:t>
      </w:r>
      <w:r w:rsidRPr="003C34D1">
        <w:rPr>
          <w:rFonts w:eastAsiaTheme="minorHAnsi"/>
          <w:position w:val="-24"/>
        </w:rPr>
        <w:t xml:space="preserve">  (A</w:t>
      </w:r>
      <w:r w:rsidR="00604586" w:rsidRPr="003C34D1">
        <w:rPr>
          <w:rFonts w:eastAsiaTheme="minorHAnsi"/>
          <w:position w:val="-24"/>
        </w:rPr>
        <w:t>.1</w:t>
      </w:r>
      <w:r w:rsidRPr="003C34D1">
        <w:rPr>
          <w:rFonts w:eastAsiaTheme="minorHAnsi"/>
          <w:position w:val="-24"/>
        </w:rPr>
        <w:t>.7)</w:t>
      </w:r>
    </w:p>
    <w:p w:rsidR="00D062E2" w:rsidRPr="003C34D1" w:rsidRDefault="00D062E2" w:rsidP="003C34D1">
      <w:pPr>
        <w:spacing w:line="480" w:lineRule="auto"/>
        <w:rPr>
          <w:rFonts w:eastAsiaTheme="minorHAnsi"/>
          <w:position w:val="-24"/>
        </w:rPr>
      </w:pPr>
      <w:r w:rsidRPr="003C34D1">
        <w:rPr>
          <w:rFonts w:eastAsiaTheme="minorHAnsi"/>
          <w:position w:val="-24"/>
        </w:rPr>
        <w:object w:dxaOrig="2500" w:dyaOrig="360">
          <v:shape id="_x0000_i1598" type="#_x0000_t75" style="width:127.25pt;height:17.6pt" o:ole="">
            <v:imagedata r:id="rId1077" o:title=""/>
          </v:shape>
          <o:OLEObject Type="Embed" ProgID="Equation.DSMT4" ShapeID="_x0000_i1598" DrawAspect="Content" ObjectID="_1359267521" r:id="rId1078"/>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3C34D1">
        <w:rPr>
          <w:rFonts w:eastAsiaTheme="minorHAnsi"/>
          <w:position w:val="-24"/>
        </w:rPr>
        <w:t xml:space="preserve">            </w:t>
      </w:r>
      <w:r w:rsidRPr="003C34D1">
        <w:rPr>
          <w:rFonts w:eastAsiaTheme="minorHAnsi"/>
          <w:position w:val="-24"/>
        </w:rPr>
        <w:t xml:space="preserve">  (A</w:t>
      </w:r>
      <w:r w:rsidR="00604586" w:rsidRPr="003C34D1">
        <w:rPr>
          <w:rFonts w:eastAsiaTheme="minorHAnsi"/>
          <w:position w:val="-24"/>
        </w:rPr>
        <w:t>.1</w:t>
      </w:r>
      <w:r w:rsidRPr="003C34D1">
        <w:rPr>
          <w:rFonts w:eastAsiaTheme="minorHAnsi"/>
          <w:position w:val="-24"/>
        </w:rPr>
        <w:t>.8)</w:t>
      </w:r>
    </w:p>
    <w:p w:rsidR="00D062E2" w:rsidRPr="003C34D1" w:rsidRDefault="00D062E2" w:rsidP="003C34D1">
      <w:pPr>
        <w:spacing w:line="480" w:lineRule="auto"/>
        <w:rPr>
          <w:rFonts w:eastAsiaTheme="minorHAnsi"/>
          <w:position w:val="-24"/>
        </w:rPr>
      </w:pPr>
      <w:r w:rsidRPr="003C34D1">
        <w:rPr>
          <w:rFonts w:eastAsiaTheme="minorHAnsi"/>
          <w:position w:val="-24"/>
        </w:rPr>
        <w:object w:dxaOrig="1040" w:dyaOrig="340">
          <v:shape id="_x0000_i1599" type="#_x0000_t75" style="width:54.4pt;height:17.6pt" o:ole="">
            <v:imagedata r:id="rId1079" o:title=""/>
          </v:shape>
          <o:OLEObject Type="Embed" ProgID="Equation.DSMT4" ShapeID="_x0000_i1599" DrawAspect="Content" ObjectID="_1359267522" r:id="rId1080"/>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604586" w:rsidRPr="003C34D1">
        <w:rPr>
          <w:rFonts w:eastAsiaTheme="minorHAnsi"/>
          <w:position w:val="-24"/>
        </w:rPr>
        <w:t xml:space="preserve">    </w:t>
      </w:r>
      <w:r w:rsidR="003C34D1">
        <w:rPr>
          <w:rFonts w:eastAsiaTheme="minorHAnsi"/>
          <w:position w:val="-24"/>
        </w:rPr>
        <w:t xml:space="preserve">             </w:t>
      </w:r>
      <w:r w:rsidRPr="003C34D1">
        <w:rPr>
          <w:rFonts w:eastAsiaTheme="minorHAnsi"/>
          <w:position w:val="-24"/>
        </w:rPr>
        <w:t xml:space="preserve"> (A</w:t>
      </w:r>
      <w:r w:rsidR="00604586" w:rsidRPr="003C34D1">
        <w:rPr>
          <w:rFonts w:eastAsiaTheme="minorHAnsi"/>
          <w:position w:val="-24"/>
        </w:rPr>
        <w:t>.1</w:t>
      </w:r>
      <w:r w:rsidRPr="003C34D1">
        <w:rPr>
          <w:rFonts w:eastAsiaTheme="minorHAnsi"/>
          <w:position w:val="-24"/>
        </w:rPr>
        <w:t>.9)</w:t>
      </w:r>
    </w:p>
    <w:p w:rsidR="00D062E2" w:rsidRPr="003C34D1" w:rsidRDefault="00D062E2" w:rsidP="003C34D1">
      <w:pPr>
        <w:spacing w:line="480" w:lineRule="auto"/>
        <w:rPr>
          <w:rFonts w:eastAsiaTheme="minorHAnsi"/>
          <w:position w:val="-24"/>
        </w:rPr>
      </w:pPr>
      <w:r w:rsidRPr="003C34D1">
        <w:rPr>
          <w:rFonts w:eastAsiaTheme="minorHAnsi"/>
          <w:position w:val="-24"/>
        </w:rPr>
        <w:object w:dxaOrig="2780" w:dyaOrig="360">
          <v:shape id="_x0000_i1600" type="#_x0000_t75" style="width:141.5pt;height:17.6pt" o:ole="">
            <v:imagedata r:id="rId1081" o:title=""/>
          </v:shape>
          <o:OLEObject Type="Embed" ProgID="Equation.DSMT4" ShapeID="_x0000_i1600" DrawAspect="Content" ObjectID="_1359267523" r:id="rId1082"/>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3C34D1">
        <w:rPr>
          <w:rFonts w:eastAsiaTheme="minorHAnsi"/>
          <w:position w:val="-24"/>
        </w:rPr>
        <w:t xml:space="preserve">            </w:t>
      </w:r>
      <w:r w:rsidR="00604586" w:rsidRPr="003C34D1">
        <w:rPr>
          <w:rFonts w:eastAsiaTheme="minorHAnsi"/>
          <w:position w:val="-24"/>
        </w:rPr>
        <w:t xml:space="preserve"> </w:t>
      </w:r>
      <w:r w:rsidRPr="003C34D1">
        <w:rPr>
          <w:rFonts w:eastAsiaTheme="minorHAnsi"/>
          <w:position w:val="-24"/>
        </w:rPr>
        <w:t xml:space="preserve">    (A.</w:t>
      </w:r>
      <w:r w:rsidR="00604586" w:rsidRPr="003C34D1">
        <w:rPr>
          <w:rFonts w:eastAsiaTheme="minorHAnsi"/>
          <w:position w:val="-24"/>
        </w:rPr>
        <w:t>1.</w:t>
      </w:r>
      <w:r w:rsidRPr="003C34D1">
        <w:rPr>
          <w:rFonts w:eastAsiaTheme="minorHAnsi"/>
          <w:position w:val="-24"/>
        </w:rPr>
        <w:t>10)</w:t>
      </w:r>
    </w:p>
    <w:p w:rsidR="00D062E2" w:rsidRPr="003C34D1" w:rsidRDefault="00D062E2" w:rsidP="003C34D1">
      <w:pPr>
        <w:spacing w:line="480" w:lineRule="auto"/>
        <w:jc w:val="right"/>
        <w:rPr>
          <w:rFonts w:eastAsiaTheme="minorHAnsi"/>
          <w:position w:val="-24"/>
        </w:rPr>
      </w:pPr>
      <w:r w:rsidRPr="003C34D1">
        <w:rPr>
          <w:rFonts w:eastAsiaTheme="minorHAnsi"/>
          <w:position w:val="-24"/>
        </w:rPr>
        <w:object w:dxaOrig="1179" w:dyaOrig="320">
          <v:shape id="_x0000_i1601" type="#_x0000_t75" style="width:62.8pt;height:15.9pt" o:ole="">
            <v:imagedata r:id="rId1083" o:title=""/>
          </v:shape>
          <o:OLEObject Type="Embed" ProgID="Equation.DSMT4" ShapeID="_x0000_i1601" DrawAspect="Content" ObjectID="_1359267524" r:id="rId1084"/>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3C34D1">
        <w:rPr>
          <w:rFonts w:eastAsiaTheme="minorHAnsi"/>
          <w:position w:val="-24"/>
        </w:rPr>
        <w:t xml:space="preserve">              </w:t>
      </w:r>
      <w:r w:rsidRPr="003C34D1">
        <w:rPr>
          <w:rFonts w:eastAsiaTheme="minorHAnsi"/>
          <w:position w:val="-24"/>
        </w:rPr>
        <w:t xml:space="preserve">     (A</w:t>
      </w:r>
      <w:r w:rsidR="00604586" w:rsidRPr="003C34D1">
        <w:rPr>
          <w:rFonts w:eastAsiaTheme="minorHAnsi"/>
          <w:position w:val="-24"/>
        </w:rPr>
        <w:t>1</w:t>
      </w:r>
      <w:r w:rsidRPr="003C34D1">
        <w:rPr>
          <w:rFonts w:eastAsiaTheme="minorHAnsi"/>
          <w:position w:val="-24"/>
        </w:rPr>
        <w:t xml:space="preserve">.11) </w:t>
      </w:r>
      <w:r w:rsidRPr="003C34D1">
        <w:rPr>
          <w:rFonts w:eastAsiaTheme="minorHAnsi"/>
          <w:position w:val="-24"/>
        </w:rPr>
        <w:object w:dxaOrig="9160" w:dyaOrig="420">
          <v:shape id="_x0000_i1602" type="#_x0000_t75" style="width:456.3pt;height:22.6pt" o:ole="">
            <v:imagedata r:id="rId1085" o:title=""/>
          </v:shape>
          <o:OLEObject Type="Embed" ProgID="Equation.DSMT4" ShapeID="_x0000_i1602" DrawAspect="Content" ObjectID="_1359267525" r:id="rId1086"/>
        </w:object>
      </w:r>
      <w:r w:rsidR="001D7DE8" w:rsidRPr="003C34D1">
        <w:rPr>
          <w:rFonts w:eastAsiaTheme="minorHAnsi"/>
          <w:position w:val="-24"/>
        </w:rPr>
        <w:tab/>
      </w:r>
      <w:r w:rsidR="001D7DE8" w:rsidRPr="003C34D1">
        <w:rPr>
          <w:rFonts w:eastAsiaTheme="minorHAnsi"/>
          <w:position w:val="-24"/>
        </w:rPr>
        <w:tab/>
      </w:r>
      <w:r w:rsidR="001D7DE8" w:rsidRPr="003C34D1">
        <w:rPr>
          <w:rFonts w:eastAsiaTheme="minorHAnsi"/>
          <w:position w:val="-24"/>
        </w:rPr>
        <w:tab/>
      </w:r>
      <w:r w:rsidR="001D7DE8" w:rsidRPr="003C34D1">
        <w:rPr>
          <w:rFonts w:eastAsiaTheme="minorHAnsi"/>
          <w:position w:val="-24"/>
        </w:rPr>
        <w:tab/>
      </w:r>
      <w:r w:rsidR="001D7DE8" w:rsidRPr="003C34D1">
        <w:rPr>
          <w:rFonts w:eastAsiaTheme="minorHAnsi"/>
          <w:position w:val="-24"/>
        </w:rPr>
        <w:tab/>
      </w:r>
      <w:r w:rsidR="001D7DE8" w:rsidRPr="003C34D1">
        <w:rPr>
          <w:rFonts w:eastAsiaTheme="minorHAnsi"/>
          <w:position w:val="-24"/>
        </w:rPr>
        <w:tab/>
      </w:r>
      <w:r w:rsidR="001D7DE8" w:rsidRPr="003C34D1">
        <w:rPr>
          <w:rFonts w:eastAsiaTheme="minorHAnsi"/>
          <w:position w:val="-24"/>
        </w:rPr>
        <w:tab/>
      </w:r>
      <w:r w:rsidR="001D7DE8" w:rsidRPr="003C34D1">
        <w:rPr>
          <w:rFonts w:eastAsiaTheme="minorHAnsi"/>
          <w:position w:val="-24"/>
        </w:rPr>
        <w:tab/>
      </w:r>
      <w:r w:rsidRPr="003C34D1">
        <w:rPr>
          <w:rFonts w:eastAsiaTheme="minorHAnsi"/>
          <w:position w:val="-24"/>
        </w:rPr>
        <w:tab/>
      </w:r>
      <w:r w:rsidRPr="003C34D1">
        <w:rPr>
          <w:rFonts w:eastAsiaTheme="minorHAnsi"/>
          <w:position w:val="-24"/>
        </w:rPr>
        <w:tab/>
        <w:t>(A</w:t>
      </w:r>
      <w:r w:rsidR="001D7DE8" w:rsidRPr="003C34D1">
        <w:rPr>
          <w:rFonts w:eastAsiaTheme="minorHAnsi"/>
          <w:position w:val="-24"/>
        </w:rPr>
        <w:t>.1</w:t>
      </w:r>
      <w:r w:rsidRPr="003C34D1">
        <w:rPr>
          <w:rFonts w:eastAsiaTheme="minorHAnsi"/>
          <w:position w:val="-24"/>
        </w:rPr>
        <w:t>.13)</w:t>
      </w:r>
    </w:p>
    <w:p w:rsidR="003C34D1" w:rsidRDefault="00D062E2" w:rsidP="003C34D1">
      <w:pPr>
        <w:spacing w:line="480" w:lineRule="auto"/>
        <w:rPr>
          <w:rFonts w:eastAsiaTheme="minorHAnsi"/>
          <w:position w:val="-24"/>
        </w:rPr>
      </w:pPr>
      <w:r w:rsidRPr="003C34D1">
        <w:rPr>
          <w:rFonts w:eastAsiaTheme="minorHAnsi"/>
          <w:position w:val="-24"/>
        </w:rPr>
        <w:object w:dxaOrig="8700" w:dyaOrig="420">
          <v:shape id="_x0000_i1603" type="#_x0000_t75" style="width:432.85pt;height:22.6pt" o:ole="">
            <v:imagedata r:id="rId1087" o:title=""/>
          </v:shape>
          <o:OLEObject Type="Embed" ProgID="Equation.DSMT4" ShapeID="_x0000_i1603" DrawAspect="Content" ObjectID="_1359267526" r:id="rId1088"/>
        </w:object>
      </w:r>
      <w:r w:rsidRPr="003C34D1">
        <w:rPr>
          <w:rFonts w:eastAsiaTheme="minorHAnsi"/>
          <w:position w:val="-24"/>
        </w:rPr>
        <w:t xml:space="preserve"> </w:t>
      </w:r>
    </w:p>
    <w:p w:rsidR="00D062E2" w:rsidRPr="003C34D1" w:rsidRDefault="003C34D1" w:rsidP="003C34D1">
      <w:pPr>
        <w:spacing w:line="480" w:lineRule="auto"/>
        <w:jc w:val="right"/>
        <w:rPr>
          <w:rFonts w:eastAsiaTheme="minorHAnsi"/>
          <w:position w:val="-24"/>
        </w:rPr>
      </w:pPr>
      <w:r>
        <w:rPr>
          <w:rFonts w:eastAsiaTheme="minorHAnsi"/>
          <w:position w:val="-24"/>
        </w:rPr>
        <w:t>(</w:t>
      </w:r>
      <w:r w:rsidR="00D062E2" w:rsidRPr="003C34D1">
        <w:rPr>
          <w:rFonts w:eastAsiaTheme="minorHAnsi"/>
          <w:position w:val="-24"/>
        </w:rPr>
        <w:t>A</w:t>
      </w:r>
      <w:r w:rsidR="001D7DE8" w:rsidRPr="003C34D1">
        <w:rPr>
          <w:rFonts w:eastAsiaTheme="minorHAnsi"/>
          <w:position w:val="-24"/>
        </w:rPr>
        <w:t>.1</w:t>
      </w:r>
      <w:r w:rsidR="00D062E2" w:rsidRPr="003C34D1">
        <w:rPr>
          <w:rFonts w:eastAsiaTheme="minorHAnsi"/>
          <w:position w:val="-24"/>
        </w:rPr>
        <w:t>.14)</w:t>
      </w:r>
    </w:p>
    <w:p w:rsidR="003C34D1" w:rsidRDefault="00D062E2" w:rsidP="003C34D1">
      <w:pPr>
        <w:spacing w:line="480" w:lineRule="auto"/>
        <w:rPr>
          <w:rFonts w:eastAsiaTheme="minorHAnsi"/>
          <w:position w:val="-24"/>
        </w:rPr>
      </w:pPr>
      <w:r w:rsidRPr="003C34D1">
        <w:rPr>
          <w:rFonts w:eastAsiaTheme="minorHAnsi"/>
          <w:position w:val="-24"/>
        </w:rPr>
        <w:object w:dxaOrig="8800" w:dyaOrig="420">
          <v:shape id="_x0000_i1604" type="#_x0000_t75" style="width:437.85pt;height:22.6pt" o:ole="">
            <v:imagedata r:id="rId1089" o:title=""/>
          </v:shape>
          <o:OLEObject Type="Embed" ProgID="Equation.DSMT4" ShapeID="_x0000_i1604" DrawAspect="Content" ObjectID="_1359267527" r:id="rId1090"/>
        </w:object>
      </w:r>
      <w:r w:rsidRPr="003C34D1">
        <w:rPr>
          <w:rFonts w:eastAsiaTheme="minorHAnsi"/>
          <w:position w:val="-24"/>
        </w:rPr>
        <w:t xml:space="preserve"> </w:t>
      </w:r>
    </w:p>
    <w:p w:rsidR="00D062E2" w:rsidRPr="003C34D1" w:rsidRDefault="00D062E2" w:rsidP="003C34D1">
      <w:pPr>
        <w:spacing w:line="480" w:lineRule="auto"/>
        <w:jc w:val="right"/>
        <w:rPr>
          <w:rFonts w:eastAsiaTheme="minorHAnsi"/>
          <w:position w:val="-24"/>
        </w:rPr>
      </w:pPr>
      <w:r w:rsidRPr="003C34D1">
        <w:rPr>
          <w:rFonts w:eastAsiaTheme="minorHAnsi"/>
          <w:position w:val="-24"/>
        </w:rPr>
        <w:t xml:space="preserve"> (A</w:t>
      </w:r>
      <w:r w:rsidR="001D7DE8" w:rsidRPr="003C34D1">
        <w:rPr>
          <w:rFonts w:eastAsiaTheme="minorHAnsi"/>
          <w:position w:val="-24"/>
        </w:rPr>
        <w:t>.1</w:t>
      </w:r>
      <w:r w:rsidRPr="003C34D1">
        <w:rPr>
          <w:rFonts w:eastAsiaTheme="minorHAnsi"/>
          <w:position w:val="-24"/>
        </w:rPr>
        <w:t>.15)</w:t>
      </w:r>
    </w:p>
    <w:p w:rsidR="00D062E2" w:rsidRPr="003C34D1" w:rsidRDefault="00D062E2" w:rsidP="003C34D1">
      <w:pPr>
        <w:spacing w:line="480" w:lineRule="auto"/>
        <w:rPr>
          <w:rFonts w:eastAsiaTheme="minorHAnsi"/>
          <w:position w:val="-24"/>
        </w:rPr>
      </w:pPr>
      <w:r w:rsidRPr="003C34D1">
        <w:rPr>
          <w:rFonts w:eastAsiaTheme="minorHAnsi"/>
          <w:position w:val="-24"/>
        </w:rPr>
        <w:object w:dxaOrig="5320" w:dyaOrig="420">
          <v:shape id="_x0000_i1605" type="#_x0000_t75" style="width:265.4pt;height:22.6pt" o:ole="">
            <v:imagedata r:id="rId1091" o:title=""/>
          </v:shape>
          <o:OLEObject Type="Embed" ProgID="Equation.DSMT4" ShapeID="_x0000_i1605" DrawAspect="Content" ObjectID="_1359267528" r:id="rId1092"/>
        </w:objec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3C34D1">
        <w:rPr>
          <w:rFonts w:eastAsiaTheme="minorHAnsi"/>
          <w:position w:val="-24"/>
        </w:rPr>
        <w:t xml:space="preserve">    </w:t>
      </w:r>
      <w:r w:rsidR="00D3282F">
        <w:rPr>
          <w:rFonts w:eastAsiaTheme="minorHAnsi"/>
          <w:position w:val="-24"/>
        </w:rPr>
        <w:t xml:space="preserve"> </w:t>
      </w:r>
      <w:r w:rsidR="003C34D1">
        <w:rPr>
          <w:rFonts w:eastAsiaTheme="minorHAnsi"/>
          <w:position w:val="-24"/>
        </w:rPr>
        <w:t xml:space="preserve">        </w:t>
      </w:r>
      <w:r w:rsidRPr="003C34D1">
        <w:rPr>
          <w:rFonts w:eastAsiaTheme="minorHAnsi"/>
          <w:position w:val="-24"/>
        </w:rPr>
        <w:t>(A</w:t>
      </w:r>
      <w:r w:rsidR="001D7DE8" w:rsidRPr="003C34D1">
        <w:rPr>
          <w:rFonts w:eastAsiaTheme="minorHAnsi"/>
          <w:position w:val="-24"/>
        </w:rPr>
        <w:t>.1</w:t>
      </w:r>
      <w:r w:rsidRPr="003C34D1">
        <w:rPr>
          <w:rFonts w:eastAsiaTheme="minorHAnsi"/>
          <w:position w:val="-24"/>
        </w:rPr>
        <w:t>.16)</w:t>
      </w:r>
    </w:p>
    <w:p w:rsidR="00D062E2" w:rsidRPr="003C34D1" w:rsidRDefault="00D062E2" w:rsidP="003C34D1">
      <w:pPr>
        <w:spacing w:line="480" w:lineRule="auto"/>
        <w:rPr>
          <w:rFonts w:eastAsiaTheme="minorHAnsi"/>
          <w:position w:val="-24"/>
        </w:rPr>
      </w:pPr>
      <w:r w:rsidRPr="003C34D1">
        <w:rPr>
          <w:rFonts w:eastAsiaTheme="minorHAnsi"/>
          <w:position w:val="-24"/>
        </w:rPr>
        <w:object w:dxaOrig="2640" w:dyaOrig="380">
          <v:shape id="_x0000_i1606" type="#_x0000_t75" style="width:134.8pt;height:16.75pt" o:ole="">
            <v:imagedata r:id="rId1093" o:title=""/>
          </v:shape>
          <o:OLEObject Type="Embed" ProgID="Equation.DSMT4" ShapeID="_x0000_i1606" DrawAspect="Content" ObjectID="_1359267529" r:id="rId1094"/>
        </w:object>
      </w:r>
      <w:r w:rsidRPr="003C34D1">
        <w:rPr>
          <w:rFonts w:eastAsiaTheme="minorHAnsi"/>
          <w:position w:val="-24"/>
        </w:rPr>
        <w:t xml:space="preserve">     </w:t>
      </w:r>
      <w:r w:rsidR="001D7DE8" w:rsidRPr="003C34D1">
        <w:rPr>
          <w:rFonts w:eastAsiaTheme="minorHAnsi"/>
          <w:position w:val="-24"/>
        </w:rPr>
        <w:t xml:space="preserve">  </w: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3C34D1">
        <w:rPr>
          <w:rFonts w:eastAsiaTheme="minorHAnsi"/>
          <w:position w:val="-24"/>
        </w:rPr>
        <w:t xml:space="preserve">            </w:t>
      </w:r>
      <w:r w:rsidRPr="003C34D1">
        <w:rPr>
          <w:rFonts w:eastAsiaTheme="minorHAnsi"/>
          <w:position w:val="-24"/>
        </w:rPr>
        <w:t xml:space="preserve"> (A.</w:t>
      </w:r>
      <w:r w:rsidR="001D7DE8" w:rsidRPr="003C34D1">
        <w:rPr>
          <w:rFonts w:eastAsiaTheme="minorHAnsi"/>
          <w:position w:val="-24"/>
        </w:rPr>
        <w:t>1.</w:t>
      </w:r>
      <w:r w:rsidRPr="003C34D1">
        <w:rPr>
          <w:rFonts w:eastAsiaTheme="minorHAnsi"/>
          <w:position w:val="-24"/>
        </w:rPr>
        <w:t>17)</w:t>
      </w:r>
    </w:p>
    <w:p w:rsidR="00D062E2" w:rsidRPr="003C34D1" w:rsidRDefault="00D062E2" w:rsidP="003C34D1">
      <w:pPr>
        <w:spacing w:line="480" w:lineRule="auto"/>
        <w:rPr>
          <w:rFonts w:eastAsiaTheme="minorHAnsi"/>
          <w:position w:val="-24"/>
        </w:rPr>
      </w:pPr>
      <w:r w:rsidRPr="003C34D1">
        <w:rPr>
          <w:rFonts w:eastAsiaTheme="minorHAnsi"/>
          <w:position w:val="-24"/>
        </w:rPr>
        <w:object w:dxaOrig="1259" w:dyaOrig="340">
          <v:shape id="_x0000_i1607" type="#_x0000_t75" style="width:62.8pt;height:17.6pt" o:ole="">
            <v:imagedata r:id="rId1095" o:title=""/>
          </v:shape>
          <o:OLEObject Type="Embed" ProgID="Equation.DSMT4" ShapeID="_x0000_i1607" DrawAspect="Content" ObjectID="_1359267530" r:id="rId1096"/>
        </w:object>
      </w:r>
      <w:r w:rsidRPr="003C34D1">
        <w:rPr>
          <w:rFonts w:eastAsiaTheme="minorHAnsi"/>
          <w:position w:val="-24"/>
        </w:rPr>
        <w:t xml:space="preserve">            </w:t>
      </w:r>
      <w:r w:rsidR="001D7DE8" w:rsidRPr="003C34D1">
        <w:rPr>
          <w:rFonts w:eastAsiaTheme="minorHAnsi"/>
          <w:position w:val="-24"/>
        </w:rPr>
        <w:t xml:space="preserve">   </w:t>
      </w:r>
      <w:r w:rsidRPr="003C34D1">
        <w:rPr>
          <w:rFonts w:eastAsiaTheme="minorHAnsi"/>
          <w:position w:val="-24"/>
        </w:rPr>
        <w:t xml:space="preserve">                               </w:t>
      </w:r>
      <w:r w:rsidR="00BC3E14" w:rsidRPr="003C34D1">
        <w:rPr>
          <w:rFonts w:eastAsiaTheme="minorHAnsi"/>
          <w:position w:val="-24"/>
        </w:rPr>
        <w:t xml:space="preserve">      </w:t>
      </w:r>
      <w:r w:rsidRPr="003C34D1">
        <w:rPr>
          <w:rFonts w:eastAsiaTheme="minorHAnsi"/>
          <w:position w:val="-24"/>
        </w:rPr>
        <w:t xml:space="preserve">                                                       </w:t>
      </w:r>
      <w:r w:rsidR="003C34D1">
        <w:rPr>
          <w:rFonts w:eastAsiaTheme="minorHAnsi"/>
          <w:position w:val="-24"/>
        </w:rPr>
        <w:t xml:space="preserve">            </w:t>
      </w:r>
      <w:r w:rsidRPr="003C34D1">
        <w:rPr>
          <w:rFonts w:eastAsiaTheme="minorHAnsi"/>
          <w:position w:val="-24"/>
        </w:rPr>
        <w:t xml:space="preserve">  (A</w:t>
      </w:r>
      <w:r w:rsidR="001D7DE8" w:rsidRPr="003C34D1">
        <w:rPr>
          <w:rFonts w:eastAsiaTheme="minorHAnsi"/>
          <w:position w:val="-24"/>
        </w:rPr>
        <w:t>.1</w:t>
      </w:r>
      <w:r w:rsidRPr="003C34D1">
        <w:rPr>
          <w:rFonts w:eastAsiaTheme="minorHAnsi"/>
          <w:position w:val="-24"/>
        </w:rPr>
        <w:t>.18)</w:t>
      </w:r>
    </w:p>
    <w:p w:rsidR="00D062E2" w:rsidRDefault="00D062E2" w:rsidP="00BC3E14">
      <w:pPr>
        <w:spacing w:line="480" w:lineRule="auto"/>
        <w:rPr>
          <w:bCs/>
          <w:position w:val="-12"/>
        </w:rPr>
      </w:pPr>
      <w:r>
        <w:rPr>
          <w:bCs/>
          <w:position w:val="-12"/>
        </w:rPr>
        <w:t>Equations involving the trade balance and the current account (defined in the main text without numbers) are</w:t>
      </w:r>
    </w:p>
    <w:p w:rsidR="00CC5C27" w:rsidRDefault="00CC5C27" w:rsidP="001D7DE8">
      <w:pPr>
        <w:spacing w:line="480" w:lineRule="auto"/>
      </w:pPr>
      <w:r w:rsidRPr="00C66C03">
        <w:rPr>
          <w:rFonts w:eastAsiaTheme="minorHAnsi"/>
          <w:position w:val="-24"/>
        </w:rPr>
        <w:object w:dxaOrig="3040" w:dyaOrig="600">
          <v:shape id="_x0000_i1608" type="#_x0000_t75" style="width:151.55pt;height:30.15pt" o:ole="">
            <v:imagedata r:id="rId1097" o:title=""/>
          </v:shape>
          <o:OLEObject Type="Embed" ProgID="Equation.DSMT4" ShapeID="_x0000_i1608" DrawAspect="Content" ObjectID="_1359267531" r:id="rId1098"/>
        </w:object>
      </w:r>
      <w:r>
        <w:t xml:space="preserve">                                                                             </w:t>
      </w:r>
      <w:r w:rsidR="001D7DE8">
        <w:t xml:space="preserve">          </w:t>
      </w:r>
      <w:r w:rsidR="00D3282F">
        <w:t xml:space="preserve"> </w:t>
      </w:r>
      <w:r w:rsidR="001D7DE8">
        <w:t xml:space="preserve">  </w:t>
      </w:r>
      <w:r>
        <w:t xml:space="preserve">  (A</w:t>
      </w:r>
      <w:r w:rsidR="001D7DE8">
        <w:t>.1</w:t>
      </w:r>
      <w:r>
        <w:t>.19)</w:t>
      </w:r>
    </w:p>
    <w:p w:rsidR="00CC5C27" w:rsidRPr="001D7DE8" w:rsidRDefault="00CC5C27" w:rsidP="001D7DE8">
      <w:pPr>
        <w:spacing w:line="480" w:lineRule="auto"/>
        <w:rPr>
          <w:rFonts w:eastAsiaTheme="minorHAnsi"/>
          <w:position w:val="-24"/>
        </w:rPr>
      </w:pPr>
      <w:r w:rsidRPr="00C66C03">
        <w:rPr>
          <w:rFonts w:eastAsiaTheme="minorHAnsi"/>
          <w:position w:val="-24"/>
        </w:rPr>
        <w:object w:dxaOrig="3860" w:dyaOrig="600">
          <v:shape id="_x0000_i1609" type="#_x0000_t75" style="width:193.4pt;height:30.15pt" o:ole="">
            <v:imagedata r:id="rId1099" o:title=""/>
          </v:shape>
          <o:OLEObject Type="Embed" ProgID="Equation.DSMT4" ShapeID="_x0000_i1609" DrawAspect="Content" ObjectID="_1359267532" r:id="rId1100"/>
        </w:object>
      </w:r>
      <w:r w:rsidRPr="001D7DE8">
        <w:rPr>
          <w:rFonts w:eastAsiaTheme="minorHAnsi"/>
          <w:position w:val="-24"/>
        </w:rPr>
        <w:t xml:space="preserve">                                       </w:t>
      </w:r>
      <w:r w:rsidR="001D7DE8">
        <w:rPr>
          <w:rFonts w:eastAsiaTheme="minorHAnsi"/>
          <w:position w:val="-24"/>
        </w:rPr>
        <w:t xml:space="preserve">           </w:t>
      </w:r>
      <w:r w:rsidRPr="001D7DE8">
        <w:rPr>
          <w:rFonts w:eastAsiaTheme="minorHAnsi"/>
          <w:position w:val="-24"/>
        </w:rPr>
        <w:t xml:space="preserve">                      </w:t>
      </w:r>
      <w:r w:rsidR="00D3282F">
        <w:rPr>
          <w:rFonts w:eastAsiaTheme="minorHAnsi"/>
          <w:position w:val="-24"/>
        </w:rPr>
        <w:t xml:space="preserve"> </w:t>
      </w:r>
      <w:r w:rsidRPr="001D7DE8">
        <w:rPr>
          <w:rFonts w:eastAsiaTheme="minorHAnsi"/>
          <w:position w:val="-24"/>
        </w:rPr>
        <w:t xml:space="preserve">  </w:t>
      </w:r>
      <w:r w:rsidR="001D7DE8">
        <w:rPr>
          <w:rFonts w:eastAsiaTheme="minorHAnsi"/>
          <w:position w:val="-24"/>
        </w:rPr>
        <w:t xml:space="preserve">  </w:t>
      </w:r>
      <w:r w:rsidRPr="001D7DE8">
        <w:rPr>
          <w:rFonts w:eastAsiaTheme="minorHAnsi"/>
          <w:position w:val="-24"/>
        </w:rPr>
        <w:t xml:space="preserve"> (A</w:t>
      </w:r>
      <w:r w:rsidR="001D7DE8" w:rsidRPr="001D7DE8">
        <w:rPr>
          <w:rFonts w:eastAsiaTheme="minorHAnsi"/>
          <w:position w:val="-24"/>
        </w:rPr>
        <w:t>.1</w:t>
      </w:r>
      <w:r w:rsidRPr="001D7DE8">
        <w:rPr>
          <w:rFonts w:eastAsiaTheme="minorHAnsi"/>
          <w:position w:val="-24"/>
        </w:rPr>
        <w:t>.20)</w:t>
      </w:r>
    </w:p>
    <w:p w:rsidR="00CC5C27" w:rsidRDefault="00CC5C27" w:rsidP="00CC5C27">
      <w:pPr>
        <w:spacing w:line="480" w:lineRule="auto"/>
      </w:pPr>
      <w:r>
        <w:t xml:space="preserve">This is a 16X16 system of equations. Some of the coefficients used above are defined in terms of model parameters as follows: </w:t>
      </w:r>
    </w:p>
    <w:p w:rsidR="00CC5C27" w:rsidRDefault="00CC5C27" w:rsidP="00CC5C27">
      <w:r w:rsidRPr="00A73DD5">
        <w:rPr>
          <w:noProof/>
        </w:rPr>
        <w:drawing>
          <wp:inline distT="0" distB="0" distL="0" distR="0">
            <wp:extent cx="2413595" cy="819509"/>
            <wp:effectExtent l="19050" t="0" r="5755" b="0"/>
            <wp:docPr id="23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101" cstate="print"/>
                    <a:srcRect/>
                    <a:stretch>
                      <a:fillRect/>
                    </a:stretch>
                  </pic:blipFill>
                  <pic:spPr bwMode="auto">
                    <a:xfrm>
                      <a:off x="0" y="0"/>
                      <a:ext cx="2414117" cy="819686"/>
                    </a:xfrm>
                    <a:prstGeom prst="rect">
                      <a:avLst/>
                    </a:prstGeom>
                    <a:noFill/>
                    <a:ln w="9525">
                      <a:noFill/>
                      <a:miter lim="800000"/>
                      <a:headEnd/>
                      <a:tailEnd/>
                    </a:ln>
                  </pic:spPr>
                </pic:pic>
              </a:graphicData>
            </a:graphic>
          </wp:inline>
        </w:drawing>
      </w:r>
      <w:r>
        <w:t xml:space="preserve">                           </w:t>
      </w:r>
      <w:r w:rsidRPr="007538BE">
        <w:rPr>
          <w:noProof/>
        </w:rPr>
        <w:drawing>
          <wp:inline distT="0" distB="0" distL="0" distR="0">
            <wp:extent cx="2268855" cy="690245"/>
            <wp:effectExtent l="19050" t="0" r="0" b="0"/>
            <wp:docPr id="232"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102" cstate="print"/>
                    <a:srcRect/>
                    <a:stretch>
                      <a:fillRect/>
                    </a:stretch>
                  </pic:blipFill>
                  <pic:spPr bwMode="auto">
                    <a:xfrm>
                      <a:off x="0" y="0"/>
                      <a:ext cx="2268855" cy="690245"/>
                    </a:xfrm>
                    <a:prstGeom prst="rect">
                      <a:avLst/>
                    </a:prstGeom>
                    <a:noFill/>
                    <a:ln w="9525">
                      <a:noFill/>
                      <a:miter lim="800000"/>
                      <a:headEnd/>
                      <a:tailEnd/>
                    </a:ln>
                  </pic:spPr>
                </pic:pic>
              </a:graphicData>
            </a:graphic>
          </wp:inline>
        </w:drawing>
      </w:r>
    </w:p>
    <w:p w:rsidR="00CC5C27" w:rsidRDefault="00CC5C27" w:rsidP="00CC5C27">
      <w:r>
        <w:t xml:space="preserve">  </w:t>
      </w:r>
    </w:p>
    <w:p w:rsidR="00CC5C27" w:rsidRPr="009016A9" w:rsidRDefault="00CC5C27" w:rsidP="00CC5C27">
      <w:r>
        <w:rPr>
          <w:noProof/>
        </w:rPr>
        <w:drawing>
          <wp:inline distT="0" distB="0" distL="0" distR="0">
            <wp:extent cx="2636520" cy="694055"/>
            <wp:effectExtent l="0" t="0" r="0" b="0"/>
            <wp:docPr id="233"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6520" cy="694055"/>
                    </a:xfrm>
                    <a:prstGeom prst="rect">
                      <a:avLst/>
                    </a:prstGeom>
                    <a:noFill/>
                    <a:ln w="9525">
                      <a:noFill/>
                      <a:miter lim="800000"/>
                      <a:headEnd/>
                      <a:tailEnd/>
                    </a:ln>
                  </pic:spPr>
                </pic:pic>
              </a:graphicData>
            </a:graphic>
          </wp:inline>
        </w:drawing>
      </w:r>
      <w:r>
        <w:t xml:space="preserve">     </w:t>
      </w:r>
      <w:r w:rsidRPr="009016A9">
        <w:t xml:space="preserve">                     </w:t>
      </w:r>
      <w:r w:rsidRPr="009016A9">
        <w:rPr>
          <w:noProof/>
          <w:position w:val="-22"/>
        </w:rPr>
        <w:drawing>
          <wp:inline distT="0" distB="0" distL="0" distR="0">
            <wp:extent cx="2566959" cy="862642"/>
            <wp:effectExtent l="19050" t="0" r="4791" b="0"/>
            <wp:docPr id="70"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104" cstate="print"/>
                    <a:srcRect/>
                    <a:stretch>
                      <a:fillRect/>
                    </a:stretch>
                  </pic:blipFill>
                  <pic:spPr bwMode="auto">
                    <a:xfrm>
                      <a:off x="0" y="0"/>
                      <a:ext cx="2576870" cy="865973"/>
                    </a:xfrm>
                    <a:prstGeom prst="rect">
                      <a:avLst/>
                    </a:prstGeom>
                    <a:noFill/>
                    <a:ln w="9525">
                      <a:noFill/>
                      <a:miter lim="800000"/>
                      <a:headEnd/>
                      <a:tailEnd/>
                    </a:ln>
                  </pic:spPr>
                </pic:pic>
              </a:graphicData>
            </a:graphic>
          </wp:inline>
        </w:drawing>
      </w:r>
      <w:r w:rsidRPr="009016A9">
        <w:rPr>
          <w:noProof/>
        </w:rPr>
        <w:drawing>
          <wp:inline distT="0" distB="0" distL="0" distR="0">
            <wp:extent cx="4611133" cy="655608"/>
            <wp:effectExtent l="19050" t="0" r="0" b="0"/>
            <wp:docPr id="234"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105" cstate="print"/>
                    <a:srcRect/>
                    <a:stretch>
                      <a:fillRect/>
                    </a:stretch>
                  </pic:blipFill>
                  <pic:spPr bwMode="auto">
                    <a:xfrm>
                      <a:off x="0" y="0"/>
                      <a:ext cx="4633501" cy="658788"/>
                    </a:xfrm>
                    <a:prstGeom prst="rect">
                      <a:avLst/>
                    </a:prstGeom>
                    <a:noFill/>
                    <a:ln w="9525">
                      <a:noFill/>
                      <a:miter lim="800000"/>
                      <a:headEnd/>
                      <a:tailEnd/>
                    </a:ln>
                  </pic:spPr>
                </pic:pic>
              </a:graphicData>
            </a:graphic>
          </wp:inline>
        </w:drawing>
      </w:r>
    </w:p>
    <w:p w:rsidR="00CC5C27" w:rsidRPr="009016A9" w:rsidRDefault="00CC5C27" w:rsidP="00CC5C27">
      <w:pPr>
        <w:autoSpaceDE w:val="0"/>
        <w:autoSpaceDN w:val="0"/>
        <w:adjustRightInd w:val="0"/>
      </w:pPr>
      <w:r w:rsidRPr="009016A9">
        <w:t xml:space="preserve">                  </w:t>
      </w:r>
    </w:p>
    <w:p w:rsidR="00CC5C27" w:rsidRPr="009016A9" w:rsidRDefault="00CC5C27" w:rsidP="00CC5C27">
      <w:pPr>
        <w:autoSpaceDE w:val="0"/>
        <w:autoSpaceDN w:val="0"/>
        <w:adjustRightInd w:val="0"/>
        <w:rPr>
          <w:noProof/>
          <w:position w:val="-60"/>
        </w:rPr>
      </w:pPr>
      <w:r w:rsidRPr="009016A9">
        <w:t xml:space="preserve"> </w:t>
      </w:r>
      <w:r w:rsidRPr="009016A9">
        <w:rPr>
          <w:noProof/>
          <w:position w:val="-60"/>
        </w:rPr>
        <w:drawing>
          <wp:inline distT="0" distB="0" distL="0" distR="0">
            <wp:extent cx="4676632" cy="733245"/>
            <wp:effectExtent l="19050" t="0" r="0" b="0"/>
            <wp:docPr id="29"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106" cstate="print"/>
                    <a:srcRect/>
                    <a:stretch>
                      <a:fillRect/>
                    </a:stretch>
                  </pic:blipFill>
                  <pic:spPr bwMode="auto">
                    <a:xfrm>
                      <a:off x="0" y="0"/>
                      <a:ext cx="4684338" cy="734453"/>
                    </a:xfrm>
                    <a:prstGeom prst="rect">
                      <a:avLst/>
                    </a:prstGeom>
                    <a:noFill/>
                    <a:ln w="9525">
                      <a:noFill/>
                      <a:miter lim="800000"/>
                      <a:headEnd/>
                      <a:tailEnd/>
                    </a:ln>
                  </pic:spPr>
                </pic:pic>
              </a:graphicData>
            </a:graphic>
          </wp:inline>
        </w:drawing>
      </w:r>
      <w:r w:rsidRPr="009016A9">
        <w:rPr>
          <w:noProof/>
          <w:position w:val="-60"/>
        </w:rPr>
        <w:t xml:space="preserve">                  </w:t>
      </w:r>
    </w:p>
    <w:p w:rsidR="00CC5C27" w:rsidRPr="009016A9" w:rsidRDefault="00CC5C27" w:rsidP="00CC5C27">
      <w:pPr>
        <w:autoSpaceDE w:val="0"/>
        <w:autoSpaceDN w:val="0"/>
        <w:adjustRightInd w:val="0"/>
      </w:pPr>
      <w:r w:rsidRPr="009016A9">
        <w:rPr>
          <w:noProof/>
        </w:rPr>
        <w:drawing>
          <wp:inline distT="0" distB="0" distL="0" distR="0">
            <wp:extent cx="4509475" cy="644749"/>
            <wp:effectExtent l="19050" t="0" r="5375" b="0"/>
            <wp:docPr id="30"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107" cstate="print"/>
                    <a:srcRect/>
                    <a:stretch>
                      <a:fillRect/>
                    </a:stretch>
                  </pic:blipFill>
                  <pic:spPr bwMode="auto">
                    <a:xfrm>
                      <a:off x="0" y="0"/>
                      <a:ext cx="4549653" cy="650494"/>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C5C27">
      <w:pPr>
        <w:autoSpaceDE w:val="0"/>
        <w:autoSpaceDN w:val="0"/>
        <w:adjustRightInd w:val="0"/>
      </w:pPr>
      <w:r w:rsidRPr="009016A9">
        <w:rPr>
          <w:noProof/>
          <w:position w:val="-25"/>
        </w:rPr>
        <w:drawing>
          <wp:inline distT="0" distB="0" distL="0" distR="0">
            <wp:extent cx="3703278" cy="802256"/>
            <wp:effectExtent l="19050" t="0" r="0" b="0"/>
            <wp:docPr id="235"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108" cstate="print"/>
                    <a:srcRect/>
                    <a:stretch>
                      <a:fillRect/>
                    </a:stretch>
                  </pic:blipFill>
                  <pic:spPr bwMode="auto">
                    <a:xfrm>
                      <a:off x="0" y="0"/>
                      <a:ext cx="3727689" cy="807544"/>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C5C27">
      <w:pPr>
        <w:autoSpaceDE w:val="0"/>
        <w:autoSpaceDN w:val="0"/>
        <w:adjustRightInd w:val="0"/>
      </w:pPr>
      <w:r w:rsidRPr="009016A9">
        <w:rPr>
          <w:noProof/>
          <w:position w:val="-25"/>
        </w:rPr>
        <w:drawing>
          <wp:inline distT="0" distB="0" distL="0" distR="0">
            <wp:extent cx="3664428" cy="897147"/>
            <wp:effectExtent l="19050" t="0" r="0" b="0"/>
            <wp:docPr id="64"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109" cstate="print"/>
                    <a:srcRect/>
                    <a:stretch>
                      <a:fillRect/>
                    </a:stretch>
                  </pic:blipFill>
                  <pic:spPr bwMode="auto">
                    <a:xfrm>
                      <a:off x="0" y="0"/>
                      <a:ext cx="3673255" cy="899308"/>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C5C27">
      <w:pPr>
        <w:autoSpaceDE w:val="0"/>
        <w:autoSpaceDN w:val="0"/>
        <w:adjustRightInd w:val="0"/>
      </w:pPr>
      <w:r w:rsidRPr="009016A9">
        <w:rPr>
          <w:noProof/>
        </w:rPr>
        <w:drawing>
          <wp:inline distT="0" distB="0" distL="0" distR="0">
            <wp:extent cx="5982108" cy="664234"/>
            <wp:effectExtent l="19050" t="0" r="0" b="0"/>
            <wp:docPr id="65"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110" cstate="print"/>
                    <a:srcRect/>
                    <a:stretch>
                      <a:fillRect/>
                    </a:stretch>
                  </pic:blipFill>
                  <pic:spPr bwMode="auto">
                    <a:xfrm>
                      <a:off x="0" y="0"/>
                      <a:ext cx="6034352" cy="670035"/>
                    </a:xfrm>
                    <a:prstGeom prst="rect">
                      <a:avLst/>
                    </a:prstGeom>
                    <a:noFill/>
                    <a:ln w="9525">
                      <a:noFill/>
                      <a:miter lim="800000"/>
                      <a:headEnd/>
                      <a:tailEnd/>
                    </a:ln>
                  </pic:spPr>
                </pic:pic>
              </a:graphicData>
            </a:graphic>
          </wp:inline>
        </w:drawing>
      </w:r>
    </w:p>
    <w:p w:rsidR="00CC5C27" w:rsidRPr="009016A9" w:rsidRDefault="00CC5C27" w:rsidP="00CC5C27">
      <w:pPr>
        <w:autoSpaceDE w:val="0"/>
        <w:autoSpaceDN w:val="0"/>
        <w:adjustRightInd w:val="0"/>
      </w:pPr>
      <w:r w:rsidRPr="009016A9">
        <w:rPr>
          <w:noProof/>
        </w:rPr>
        <w:drawing>
          <wp:inline distT="0" distB="0" distL="0" distR="0">
            <wp:extent cx="5406418" cy="706859"/>
            <wp:effectExtent l="19050" t="0" r="3782" b="0"/>
            <wp:docPr id="66"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111" cstate="print"/>
                    <a:srcRect/>
                    <a:stretch>
                      <a:fillRect/>
                    </a:stretch>
                  </pic:blipFill>
                  <pic:spPr bwMode="auto">
                    <a:xfrm>
                      <a:off x="0" y="0"/>
                      <a:ext cx="5486921" cy="717384"/>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C5C27">
      <w:pPr>
        <w:autoSpaceDE w:val="0"/>
        <w:autoSpaceDN w:val="0"/>
        <w:adjustRightInd w:val="0"/>
      </w:pPr>
      <w:r w:rsidRPr="009016A9">
        <w:rPr>
          <w:noProof/>
        </w:rPr>
        <w:drawing>
          <wp:inline distT="0" distB="0" distL="0" distR="0">
            <wp:extent cx="5208558" cy="680064"/>
            <wp:effectExtent l="19050" t="0" r="0" b="0"/>
            <wp:docPr id="67"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112" cstate="print"/>
                    <a:srcRect/>
                    <a:stretch>
                      <a:fillRect/>
                    </a:stretch>
                  </pic:blipFill>
                  <pic:spPr bwMode="auto">
                    <a:xfrm>
                      <a:off x="0" y="0"/>
                      <a:ext cx="5230949" cy="682988"/>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C5C27">
      <w:pPr>
        <w:autoSpaceDE w:val="0"/>
        <w:autoSpaceDN w:val="0"/>
        <w:adjustRightInd w:val="0"/>
      </w:pPr>
      <w:r w:rsidRPr="009016A9">
        <w:rPr>
          <w:noProof/>
          <w:position w:val="-22"/>
        </w:rPr>
        <w:drawing>
          <wp:inline distT="0" distB="0" distL="0" distR="0">
            <wp:extent cx="3179337" cy="828136"/>
            <wp:effectExtent l="19050" t="0" r="2013" b="0"/>
            <wp:docPr id="68"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113" cstate="print"/>
                    <a:srcRect/>
                    <a:stretch>
                      <a:fillRect/>
                    </a:stretch>
                  </pic:blipFill>
                  <pic:spPr bwMode="auto">
                    <a:xfrm>
                      <a:off x="0" y="0"/>
                      <a:ext cx="3183245" cy="829154"/>
                    </a:xfrm>
                    <a:prstGeom prst="rect">
                      <a:avLst/>
                    </a:prstGeom>
                    <a:noFill/>
                    <a:ln w="9525">
                      <a:noFill/>
                      <a:miter lim="800000"/>
                      <a:headEnd/>
                      <a:tailEnd/>
                    </a:ln>
                  </pic:spPr>
                </pic:pic>
              </a:graphicData>
            </a:graphic>
          </wp:inline>
        </w:drawing>
      </w:r>
      <w:r w:rsidRPr="009016A9">
        <w:t xml:space="preserve">    </w:t>
      </w:r>
    </w:p>
    <w:p w:rsidR="00CC5C27" w:rsidRDefault="00CC5C27" w:rsidP="00CA7FCE">
      <w:pPr>
        <w:autoSpaceDE w:val="0"/>
        <w:autoSpaceDN w:val="0"/>
        <w:adjustRightInd w:val="0"/>
      </w:pPr>
      <w:r w:rsidRPr="009016A9">
        <w:rPr>
          <w:noProof/>
          <w:position w:val="-22"/>
        </w:rPr>
        <w:drawing>
          <wp:inline distT="0" distB="0" distL="0" distR="0">
            <wp:extent cx="2764707" cy="854015"/>
            <wp:effectExtent l="19050" t="0" r="0" b="0"/>
            <wp:docPr id="69"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114" cstate="print"/>
                    <a:srcRect/>
                    <a:stretch>
                      <a:fillRect/>
                    </a:stretch>
                  </pic:blipFill>
                  <pic:spPr bwMode="auto">
                    <a:xfrm>
                      <a:off x="0" y="0"/>
                      <a:ext cx="2771232" cy="856030"/>
                    </a:xfrm>
                    <a:prstGeom prst="rect">
                      <a:avLst/>
                    </a:prstGeom>
                    <a:noFill/>
                    <a:ln w="9525">
                      <a:noFill/>
                      <a:miter lim="800000"/>
                      <a:headEnd/>
                      <a:tailEnd/>
                    </a:ln>
                  </pic:spPr>
                </pic:pic>
              </a:graphicData>
            </a:graphic>
          </wp:inline>
        </w:drawing>
      </w:r>
      <w:r w:rsidR="00CA7FCE">
        <w:t xml:space="preserve">                              </w:t>
      </w:r>
      <w:r w:rsidRPr="009016A9">
        <w:rPr>
          <w:noProof/>
          <w:position w:val="-25"/>
        </w:rPr>
        <w:drawing>
          <wp:inline distT="0" distB="0" distL="0" distR="0">
            <wp:extent cx="1748179" cy="365718"/>
            <wp:effectExtent l="19050" t="0" r="4421" b="0"/>
            <wp:docPr id="7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115" cstate="print"/>
                    <a:srcRect/>
                    <a:stretch>
                      <a:fillRect/>
                    </a:stretch>
                  </pic:blipFill>
                  <pic:spPr bwMode="auto">
                    <a:xfrm>
                      <a:off x="0" y="0"/>
                      <a:ext cx="1751844" cy="366485"/>
                    </a:xfrm>
                    <a:prstGeom prst="rect">
                      <a:avLst/>
                    </a:prstGeom>
                    <a:noFill/>
                    <a:ln w="9525">
                      <a:noFill/>
                      <a:miter lim="800000"/>
                      <a:headEnd/>
                      <a:tailEnd/>
                    </a:ln>
                  </pic:spPr>
                </pic:pic>
              </a:graphicData>
            </a:graphic>
          </wp:inline>
        </w:drawing>
      </w:r>
      <w:r w:rsidRPr="009016A9">
        <w:t xml:space="preserve">     </w:t>
      </w:r>
    </w:p>
    <w:p w:rsidR="00CC5C27" w:rsidRDefault="00CC5C27" w:rsidP="00CA7FCE">
      <w:pPr>
        <w:autoSpaceDE w:val="0"/>
        <w:autoSpaceDN w:val="0"/>
        <w:adjustRightInd w:val="0"/>
      </w:pPr>
      <w:r>
        <w:rPr>
          <w:noProof/>
        </w:rPr>
        <w:drawing>
          <wp:inline distT="0" distB="0" distL="0" distR="0">
            <wp:extent cx="2801620" cy="819150"/>
            <wp:effectExtent l="0" t="0" r="0" b="0"/>
            <wp:docPr id="71"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1620" cy="819150"/>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A7FCE">
      <w:pPr>
        <w:autoSpaceDE w:val="0"/>
        <w:autoSpaceDN w:val="0"/>
        <w:adjustRightInd w:val="0"/>
      </w:pPr>
      <w:r w:rsidRPr="009016A9">
        <w:t xml:space="preserve"> </w:t>
      </w:r>
      <w:r w:rsidRPr="009016A9">
        <w:rPr>
          <w:noProof/>
          <w:position w:val="-60"/>
        </w:rPr>
        <w:drawing>
          <wp:inline distT="0" distB="0" distL="0" distR="0">
            <wp:extent cx="2428233" cy="775157"/>
            <wp:effectExtent l="0" t="0" r="0" b="0"/>
            <wp:docPr id="73"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117" cstate="print"/>
                    <a:srcRect/>
                    <a:stretch>
                      <a:fillRect/>
                    </a:stretch>
                  </pic:blipFill>
                  <pic:spPr bwMode="auto">
                    <a:xfrm>
                      <a:off x="0" y="0"/>
                      <a:ext cx="2440031" cy="778923"/>
                    </a:xfrm>
                    <a:prstGeom prst="rect">
                      <a:avLst/>
                    </a:prstGeom>
                    <a:noFill/>
                    <a:ln w="9525">
                      <a:noFill/>
                      <a:miter lim="800000"/>
                      <a:headEnd/>
                      <a:tailEnd/>
                    </a:ln>
                  </pic:spPr>
                </pic:pic>
              </a:graphicData>
            </a:graphic>
          </wp:inline>
        </w:drawing>
      </w:r>
      <w:r w:rsidRPr="009016A9">
        <w:t xml:space="preserve">   </w:t>
      </w:r>
      <w:r w:rsidR="00CA7FCE">
        <w:t xml:space="preserve">                      </w:t>
      </w:r>
      <w:r w:rsidRPr="009016A9">
        <w:rPr>
          <w:noProof/>
          <w:position w:val="-60"/>
        </w:rPr>
        <w:drawing>
          <wp:inline distT="0" distB="0" distL="0" distR="0">
            <wp:extent cx="2430852" cy="745751"/>
            <wp:effectExtent l="19050" t="0" r="7548" b="0"/>
            <wp:docPr id="74"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118" cstate="print"/>
                    <a:srcRect/>
                    <a:stretch>
                      <a:fillRect/>
                    </a:stretch>
                  </pic:blipFill>
                  <pic:spPr bwMode="auto">
                    <a:xfrm>
                      <a:off x="0" y="0"/>
                      <a:ext cx="2447542" cy="750871"/>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A7FCE">
      <w:pPr>
        <w:autoSpaceDE w:val="0"/>
        <w:autoSpaceDN w:val="0"/>
        <w:adjustRightInd w:val="0"/>
      </w:pPr>
      <w:r w:rsidRPr="009016A9">
        <w:rPr>
          <w:noProof/>
          <w:position w:val="-60"/>
        </w:rPr>
        <w:drawing>
          <wp:inline distT="0" distB="0" distL="0" distR="0">
            <wp:extent cx="3198603" cy="923026"/>
            <wp:effectExtent l="19050" t="0" r="1797" b="0"/>
            <wp:docPr id="75"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119" cstate="print"/>
                    <a:srcRect/>
                    <a:stretch>
                      <a:fillRect/>
                    </a:stretch>
                  </pic:blipFill>
                  <pic:spPr bwMode="auto">
                    <a:xfrm>
                      <a:off x="0" y="0"/>
                      <a:ext cx="3223641" cy="930251"/>
                    </a:xfrm>
                    <a:prstGeom prst="rect">
                      <a:avLst/>
                    </a:prstGeom>
                    <a:noFill/>
                    <a:ln w="9525">
                      <a:noFill/>
                      <a:miter lim="800000"/>
                      <a:headEnd/>
                      <a:tailEnd/>
                    </a:ln>
                  </pic:spPr>
                </pic:pic>
              </a:graphicData>
            </a:graphic>
          </wp:inline>
        </w:drawing>
      </w:r>
      <w:r w:rsidRPr="009016A9">
        <w:t xml:space="preserve">  </w:t>
      </w:r>
      <w:r w:rsidRPr="009016A9">
        <w:rPr>
          <w:noProof/>
          <w:position w:val="-60"/>
        </w:rPr>
        <w:drawing>
          <wp:inline distT="0" distB="0" distL="0" distR="0">
            <wp:extent cx="2913296" cy="862642"/>
            <wp:effectExtent l="19050" t="0" r="1354" b="0"/>
            <wp:docPr id="76"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120" cstate="print"/>
                    <a:srcRect/>
                    <a:stretch>
                      <a:fillRect/>
                    </a:stretch>
                  </pic:blipFill>
                  <pic:spPr bwMode="auto">
                    <a:xfrm>
                      <a:off x="0" y="0"/>
                      <a:ext cx="2933118" cy="868511"/>
                    </a:xfrm>
                    <a:prstGeom prst="rect">
                      <a:avLst/>
                    </a:prstGeom>
                    <a:noFill/>
                    <a:ln w="9525">
                      <a:noFill/>
                      <a:miter lim="800000"/>
                      <a:headEnd/>
                      <a:tailEnd/>
                    </a:ln>
                  </pic:spPr>
                </pic:pic>
              </a:graphicData>
            </a:graphic>
          </wp:inline>
        </w:drawing>
      </w:r>
      <w:r w:rsidR="00CA7FCE">
        <w:t xml:space="preserve"> </w:t>
      </w:r>
      <w:r w:rsidRPr="009016A9">
        <w:rPr>
          <w:noProof/>
          <w:position w:val="-60"/>
        </w:rPr>
        <w:drawing>
          <wp:inline distT="0" distB="0" distL="0" distR="0">
            <wp:extent cx="2904468" cy="923027"/>
            <wp:effectExtent l="19050" t="0" r="0" b="0"/>
            <wp:docPr id="77"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121" cstate="print"/>
                    <a:srcRect/>
                    <a:stretch>
                      <a:fillRect/>
                    </a:stretch>
                  </pic:blipFill>
                  <pic:spPr bwMode="auto">
                    <a:xfrm>
                      <a:off x="0" y="0"/>
                      <a:ext cx="2929119" cy="930861"/>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C5C27">
      <w:pPr>
        <w:autoSpaceDE w:val="0"/>
        <w:autoSpaceDN w:val="0"/>
        <w:adjustRightInd w:val="0"/>
      </w:pPr>
      <w:r w:rsidRPr="009016A9">
        <w:rPr>
          <w:noProof/>
          <w:position w:val="-22"/>
        </w:rPr>
        <w:drawing>
          <wp:inline distT="0" distB="0" distL="0" distR="0">
            <wp:extent cx="3443054" cy="905774"/>
            <wp:effectExtent l="19050" t="0" r="4996" b="0"/>
            <wp:docPr id="78"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122" cstate="print"/>
                    <a:srcRect/>
                    <a:stretch>
                      <a:fillRect/>
                    </a:stretch>
                  </pic:blipFill>
                  <pic:spPr bwMode="auto">
                    <a:xfrm>
                      <a:off x="0" y="0"/>
                      <a:ext cx="3444743" cy="906218"/>
                    </a:xfrm>
                    <a:prstGeom prst="rect">
                      <a:avLst/>
                    </a:prstGeom>
                    <a:noFill/>
                    <a:ln w="9525">
                      <a:noFill/>
                      <a:miter lim="800000"/>
                      <a:headEnd/>
                      <a:tailEnd/>
                    </a:ln>
                  </pic:spPr>
                </pic:pic>
              </a:graphicData>
            </a:graphic>
          </wp:inline>
        </w:drawing>
      </w:r>
      <w:r w:rsidRPr="009016A9">
        <w:t xml:space="preserve">             </w:t>
      </w:r>
    </w:p>
    <w:p w:rsidR="00CC5C27" w:rsidRPr="009016A9" w:rsidRDefault="00CC5C27" w:rsidP="00CC5C27">
      <w:pPr>
        <w:autoSpaceDE w:val="0"/>
        <w:autoSpaceDN w:val="0"/>
        <w:adjustRightInd w:val="0"/>
      </w:pPr>
      <w:r w:rsidRPr="009016A9">
        <w:rPr>
          <w:noProof/>
          <w:position w:val="-22"/>
        </w:rPr>
        <w:drawing>
          <wp:inline distT="0" distB="0" distL="0" distR="0">
            <wp:extent cx="3672757" cy="888521"/>
            <wp:effectExtent l="19050" t="0" r="3893" b="0"/>
            <wp:docPr id="79"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123" cstate="print"/>
                    <a:srcRect/>
                    <a:stretch>
                      <a:fillRect/>
                    </a:stretch>
                  </pic:blipFill>
                  <pic:spPr bwMode="auto">
                    <a:xfrm>
                      <a:off x="0" y="0"/>
                      <a:ext cx="3684658" cy="891400"/>
                    </a:xfrm>
                    <a:prstGeom prst="rect">
                      <a:avLst/>
                    </a:prstGeom>
                    <a:noFill/>
                    <a:ln w="9525">
                      <a:noFill/>
                      <a:miter lim="800000"/>
                      <a:headEnd/>
                      <a:tailEnd/>
                    </a:ln>
                  </pic:spPr>
                </pic:pic>
              </a:graphicData>
            </a:graphic>
          </wp:inline>
        </w:drawing>
      </w:r>
      <w:r w:rsidRPr="009016A9">
        <w:t xml:space="preserve">      </w:t>
      </w:r>
    </w:p>
    <w:p w:rsidR="00CC5C27" w:rsidRDefault="00CC5C27" w:rsidP="00CC5C27">
      <w:r w:rsidRPr="009016A9">
        <w:rPr>
          <w:noProof/>
          <w:position w:val="-7"/>
        </w:rPr>
        <w:drawing>
          <wp:inline distT="0" distB="0" distL="0" distR="0">
            <wp:extent cx="1125931" cy="194759"/>
            <wp:effectExtent l="19050" t="0" r="0" b="0"/>
            <wp:docPr id="80"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124" cstate="print"/>
                    <a:srcRect/>
                    <a:stretch>
                      <a:fillRect/>
                    </a:stretch>
                  </pic:blipFill>
                  <pic:spPr bwMode="auto">
                    <a:xfrm>
                      <a:off x="0" y="0"/>
                      <a:ext cx="1129916" cy="195448"/>
                    </a:xfrm>
                    <a:prstGeom prst="rect">
                      <a:avLst/>
                    </a:prstGeom>
                    <a:noFill/>
                    <a:ln w="9525">
                      <a:noFill/>
                      <a:miter lim="800000"/>
                      <a:headEnd/>
                      <a:tailEnd/>
                    </a:ln>
                  </pic:spPr>
                </pic:pic>
              </a:graphicData>
            </a:graphic>
          </wp:inline>
        </w:drawing>
      </w:r>
      <w:r w:rsidRPr="009016A9">
        <w:rPr>
          <w:lang w:bidi="ar-JO"/>
        </w:rPr>
        <w:t xml:space="preserve">                        </w:t>
      </w:r>
      <w:r>
        <w:rPr>
          <w:lang w:bidi="ar-JO"/>
        </w:rPr>
        <w:t xml:space="preserve">                                           </w:t>
      </w:r>
      <w:r w:rsidRPr="009016A9">
        <w:rPr>
          <w:lang w:bidi="ar-JO"/>
        </w:rPr>
        <w:t xml:space="preserve">   </w:t>
      </w:r>
      <w:r w:rsidRPr="009016A9">
        <w:rPr>
          <w:noProof/>
          <w:position w:val="-25"/>
        </w:rPr>
        <w:drawing>
          <wp:inline distT="0" distB="0" distL="0" distR="0">
            <wp:extent cx="1240407" cy="361975"/>
            <wp:effectExtent l="19050" t="0" r="0" b="0"/>
            <wp:docPr id="81"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25" cstate="print"/>
                    <a:srcRect/>
                    <a:stretch>
                      <a:fillRect/>
                    </a:stretch>
                  </pic:blipFill>
                  <pic:spPr bwMode="auto">
                    <a:xfrm>
                      <a:off x="0" y="0"/>
                      <a:ext cx="1242496" cy="362585"/>
                    </a:xfrm>
                    <a:prstGeom prst="rect">
                      <a:avLst/>
                    </a:prstGeom>
                    <a:noFill/>
                    <a:ln w="9525">
                      <a:noFill/>
                      <a:miter lim="800000"/>
                      <a:headEnd/>
                      <a:tailEnd/>
                    </a:ln>
                  </pic:spPr>
                </pic:pic>
              </a:graphicData>
            </a:graphic>
          </wp:inline>
        </w:drawing>
      </w:r>
      <w:r w:rsidRPr="009016A9">
        <w:t xml:space="preserve">   </w:t>
      </w:r>
      <w:r>
        <w:t xml:space="preserve">           </w:t>
      </w:r>
    </w:p>
    <w:p w:rsidR="00CC5C27" w:rsidRDefault="00CC5C27" w:rsidP="00CC5C27">
      <w:r>
        <w:rPr>
          <w:noProof/>
          <w:position w:val="-7"/>
        </w:rPr>
        <w:drawing>
          <wp:inline distT="0" distB="0" distL="0" distR="0">
            <wp:extent cx="1774968" cy="191053"/>
            <wp:effectExtent l="19050" t="0" r="0" b="0"/>
            <wp:docPr id="82"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26" cstate="print"/>
                    <a:srcRect/>
                    <a:stretch>
                      <a:fillRect/>
                    </a:stretch>
                  </pic:blipFill>
                  <pic:spPr bwMode="auto">
                    <a:xfrm>
                      <a:off x="0" y="0"/>
                      <a:ext cx="1804558" cy="194238"/>
                    </a:xfrm>
                    <a:prstGeom prst="rect">
                      <a:avLst/>
                    </a:prstGeom>
                    <a:noFill/>
                    <a:ln w="9525">
                      <a:noFill/>
                      <a:miter lim="800000"/>
                      <a:headEnd/>
                      <a:tailEnd/>
                    </a:ln>
                  </pic:spPr>
                </pic:pic>
              </a:graphicData>
            </a:graphic>
          </wp:inline>
        </w:drawing>
      </w:r>
      <w:r>
        <w:t>,</w:t>
      </w:r>
      <w:r w:rsidRPr="009016A9">
        <w:t xml:space="preserve">   </w:t>
      </w:r>
    </w:p>
    <w:p w:rsidR="00CC5C27" w:rsidRPr="009016A9" w:rsidRDefault="00CC5C27" w:rsidP="00CC5C27">
      <w:pPr>
        <w:rPr>
          <w:lang w:bidi="ar-JO"/>
        </w:rPr>
      </w:pPr>
    </w:p>
    <w:p w:rsidR="00CC5C27" w:rsidRDefault="00CA7FCE" w:rsidP="00CC5C27">
      <w:pPr>
        <w:spacing w:line="480" w:lineRule="auto"/>
      </w:pPr>
      <w:proofErr w:type="gramStart"/>
      <w:r w:rsidRPr="009016A9">
        <w:t>Where</w:t>
      </w:r>
      <w:r w:rsidR="00CC5C27" w:rsidRPr="009016A9">
        <w:rPr>
          <w:noProof/>
          <w:position w:val="-7"/>
        </w:rPr>
        <w:drawing>
          <wp:inline distT="0" distB="0" distL="0" distR="0">
            <wp:extent cx="2374176" cy="339725"/>
            <wp:effectExtent l="19050" t="0" r="7074" b="0"/>
            <wp:docPr id="83"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127" cstate="print"/>
                    <a:srcRect/>
                    <a:stretch>
                      <a:fillRect/>
                    </a:stretch>
                  </pic:blipFill>
                  <pic:spPr bwMode="auto">
                    <a:xfrm>
                      <a:off x="0" y="0"/>
                      <a:ext cx="2439617" cy="349089"/>
                    </a:xfrm>
                    <a:prstGeom prst="rect">
                      <a:avLst/>
                    </a:prstGeom>
                    <a:noFill/>
                    <a:ln w="9525">
                      <a:noFill/>
                      <a:miter lim="800000"/>
                      <a:headEnd/>
                      <a:tailEnd/>
                    </a:ln>
                  </pic:spPr>
                </pic:pic>
              </a:graphicData>
            </a:graphic>
          </wp:inline>
        </w:drawing>
      </w:r>
      <w:r w:rsidR="00CC5C27" w:rsidRPr="009016A9">
        <w:t>.</w:t>
      </w:r>
      <w:proofErr w:type="gramEnd"/>
      <w:r w:rsidR="00CC5C27" w:rsidRPr="009016A9">
        <w:t xml:space="preserve"> </w:t>
      </w:r>
      <w:r w:rsidR="00CC5C27">
        <w:t xml:space="preserve"> </w:t>
      </w:r>
    </w:p>
    <w:p w:rsidR="00CC5C27" w:rsidRDefault="00CC5C27" w:rsidP="00CC5C27">
      <w:pPr>
        <w:spacing w:line="480" w:lineRule="auto"/>
        <w:rPr>
          <w:lang w:bidi="ar-JO"/>
        </w:rPr>
      </w:pPr>
      <w:r>
        <w:rPr>
          <w:lang w:bidi="ar-JO"/>
        </w:rPr>
        <w:t>Note that the above system consists of three types of variables:</w:t>
      </w:r>
    </w:p>
    <w:p w:rsidR="00CC5C27" w:rsidRDefault="00CC5C27" w:rsidP="00D444EF">
      <w:pPr>
        <w:rPr>
          <w:lang w:bidi="ar-JO"/>
        </w:rPr>
      </w:pPr>
      <w:r>
        <w:rPr>
          <w:lang w:bidi="ar-JO"/>
        </w:rPr>
        <w:t xml:space="preserve">The state variables:  </w:t>
      </w:r>
      <w:r>
        <w:rPr>
          <w:lang w:bidi="ar-JO"/>
        </w:rPr>
        <w:tab/>
      </w:r>
      <w:r>
        <w:rPr>
          <w:lang w:bidi="ar-JO"/>
        </w:rPr>
        <w:tab/>
      </w:r>
      <w:r>
        <w:rPr>
          <w:lang w:bidi="ar-JO"/>
        </w:rPr>
        <w:tab/>
        <w:t xml:space="preserve"> </w:t>
      </w:r>
      <w:r w:rsidRPr="00C66C03">
        <w:rPr>
          <w:rFonts w:eastAsiaTheme="minorHAnsi"/>
          <w:position w:val="-14"/>
          <w:lang w:bidi="ar-JO"/>
        </w:rPr>
        <w:object w:dxaOrig="2680" w:dyaOrig="440">
          <v:shape id="_x0000_i1610" type="#_x0000_t75" style="width:134.8pt;height:22.6pt" o:ole="">
            <v:imagedata r:id="rId1128" o:title=""/>
          </v:shape>
          <o:OLEObject Type="Embed" ProgID="Equation.DSMT4" ShapeID="_x0000_i1610" DrawAspect="Content" ObjectID="_1359267533" r:id="rId1129"/>
        </w:object>
      </w:r>
    </w:p>
    <w:p w:rsidR="00CC5C27" w:rsidRDefault="00CC5C27" w:rsidP="00D444EF">
      <w:pPr>
        <w:rPr>
          <w:lang w:bidi="ar-JO"/>
        </w:rPr>
      </w:pPr>
      <w:r>
        <w:rPr>
          <w:lang w:bidi="ar-JO"/>
        </w:rPr>
        <w:t xml:space="preserve">Other endogenous variables:               </w:t>
      </w:r>
      <w:r w:rsidRPr="00C66C03">
        <w:rPr>
          <w:rFonts w:eastAsiaTheme="minorHAnsi"/>
          <w:position w:val="-28"/>
          <w:lang w:bidi="ar-JO"/>
        </w:rPr>
        <w:object w:dxaOrig="3140" w:dyaOrig="720">
          <v:shape id="_x0000_i1611" type="#_x0000_t75" style="width:157.4pt;height:37.65pt" o:ole="">
            <v:imagedata r:id="rId1130" o:title=""/>
          </v:shape>
          <o:OLEObject Type="Embed" ProgID="Equation.DSMT4" ShapeID="_x0000_i1611" DrawAspect="Content" ObjectID="_1359267534" r:id="rId1131"/>
        </w:object>
      </w:r>
    </w:p>
    <w:p w:rsidR="00CC5C27" w:rsidRDefault="00CC5C27" w:rsidP="00D444EF">
      <w:pPr>
        <w:rPr>
          <w:lang w:bidi="ar-JO"/>
        </w:rPr>
      </w:pPr>
      <w:r>
        <w:rPr>
          <w:lang w:bidi="ar-JO"/>
        </w:rPr>
        <w:t xml:space="preserve">The stochastic variables:                     </w:t>
      </w:r>
      <w:r w:rsidRPr="00C66C03">
        <w:rPr>
          <w:rFonts w:eastAsiaTheme="minorHAnsi"/>
          <w:position w:val="-12"/>
          <w:lang w:bidi="ar-JO"/>
        </w:rPr>
        <w:object w:dxaOrig="1020" w:dyaOrig="400">
          <v:shape id="_x0000_i1612" type="#_x0000_t75" style="width:49.4pt;height:17.6pt" o:ole="">
            <v:imagedata r:id="rId1132" o:title=""/>
          </v:shape>
          <o:OLEObject Type="Embed" ProgID="Equation.DSMT4" ShapeID="_x0000_i1612" DrawAspect="Content" ObjectID="_1359267535" r:id="rId1133"/>
        </w:object>
      </w:r>
      <w:r>
        <w:rPr>
          <w:lang w:bidi="ar-JO"/>
        </w:rPr>
        <w:t xml:space="preserve"> </w:t>
      </w:r>
    </w:p>
    <w:p w:rsidR="00CC5C27" w:rsidRDefault="00CC5C27" w:rsidP="00CC5C27">
      <w:pPr>
        <w:ind w:firstLine="720"/>
        <w:rPr>
          <w:lang w:bidi="ar-JO"/>
        </w:rPr>
      </w:pPr>
    </w:p>
    <w:p w:rsidR="00CC5C27" w:rsidRDefault="00CC5C27" w:rsidP="00CC5C27">
      <w:pPr>
        <w:spacing w:line="480" w:lineRule="auto"/>
        <w:rPr>
          <w:lang w:bidi="ar-JO"/>
        </w:rPr>
      </w:pPr>
      <w:r>
        <w:rPr>
          <w:lang w:bidi="ar-JO"/>
        </w:rPr>
        <w:t xml:space="preserve">Moreover, for simplification, we rearrange the system of equations into three distinct blocks: </w:t>
      </w:r>
    </w:p>
    <w:p w:rsidR="00CC5C27" w:rsidRDefault="00CC5C27" w:rsidP="00CC5C27">
      <w:pPr>
        <w:spacing w:before="120" w:line="480" w:lineRule="auto"/>
        <w:rPr>
          <w:b/>
          <w:bCs/>
          <w:lang w:bidi="ar-JO"/>
        </w:rPr>
      </w:pPr>
      <w:r>
        <w:rPr>
          <w:b/>
          <w:bCs/>
          <w:lang w:bidi="ar-JO"/>
        </w:rPr>
        <w:t xml:space="preserve">Block 1: Forward looking rational equations  </w:t>
      </w:r>
    </w:p>
    <w:p w:rsidR="00CC5C27" w:rsidRDefault="00CC5C27" w:rsidP="003C34D1">
      <w:pPr>
        <w:spacing w:line="480" w:lineRule="auto"/>
        <w:jc w:val="both"/>
        <w:rPr>
          <w:rFonts w:eastAsiaTheme="minorHAnsi"/>
          <w:position w:val="-16"/>
        </w:rPr>
      </w:pPr>
      <w:r w:rsidRPr="00C66C03">
        <w:rPr>
          <w:rFonts w:eastAsiaTheme="minorHAnsi"/>
          <w:position w:val="-16"/>
        </w:rPr>
        <w:object w:dxaOrig="9160" w:dyaOrig="420">
          <v:shape id="_x0000_i1613" type="#_x0000_t75" style="width:456.3pt;height:22.6pt" o:ole="">
            <v:imagedata r:id="rId1085" o:title=""/>
          </v:shape>
          <o:OLEObject Type="Embed" ProgID="Equation.DSMT4" ShapeID="_x0000_i1613" DrawAspect="Content" ObjectID="_1359267536" r:id="rId1134"/>
        </w:object>
      </w:r>
      <w:r>
        <w:rPr>
          <w:rFonts w:eastAsiaTheme="minorHAnsi"/>
          <w:position w:val="-16"/>
        </w:rPr>
        <w:tab/>
        <w:t xml:space="preserve"> </w:t>
      </w:r>
      <w:r w:rsidRPr="00C66C03">
        <w:rPr>
          <w:rFonts w:eastAsiaTheme="minorHAnsi"/>
          <w:position w:val="-16"/>
        </w:rPr>
        <w:object w:dxaOrig="8700" w:dyaOrig="420">
          <v:shape id="_x0000_i1614" type="#_x0000_t75" style="width:432.85pt;height:22.6pt" o:ole="">
            <v:imagedata r:id="rId1087" o:title=""/>
          </v:shape>
          <o:OLEObject Type="Embed" ProgID="Equation.DSMT4" ShapeID="_x0000_i1614" DrawAspect="Content" ObjectID="_1359267537" r:id="rId1135"/>
        </w:object>
      </w:r>
      <w:r>
        <w:rPr>
          <w:rFonts w:eastAsiaTheme="minorHAnsi"/>
          <w:position w:val="-16"/>
        </w:rPr>
        <w:t xml:space="preserve"> </w:t>
      </w:r>
      <w:r w:rsidRPr="00C66C03">
        <w:rPr>
          <w:rFonts w:eastAsiaTheme="minorHAnsi"/>
          <w:position w:val="-16"/>
        </w:rPr>
        <w:object w:dxaOrig="8800" w:dyaOrig="420">
          <v:shape id="_x0000_i1615" type="#_x0000_t75" style="width:437.85pt;height:22.6pt" o:ole="">
            <v:imagedata r:id="rId1089" o:title=""/>
          </v:shape>
          <o:OLEObject Type="Embed" ProgID="Equation.DSMT4" ShapeID="_x0000_i1615" DrawAspect="Content" ObjectID="_1359267538" r:id="rId1136"/>
        </w:object>
      </w:r>
    </w:p>
    <w:p w:rsidR="00CC5C27" w:rsidRDefault="00CC5C27" w:rsidP="003C34D1">
      <w:pPr>
        <w:spacing w:line="480" w:lineRule="auto"/>
        <w:jc w:val="both"/>
      </w:pPr>
      <w:r w:rsidRPr="00C66C03">
        <w:rPr>
          <w:rFonts w:eastAsiaTheme="minorHAnsi"/>
          <w:position w:val="-16"/>
        </w:rPr>
        <w:object w:dxaOrig="5320" w:dyaOrig="420">
          <v:shape id="_x0000_i1616" type="#_x0000_t75" style="width:265.4pt;height:22.6pt" o:ole="">
            <v:imagedata r:id="rId1091" o:title=""/>
          </v:shape>
          <o:OLEObject Type="Embed" ProgID="Equation.DSMT4" ShapeID="_x0000_i1616" DrawAspect="Content" ObjectID="_1359267539" r:id="rId1137"/>
        </w:object>
      </w:r>
      <w:r>
        <w:t xml:space="preserve">      </w:t>
      </w:r>
    </w:p>
    <w:p w:rsidR="00CC5C27" w:rsidRDefault="00CC5C27" w:rsidP="003C34D1">
      <w:pPr>
        <w:spacing w:line="480" w:lineRule="auto"/>
        <w:jc w:val="both"/>
      </w:pPr>
      <w:r w:rsidRPr="00C66C03">
        <w:rPr>
          <w:rFonts w:eastAsiaTheme="minorHAnsi"/>
          <w:position w:val="-14"/>
        </w:rPr>
        <w:object w:dxaOrig="2640" w:dyaOrig="380">
          <v:shape id="_x0000_i1617" type="#_x0000_t75" style="width:134.8pt;height:16.75pt" o:ole="">
            <v:imagedata r:id="rId1093" o:title=""/>
          </v:shape>
          <o:OLEObject Type="Embed" ProgID="Equation.DSMT4" ShapeID="_x0000_i1617" DrawAspect="Content" ObjectID="_1359267540" r:id="rId1138"/>
        </w:object>
      </w:r>
      <w:r>
        <w:t xml:space="preserve">                                                                         </w:t>
      </w:r>
      <w:r>
        <w:tab/>
      </w:r>
      <w:r>
        <w:tab/>
      </w:r>
      <w:r>
        <w:tab/>
      </w:r>
    </w:p>
    <w:p w:rsidR="00CC5C27" w:rsidRDefault="00CC5C27" w:rsidP="00CC5C27">
      <w:pPr>
        <w:spacing w:before="120" w:after="120"/>
        <w:rPr>
          <w:b/>
          <w:bCs/>
          <w:lang w:bidi="ar-JO"/>
        </w:rPr>
      </w:pPr>
      <w:r>
        <w:rPr>
          <w:b/>
          <w:bCs/>
          <w:lang w:bidi="ar-JO"/>
        </w:rPr>
        <w:t xml:space="preserve">Block 2: Static equations   </w:t>
      </w:r>
    </w:p>
    <w:p w:rsidR="00CC5C27" w:rsidRDefault="00CC5C27" w:rsidP="003C34D1">
      <w:pPr>
        <w:spacing w:line="480" w:lineRule="auto"/>
      </w:pPr>
      <w:r w:rsidRPr="00C66C03">
        <w:rPr>
          <w:rFonts w:eastAsiaTheme="minorHAnsi"/>
          <w:position w:val="-20"/>
        </w:rPr>
        <w:object w:dxaOrig="4120" w:dyaOrig="540">
          <v:shape id="_x0000_i1618" type="#_x0000_t75" style="width:206.8pt;height:25.1pt" o:ole="">
            <v:imagedata r:id="rId1069" o:title=""/>
          </v:shape>
          <o:OLEObject Type="Embed" ProgID="Equation.DSMT4" ShapeID="_x0000_i1618" DrawAspect="Content" ObjectID="_1359267541" r:id="rId1139"/>
        </w:object>
      </w:r>
      <w:r>
        <w:t xml:space="preserve">                                                         </w:t>
      </w:r>
      <w:r>
        <w:tab/>
      </w:r>
      <w:r>
        <w:tab/>
      </w:r>
    </w:p>
    <w:p w:rsidR="00CC5C27" w:rsidRDefault="00CC5C27" w:rsidP="003C34D1">
      <w:pPr>
        <w:spacing w:line="480" w:lineRule="auto"/>
      </w:pPr>
      <w:r w:rsidRPr="00C66C03">
        <w:rPr>
          <w:rFonts w:eastAsiaTheme="minorHAnsi"/>
          <w:position w:val="-10"/>
        </w:rPr>
        <w:object w:dxaOrig="2020" w:dyaOrig="340">
          <v:shape id="_x0000_i1619" type="#_x0000_t75" style="width:102.15pt;height:17.6pt" o:ole="">
            <v:imagedata r:id="rId1071" o:title=""/>
          </v:shape>
          <o:OLEObject Type="Embed" ProgID="Equation.DSMT4" ShapeID="_x0000_i1619" DrawAspect="Content" ObjectID="_1359267542" r:id="rId1140"/>
        </w:object>
      </w:r>
      <w:r>
        <w:t xml:space="preserve">                                                             </w:t>
      </w:r>
      <w:r w:rsidR="000A3457">
        <w:t xml:space="preserve">                             </w:t>
      </w:r>
      <w:r w:rsidR="000A3457">
        <w:tab/>
      </w:r>
      <w:r w:rsidR="000A3457">
        <w:tab/>
      </w:r>
    </w:p>
    <w:p w:rsidR="00CC5C27" w:rsidRDefault="00CC5C27" w:rsidP="003C34D1">
      <w:r w:rsidRPr="00C66C03">
        <w:rPr>
          <w:rFonts w:eastAsiaTheme="minorHAnsi"/>
          <w:position w:val="-10"/>
        </w:rPr>
        <w:object w:dxaOrig="2339" w:dyaOrig="340">
          <v:shape id="_x0000_i1620" type="#_x0000_t75" style="width:118.9pt;height:17.6pt" o:ole="">
            <v:imagedata r:id="rId1073" o:title=""/>
          </v:shape>
          <o:OLEObject Type="Embed" ProgID="Equation.DSMT4" ShapeID="_x0000_i1620" DrawAspect="Content" ObjectID="_1359267543" r:id="rId1141"/>
        </w:object>
      </w:r>
      <w:r>
        <w:t xml:space="preserve">                                                                                      </w:t>
      </w:r>
      <w:r>
        <w:tab/>
      </w:r>
      <w:r>
        <w:tab/>
      </w:r>
      <w:r>
        <w:tab/>
      </w:r>
    </w:p>
    <w:p w:rsidR="00CC5C27" w:rsidRDefault="00CC5C27" w:rsidP="003C34D1">
      <w:r w:rsidRPr="00C66C03">
        <w:rPr>
          <w:rFonts w:eastAsiaTheme="minorHAnsi"/>
          <w:position w:val="-12"/>
        </w:rPr>
        <w:object w:dxaOrig="2500" w:dyaOrig="360">
          <v:shape id="_x0000_i1621" type="#_x0000_t75" style="width:127.25pt;height:17.6pt" o:ole="">
            <v:imagedata r:id="rId1077" o:title=""/>
          </v:shape>
          <o:OLEObject Type="Embed" ProgID="Equation.DSMT4" ShapeID="_x0000_i1621" DrawAspect="Content" ObjectID="_1359267544" r:id="rId1142"/>
        </w:object>
      </w:r>
      <w:r>
        <w:t xml:space="preserve">                                                                                 </w:t>
      </w:r>
      <w:r>
        <w:tab/>
      </w:r>
      <w:r>
        <w:tab/>
      </w:r>
      <w:r>
        <w:tab/>
      </w:r>
    </w:p>
    <w:p w:rsidR="00CC5C27" w:rsidRDefault="00CC5C27" w:rsidP="003C34D1">
      <w:r w:rsidRPr="00C66C03">
        <w:rPr>
          <w:rFonts w:eastAsiaTheme="minorHAnsi"/>
          <w:position w:val="-10"/>
        </w:rPr>
        <w:object w:dxaOrig="1040" w:dyaOrig="340">
          <v:shape id="_x0000_i1622" type="#_x0000_t75" style="width:54.4pt;height:17.6pt" o:ole="">
            <v:imagedata r:id="rId1079" o:title=""/>
          </v:shape>
          <o:OLEObject Type="Embed" ProgID="Equation.DSMT4" ShapeID="_x0000_i1622" DrawAspect="Content" ObjectID="_1359267545" r:id="rId1143"/>
        </w:object>
      </w:r>
      <w:r>
        <w:rPr>
          <w:position w:val="-12"/>
        </w:rPr>
        <w:t xml:space="preserve">                                                   </w:t>
      </w:r>
      <w:r>
        <w:t xml:space="preserve">                                                         </w:t>
      </w:r>
      <w:r>
        <w:tab/>
      </w:r>
      <w:r>
        <w:tab/>
      </w:r>
      <w:r>
        <w:tab/>
      </w:r>
    </w:p>
    <w:p w:rsidR="00CC5C27" w:rsidRDefault="00CC5C27" w:rsidP="003C34D1">
      <w:r w:rsidRPr="00C66C03">
        <w:rPr>
          <w:rFonts w:eastAsiaTheme="minorHAnsi"/>
          <w:position w:val="-12"/>
        </w:rPr>
        <w:object w:dxaOrig="2780" w:dyaOrig="360">
          <v:shape id="_x0000_i1623" type="#_x0000_t75" style="width:141.5pt;height:17.6pt" o:ole="">
            <v:imagedata r:id="rId1081" o:title=""/>
          </v:shape>
          <o:OLEObject Type="Embed" ProgID="Equation.DSMT4" ShapeID="_x0000_i1623" DrawAspect="Content" ObjectID="_1359267546" r:id="rId1144"/>
        </w:object>
      </w:r>
      <w:r>
        <w:t xml:space="preserve">                                                                           </w:t>
      </w:r>
      <w:r>
        <w:tab/>
      </w:r>
      <w:r>
        <w:tab/>
      </w:r>
      <w:r>
        <w:tab/>
      </w:r>
    </w:p>
    <w:p w:rsidR="00CC5C27" w:rsidRDefault="00CC5C27" w:rsidP="003C34D1">
      <w:r w:rsidRPr="00C66C03">
        <w:rPr>
          <w:rFonts w:eastAsiaTheme="minorHAnsi"/>
          <w:position w:val="-10"/>
        </w:rPr>
        <w:object w:dxaOrig="1259" w:dyaOrig="340">
          <v:shape id="_x0000_i1624" type="#_x0000_t75" style="width:62.8pt;height:17.6pt" o:ole="">
            <v:imagedata r:id="rId1095" o:title=""/>
          </v:shape>
          <o:OLEObject Type="Embed" ProgID="Equation.DSMT4" ShapeID="_x0000_i1624" DrawAspect="Content" ObjectID="_1359267547" r:id="rId1145"/>
        </w:object>
      </w:r>
      <w:r>
        <w:t xml:space="preserve">                                                                                                          </w:t>
      </w:r>
      <w:r>
        <w:tab/>
      </w:r>
      <w:r>
        <w:tab/>
      </w:r>
      <w:r>
        <w:tab/>
      </w:r>
    </w:p>
    <w:p w:rsidR="00CC5C27" w:rsidRDefault="00CC5C27" w:rsidP="003C34D1">
      <w:pPr>
        <w:rPr>
          <w:position w:val="-24"/>
        </w:rPr>
      </w:pPr>
      <w:r w:rsidRPr="00C66C03">
        <w:rPr>
          <w:rFonts w:eastAsiaTheme="minorHAnsi"/>
          <w:position w:val="-24"/>
        </w:rPr>
        <w:object w:dxaOrig="3040" w:dyaOrig="600">
          <v:shape id="_x0000_i1625" type="#_x0000_t75" style="width:151.55pt;height:30.15pt" o:ole="">
            <v:imagedata r:id="rId1097" o:title=""/>
          </v:shape>
          <o:OLEObject Type="Embed" ProgID="Equation.DSMT4" ShapeID="_x0000_i1625" DrawAspect="Content" ObjectID="_1359267548" r:id="rId1146"/>
        </w:object>
      </w:r>
      <w:r>
        <w:rPr>
          <w:position w:val="-24"/>
        </w:rPr>
        <w:t xml:space="preserve">   </w:t>
      </w:r>
      <w:r>
        <w:t xml:space="preserve">                                            </w:t>
      </w:r>
    </w:p>
    <w:p w:rsidR="00CC5C27" w:rsidRDefault="00CC5C27" w:rsidP="003C34D1">
      <w:r w:rsidRPr="00C66C03">
        <w:rPr>
          <w:rFonts w:eastAsiaTheme="minorHAnsi"/>
          <w:position w:val="-24"/>
        </w:rPr>
        <w:object w:dxaOrig="3860" w:dyaOrig="600">
          <v:shape id="_x0000_i1626" type="#_x0000_t75" style="width:193.4pt;height:30.15pt" o:ole="">
            <v:imagedata r:id="rId1099" o:title=""/>
          </v:shape>
          <o:OLEObject Type="Embed" ProgID="Equation.DSMT4" ShapeID="_x0000_i1626" DrawAspect="Content" ObjectID="_1359267549" r:id="rId1147"/>
        </w:object>
      </w:r>
      <w:r>
        <w:rPr>
          <w:position w:val="-24"/>
        </w:rPr>
        <w:t xml:space="preserve">   </w:t>
      </w:r>
      <w:r>
        <w:t xml:space="preserve">                                                          </w:t>
      </w:r>
    </w:p>
    <w:p w:rsidR="00CC5C27" w:rsidRDefault="00CC5C27" w:rsidP="00CC5C27">
      <w:pPr>
        <w:spacing w:before="120" w:after="120"/>
        <w:rPr>
          <w:b/>
          <w:bCs/>
          <w:lang w:bidi="ar-JO"/>
        </w:rPr>
      </w:pPr>
      <w:r>
        <w:rPr>
          <w:b/>
          <w:bCs/>
          <w:lang w:bidi="ar-JO"/>
        </w:rPr>
        <w:t>Block 3: Stochastic equations</w:t>
      </w:r>
    </w:p>
    <w:p w:rsidR="00CC5C27" w:rsidRPr="00560958" w:rsidRDefault="00CC5C27" w:rsidP="003C34D1">
      <w:pPr>
        <w:spacing w:before="120" w:after="120"/>
        <w:rPr>
          <w:rFonts w:eastAsiaTheme="minorHAnsi"/>
          <w:position w:val="-20"/>
        </w:rPr>
      </w:pPr>
      <w:r w:rsidRPr="00560958">
        <w:rPr>
          <w:rFonts w:eastAsiaTheme="minorHAnsi"/>
          <w:position w:val="-20"/>
        </w:rPr>
        <w:object w:dxaOrig="1179" w:dyaOrig="340">
          <v:shape id="_x0000_i1627" type="#_x0000_t75" style="width:62.8pt;height:17.6pt" o:ole="">
            <v:imagedata r:id="rId1075" o:title=""/>
          </v:shape>
          <o:OLEObject Type="Embed" ProgID="Equation.DSMT4" ShapeID="_x0000_i1627" DrawAspect="Content" ObjectID="_1359267550" r:id="rId1148"/>
        </w:object>
      </w:r>
      <w:r w:rsidRPr="00560958">
        <w:rPr>
          <w:rFonts w:eastAsiaTheme="minorHAnsi"/>
          <w:position w:val="-20"/>
        </w:rPr>
        <w:t xml:space="preserve">                                                                                                        </w:t>
      </w:r>
    </w:p>
    <w:p w:rsidR="00CC5C27" w:rsidRDefault="00CC5C27" w:rsidP="003C34D1">
      <w:pPr>
        <w:spacing w:before="120" w:after="120"/>
      </w:pPr>
      <w:r w:rsidRPr="00560958">
        <w:rPr>
          <w:rFonts w:eastAsiaTheme="minorHAnsi"/>
          <w:position w:val="-20"/>
        </w:rPr>
        <w:object w:dxaOrig="1179" w:dyaOrig="320">
          <v:shape id="_x0000_i1628" type="#_x0000_t75" style="width:62.8pt;height:15.9pt" o:ole="">
            <v:imagedata r:id="rId1083" o:title=""/>
          </v:shape>
          <o:OLEObject Type="Embed" ProgID="Equation.DSMT4" ShapeID="_x0000_i1628" DrawAspect="Content" ObjectID="_1359267551" r:id="rId1149"/>
        </w:object>
      </w:r>
      <w:r w:rsidRPr="00560958">
        <w:rPr>
          <w:rFonts w:eastAsiaTheme="minorHAnsi"/>
          <w:position w:val="-20"/>
        </w:rPr>
        <w:t xml:space="preserve">                                                                                                       </w:t>
      </w:r>
    </w:p>
    <w:p w:rsidR="00CC5C27" w:rsidRDefault="00CC5C27" w:rsidP="006A3EF5">
      <w:pPr>
        <w:spacing w:before="120" w:after="120"/>
        <w:rPr>
          <w:lang w:bidi="ar-JO"/>
        </w:rPr>
      </w:pPr>
      <w:r>
        <w:rPr>
          <w:lang w:bidi="ar-JO"/>
        </w:rPr>
        <w:t>These three blocks can be re-written as:</w:t>
      </w:r>
    </w:p>
    <w:p w:rsidR="00CC5C27" w:rsidRPr="00560958" w:rsidRDefault="00CC5C27" w:rsidP="003C34D1">
      <w:pPr>
        <w:spacing w:before="120" w:after="120"/>
        <w:rPr>
          <w:lang w:bidi="ar-JO"/>
        </w:rPr>
      </w:pPr>
      <w:r w:rsidRPr="00560958">
        <w:rPr>
          <w:lang w:bidi="ar-JO"/>
        </w:rPr>
        <w:t>1.</w:t>
      </w:r>
      <w:r w:rsidRPr="00560958">
        <w:rPr>
          <w:position w:val="-10"/>
          <w:lang w:bidi="ar-JO"/>
        </w:rPr>
        <w:object w:dxaOrig="4459" w:dyaOrig="279">
          <v:shape id="_x0000_i1629" type="#_x0000_t75" style="width:223.55pt;height:14.25pt" o:ole="">
            <v:imagedata r:id="rId1150" o:title=""/>
          </v:shape>
          <o:OLEObject Type="Embed" ProgID="Equation.DSMT4" ShapeID="_x0000_i1629" DrawAspect="Content" ObjectID="_1359267552" r:id="rId1151"/>
        </w:object>
      </w:r>
    </w:p>
    <w:p w:rsidR="00CC5C27" w:rsidRPr="00560958" w:rsidRDefault="00CC5C27" w:rsidP="003C34D1">
      <w:pPr>
        <w:spacing w:before="120" w:after="120"/>
        <w:rPr>
          <w:lang w:bidi="ar-JO"/>
        </w:rPr>
      </w:pPr>
      <w:r w:rsidRPr="00560958">
        <w:rPr>
          <w:lang w:bidi="ar-JO"/>
        </w:rPr>
        <w:t>2.</w:t>
      </w:r>
      <w:r w:rsidRPr="00560958">
        <w:rPr>
          <w:position w:val="-10"/>
          <w:lang w:bidi="ar-JO"/>
        </w:rPr>
        <w:object w:dxaOrig="2299" w:dyaOrig="279">
          <v:shape id="_x0000_i1630" type="#_x0000_t75" style="width:113.85pt;height:14.25pt" o:ole="">
            <v:imagedata r:id="rId1152" o:title=""/>
          </v:shape>
          <o:OLEObject Type="Embed" ProgID="Equation.DSMT4" ShapeID="_x0000_i1630" DrawAspect="Content" ObjectID="_1359267553" r:id="rId1153"/>
        </w:object>
      </w:r>
    </w:p>
    <w:p w:rsidR="00CC5C27" w:rsidRDefault="00CC5C27" w:rsidP="003C34D1">
      <w:pPr>
        <w:spacing w:before="120" w:after="120"/>
        <w:rPr>
          <w:lang w:bidi="ar-JO"/>
        </w:rPr>
      </w:pPr>
      <w:r w:rsidRPr="00560958">
        <w:rPr>
          <w:lang w:bidi="ar-JO"/>
        </w:rPr>
        <w:t>3.</w:t>
      </w:r>
      <w:r w:rsidRPr="00560958">
        <w:rPr>
          <w:position w:val="-10"/>
          <w:lang w:bidi="ar-JO"/>
        </w:rPr>
        <w:object w:dxaOrig="1280" w:dyaOrig="279">
          <v:shape id="_x0000_i1631" type="#_x0000_t75" style="width:64.45pt;height:14.25pt" o:ole="">
            <v:imagedata r:id="rId1154" o:title=""/>
          </v:shape>
          <o:OLEObject Type="Embed" ProgID="Equation.DSMT4" ShapeID="_x0000_i1631" DrawAspect="Content" ObjectID="_1359267554" r:id="rId1155"/>
        </w:object>
      </w:r>
      <w:r w:rsidRPr="00560958">
        <w:rPr>
          <w:lang w:bidi="ar-JO"/>
        </w:rPr>
        <w:t xml:space="preserve"> With </w:t>
      </w:r>
      <w:r w:rsidRPr="00560958">
        <w:rPr>
          <w:position w:val="-10"/>
          <w:lang w:bidi="ar-JO"/>
        </w:rPr>
        <w:object w:dxaOrig="940" w:dyaOrig="279">
          <v:shape id="_x0000_i1632" type="#_x0000_t75" style="width:46.9pt;height:14.25pt" o:ole="">
            <v:imagedata r:id="rId1156" o:title=""/>
          </v:shape>
          <o:OLEObject Type="Embed" ProgID="Equation.DSMT4" ShapeID="_x0000_i1632" DrawAspect="Content" ObjectID="_1359267555" r:id="rId1157"/>
        </w:object>
      </w:r>
    </w:p>
    <w:p w:rsidR="00CC5C27" w:rsidRDefault="00CC5C27" w:rsidP="00CC5C27">
      <w:pPr>
        <w:pStyle w:val="MTDisplayEquation"/>
        <w:spacing w:before="120" w:after="120"/>
        <w:jc w:val="left"/>
        <w:rPr>
          <w:lang w:bidi="ar-JO"/>
        </w:rPr>
      </w:pPr>
      <w:r w:rsidRPr="00330ABB">
        <w:rPr>
          <w:i/>
          <w:iCs/>
          <w:sz w:val="22"/>
          <w:szCs w:val="22"/>
        </w:rPr>
        <w:t xml:space="preserve">A, </w:t>
      </w:r>
      <w:proofErr w:type="gramStart"/>
      <w:r w:rsidRPr="00330ABB">
        <w:rPr>
          <w:i/>
          <w:iCs/>
          <w:sz w:val="22"/>
          <w:szCs w:val="22"/>
        </w:rPr>
        <w:t>B, …M</w:t>
      </w:r>
      <w:proofErr w:type="gramEnd"/>
      <w:r w:rsidRPr="00330ABB">
        <w:rPr>
          <w:i/>
          <w:iCs/>
          <w:sz w:val="22"/>
          <w:szCs w:val="22"/>
        </w:rPr>
        <w:t>, N</w:t>
      </w:r>
      <w:r>
        <w:rPr>
          <w:sz w:val="22"/>
          <w:szCs w:val="22"/>
        </w:rPr>
        <w:t xml:space="preserve"> are coefficient matrices with the elements descried in above three blocks. </w:t>
      </w:r>
      <w:r>
        <w:rPr>
          <w:lang w:bidi="ar-JO"/>
        </w:rPr>
        <w:t xml:space="preserve">We solve the system following the method of undetermined coefficients.  The systems </w:t>
      </w:r>
      <w:r>
        <w:rPr>
          <w:b/>
          <w:bCs/>
          <w:lang w:bidi="ar-JO"/>
        </w:rPr>
        <w:t>1-3</w:t>
      </w:r>
      <w:r>
        <w:rPr>
          <w:lang w:bidi="ar-JO"/>
        </w:rPr>
        <w:t xml:space="preserve"> is a set of difference equations with rational expectation feature. The solution for such difference equations consist of policy function of the form "suggested solution"</w:t>
      </w:r>
    </w:p>
    <w:p w:rsidR="00CC5C27" w:rsidRDefault="00CC5C27" w:rsidP="00CC5C27">
      <w:pPr>
        <w:pStyle w:val="MTDisplayEquation"/>
        <w:spacing w:before="120" w:after="120" w:line="240" w:lineRule="auto"/>
        <w:jc w:val="left"/>
        <w:rPr>
          <w:rFonts w:eastAsiaTheme="minorHAnsi"/>
          <w:position w:val="-38"/>
          <w:lang w:bidi="ar-JO"/>
        </w:rPr>
      </w:pPr>
      <w:r w:rsidRPr="00560958">
        <w:rPr>
          <w:rFonts w:eastAsiaTheme="minorHAnsi"/>
          <w:position w:val="-10"/>
          <w:lang w:bidi="ar-JO"/>
        </w:rPr>
        <w:object w:dxaOrig="1359" w:dyaOrig="279">
          <v:shape id="_x0000_i1633" type="#_x0000_t75" style="width:69.5pt;height:13.4pt" o:ole="">
            <v:imagedata r:id="rId1158" o:title=""/>
          </v:shape>
          <o:OLEObject Type="Embed" ProgID="Equation.DSMT4" ShapeID="_x0000_i1633" DrawAspect="Content" ObjectID="_1359267556" r:id="rId1159"/>
        </w:object>
      </w:r>
    </w:p>
    <w:p w:rsidR="00CC5C27" w:rsidRDefault="00CC5C27" w:rsidP="00CC5C27">
      <w:pPr>
        <w:spacing w:before="120" w:after="120"/>
        <w:rPr>
          <w:lang w:bidi="ar-JO"/>
        </w:rPr>
      </w:pPr>
      <w:r w:rsidRPr="00560958">
        <w:rPr>
          <w:position w:val="-10"/>
          <w:lang w:bidi="ar-JO"/>
        </w:rPr>
        <w:object w:dxaOrig="1480" w:dyaOrig="279">
          <v:shape id="_x0000_i1634" type="#_x0000_t75" style="width:74.5pt;height:13.4pt" o:ole="">
            <v:imagedata r:id="rId1160" o:title=""/>
          </v:shape>
          <o:OLEObject Type="Embed" ProgID="Equation.DSMT4" ShapeID="_x0000_i1634" DrawAspect="Content" ObjectID="_1359267557" r:id="rId1161"/>
        </w:object>
      </w:r>
    </w:p>
    <w:p w:rsidR="00CC5C27" w:rsidRPr="000A3457" w:rsidRDefault="00CC5C27" w:rsidP="006A3EF5">
      <w:pPr>
        <w:pStyle w:val="MTDisplayEquation"/>
        <w:spacing w:before="120" w:after="120"/>
        <w:jc w:val="left"/>
        <w:rPr>
          <w:rFonts w:eastAsia="Times New Roman"/>
          <w:position w:val="0"/>
          <w:lang w:eastAsia="en-US"/>
        </w:rPr>
      </w:pPr>
      <w:r w:rsidRPr="000A3457">
        <w:rPr>
          <w:rFonts w:eastAsia="Times New Roman"/>
          <w:position w:val="0"/>
          <w:lang w:eastAsia="en-US"/>
        </w:rPr>
        <w:t>If we plug this solution into 1-3 above, the coefficient matrices that solve the</w:t>
      </w:r>
      <w:r w:rsidR="000A3457" w:rsidRPr="000A3457">
        <w:rPr>
          <w:rFonts w:eastAsia="Times New Roman"/>
          <w:position w:val="0"/>
          <w:lang w:eastAsia="en-US"/>
        </w:rPr>
        <w:t xml:space="preserve"> </w:t>
      </w:r>
      <w:r w:rsidRPr="000A3457">
        <w:rPr>
          <w:rFonts w:eastAsia="Times New Roman"/>
          <w:position w:val="0"/>
          <w:lang w:eastAsia="en-US"/>
        </w:rPr>
        <w:t xml:space="preserve">system </w:t>
      </w:r>
      <w:r w:rsidR="000A3457" w:rsidRPr="000A3457">
        <w:rPr>
          <w:rFonts w:eastAsia="Times New Roman"/>
          <w:position w:val="-12"/>
          <w:lang w:eastAsia="en-US"/>
        </w:rPr>
        <w:object w:dxaOrig="940" w:dyaOrig="320">
          <v:shape id="_x0000_i1635" type="#_x0000_t75" style="width:46.9pt;height:15.9pt" o:ole="">
            <v:imagedata r:id="rId1162" o:title=""/>
          </v:shape>
          <o:OLEObject Type="Embed" ProgID="Equation.DSMT4" ShapeID="_x0000_i1635" DrawAspect="Content" ObjectID="_1359267558" r:id="rId1163"/>
        </w:object>
      </w:r>
      <w:r w:rsidRPr="000A3457">
        <w:rPr>
          <w:rFonts w:eastAsia="Times New Roman"/>
          <w:position w:val="0"/>
          <w:lang w:eastAsia="en-US"/>
        </w:rPr>
        <w:t xml:space="preserve">must satisfy </w:t>
      </w:r>
    </w:p>
    <w:p w:rsidR="00CC5C27" w:rsidRDefault="00CC5C27" w:rsidP="003C34D1">
      <w:pPr>
        <w:spacing w:before="120" w:after="120"/>
        <w:rPr>
          <w:lang w:bidi="ar-JO"/>
        </w:rPr>
      </w:pPr>
      <w:r w:rsidRPr="00C66C03">
        <w:rPr>
          <w:rFonts w:eastAsiaTheme="minorHAnsi"/>
          <w:position w:val="-10"/>
          <w:lang w:bidi="ar-JO"/>
        </w:rPr>
        <w:object w:dxaOrig="1839" w:dyaOrig="320">
          <v:shape id="_x0000_i1636" type="#_x0000_t75" style="width:89.6pt;height:15.9pt" o:ole="">
            <v:imagedata r:id="rId1164" o:title=""/>
          </v:shape>
          <o:OLEObject Type="Embed" ProgID="Equation.DSMT4" ShapeID="_x0000_i1636" DrawAspect="Content" ObjectID="_1359267559" r:id="rId1165"/>
        </w:object>
      </w:r>
    </w:p>
    <w:p w:rsidR="00CC5C27" w:rsidRDefault="00CC5C27" w:rsidP="003C34D1">
      <w:pPr>
        <w:spacing w:before="120" w:after="120"/>
        <w:rPr>
          <w:lang w:bidi="ar-JO"/>
        </w:rPr>
      </w:pPr>
      <w:r w:rsidRPr="00C66C03">
        <w:rPr>
          <w:rFonts w:eastAsiaTheme="minorHAnsi"/>
          <w:position w:val="-10"/>
          <w:lang w:bidi="ar-JO"/>
        </w:rPr>
        <w:object w:dxaOrig="5080" w:dyaOrig="320">
          <v:shape id="_x0000_i1637" type="#_x0000_t75" style="width:255.35pt;height:15.9pt" o:ole="">
            <v:imagedata r:id="rId1166" o:title=""/>
          </v:shape>
          <o:OLEObject Type="Embed" ProgID="Equation.DSMT4" ShapeID="_x0000_i1637" DrawAspect="Content" ObjectID="_1359267560" r:id="rId1167"/>
        </w:object>
      </w:r>
    </w:p>
    <w:p w:rsidR="00CC5C27" w:rsidRDefault="00CC5C27" w:rsidP="003C34D1">
      <w:pPr>
        <w:spacing w:before="120" w:after="120"/>
        <w:rPr>
          <w:rFonts w:eastAsiaTheme="minorHAnsi"/>
          <w:position w:val="-32"/>
        </w:rPr>
      </w:pPr>
      <w:r w:rsidRPr="00C66C03">
        <w:rPr>
          <w:rFonts w:eastAsiaTheme="minorHAnsi"/>
          <w:position w:val="-32"/>
        </w:rPr>
        <w:object w:dxaOrig="5560" w:dyaOrig="740">
          <v:shape id="_x0000_i1638" type="#_x0000_t75" style="width:277.1pt;height:38.5pt" o:ole="">
            <v:imagedata r:id="rId1168" o:title=""/>
          </v:shape>
          <o:OLEObject Type="Embed" ProgID="Equation.DSMT4" ShapeID="_x0000_i1638" DrawAspect="Content" ObjectID="_1359267561" r:id="rId1169"/>
        </w:object>
      </w:r>
    </w:p>
    <w:p w:rsidR="00CC5C27" w:rsidRDefault="00CC5C27" w:rsidP="003C34D1">
      <w:pPr>
        <w:pStyle w:val="MTDisplayEquation"/>
        <w:spacing w:before="120" w:after="120" w:line="240" w:lineRule="auto"/>
        <w:jc w:val="left"/>
        <w:rPr>
          <w:rFonts w:eastAsia="Batang"/>
          <w:position w:val="-10"/>
          <w:sz w:val="22"/>
          <w:szCs w:val="22"/>
          <w:lang w:bidi="ar-JO"/>
        </w:rPr>
      </w:pPr>
      <w:r w:rsidRPr="00C66C03">
        <w:rPr>
          <w:rFonts w:eastAsia="Batang"/>
          <w:position w:val="-10"/>
          <w:sz w:val="22"/>
          <w:szCs w:val="22"/>
          <w:lang w:bidi="ar-JO"/>
        </w:rPr>
        <w:object w:dxaOrig="1600" w:dyaOrig="320">
          <v:shape id="_x0000_i1639" type="#_x0000_t75" style="width:79.55pt;height:15.9pt" o:ole="">
            <v:imagedata r:id="rId1170" o:title=""/>
          </v:shape>
          <o:OLEObject Type="Embed" ProgID="Equation.DSMT4" ShapeID="_x0000_i1639" DrawAspect="Content" ObjectID="_1359267562" r:id="rId1171"/>
        </w:object>
      </w:r>
    </w:p>
    <w:p w:rsidR="00CC5C27" w:rsidRDefault="00CC5C27" w:rsidP="006A3EF5">
      <w:pPr>
        <w:spacing w:line="480" w:lineRule="auto"/>
        <w:rPr>
          <w:lang w:bidi="ar-JO"/>
        </w:rPr>
      </w:pPr>
      <w:r>
        <w:rPr>
          <w:lang w:bidi="ar-JO"/>
        </w:rPr>
        <w:t>The coefficient matrices that solve the “suggested solution” are:</w:t>
      </w:r>
    </w:p>
    <w:p w:rsidR="00CC5C27" w:rsidRDefault="00CC5C27" w:rsidP="00CC5C27">
      <w:pPr>
        <w:spacing w:before="120" w:after="120"/>
        <w:ind w:left="720"/>
        <w:rPr>
          <w:position w:val="-94"/>
          <w:lang w:bidi="ar-JO"/>
        </w:rPr>
      </w:pPr>
      <w:r w:rsidRPr="00C66C03">
        <w:rPr>
          <w:rFonts w:eastAsiaTheme="minorHAnsi"/>
          <w:position w:val="-94"/>
          <w:lang w:bidi="ar-JO"/>
        </w:rPr>
        <w:object w:dxaOrig="5340" w:dyaOrig="2000">
          <v:shape id="_x0000_i1640" type="#_x0000_t75" style="width:265.4pt;height:97.1pt" o:ole="">
            <v:imagedata r:id="rId1172" o:title=""/>
          </v:shape>
          <o:OLEObject Type="Embed" ProgID="Equation.DSMT4" ShapeID="_x0000_i1640" DrawAspect="Content" ObjectID="_1359267563" r:id="rId1173"/>
        </w:object>
      </w:r>
      <w:r>
        <w:rPr>
          <w:rFonts w:eastAsiaTheme="minorHAnsi"/>
          <w:position w:val="-94"/>
          <w:lang w:bidi="ar-JO"/>
        </w:rPr>
        <w:t xml:space="preserve">        </w:t>
      </w:r>
      <w:r w:rsidRPr="00C66C03">
        <w:rPr>
          <w:rFonts w:eastAsiaTheme="minorHAnsi"/>
          <w:position w:val="-94"/>
          <w:lang w:bidi="ar-JO"/>
        </w:rPr>
        <w:object w:dxaOrig="2340" w:dyaOrig="2000">
          <v:shape id="_x0000_i1641" type="#_x0000_t75" style="width:118.9pt;height:97.1pt" o:ole="">
            <v:imagedata r:id="rId1174" o:title=""/>
          </v:shape>
          <o:OLEObject Type="Embed" ProgID="Equation.DSMT4" ShapeID="_x0000_i1641" DrawAspect="Content" ObjectID="_1359267564" r:id="rId1175"/>
        </w:object>
      </w:r>
    </w:p>
    <w:p w:rsidR="00CC5C27" w:rsidRDefault="00CC5C27" w:rsidP="00CC5C27">
      <w:pPr>
        <w:spacing w:before="120" w:after="120"/>
        <w:ind w:left="720"/>
        <w:rPr>
          <w:lang w:bidi="ar-JO"/>
        </w:rPr>
      </w:pPr>
      <w:r>
        <w:rPr>
          <w:lang w:bidi="ar-JO"/>
        </w:rPr>
        <w:t xml:space="preserve"> </w:t>
      </w:r>
      <w:r w:rsidRPr="00C66C03">
        <w:rPr>
          <w:rFonts w:eastAsiaTheme="minorHAnsi"/>
          <w:position w:val="-128"/>
          <w:lang w:bidi="ar-JO"/>
        </w:rPr>
        <w:object w:dxaOrig="5480" w:dyaOrig="2660">
          <v:shape id="_x0000_i1642" type="#_x0000_t75" style="width:272.1pt;height:134.8pt" o:ole="">
            <v:imagedata r:id="rId1176" o:title=""/>
          </v:shape>
          <o:OLEObject Type="Embed" ProgID="Equation.DSMT4" ShapeID="_x0000_i1642" DrawAspect="Content" ObjectID="_1359267565" r:id="rId1177"/>
        </w:object>
      </w:r>
      <w:r>
        <w:rPr>
          <w:rFonts w:eastAsiaTheme="minorHAnsi"/>
          <w:position w:val="-128"/>
          <w:lang w:bidi="ar-JO"/>
        </w:rPr>
        <w:t xml:space="preserve">    </w:t>
      </w:r>
      <w:r w:rsidRPr="00C66C03">
        <w:rPr>
          <w:rFonts w:eastAsiaTheme="minorHAnsi"/>
          <w:position w:val="-128"/>
          <w:lang w:bidi="ar-JO"/>
        </w:rPr>
        <w:object w:dxaOrig="2420" w:dyaOrig="2660">
          <v:shape id="_x0000_i1643" type="#_x0000_t75" style="width:121.4pt;height:134.8pt" o:ole="">
            <v:imagedata r:id="rId1178" o:title=""/>
          </v:shape>
          <o:OLEObject Type="Embed" ProgID="Equation.DSMT4" ShapeID="_x0000_i1643" DrawAspect="Content" ObjectID="_1359267566" r:id="rId1179"/>
        </w:object>
      </w:r>
    </w:p>
    <w:p w:rsidR="00CC5C27" w:rsidRDefault="00CC5C27" w:rsidP="006A3EF5">
      <w:pPr>
        <w:spacing w:line="480" w:lineRule="auto"/>
        <w:ind w:firstLine="720"/>
        <w:rPr>
          <w:lang w:bidi="ar-JO"/>
        </w:rPr>
      </w:pPr>
      <w:r>
        <w:rPr>
          <w:lang w:bidi="ar-JO"/>
        </w:rPr>
        <w:t>Plugging the solution in the policy functions we obtain the solution to our model as defined by the following processes:</w:t>
      </w:r>
    </w:p>
    <w:p w:rsidR="00CC5C27" w:rsidRPr="00763CEE" w:rsidRDefault="00CC5C27" w:rsidP="00CC5C27">
      <w:pPr>
        <w:spacing w:before="120" w:after="120"/>
        <w:ind w:left="720"/>
        <w:rPr>
          <w:rFonts w:eastAsiaTheme="minorHAnsi"/>
          <w:position w:val="-94"/>
          <w:lang w:bidi="ar-JO"/>
        </w:rPr>
      </w:pPr>
      <w:r w:rsidRPr="00763CEE">
        <w:rPr>
          <w:rFonts w:eastAsiaTheme="minorHAnsi"/>
          <w:position w:val="-94"/>
          <w:lang w:bidi="ar-JO"/>
        </w:rPr>
        <w:object w:dxaOrig="8820" w:dyaOrig="2180">
          <v:shape id="_x0000_i1644" type="#_x0000_t75" style="width:392.65pt;height:104.65pt" o:ole="">
            <v:imagedata r:id="rId1180" o:title=""/>
          </v:shape>
          <o:OLEObject Type="Embed" ProgID="Equation.DSMT4" ShapeID="_x0000_i1644" DrawAspect="Content" ObjectID="_1359267567" r:id="rId1181"/>
        </w:object>
      </w:r>
    </w:p>
    <w:p w:rsidR="00CC5C27" w:rsidRPr="00763CEE" w:rsidRDefault="00CC5C27" w:rsidP="00CC5C27">
      <w:pPr>
        <w:spacing w:before="120" w:after="120"/>
        <w:ind w:left="720"/>
        <w:rPr>
          <w:rFonts w:eastAsiaTheme="minorHAnsi"/>
          <w:position w:val="-94"/>
          <w:lang w:bidi="ar-JO"/>
        </w:rPr>
      </w:pPr>
      <w:r w:rsidRPr="00763CEE">
        <w:rPr>
          <w:rFonts w:eastAsiaTheme="minorHAnsi"/>
          <w:position w:val="-94"/>
          <w:lang w:bidi="ar-JO"/>
        </w:rPr>
        <w:object w:dxaOrig="9080" w:dyaOrig="3220">
          <v:shape id="_x0000_i1645" type="#_x0000_t75" style="width:407.7pt;height:154.05pt" o:ole="">
            <v:imagedata r:id="rId1182" o:title=""/>
          </v:shape>
          <o:OLEObject Type="Embed" ProgID="Equation.DSMT4" ShapeID="_x0000_i1645" DrawAspect="Content" ObjectID="_1359267568" r:id="rId1183"/>
        </w:object>
      </w:r>
    </w:p>
    <w:p w:rsidR="00CC5C27" w:rsidRDefault="00CC5C27" w:rsidP="006A3EF5">
      <w:pPr>
        <w:spacing w:line="480" w:lineRule="auto"/>
        <w:ind w:firstLine="720"/>
      </w:pPr>
      <w:r w:rsidRPr="00190C96">
        <w:rPr>
          <w:lang w:bidi="ar-JO"/>
        </w:rPr>
        <w:t>Now using the above solutions we obtain the impulse response functions (IRFs) and the simulated data for our</w:t>
      </w:r>
      <w:r>
        <w:rPr>
          <w:lang w:bidi="ar-JO"/>
        </w:rPr>
        <w:t xml:space="preserve"> baseline </w:t>
      </w:r>
      <w:r w:rsidRPr="00190C96">
        <w:rPr>
          <w:lang w:bidi="ar-JO"/>
        </w:rPr>
        <w:t>model economy</w:t>
      </w:r>
      <w:r>
        <w:rPr>
          <w:lang w:bidi="ar-JO"/>
        </w:rPr>
        <w:t xml:space="preserve"> in Essay 1</w:t>
      </w:r>
      <w:r w:rsidRPr="00190C96">
        <w:rPr>
          <w:lang w:bidi="ar-JO"/>
        </w:rPr>
        <w:t xml:space="preserve">. For more details see </w:t>
      </w:r>
      <w:proofErr w:type="spellStart"/>
      <w:r w:rsidRPr="00190C96">
        <w:rPr>
          <w:lang w:bidi="ar-JO"/>
        </w:rPr>
        <w:t>Uhlig</w:t>
      </w:r>
      <w:proofErr w:type="spellEnd"/>
      <w:r w:rsidRPr="00190C96">
        <w:rPr>
          <w:lang w:bidi="ar-JO"/>
        </w:rPr>
        <w:t xml:space="preserve"> (1999). </w:t>
      </w:r>
    </w:p>
    <w:p w:rsidR="00C94108" w:rsidRDefault="00C94108"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5A53C1" w:rsidRDefault="005A53C1"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5A53C1" w:rsidRDefault="005A53C1"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5A53C1" w:rsidRDefault="005A53C1"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5A53C1" w:rsidRDefault="005A53C1"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5A53C1" w:rsidRDefault="005A53C1"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5A53C1" w:rsidRDefault="005A53C1" w:rsidP="00D062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1348AA" w:rsidRDefault="001348AA" w:rsidP="00285D27">
      <w:pPr>
        <w:pStyle w:val="Heading1"/>
        <w:rPr>
          <w:rFonts w:asciiTheme="majorBidi" w:hAnsiTheme="majorBidi"/>
          <w:b w:val="0"/>
          <w:bCs w:val="0"/>
          <w:color w:val="auto"/>
          <w:sz w:val="48"/>
          <w:szCs w:val="48"/>
        </w:rPr>
      </w:pPr>
    </w:p>
    <w:p w:rsidR="00285D27" w:rsidRDefault="00285D27" w:rsidP="00285D27">
      <w:pPr>
        <w:pStyle w:val="Heading1"/>
        <w:rPr>
          <w:rFonts w:asciiTheme="majorBidi" w:hAnsiTheme="majorBidi"/>
          <w:b w:val="0"/>
          <w:bCs w:val="0"/>
          <w:color w:val="auto"/>
          <w:sz w:val="48"/>
          <w:szCs w:val="48"/>
        </w:rPr>
      </w:pPr>
      <w:bookmarkStart w:id="101" w:name="_Toc285478044"/>
      <w:r>
        <w:rPr>
          <w:rFonts w:asciiTheme="majorBidi" w:hAnsiTheme="majorBidi"/>
          <w:b w:val="0"/>
          <w:bCs w:val="0"/>
          <w:color w:val="auto"/>
          <w:sz w:val="48"/>
          <w:szCs w:val="48"/>
        </w:rPr>
        <w:t>C.2: Solutions of the Dynamic Model in Essay 2</w:t>
      </w:r>
      <w:bookmarkEnd w:id="101"/>
      <w:r>
        <w:rPr>
          <w:rFonts w:asciiTheme="majorBidi" w:hAnsiTheme="majorBidi"/>
          <w:b w:val="0"/>
          <w:bCs w:val="0"/>
          <w:color w:val="auto"/>
          <w:sz w:val="48"/>
          <w:szCs w:val="48"/>
        </w:rPr>
        <w:t xml:space="preserve"> </w:t>
      </w:r>
    </w:p>
    <w:p w:rsidR="00C94108" w:rsidRDefault="00C94108" w:rsidP="00285D2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noProof/>
        </w:rPr>
      </w:pPr>
    </w:p>
    <w:p w:rsidR="00C94108" w:rsidRDefault="00C9410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161F1F" w:rsidRDefault="00161F1F" w:rsidP="00161F1F">
      <w:pPr>
        <w:spacing w:line="480" w:lineRule="auto"/>
        <w:ind w:firstLine="720"/>
      </w:pPr>
      <w:r w:rsidRPr="001E7659">
        <w:t>There are 17 equations in our model that control the dynamics of the economy. These are numbered as equations (</w:t>
      </w:r>
      <w:r w:rsidR="001D7DE8">
        <w:t>2.</w:t>
      </w:r>
      <w:r w:rsidRPr="001E7659">
        <w:t>1), (</w:t>
      </w:r>
      <w:r w:rsidR="001D7DE8">
        <w:t>2.</w:t>
      </w:r>
      <w:r w:rsidRPr="001E7659">
        <w:t>2), (</w:t>
      </w:r>
      <w:r w:rsidR="001D7DE8">
        <w:t>2.</w:t>
      </w:r>
      <w:r w:rsidRPr="001E7659">
        <w:t>5), (</w:t>
      </w:r>
      <w:r w:rsidR="001D7DE8">
        <w:t>2.</w:t>
      </w:r>
      <w:r w:rsidRPr="001E7659">
        <w:t>9)-(</w:t>
      </w:r>
      <w:r w:rsidR="001D7DE8">
        <w:t>2.</w:t>
      </w:r>
      <w:r w:rsidRPr="001E7659">
        <w:t xml:space="preserve">20), in the main text along with one equation defining the trade balance. We </w:t>
      </w:r>
      <w:proofErr w:type="spellStart"/>
      <w:r w:rsidRPr="001E7659">
        <w:t>linearize</w:t>
      </w:r>
      <w:proofErr w:type="spellEnd"/>
      <w:r w:rsidRPr="001E7659">
        <w:t xml:space="preserve"> them one by one.</w:t>
      </w:r>
      <w:r>
        <w:t xml:space="preserve"> Accordingly we rewrite the linearized version of the model </w:t>
      </w:r>
    </w:p>
    <w:p w:rsidR="00161F1F" w:rsidRPr="001D7DE8" w:rsidRDefault="00161F1F" w:rsidP="001D7DE8">
      <w:pPr>
        <w:spacing w:line="480" w:lineRule="auto"/>
        <w:rPr>
          <w:rFonts w:eastAsiaTheme="minorHAnsi"/>
          <w:position w:val="-12"/>
        </w:rPr>
      </w:pPr>
      <w:r w:rsidRPr="005C67D1">
        <w:rPr>
          <w:rFonts w:eastAsiaTheme="minorHAnsi"/>
          <w:position w:val="-12"/>
        </w:rPr>
        <w:object w:dxaOrig="2680" w:dyaOrig="380">
          <v:shape id="_x0000_i1646" type="#_x0000_t75" style="width:134.8pt;height:16.75pt" o:ole="">
            <v:imagedata r:id="rId1184" o:title=""/>
          </v:shape>
          <o:OLEObject Type="Embed" ProgID="Equation.DSMT4" ShapeID="_x0000_i1646" DrawAspect="Content" ObjectID="_1359267569" r:id="rId1185"/>
        </w:object>
      </w:r>
      <w:r w:rsidRPr="001D7DE8">
        <w:rPr>
          <w:rFonts w:eastAsiaTheme="minorHAnsi"/>
          <w:position w:val="-12"/>
        </w:rPr>
        <w:tab/>
      </w:r>
      <w:r w:rsidRPr="001D7DE8">
        <w:rPr>
          <w:rFonts w:eastAsiaTheme="minorHAnsi"/>
          <w:position w:val="-12"/>
        </w:rPr>
        <w:tab/>
      </w:r>
      <w:r w:rsidRPr="001D7DE8">
        <w:rPr>
          <w:rFonts w:eastAsiaTheme="minorHAnsi"/>
          <w:position w:val="-12"/>
        </w:rPr>
        <w:tab/>
      </w:r>
      <w:r w:rsidRPr="001D7DE8">
        <w:rPr>
          <w:rFonts w:eastAsiaTheme="minorHAnsi"/>
          <w:position w:val="-12"/>
        </w:rPr>
        <w:tab/>
      </w:r>
      <w:r w:rsidRPr="001D7DE8">
        <w:rPr>
          <w:rFonts w:eastAsiaTheme="minorHAnsi"/>
          <w:position w:val="-12"/>
        </w:rPr>
        <w:tab/>
      </w:r>
      <w:r w:rsidRPr="001D7DE8">
        <w:rPr>
          <w:rFonts w:eastAsiaTheme="minorHAnsi"/>
          <w:position w:val="-12"/>
        </w:rPr>
        <w:tab/>
      </w:r>
      <w:r w:rsidR="001D7DE8">
        <w:rPr>
          <w:rFonts w:eastAsiaTheme="minorHAnsi"/>
          <w:position w:val="-12"/>
        </w:rPr>
        <w:tab/>
      </w:r>
      <w:r w:rsidRPr="001D7DE8">
        <w:rPr>
          <w:rFonts w:eastAsiaTheme="minorHAnsi"/>
          <w:position w:val="-12"/>
        </w:rPr>
        <w:tab/>
      </w:r>
      <w:r w:rsidRPr="001D7DE8">
        <w:rPr>
          <w:rFonts w:eastAsiaTheme="minorHAnsi"/>
          <w:position w:val="-12"/>
        </w:rPr>
        <w:tab/>
        <w:t>(A.</w:t>
      </w:r>
      <w:r w:rsidR="001D7DE8" w:rsidRPr="001D7DE8">
        <w:rPr>
          <w:rFonts w:eastAsiaTheme="minorHAnsi"/>
          <w:position w:val="-12"/>
        </w:rPr>
        <w:t>2.</w:t>
      </w:r>
      <w:r w:rsidRPr="001D7DE8">
        <w:rPr>
          <w:rFonts w:eastAsiaTheme="minorHAnsi"/>
          <w:position w:val="-12"/>
        </w:rPr>
        <w:t>1)</w:t>
      </w:r>
    </w:p>
    <w:p w:rsidR="00161F1F" w:rsidRPr="001D7DE8" w:rsidRDefault="00161F1F" w:rsidP="001D7DE8">
      <w:pPr>
        <w:spacing w:line="480" w:lineRule="auto"/>
        <w:rPr>
          <w:rFonts w:eastAsiaTheme="minorHAnsi"/>
          <w:position w:val="-12"/>
        </w:rPr>
      </w:pPr>
      <w:r w:rsidRPr="001D7DE8">
        <w:rPr>
          <w:rFonts w:eastAsiaTheme="minorHAnsi"/>
          <w:position w:val="-12"/>
        </w:rPr>
        <w:object w:dxaOrig="3040" w:dyaOrig="420">
          <v:shape id="_x0000_i1647" type="#_x0000_t75" style="width:153.2pt;height:19.25pt" o:ole="">
            <v:imagedata r:id="rId1186" o:title=""/>
          </v:shape>
          <o:OLEObject Type="Embed" ProgID="Equation.DSMT4" ShapeID="_x0000_i1647" DrawAspect="Content" ObjectID="_1359267570" r:id="rId1187"/>
        </w:object>
      </w:r>
      <w:r w:rsidRPr="001D7DE8">
        <w:rPr>
          <w:rFonts w:eastAsiaTheme="minorHAnsi"/>
          <w:position w:val="-12"/>
        </w:rPr>
        <w:tab/>
      </w:r>
      <w:r w:rsidRPr="001D7DE8">
        <w:rPr>
          <w:rFonts w:eastAsiaTheme="minorHAnsi"/>
          <w:position w:val="-12"/>
        </w:rPr>
        <w:tab/>
      </w:r>
      <w:r w:rsidRPr="001D7DE8">
        <w:rPr>
          <w:rFonts w:eastAsiaTheme="minorHAnsi"/>
          <w:position w:val="-12"/>
        </w:rPr>
        <w:tab/>
      </w:r>
      <w:r w:rsidRPr="001D7DE8">
        <w:rPr>
          <w:rFonts w:eastAsiaTheme="minorHAnsi"/>
          <w:position w:val="-12"/>
        </w:rPr>
        <w:tab/>
      </w:r>
      <w:r w:rsidRPr="001D7DE8">
        <w:rPr>
          <w:rFonts w:eastAsiaTheme="minorHAnsi"/>
          <w:position w:val="-12"/>
        </w:rPr>
        <w:tab/>
      </w:r>
      <w:r w:rsidRPr="001D7DE8">
        <w:rPr>
          <w:rFonts w:eastAsiaTheme="minorHAnsi"/>
          <w:position w:val="-12"/>
        </w:rPr>
        <w:tab/>
      </w:r>
      <w:r w:rsidR="001D7DE8">
        <w:rPr>
          <w:rFonts w:eastAsiaTheme="minorHAnsi"/>
          <w:position w:val="-12"/>
        </w:rPr>
        <w:tab/>
      </w:r>
      <w:r w:rsidRPr="001D7DE8">
        <w:rPr>
          <w:rFonts w:eastAsiaTheme="minorHAnsi"/>
          <w:position w:val="-12"/>
        </w:rPr>
        <w:tab/>
        <w:t>(A.</w:t>
      </w:r>
      <w:r w:rsidR="001D7DE8" w:rsidRPr="001D7DE8">
        <w:rPr>
          <w:rFonts w:eastAsiaTheme="minorHAnsi"/>
          <w:position w:val="-12"/>
        </w:rPr>
        <w:t>2.</w:t>
      </w:r>
      <w:r w:rsidRPr="001D7DE8">
        <w:rPr>
          <w:rFonts w:eastAsiaTheme="minorHAnsi"/>
          <w:position w:val="-12"/>
        </w:rPr>
        <w:t>2)</w:t>
      </w:r>
    </w:p>
    <w:p w:rsidR="00161F1F" w:rsidRPr="001D7DE8" w:rsidRDefault="00161F1F" w:rsidP="001D7DE8">
      <w:pPr>
        <w:spacing w:line="480" w:lineRule="auto"/>
        <w:rPr>
          <w:rFonts w:eastAsiaTheme="minorHAnsi"/>
          <w:position w:val="-12"/>
        </w:rPr>
      </w:pPr>
      <w:r w:rsidRPr="001D7DE8">
        <w:rPr>
          <w:rFonts w:eastAsiaTheme="minorHAnsi"/>
          <w:position w:val="-12"/>
        </w:rPr>
        <w:object w:dxaOrig="1820" w:dyaOrig="380">
          <v:shape id="_x0000_i1648" type="#_x0000_t75" style="width:88.75pt;height:16.75pt" o:ole="">
            <v:imagedata r:id="rId1188" o:title=""/>
          </v:shape>
          <o:OLEObject Type="Embed" ProgID="Equation.DSMT4" ShapeID="_x0000_i1648" DrawAspect="Content" ObjectID="_1359267571" r:id="rId1189"/>
        </w:object>
      </w:r>
      <w:r w:rsidRPr="001D7DE8">
        <w:rPr>
          <w:rFonts w:eastAsiaTheme="minorHAnsi"/>
          <w:position w:val="-12"/>
        </w:rPr>
        <w:t xml:space="preserve">                                                                   </w:t>
      </w:r>
      <w:r w:rsidRPr="001D7DE8">
        <w:rPr>
          <w:rFonts w:eastAsiaTheme="minorHAnsi"/>
          <w:position w:val="-12"/>
        </w:rPr>
        <w:tab/>
      </w:r>
      <w:r w:rsidRPr="001D7DE8">
        <w:rPr>
          <w:rFonts w:eastAsiaTheme="minorHAnsi"/>
          <w:position w:val="-12"/>
        </w:rPr>
        <w:tab/>
      </w:r>
      <w:r w:rsidR="001D7DE8">
        <w:rPr>
          <w:rFonts w:eastAsiaTheme="minorHAnsi"/>
          <w:position w:val="-12"/>
        </w:rPr>
        <w:tab/>
      </w:r>
      <w:r w:rsidRPr="001D7DE8">
        <w:rPr>
          <w:rFonts w:eastAsiaTheme="minorHAnsi"/>
          <w:position w:val="-12"/>
        </w:rPr>
        <w:tab/>
        <w:t>(A.</w:t>
      </w:r>
      <w:r w:rsidR="001D7DE8" w:rsidRPr="001D7DE8">
        <w:rPr>
          <w:rFonts w:eastAsiaTheme="minorHAnsi"/>
          <w:position w:val="-12"/>
        </w:rPr>
        <w:t>2.</w:t>
      </w:r>
      <w:r w:rsidRPr="001D7DE8">
        <w:rPr>
          <w:rFonts w:eastAsiaTheme="minorHAnsi"/>
          <w:position w:val="-12"/>
        </w:rPr>
        <w:t>5)</w:t>
      </w:r>
    </w:p>
    <w:p w:rsidR="00161F1F" w:rsidRPr="001D7DE8" w:rsidRDefault="00161F1F" w:rsidP="001D7DE8">
      <w:pPr>
        <w:spacing w:line="480" w:lineRule="auto"/>
        <w:rPr>
          <w:rFonts w:eastAsiaTheme="minorHAnsi"/>
          <w:position w:val="-12"/>
        </w:rPr>
      </w:pPr>
      <w:r w:rsidRPr="001D7DE8">
        <w:rPr>
          <w:rFonts w:eastAsiaTheme="minorHAnsi"/>
          <w:position w:val="-12"/>
        </w:rPr>
        <w:object w:dxaOrig="5620" w:dyaOrig="580">
          <v:shape id="_x0000_i1649" type="#_x0000_t75" style="width:279.65pt;height:30.15pt" o:ole="">
            <v:imagedata r:id="rId1190" o:title=""/>
          </v:shape>
          <o:OLEObject Type="Embed" ProgID="Equation.DSMT4" ShapeID="_x0000_i1649" DrawAspect="Content" ObjectID="_1359267572" r:id="rId1191"/>
        </w:object>
      </w:r>
      <w:r w:rsidRPr="001D7DE8">
        <w:rPr>
          <w:rFonts w:eastAsiaTheme="minorHAnsi"/>
          <w:position w:val="-12"/>
        </w:rPr>
        <w:t xml:space="preserve">                     </w:t>
      </w:r>
      <w:r w:rsidRPr="001D7DE8">
        <w:rPr>
          <w:rFonts w:eastAsiaTheme="minorHAnsi"/>
          <w:position w:val="-12"/>
        </w:rPr>
        <w:tab/>
        <w:t xml:space="preserve">  </w:t>
      </w:r>
      <w:r w:rsidR="001D7DE8">
        <w:rPr>
          <w:rFonts w:eastAsiaTheme="minorHAnsi"/>
          <w:position w:val="-12"/>
        </w:rPr>
        <w:tab/>
      </w:r>
      <w:r w:rsidRPr="001D7DE8">
        <w:rPr>
          <w:rFonts w:eastAsiaTheme="minorHAnsi"/>
          <w:position w:val="-12"/>
        </w:rPr>
        <w:t xml:space="preserve">  </w:t>
      </w:r>
      <w:r w:rsidRPr="001D7DE8">
        <w:rPr>
          <w:rFonts w:eastAsiaTheme="minorHAnsi"/>
          <w:position w:val="-12"/>
        </w:rPr>
        <w:tab/>
        <w:t>(A.</w:t>
      </w:r>
      <w:r w:rsidR="001D7DE8" w:rsidRPr="001D7DE8">
        <w:rPr>
          <w:rFonts w:eastAsiaTheme="minorHAnsi"/>
          <w:position w:val="-12"/>
        </w:rPr>
        <w:t>2.</w:t>
      </w:r>
      <w:r w:rsidRPr="001D7DE8">
        <w:rPr>
          <w:rFonts w:eastAsiaTheme="minorHAnsi"/>
          <w:position w:val="-12"/>
        </w:rPr>
        <w:t>9)</w:t>
      </w:r>
      <w:r w:rsidRPr="001D7DE8">
        <w:rPr>
          <w:rFonts w:eastAsiaTheme="minorHAnsi"/>
          <w:position w:val="-12"/>
        </w:rPr>
        <w:object w:dxaOrig="2180" w:dyaOrig="520">
          <v:shape id="_x0000_i1650" type="#_x0000_t75" style="width:109.65pt;height:25.1pt" o:ole="">
            <v:imagedata r:id="rId1192" o:title=""/>
          </v:shape>
          <o:OLEObject Type="Embed" ProgID="Equation.DSMT4" ShapeID="_x0000_i1650" DrawAspect="Content" ObjectID="_1359267573" r:id="rId1193"/>
        </w:object>
      </w:r>
      <w:r w:rsidRPr="001D7DE8">
        <w:rPr>
          <w:rFonts w:eastAsiaTheme="minorHAnsi"/>
          <w:position w:val="-12"/>
        </w:rPr>
        <w:t xml:space="preserve">                               </w:t>
      </w:r>
      <w:r w:rsidR="001D7DE8" w:rsidRPr="001D7DE8">
        <w:rPr>
          <w:rFonts w:eastAsiaTheme="minorHAnsi"/>
          <w:position w:val="-12"/>
        </w:rPr>
        <w:t xml:space="preserve">                              </w:t>
      </w:r>
      <w:r w:rsidR="001D7DE8" w:rsidRPr="001D7DE8">
        <w:rPr>
          <w:rFonts w:eastAsiaTheme="minorHAnsi"/>
          <w:position w:val="-12"/>
        </w:rPr>
        <w:tab/>
        <w:t xml:space="preserve">    </w:t>
      </w:r>
      <w:r w:rsidRPr="001D7DE8">
        <w:rPr>
          <w:rFonts w:eastAsiaTheme="minorHAnsi"/>
          <w:position w:val="-12"/>
        </w:rPr>
        <w:tab/>
      </w:r>
      <w:r w:rsidR="001D7DE8" w:rsidRPr="001D7DE8">
        <w:rPr>
          <w:rFonts w:eastAsiaTheme="minorHAnsi"/>
          <w:position w:val="-12"/>
        </w:rPr>
        <w:t xml:space="preserve">      </w:t>
      </w:r>
      <w:r w:rsidR="001D7DE8">
        <w:rPr>
          <w:rFonts w:eastAsiaTheme="minorHAnsi"/>
          <w:position w:val="-12"/>
        </w:rPr>
        <w:tab/>
      </w:r>
      <w:r w:rsidR="001D7DE8" w:rsidRPr="001D7DE8">
        <w:rPr>
          <w:rFonts w:eastAsiaTheme="minorHAnsi"/>
          <w:position w:val="-12"/>
        </w:rPr>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10)</w:t>
      </w:r>
    </w:p>
    <w:p w:rsidR="00161F1F" w:rsidRPr="001D7DE8" w:rsidRDefault="00161F1F" w:rsidP="001D7DE8">
      <w:pPr>
        <w:spacing w:line="480" w:lineRule="auto"/>
        <w:rPr>
          <w:rFonts w:eastAsiaTheme="minorHAnsi"/>
          <w:position w:val="-12"/>
        </w:rPr>
      </w:pPr>
      <w:r w:rsidRPr="005C67D1">
        <w:rPr>
          <w:rFonts w:eastAsiaTheme="minorHAnsi"/>
          <w:position w:val="-12"/>
        </w:rPr>
        <w:object w:dxaOrig="2740" w:dyaOrig="380">
          <v:shape id="_x0000_i1651" type="#_x0000_t75" style="width:136.45pt;height:16.75pt" o:ole="">
            <v:imagedata r:id="rId1194" o:title=""/>
          </v:shape>
          <o:OLEObject Type="Embed" ProgID="Equation.DSMT4" ShapeID="_x0000_i1651" DrawAspect="Content" ObjectID="_1359267574" r:id="rId1195"/>
        </w:object>
      </w:r>
      <w:r w:rsidRPr="001D7DE8">
        <w:rPr>
          <w:rFonts w:eastAsiaTheme="minorHAnsi"/>
          <w:position w:val="-12"/>
        </w:rPr>
        <w:t xml:space="preserve">                      </w:t>
      </w:r>
      <w:r w:rsidR="001D7DE8" w:rsidRPr="001D7DE8">
        <w:rPr>
          <w:rFonts w:eastAsiaTheme="minorHAnsi"/>
          <w:position w:val="-12"/>
        </w:rPr>
        <w:t xml:space="preserve">          </w:t>
      </w:r>
      <w:r w:rsidR="001D7DE8" w:rsidRPr="001D7DE8">
        <w:rPr>
          <w:rFonts w:eastAsiaTheme="minorHAnsi"/>
          <w:position w:val="-12"/>
        </w:rPr>
        <w:tab/>
        <w:t xml:space="preserve">                  </w:t>
      </w:r>
      <w:r w:rsidR="001D7DE8" w:rsidRPr="001D7DE8">
        <w:rPr>
          <w:rFonts w:eastAsiaTheme="minorHAnsi"/>
          <w:position w:val="-12"/>
        </w:rPr>
        <w:tab/>
      </w:r>
      <w:r w:rsidR="001D7DE8" w:rsidRPr="001D7DE8">
        <w:rPr>
          <w:rFonts w:eastAsiaTheme="minorHAnsi"/>
          <w:position w:val="-12"/>
        </w:rPr>
        <w:tab/>
        <w:t xml:space="preserve">     </w:t>
      </w:r>
      <w:r w:rsidR="001D7DE8">
        <w:rPr>
          <w:rFonts w:eastAsiaTheme="minorHAnsi"/>
          <w:position w:val="-12"/>
        </w:rPr>
        <w:tab/>
      </w:r>
      <w:r w:rsidR="001D7DE8" w:rsidRPr="001D7DE8">
        <w:rPr>
          <w:rFonts w:eastAsiaTheme="minorHAnsi"/>
          <w:position w:val="-12"/>
        </w:rPr>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11)</w:t>
      </w:r>
    </w:p>
    <w:p w:rsidR="00161F1F" w:rsidRPr="001D7DE8" w:rsidRDefault="00161F1F" w:rsidP="001D7DE8">
      <w:pPr>
        <w:spacing w:line="480" w:lineRule="auto"/>
        <w:rPr>
          <w:rFonts w:eastAsiaTheme="minorHAnsi"/>
          <w:position w:val="-12"/>
        </w:rPr>
      </w:pPr>
      <w:r w:rsidRPr="005C67D1">
        <w:rPr>
          <w:rFonts w:eastAsiaTheme="minorHAnsi"/>
          <w:position w:val="-12"/>
        </w:rPr>
        <w:object w:dxaOrig="1219" w:dyaOrig="400">
          <v:shape id="_x0000_i1652" type="#_x0000_t75" style="width:62.8pt;height:19.25pt" o:ole="">
            <v:imagedata r:id="rId1196" o:title=""/>
          </v:shape>
          <o:OLEObject Type="Embed" ProgID="Equation.DSMT4" ShapeID="_x0000_i1652" DrawAspect="Content" ObjectID="_1359267575" r:id="rId1197"/>
        </w:object>
      </w:r>
      <w:r w:rsidRPr="001D7DE8">
        <w:rPr>
          <w:rFonts w:eastAsiaTheme="minorHAnsi"/>
          <w:position w:val="-12"/>
        </w:rPr>
        <w:t xml:space="preserve">                     </w:t>
      </w:r>
      <w:r w:rsidRPr="001D7DE8">
        <w:rPr>
          <w:rFonts w:eastAsiaTheme="minorHAnsi"/>
          <w:position w:val="-12"/>
        </w:rPr>
        <w:tab/>
      </w:r>
      <w:r w:rsidRPr="001D7DE8">
        <w:rPr>
          <w:rFonts w:eastAsiaTheme="minorHAnsi"/>
          <w:position w:val="-12"/>
        </w:rPr>
        <w:tab/>
        <w:t xml:space="preserve">                       </w:t>
      </w:r>
      <w:r w:rsidR="001D7DE8" w:rsidRPr="001D7DE8">
        <w:rPr>
          <w:rFonts w:eastAsiaTheme="minorHAnsi"/>
          <w:position w:val="-12"/>
        </w:rPr>
        <w:t xml:space="preserve">               </w:t>
      </w:r>
      <w:r w:rsidR="001D7DE8" w:rsidRPr="001D7DE8">
        <w:rPr>
          <w:rFonts w:eastAsiaTheme="minorHAnsi"/>
          <w:position w:val="-12"/>
        </w:rPr>
        <w:tab/>
      </w:r>
      <w:r w:rsidR="001D7DE8" w:rsidRPr="001D7DE8">
        <w:rPr>
          <w:rFonts w:eastAsiaTheme="minorHAnsi"/>
          <w:position w:val="-12"/>
        </w:rPr>
        <w:tab/>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12)</w:t>
      </w:r>
    </w:p>
    <w:p w:rsidR="00161F1F" w:rsidRPr="001D7DE8" w:rsidRDefault="00161F1F" w:rsidP="001D7DE8">
      <w:pPr>
        <w:spacing w:line="480" w:lineRule="auto"/>
        <w:rPr>
          <w:rFonts w:eastAsiaTheme="minorHAnsi"/>
          <w:position w:val="-12"/>
        </w:rPr>
      </w:pPr>
      <w:r w:rsidRPr="005C67D1">
        <w:rPr>
          <w:rFonts w:eastAsiaTheme="minorHAnsi"/>
          <w:position w:val="-12"/>
        </w:rPr>
        <w:object w:dxaOrig="3060" w:dyaOrig="380">
          <v:shape id="_x0000_i1653" type="#_x0000_t75" style="width:153.2pt;height:16.75pt" o:ole="">
            <v:imagedata r:id="rId1198" o:title=""/>
          </v:shape>
          <o:OLEObject Type="Embed" ProgID="Equation.DSMT4" ShapeID="_x0000_i1653" DrawAspect="Content" ObjectID="_1359267576" r:id="rId1199"/>
        </w:object>
      </w:r>
      <w:r w:rsidRPr="001D7DE8">
        <w:rPr>
          <w:rFonts w:eastAsiaTheme="minorHAnsi"/>
          <w:position w:val="-12"/>
        </w:rPr>
        <w:t xml:space="preserve">       </w:t>
      </w:r>
      <w:r w:rsidR="001D7DE8" w:rsidRPr="001D7DE8">
        <w:rPr>
          <w:rFonts w:eastAsiaTheme="minorHAnsi"/>
          <w:position w:val="-12"/>
        </w:rPr>
        <w:t xml:space="preserve">                     </w:t>
      </w:r>
      <w:r w:rsidR="001D7DE8" w:rsidRPr="001D7DE8">
        <w:rPr>
          <w:rFonts w:eastAsiaTheme="minorHAnsi"/>
          <w:position w:val="-12"/>
        </w:rPr>
        <w:tab/>
      </w:r>
      <w:r w:rsidR="001D7DE8" w:rsidRPr="001D7DE8">
        <w:rPr>
          <w:rFonts w:eastAsiaTheme="minorHAnsi"/>
          <w:position w:val="-12"/>
        </w:rPr>
        <w:tab/>
        <w:t xml:space="preserve">      </w:t>
      </w:r>
      <w:r w:rsidR="001D7DE8" w:rsidRPr="001D7DE8">
        <w:rPr>
          <w:rFonts w:eastAsiaTheme="minorHAnsi"/>
          <w:position w:val="-12"/>
        </w:rPr>
        <w:tab/>
      </w:r>
      <w:r w:rsidR="001D7DE8" w:rsidRPr="001D7DE8">
        <w:rPr>
          <w:rFonts w:eastAsiaTheme="minorHAnsi"/>
          <w:position w:val="-12"/>
        </w:rPr>
        <w:tab/>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13)</w:t>
      </w:r>
    </w:p>
    <w:p w:rsidR="00161F1F" w:rsidRPr="001D7DE8" w:rsidRDefault="00161F1F" w:rsidP="001D7DE8">
      <w:pPr>
        <w:spacing w:line="480" w:lineRule="auto"/>
        <w:rPr>
          <w:rFonts w:eastAsiaTheme="minorHAnsi"/>
          <w:position w:val="-12"/>
        </w:rPr>
      </w:pPr>
      <w:r w:rsidRPr="001D7DE8">
        <w:rPr>
          <w:rFonts w:eastAsiaTheme="minorHAnsi"/>
          <w:position w:val="-12"/>
        </w:rPr>
        <w:object w:dxaOrig="1719" w:dyaOrig="340">
          <v:shape id="_x0000_i1654" type="#_x0000_t75" style="width:85.4pt;height:16.75pt" o:ole="">
            <v:imagedata r:id="rId1200" o:title=""/>
          </v:shape>
          <o:OLEObject Type="Embed" ProgID="Equation.DSMT4" ShapeID="_x0000_i1654" DrawAspect="Content" ObjectID="_1359267577" r:id="rId1201"/>
        </w:object>
      </w:r>
      <w:r w:rsidRPr="001D7DE8">
        <w:rPr>
          <w:rFonts w:eastAsiaTheme="minorHAnsi"/>
          <w:position w:val="-12"/>
        </w:rPr>
        <w:t xml:space="preserve">                                                 </w:t>
      </w:r>
      <w:r w:rsidR="001D7DE8" w:rsidRPr="001D7DE8">
        <w:rPr>
          <w:rFonts w:eastAsiaTheme="minorHAnsi"/>
          <w:position w:val="-12"/>
        </w:rPr>
        <w:t xml:space="preserve">                             </w:t>
      </w:r>
      <w:r w:rsidR="001D7DE8" w:rsidRPr="001D7DE8">
        <w:rPr>
          <w:rFonts w:eastAsiaTheme="minorHAnsi"/>
          <w:position w:val="-12"/>
        </w:rPr>
        <w:tab/>
      </w:r>
      <w:r w:rsidR="001D7DE8" w:rsidRPr="001D7DE8">
        <w:rPr>
          <w:rFonts w:eastAsiaTheme="minorHAnsi"/>
          <w:position w:val="-12"/>
        </w:rPr>
        <w:tab/>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14)</w:t>
      </w:r>
    </w:p>
    <w:p w:rsidR="00161F1F" w:rsidRPr="001D7DE8" w:rsidRDefault="00161F1F" w:rsidP="001D7DE8">
      <w:pPr>
        <w:spacing w:line="480" w:lineRule="auto"/>
        <w:rPr>
          <w:rFonts w:eastAsiaTheme="minorHAnsi"/>
          <w:position w:val="-12"/>
        </w:rPr>
      </w:pPr>
      <w:r w:rsidRPr="001D7DE8">
        <w:rPr>
          <w:rFonts w:eastAsiaTheme="minorHAnsi"/>
          <w:position w:val="-12"/>
        </w:rPr>
        <w:object w:dxaOrig="6320" w:dyaOrig="860">
          <v:shape id="_x0000_i1655" type="#_x0000_t75" style="width:313.1pt;height:41.85pt" o:ole="">
            <v:imagedata r:id="rId1202" o:title=""/>
          </v:shape>
          <o:OLEObject Type="Embed" ProgID="Equation.DSMT4" ShapeID="_x0000_i1655" DrawAspect="Content" ObjectID="_1359267578" r:id="rId1203"/>
        </w:object>
      </w:r>
      <w:r w:rsidRPr="001D7DE8">
        <w:rPr>
          <w:rFonts w:eastAsiaTheme="minorHAnsi"/>
          <w:position w:val="-12"/>
        </w:rPr>
        <w:t xml:space="preserve">        </w:t>
      </w:r>
      <w:r w:rsidR="001D7DE8" w:rsidRPr="001D7DE8">
        <w:rPr>
          <w:rFonts w:eastAsiaTheme="minorHAnsi"/>
          <w:position w:val="-12"/>
        </w:rPr>
        <w:t xml:space="preserve">     </w:t>
      </w:r>
      <w:r w:rsidRPr="001D7DE8">
        <w:rPr>
          <w:rFonts w:eastAsiaTheme="minorHAnsi"/>
          <w:position w:val="-12"/>
        </w:rPr>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.15)</w:t>
      </w:r>
    </w:p>
    <w:p w:rsidR="00161F1F" w:rsidRPr="001D7DE8" w:rsidRDefault="00161F1F" w:rsidP="001D7DE8">
      <w:pPr>
        <w:spacing w:line="480" w:lineRule="auto"/>
        <w:rPr>
          <w:rFonts w:eastAsiaTheme="minorHAnsi"/>
          <w:position w:val="-12"/>
        </w:rPr>
      </w:pPr>
      <w:r w:rsidRPr="001D7DE8">
        <w:rPr>
          <w:rFonts w:eastAsiaTheme="minorHAnsi"/>
          <w:position w:val="-12"/>
        </w:rPr>
        <w:object w:dxaOrig="6260" w:dyaOrig="840">
          <v:shape id="_x0000_i1656" type="#_x0000_t75" style="width:312.3pt;height:41.85pt" o:ole="">
            <v:imagedata r:id="rId1204" o:title=""/>
          </v:shape>
          <o:OLEObject Type="Embed" ProgID="Equation.DSMT4" ShapeID="_x0000_i1656" DrawAspect="Content" ObjectID="_1359267579" r:id="rId1205"/>
        </w:object>
      </w:r>
      <w:r w:rsidR="001D7DE8" w:rsidRPr="001D7DE8">
        <w:rPr>
          <w:rFonts w:eastAsiaTheme="minorHAnsi"/>
          <w:position w:val="-12"/>
        </w:rPr>
        <w:tab/>
      </w:r>
      <w:r w:rsidRPr="001D7DE8">
        <w:rPr>
          <w:rFonts w:eastAsiaTheme="minorHAnsi"/>
          <w:position w:val="-12"/>
        </w:rPr>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.16)</w:t>
      </w:r>
    </w:p>
    <w:p w:rsidR="00161F1F" w:rsidRPr="001D7DE8" w:rsidRDefault="00161F1F" w:rsidP="001D7DE8">
      <w:pPr>
        <w:spacing w:line="480" w:lineRule="auto"/>
        <w:rPr>
          <w:rFonts w:eastAsiaTheme="minorHAnsi"/>
          <w:position w:val="-12"/>
        </w:rPr>
      </w:pPr>
      <w:r w:rsidRPr="001D7DE8">
        <w:rPr>
          <w:rFonts w:eastAsiaTheme="minorHAnsi"/>
          <w:position w:val="-12"/>
        </w:rPr>
        <w:object w:dxaOrig="6800" w:dyaOrig="860">
          <v:shape id="_x0000_i1657" type="#_x0000_t75" style="width:325.65pt;height:41pt" o:ole="">
            <v:imagedata r:id="rId1206" o:title=""/>
          </v:shape>
          <o:OLEObject Type="Embed" ProgID="Equation.DSMT4" ShapeID="_x0000_i1657" DrawAspect="Content" ObjectID="_1359267580" r:id="rId1207"/>
        </w:object>
      </w:r>
      <w:r w:rsidRPr="001D7DE8">
        <w:rPr>
          <w:rFonts w:eastAsiaTheme="minorHAnsi"/>
          <w:position w:val="-12"/>
        </w:rPr>
        <w:t xml:space="preserve">              </w:t>
      </w:r>
      <w:r w:rsidR="001D7DE8" w:rsidRPr="001D7DE8">
        <w:rPr>
          <w:rFonts w:eastAsiaTheme="minorHAnsi"/>
          <w:position w:val="-12"/>
        </w:rPr>
        <w:t xml:space="preserve">     </w:t>
      </w:r>
      <w:r w:rsidR="001D7DE8">
        <w:rPr>
          <w:rFonts w:eastAsiaTheme="minorHAnsi"/>
          <w:position w:val="-12"/>
        </w:rPr>
        <w:tab/>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17)</w:t>
      </w:r>
    </w:p>
    <w:p w:rsidR="00161F1F" w:rsidRPr="001D7DE8" w:rsidRDefault="00161F1F" w:rsidP="001D7DE8">
      <w:pPr>
        <w:spacing w:line="480" w:lineRule="auto"/>
        <w:rPr>
          <w:rFonts w:eastAsiaTheme="minorHAnsi"/>
          <w:position w:val="-12"/>
        </w:rPr>
      </w:pPr>
      <w:r w:rsidRPr="001D7DE8">
        <w:rPr>
          <w:rFonts w:eastAsiaTheme="minorHAnsi"/>
          <w:position w:val="-12"/>
        </w:rPr>
        <w:object w:dxaOrig="4980" w:dyaOrig="580">
          <v:shape id="_x0000_i1658" type="#_x0000_t75" style="width:248.65pt;height:30.15pt" o:ole="">
            <v:imagedata r:id="rId1208" o:title=""/>
          </v:shape>
          <o:OLEObject Type="Embed" ProgID="Equation.DSMT4" ShapeID="_x0000_i1658" DrawAspect="Content" ObjectID="_1359267581" r:id="rId1209"/>
        </w:object>
      </w:r>
      <w:r w:rsidR="001D7DE8" w:rsidRPr="001D7DE8">
        <w:rPr>
          <w:rFonts w:eastAsiaTheme="minorHAnsi"/>
          <w:position w:val="-12"/>
        </w:rPr>
        <w:t xml:space="preserve">       </w:t>
      </w:r>
      <w:r w:rsidRPr="001D7DE8">
        <w:rPr>
          <w:rFonts w:eastAsiaTheme="minorHAnsi"/>
          <w:position w:val="-12"/>
        </w:rPr>
        <w:t xml:space="preserve">                                       </w:t>
      </w:r>
      <w:r w:rsidR="001D7DE8">
        <w:rPr>
          <w:rFonts w:eastAsiaTheme="minorHAnsi"/>
          <w:position w:val="-12"/>
        </w:rPr>
        <w:tab/>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18)</w:t>
      </w:r>
    </w:p>
    <w:p w:rsidR="00161F1F" w:rsidRPr="001D7DE8" w:rsidRDefault="00161F1F" w:rsidP="001D7DE8">
      <w:pPr>
        <w:spacing w:line="480" w:lineRule="auto"/>
        <w:rPr>
          <w:rFonts w:eastAsiaTheme="minorHAnsi"/>
          <w:position w:val="-12"/>
        </w:rPr>
      </w:pPr>
      <w:r w:rsidRPr="001D7DE8">
        <w:rPr>
          <w:rFonts w:eastAsiaTheme="minorHAnsi"/>
          <w:position w:val="-12"/>
        </w:rPr>
        <w:object w:dxaOrig="1340" w:dyaOrig="360">
          <v:shape id="_x0000_i1659" type="#_x0000_t75" style="width:66.15pt;height:17.6pt" o:ole="">
            <v:imagedata r:id="rId1210" o:title=""/>
          </v:shape>
          <o:OLEObject Type="Embed" ProgID="Equation.DSMT4" ShapeID="_x0000_i1659" DrawAspect="Content" ObjectID="_1359267582" r:id="rId1211"/>
        </w:object>
      </w:r>
      <w:r w:rsidRPr="001D7DE8">
        <w:rPr>
          <w:rFonts w:eastAsiaTheme="minorHAnsi"/>
          <w:position w:val="-12"/>
        </w:rPr>
        <w:t xml:space="preserve">                  </w:t>
      </w:r>
      <w:r w:rsidR="001D7DE8" w:rsidRPr="001D7DE8">
        <w:rPr>
          <w:rFonts w:eastAsiaTheme="minorHAnsi"/>
          <w:position w:val="-12"/>
        </w:rPr>
        <w:t xml:space="preserve">      </w:t>
      </w:r>
      <w:r w:rsidRPr="001D7DE8">
        <w:rPr>
          <w:rFonts w:eastAsiaTheme="minorHAnsi"/>
          <w:position w:val="-12"/>
        </w:rPr>
        <w:t xml:space="preserve">                                                                                   </w:t>
      </w:r>
      <w:r w:rsidR="001D7DE8">
        <w:rPr>
          <w:rFonts w:eastAsiaTheme="minorHAnsi"/>
          <w:position w:val="-12"/>
        </w:rPr>
        <w:t xml:space="preserve">            </w:t>
      </w:r>
      <w:r w:rsidRPr="001D7DE8">
        <w:rPr>
          <w:rFonts w:eastAsiaTheme="minorHAnsi"/>
          <w:position w:val="-12"/>
        </w:rPr>
        <w:t xml:space="preserve"> (A</w:t>
      </w:r>
      <w:r w:rsidR="001D7DE8" w:rsidRPr="001D7DE8">
        <w:rPr>
          <w:rFonts w:eastAsiaTheme="minorHAnsi"/>
          <w:position w:val="-12"/>
        </w:rPr>
        <w:t>.2</w:t>
      </w:r>
      <w:r w:rsidRPr="001D7DE8">
        <w:rPr>
          <w:rFonts w:eastAsiaTheme="minorHAnsi"/>
          <w:position w:val="-12"/>
        </w:rPr>
        <w:t>.19)</w:t>
      </w:r>
    </w:p>
    <w:p w:rsidR="00161F1F" w:rsidRPr="001D7DE8" w:rsidRDefault="00161F1F" w:rsidP="001D7DE8">
      <w:pPr>
        <w:spacing w:line="480" w:lineRule="auto"/>
        <w:rPr>
          <w:rFonts w:eastAsiaTheme="minorHAnsi"/>
          <w:position w:val="-12"/>
        </w:rPr>
      </w:pPr>
      <w:r w:rsidRPr="001D7DE8">
        <w:rPr>
          <w:rFonts w:eastAsiaTheme="minorHAnsi"/>
          <w:position w:val="-12"/>
        </w:rPr>
        <w:object w:dxaOrig="4400" w:dyaOrig="420">
          <v:shape id="_x0000_i1660" type="#_x0000_t75" style="width:218.5pt;height:22.6pt" o:ole="">
            <v:imagedata r:id="rId1212" o:title=""/>
          </v:shape>
          <o:OLEObject Type="Embed" ProgID="Equation.DSMT4" ShapeID="_x0000_i1660" DrawAspect="Content" ObjectID="_1359267583" r:id="rId1213"/>
        </w:object>
      </w:r>
      <w:r w:rsidRPr="001D7DE8">
        <w:rPr>
          <w:rFonts w:eastAsiaTheme="minorHAnsi"/>
          <w:position w:val="-12"/>
        </w:rPr>
        <w:t xml:space="preserve">          </w:t>
      </w:r>
      <w:r w:rsidR="001D7DE8" w:rsidRPr="001D7DE8">
        <w:rPr>
          <w:rFonts w:eastAsiaTheme="minorHAnsi"/>
          <w:position w:val="-12"/>
        </w:rPr>
        <w:t xml:space="preserve">        </w:t>
      </w:r>
      <w:r w:rsidRPr="001D7DE8">
        <w:rPr>
          <w:rFonts w:eastAsiaTheme="minorHAnsi"/>
          <w:position w:val="-12"/>
        </w:rPr>
        <w:t xml:space="preserve">                               </w:t>
      </w:r>
      <w:r w:rsidR="001D7DE8" w:rsidRPr="001D7DE8">
        <w:rPr>
          <w:rFonts w:eastAsiaTheme="minorHAnsi"/>
          <w:position w:val="-12"/>
        </w:rPr>
        <w:t xml:space="preserve">   </w:t>
      </w:r>
      <w:r w:rsidRPr="001D7DE8">
        <w:rPr>
          <w:rFonts w:eastAsiaTheme="minorHAnsi"/>
          <w:position w:val="-12"/>
        </w:rPr>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20)</w:t>
      </w:r>
    </w:p>
    <w:p w:rsidR="00161F1F" w:rsidRDefault="00161F1F" w:rsidP="00161F1F">
      <w:pPr>
        <w:spacing w:line="480" w:lineRule="auto"/>
        <w:rPr>
          <w:bCs/>
          <w:position w:val="-12"/>
        </w:rPr>
      </w:pPr>
      <w:r>
        <w:rPr>
          <w:bCs/>
          <w:position w:val="-12"/>
        </w:rPr>
        <w:t>The trade balance</w:t>
      </w:r>
    </w:p>
    <w:p w:rsidR="00161F1F" w:rsidRPr="001D7DE8" w:rsidRDefault="00161F1F" w:rsidP="001D7DE8">
      <w:pPr>
        <w:spacing w:line="480" w:lineRule="auto"/>
        <w:rPr>
          <w:rFonts w:eastAsiaTheme="minorHAnsi"/>
          <w:position w:val="-12"/>
        </w:rPr>
      </w:pPr>
      <w:r w:rsidRPr="001D7DE8">
        <w:rPr>
          <w:rFonts w:eastAsiaTheme="minorHAnsi"/>
          <w:position w:val="-12"/>
        </w:rPr>
        <w:object w:dxaOrig="5480" w:dyaOrig="740">
          <v:shape id="_x0000_i1661" type="#_x0000_t75" style="width:274.6pt;height:37.65pt" o:ole="">
            <v:imagedata r:id="rId1214" o:title=""/>
          </v:shape>
          <o:OLEObject Type="Embed" ProgID="Equation.DSMT4" ShapeID="_x0000_i1661" DrawAspect="Content" ObjectID="_1359267584" r:id="rId1215"/>
        </w:object>
      </w:r>
      <w:r w:rsidRPr="001D7DE8">
        <w:rPr>
          <w:rFonts w:eastAsiaTheme="minorHAnsi"/>
          <w:position w:val="-12"/>
        </w:rPr>
        <w:t xml:space="preserve">                                          </w:t>
      </w:r>
      <w:r w:rsidR="001D7DE8">
        <w:rPr>
          <w:rFonts w:eastAsiaTheme="minorHAnsi"/>
          <w:position w:val="-12"/>
        </w:rPr>
        <w:t xml:space="preserve">         </w:t>
      </w:r>
      <w:r w:rsidRPr="001D7DE8">
        <w:rPr>
          <w:rFonts w:eastAsiaTheme="minorHAnsi"/>
          <w:position w:val="-12"/>
        </w:rPr>
        <w:t>(A</w:t>
      </w:r>
      <w:r w:rsidR="001D7DE8" w:rsidRPr="001D7DE8">
        <w:rPr>
          <w:rFonts w:eastAsiaTheme="minorHAnsi"/>
          <w:position w:val="-12"/>
        </w:rPr>
        <w:t>.2</w:t>
      </w:r>
      <w:r w:rsidRPr="001D7DE8">
        <w:rPr>
          <w:rFonts w:eastAsiaTheme="minorHAnsi"/>
          <w:position w:val="-12"/>
        </w:rPr>
        <w:t>.25)</w:t>
      </w:r>
    </w:p>
    <w:p w:rsidR="00161F1F" w:rsidRDefault="00161F1F" w:rsidP="00161F1F">
      <w:pPr>
        <w:spacing w:line="480" w:lineRule="auto"/>
      </w:pPr>
      <w:r>
        <w:rPr>
          <w:bCs/>
          <w:position w:val="-12"/>
        </w:rPr>
        <w:t>Plus extra equation that</w:t>
      </w:r>
    </w:p>
    <w:p w:rsidR="00161F1F" w:rsidRDefault="00161F1F" w:rsidP="001D7DE8">
      <w:pPr>
        <w:spacing w:line="480" w:lineRule="auto"/>
      </w:pPr>
      <w:r>
        <w:rPr>
          <w:position w:val="-24"/>
        </w:rPr>
        <w:t xml:space="preserve">  </w:t>
      </w:r>
      <w:r w:rsidR="000A3457" w:rsidRPr="000A3457">
        <w:rPr>
          <w:rFonts w:eastAsiaTheme="minorHAnsi"/>
          <w:position w:val="-12"/>
        </w:rPr>
        <w:object w:dxaOrig="840" w:dyaOrig="360">
          <v:shape id="_x0000_i1662" type="#_x0000_t75" style="width:41.85pt;height:17.6pt" o:ole="">
            <v:imagedata r:id="rId1216" o:title=""/>
          </v:shape>
          <o:OLEObject Type="Embed" ProgID="Equation.DSMT4" ShapeID="_x0000_i1662" DrawAspect="Content" ObjectID="_1359267585" r:id="rId1217"/>
        </w:object>
      </w:r>
      <w:r>
        <w:t xml:space="preserve">                       </w:t>
      </w:r>
      <w:r w:rsidR="000A3457">
        <w:t xml:space="preserve">  </w:t>
      </w:r>
      <w:r w:rsidR="001D7DE8">
        <w:t xml:space="preserve">                        </w:t>
      </w:r>
      <w:r w:rsidR="000A3457">
        <w:t xml:space="preserve">                                                            </w:t>
      </w:r>
      <w:r w:rsidR="001D7DE8">
        <w:t xml:space="preserve">   </w:t>
      </w:r>
      <w:r w:rsidR="000A3457">
        <w:t xml:space="preserve"> </w:t>
      </w:r>
      <w:r w:rsidR="001D7DE8">
        <w:t xml:space="preserve">            </w:t>
      </w:r>
      <w:r w:rsidR="000A3457">
        <w:t xml:space="preserve"> </w:t>
      </w:r>
      <w:r>
        <w:t>(A</w:t>
      </w:r>
      <w:r w:rsidR="001D7DE8">
        <w:t>.2.</w:t>
      </w:r>
      <w:r>
        <w:t>26)</w:t>
      </w:r>
    </w:p>
    <w:p w:rsidR="00161F1F" w:rsidRDefault="00161F1F" w:rsidP="00161F1F">
      <w:pPr>
        <w:spacing w:line="480" w:lineRule="auto"/>
      </w:pPr>
      <w:r>
        <w:t xml:space="preserve">This is a 17X17 system of equations. Some of the coefficients used above are defined in terms of model parameters as follows: </w:t>
      </w:r>
    </w:p>
    <w:p w:rsidR="00161F1F" w:rsidRDefault="00161F1F" w:rsidP="00161F1F">
      <w:pPr>
        <w:spacing w:line="480" w:lineRule="auto"/>
      </w:pPr>
    </w:p>
    <w:p w:rsidR="00161F1F" w:rsidRDefault="00161F1F" w:rsidP="000A3457">
      <w:pPr>
        <w:spacing w:line="480" w:lineRule="auto"/>
      </w:pPr>
      <w:r>
        <w:rPr>
          <w:noProof/>
        </w:rPr>
        <w:drawing>
          <wp:inline distT="0" distB="0" distL="0" distR="0">
            <wp:extent cx="1448784" cy="201880"/>
            <wp:effectExtent l="0" t="0" r="0" b="8255"/>
            <wp:docPr id="247"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218" cstate="print"/>
                    <a:srcRect/>
                    <a:stretch>
                      <a:fillRect/>
                    </a:stretch>
                  </pic:blipFill>
                  <pic:spPr bwMode="auto">
                    <a:xfrm>
                      <a:off x="0" y="0"/>
                      <a:ext cx="1448435" cy="201831"/>
                    </a:xfrm>
                    <a:prstGeom prst="rect">
                      <a:avLst/>
                    </a:prstGeom>
                    <a:noFill/>
                    <a:ln w="9525">
                      <a:noFill/>
                      <a:miter lim="800000"/>
                      <a:headEnd/>
                      <a:tailEnd/>
                    </a:ln>
                  </pic:spPr>
                </pic:pic>
              </a:graphicData>
            </a:graphic>
          </wp:inline>
        </w:drawing>
      </w:r>
      <w:r>
        <w:t xml:space="preserve">                                                   </w:t>
      </w:r>
      <w:r>
        <w:rPr>
          <w:noProof/>
          <w:position w:val="-25"/>
        </w:rPr>
        <w:drawing>
          <wp:inline distT="0" distB="0" distL="0" distR="0">
            <wp:extent cx="1543685" cy="373380"/>
            <wp:effectExtent l="19050" t="0" r="0" b="0"/>
            <wp:docPr id="248"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219" cstate="print"/>
                    <a:srcRect/>
                    <a:stretch>
                      <a:fillRect/>
                    </a:stretch>
                  </pic:blipFill>
                  <pic:spPr bwMode="auto">
                    <a:xfrm>
                      <a:off x="0" y="0"/>
                      <a:ext cx="1543685" cy="373380"/>
                    </a:xfrm>
                    <a:prstGeom prst="rect">
                      <a:avLst/>
                    </a:prstGeom>
                    <a:noFill/>
                    <a:ln w="9525">
                      <a:noFill/>
                      <a:miter lim="800000"/>
                      <a:headEnd/>
                      <a:tailEnd/>
                    </a:ln>
                  </pic:spPr>
                </pic:pic>
              </a:graphicData>
            </a:graphic>
          </wp:inline>
        </w:drawing>
      </w:r>
      <w:r>
        <w:rPr>
          <w:noProof/>
        </w:rPr>
        <w:drawing>
          <wp:inline distT="0" distB="0" distL="0" distR="0">
            <wp:extent cx="3575713" cy="810351"/>
            <wp:effectExtent l="0" t="0" r="5715" b="8890"/>
            <wp:docPr id="249"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220" cstate="print"/>
                    <a:srcRect/>
                    <a:stretch>
                      <a:fillRect/>
                    </a:stretch>
                  </pic:blipFill>
                  <pic:spPr bwMode="auto">
                    <a:xfrm>
                      <a:off x="0" y="0"/>
                      <a:ext cx="3583718" cy="812165"/>
                    </a:xfrm>
                    <a:prstGeom prst="rect">
                      <a:avLst/>
                    </a:prstGeom>
                    <a:noFill/>
                    <a:ln w="9525">
                      <a:noFill/>
                      <a:miter lim="800000"/>
                      <a:headEnd/>
                      <a:tailEnd/>
                    </a:ln>
                  </pic:spPr>
                </pic:pic>
              </a:graphicData>
            </a:graphic>
          </wp:inline>
        </w:drawing>
      </w:r>
      <w:r>
        <w:rPr>
          <w:noProof/>
        </w:rPr>
        <w:drawing>
          <wp:inline distT="0" distB="0" distL="0" distR="0">
            <wp:extent cx="2479675" cy="570865"/>
            <wp:effectExtent l="19050" t="0" r="0" b="0"/>
            <wp:docPr id="250"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221" cstate="print"/>
                    <a:srcRect/>
                    <a:stretch>
                      <a:fillRect/>
                    </a:stretch>
                  </pic:blipFill>
                  <pic:spPr bwMode="auto">
                    <a:xfrm>
                      <a:off x="0" y="0"/>
                      <a:ext cx="2479675" cy="570865"/>
                    </a:xfrm>
                    <a:prstGeom prst="rect">
                      <a:avLst/>
                    </a:prstGeom>
                    <a:noFill/>
                    <a:ln w="9525">
                      <a:noFill/>
                      <a:miter lim="800000"/>
                      <a:headEnd/>
                      <a:tailEnd/>
                    </a:ln>
                  </pic:spPr>
                </pic:pic>
              </a:graphicData>
            </a:graphic>
          </wp:inline>
        </w:drawing>
      </w:r>
      <w:r w:rsidR="00CC5C27">
        <w:t xml:space="preserve">           </w:t>
      </w:r>
      <w:r>
        <w:rPr>
          <w:noProof/>
        </w:rPr>
        <w:drawing>
          <wp:inline distT="0" distB="0" distL="0" distR="0">
            <wp:extent cx="2647950" cy="563245"/>
            <wp:effectExtent l="19050" t="0" r="0" b="0"/>
            <wp:docPr id="251"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222" cstate="print"/>
                    <a:srcRect/>
                    <a:stretch>
                      <a:fillRect/>
                    </a:stretch>
                  </pic:blipFill>
                  <pic:spPr bwMode="auto">
                    <a:xfrm>
                      <a:off x="0" y="0"/>
                      <a:ext cx="2647950" cy="563245"/>
                    </a:xfrm>
                    <a:prstGeom prst="rect">
                      <a:avLst/>
                    </a:prstGeom>
                    <a:noFill/>
                    <a:ln w="9525">
                      <a:noFill/>
                      <a:miter lim="800000"/>
                      <a:headEnd/>
                      <a:tailEnd/>
                    </a:ln>
                  </pic:spPr>
                </pic:pic>
              </a:graphicData>
            </a:graphic>
          </wp:inline>
        </w:drawing>
      </w:r>
      <w:r>
        <w:rPr>
          <w:noProof/>
        </w:rPr>
        <w:drawing>
          <wp:inline distT="0" distB="0" distL="0" distR="0">
            <wp:extent cx="3825875" cy="563245"/>
            <wp:effectExtent l="19050" t="0" r="3175" b="0"/>
            <wp:docPr id="252"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223" cstate="print"/>
                    <a:srcRect/>
                    <a:stretch>
                      <a:fillRect/>
                    </a:stretch>
                  </pic:blipFill>
                  <pic:spPr bwMode="auto">
                    <a:xfrm>
                      <a:off x="0" y="0"/>
                      <a:ext cx="3825875" cy="563245"/>
                    </a:xfrm>
                    <a:prstGeom prst="rect">
                      <a:avLst/>
                    </a:prstGeom>
                    <a:noFill/>
                    <a:ln w="9525">
                      <a:noFill/>
                      <a:miter lim="800000"/>
                      <a:headEnd/>
                      <a:tailEnd/>
                    </a:ln>
                  </pic:spPr>
                </pic:pic>
              </a:graphicData>
            </a:graphic>
          </wp:inline>
        </w:drawing>
      </w:r>
    </w:p>
    <w:p w:rsidR="00161F1F" w:rsidRDefault="00161F1F" w:rsidP="0080473C">
      <w:pPr>
        <w:spacing w:line="480" w:lineRule="auto"/>
      </w:pPr>
      <w:r>
        <w:rPr>
          <w:noProof/>
        </w:rPr>
        <w:drawing>
          <wp:inline distT="0" distB="0" distL="0" distR="0">
            <wp:extent cx="3635375" cy="621665"/>
            <wp:effectExtent l="19050" t="0" r="3175" b="0"/>
            <wp:docPr id="253"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224" cstate="print"/>
                    <a:srcRect/>
                    <a:stretch>
                      <a:fillRect/>
                    </a:stretch>
                  </pic:blipFill>
                  <pic:spPr bwMode="auto">
                    <a:xfrm>
                      <a:off x="0" y="0"/>
                      <a:ext cx="3635375" cy="621665"/>
                    </a:xfrm>
                    <a:prstGeom prst="rect">
                      <a:avLst/>
                    </a:prstGeom>
                    <a:noFill/>
                    <a:ln w="9525">
                      <a:noFill/>
                      <a:miter lim="800000"/>
                      <a:headEnd/>
                      <a:tailEnd/>
                    </a:ln>
                  </pic:spPr>
                </pic:pic>
              </a:graphicData>
            </a:graphic>
          </wp:inline>
        </w:drawing>
      </w:r>
    </w:p>
    <w:p w:rsidR="00161F1F" w:rsidRDefault="00161F1F" w:rsidP="0080473C">
      <w:pPr>
        <w:spacing w:line="480" w:lineRule="auto"/>
      </w:pPr>
      <w:r>
        <w:rPr>
          <w:noProof/>
        </w:rPr>
        <w:drawing>
          <wp:inline distT="0" distB="0" distL="0" distR="0">
            <wp:extent cx="3555365" cy="563245"/>
            <wp:effectExtent l="19050" t="0" r="6985" b="0"/>
            <wp:docPr id="254"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225" cstate="print"/>
                    <a:srcRect/>
                    <a:stretch>
                      <a:fillRect/>
                    </a:stretch>
                  </pic:blipFill>
                  <pic:spPr bwMode="auto">
                    <a:xfrm>
                      <a:off x="0" y="0"/>
                      <a:ext cx="3555365" cy="563245"/>
                    </a:xfrm>
                    <a:prstGeom prst="rect">
                      <a:avLst/>
                    </a:prstGeom>
                    <a:noFill/>
                    <a:ln w="9525">
                      <a:noFill/>
                      <a:miter lim="800000"/>
                      <a:headEnd/>
                      <a:tailEnd/>
                    </a:ln>
                  </pic:spPr>
                </pic:pic>
              </a:graphicData>
            </a:graphic>
          </wp:inline>
        </w:drawing>
      </w:r>
    </w:p>
    <w:p w:rsidR="00161F1F" w:rsidRDefault="00161F1F" w:rsidP="0080473C">
      <w:pPr>
        <w:spacing w:line="480" w:lineRule="auto"/>
      </w:pPr>
      <w:r>
        <w:rPr>
          <w:noProof/>
          <w:position w:val="-27"/>
        </w:rPr>
        <w:drawing>
          <wp:inline distT="0" distB="0" distL="0" distR="0">
            <wp:extent cx="2377440" cy="716915"/>
            <wp:effectExtent l="19050" t="0" r="3810" b="0"/>
            <wp:docPr id="255"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226" cstate="print"/>
                    <a:srcRect/>
                    <a:stretch>
                      <a:fillRect/>
                    </a:stretch>
                  </pic:blipFill>
                  <pic:spPr bwMode="auto">
                    <a:xfrm>
                      <a:off x="0" y="0"/>
                      <a:ext cx="2377440" cy="716915"/>
                    </a:xfrm>
                    <a:prstGeom prst="rect">
                      <a:avLst/>
                    </a:prstGeom>
                    <a:noFill/>
                    <a:ln w="9525">
                      <a:noFill/>
                      <a:miter lim="800000"/>
                      <a:headEnd/>
                      <a:tailEnd/>
                    </a:ln>
                  </pic:spPr>
                </pic:pic>
              </a:graphicData>
            </a:graphic>
          </wp:inline>
        </w:drawing>
      </w:r>
      <w:r>
        <w:t xml:space="preserve">                 </w:t>
      </w:r>
      <w:r>
        <w:rPr>
          <w:noProof/>
          <w:position w:val="-27"/>
        </w:rPr>
        <w:drawing>
          <wp:inline distT="0" distB="0" distL="0" distR="0">
            <wp:extent cx="1887220" cy="723900"/>
            <wp:effectExtent l="19050" t="0" r="0" b="0"/>
            <wp:docPr id="256"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227" cstate="print"/>
                    <a:srcRect/>
                    <a:stretch>
                      <a:fillRect/>
                    </a:stretch>
                  </pic:blipFill>
                  <pic:spPr bwMode="auto">
                    <a:xfrm>
                      <a:off x="0" y="0"/>
                      <a:ext cx="1887220" cy="723900"/>
                    </a:xfrm>
                    <a:prstGeom prst="rect">
                      <a:avLst/>
                    </a:prstGeom>
                    <a:noFill/>
                    <a:ln w="9525">
                      <a:noFill/>
                      <a:miter lim="800000"/>
                      <a:headEnd/>
                      <a:tailEnd/>
                    </a:ln>
                  </pic:spPr>
                </pic:pic>
              </a:graphicData>
            </a:graphic>
          </wp:inline>
        </w:drawing>
      </w:r>
      <w:r>
        <w:rPr>
          <w:noProof/>
          <w:position w:val="-27"/>
        </w:rPr>
        <w:drawing>
          <wp:inline distT="0" distB="0" distL="0" distR="0">
            <wp:extent cx="1997075" cy="723900"/>
            <wp:effectExtent l="19050" t="0" r="3175" b="0"/>
            <wp:docPr id="257"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228" cstate="print"/>
                    <a:srcRect/>
                    <a:stretch>
                      <a:fillRect/>
                    </a:stretch>
                  </pic:blipFill>
                  <pic:spPr bwMode="auto">
                    <a:xfrm>
                      <a:off x="0" y="0"/>
                      <a:ext cx="1997075" cy="723900"/>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rPr>
        <w:drawing>
          <wp:inline distT="0" distB="0" distL="0" distR="0">
            <wp:extent cx="3555365" cy="570865"/>
            <wp:effectExtent l="19050" t="0" r="6985" b="0"/>
            <wp:docPr id="258"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229" cstate="print"/>
                    <a:srcRect/>
                    <a:stretch>
                      <a:fillRect/>
                    </a:stretch>
                  </pic:blipFill>
                  <pic:spPr bwMode="auto">
                    <a:xfrm>
                      <a:off x="0" y="0"/>
                      <a:ext cx="3555365" cy="57086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rPr>
        <w:drawing>
          <wp:inline distT="0" distB="0" distL="0" distR="0">
            <wp:extent cx="2560320" cy="680085"/>
            <wp:effectExtent l="19050" t="0" r="0" b="0"/>
            <wp:docPr id="259"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230" cstate="print"/>
                    <a:srcRect/>
                    <a:stretch>
                      <a:fillRect/>
                    </a:stretch>
                  </pic:blipFill>
                  <pic:spPr bwMode="auto">
                    <a:xfrm>
                      <a:off x="0" y="0"/>
                      <a:ext cx="2560320" cy="68008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rPr>
        <w:drawing>
          <wp:inline distT="0" distB="0" distL="0" distR="0">
            <wp:extent cx="3211195" cy="607060"/>
            <wp:effectExtent l="19050" t="0" r="8255" b="0"/>
            <wp:docPr id="260"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231" cstate="print"/>
                    <a:srcRect/>
                    <a:stretch>
                      <a:fillRect/>
                    </a:stretch>
                  </pic:blipFill>
                  <pic:spPr bwMode="auto">
                    <a:xfrm>
                      <a:off x="0" y="0"/>
                      <a:ext cx="3211195" cy="607060"/>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rPr>
        <w:drawing>
          <wp:inline distT="0" distB="0" distL="0" distR="0">
            <wp:extent cx="4096385" cy="621665"/>
            <wp:effectExtent l="19050" t="0" r="0" b="0"/>
            <wp:docPr id="261"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232" cstate="print"/>
                    <a:srcRect/>
                    <a:stretch>
                      <a:fillRect/>
                    </a:stretch>
                  </pic:blipFill>
                  <pic:spPr bwMode="auto">
                    <a:xfrm>
                      <a:off x="0" y="0"/>
                      <a:ext cx="4096385" cy="62166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rPr>
        <w:drawing>
          <wp:inline distT="0" distB="0" distL="0" distR="0">
            <wp:extent cx="3994150" cy="541020"/>
            <wp:effectExtent l="19050" t="0" r="6350" b="0"/>
            <wp:docPr id="262"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233" cstate="print"/>
                    <a:srcRect/>
                    <a:stretch>
                      <a:fillRect/>
                    </a:stretch>
                  </pic:blipFill>
                  <pic:spPr bwMode="auto">
                    <a:xfrm>
                      <a:off x="0" y="0"/>
                      <a:ext cx="3994150" cy="541020"/>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rPr>
        <w:drawing>
          <wp:inline distT="0" distB="0" distL="0" distR="0">
            <wp:extent cx="4096385" cy="548640"/>
            <wp:effectExtent l="19050" t="0" r="0" b="0"/>
            <wp:docPr id="263"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234" cstate="print"/>
                    <a:srcRect/>
                    <a:stretch>
                      <a:fillRect/>
                    </a:stretch>
                  </pic:blipFill>
                  <pic:spPr bwMode="auto">
                    <a:xfrm>
                      <a:off x="0" y="0"/>
                      <a:ext cx="4096385" cy="548640"/>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position w:val="-27"/>
        </w:rPr>
        <w:drawing>
          <wp:inline distT="0" distB="0" distL="0" distR="0">
            <wp:extent cx="2355215" cy="702310"/>
            <wp:effectExtent l="19050" t="0" r="6985" b="0"/>
            <wp:docPr id="264"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235" cstate="print"/>
                    <a:srcRect/>
                    <a:stretch>
                      <a:fillRect/>
                    </a:stretch>
                  </pic:blipFill>
                  <pic:spPr bwMode="auto">
                    <a:xfrm>
                      <a:off x="0" y="0"/>
                      <a:ext cx="2355215" cy="702310"/>
                    </a:xfrm>
                    <a:prstGeom prst="rect">
                      <a:avLst/>
                    </a:prstGeom>
                    <a:noFill/>
                    <a:ln w="9525">
                      <a:noFill/>
                      <a:miter lim="800000"/>
                      <a:headEnd/>
                      <a:tailEnd/>
                    </a:ln>
                  </pic:spPr>
                </pic:pic>
              </a:graphicData>
            </a:graphic>
          </wp:inline>
        </w:drawing>
      </w:r>
      <w:r>
        <w:t xml:space="preserve">                      </w:t>
      </w:r>
      <w:r>
        <w:rPr>
          <w:noProof/>
          <w:position w:val="-27"/>
        </w:rPr>
        <w:drawing>
          <wp:inline distT="0" distB="0" distL="0" distR="0">
            <wp:extent cx="1755775" cy="680085"/>
            <wp:effectExtent l="19050" t="0" r="0" b="0"/>
            <wp:docPr id="265"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236" cstate="print"/>
                    <a:srcRect/>
                    <a:stretch>
                      <a:fillRect/>
                    </a:stretch>
                  </pic:blipFill>
                  <pic:spPr bwMode="auto">
                    <a:xfrm>
                      <a:off x="0" y="0"/>
                      <a:ext cx="1755775" cy="68008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position w:val="-27"/>
        </w:rPr>
        <w:drawing>
          <wp:inline distT="0" distB="0" distL="0" distR="0">
            <wp:extent cx="1858010" cy="680085"/>
            <wp:effectExtent l="19050" t="0" r="8890" b="0"/>
            <wp:docPr id="26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237" cstate="print"/>
                    <a:srcRect/>
                    <a:stretch>
                      <a:fillRect/>
                    </a:stretch>
                  </pic:blipFill>
                  <pic:spPr bwMode="auto">
                    <a:xfrm>
                      <a:off x="0" y="0"/>
                      <a:ext cx="1858010" cy="680085"/>
                    </a:xfrm>
                    <a:prstGeom prst="rect">
                      <a:avLst/>
                    </a:prstGeom>
                    <a:noFill/>
                    <a:ln w="9525">
                      <a:noFill/>
                      <a:miter lim="800000"/>
                      <a:headEnd/>
                      <a:tailEnd/>
                    </a:ln>
                  </pic:spPr>
                </pic:pic>
              </a:graphicData>
            </a:graphic>
          </wp:inline>
        </w:drawing>
      </w:r>
      <w:r>
        <w:t xml:space="preserve">                                     </w:t>
      </w:r>
      <w:r>
        <w:rPr>
          <w:noProof/>
        </w:rPr>
        <w:drawing>
          <wp:inline distT="0" distB="0" distL="0" distR="0">
            <wp:extent cx="1126490" cy="278130"/>
            <wp:effectExtent l="19050" t="0" r="0" b="0"/>
            <wp:docPr id="267"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238" cstate="print"/>
                    <a:srcRect/>
                    <a:stretch>
                      <a:fillRect/>
                    </a:stretch>
                  </pic:blipFill>
                  <pic:spPr bwMode="auto">
                    <a:xfrm>
                      <a:off x="0" y="0"/>
                      <a:ext cx="1126490" cy="278130"/>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position w:val="-7"/>
        </w:rPr>
        <w:drawing>
          <wp:inline distT="0" distB="0" distL="0" distR="0">
            <wp:extent cx="753745" cy="175260"/>
            <wp:effectExtent l="19050" t="0" r="8255" b="0"/>
            <wp:docPr id="26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1239" cstate="print"/>
                    <a:srcRect/>
                    <a:stretch>
                      <a:fillRect/>
                    </a:stretch>
                  </pic:blipFill>
                  <pic:spPr bwMode="auto">
                    <a:xfrm>
                      <a:off x="0" y="0"/>
                      <a:ext cx="753745" cy="175260"/>
                    </a:xfrm>
                    <a:prstGeom prst="rect">
                      <a:avLst/>
                    </a:prstGeom>
                    <a:noFill/>
                    <a:ln w="9525">
                      <a:noFill/>
                      <a:miter lim="800000"/>
                      <a:headEnd/>
                      <a:tailEnd/>
                    </a:ln>
                  </pic:spPr>
                </pic:pic>
              </a:graphicData>
            </a:graphic>
          </wp:inline>
        </w:drawing>
      </w:r>
      <w:r>
        <w:t xml:space="preserve">                                                                </w:t>
      </w:r>
      <w:r>
        <w:rPr>
          <w:noProof/>
          <w:position w:val="-60"/>
        </w:rPr>
        <w:drawing>
          <wp:inline distT="0" distB="0" distL="0" distR="0">
            <wp:extent cx="2392045" cy="621665"/>
            <wp:effectExtent l="19050" t="0" r="8255" b="0"/>
            <wp:docPr id="269"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40" cstate="print"/>
                    <a:srcRect/>
                    <a:stretch>
                      <a:fillRect/>
                    </a:stretch>
                  </pic:blipFill>
                  <pic:spPr bwMode="auto">
                    <a:xfrm>
                      <a:off x="0" y="0"/>
                      <a:ext cx="2392045" cy="62166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position w:val="-60"/>
        </w:rPr>
        <w:drawing>
          <wp:inline distT="0" distB="0" distL="0" distR="0">
            <wp:extent cx="2209165" cy="687705"/>
            <wp:effectExtent l="19050" t="0" r="635" b="0"/>
            <wp:docPr id="270"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1241" cstate="print"/>
                    <a:srcRect/>
                    <a:stretch>
                      <a:fillRect/>
                    </a:stretch>
                  </pic:blipFill>
                  <pic:spPr bwMode="auto">
                    <a:xfrm>
                      <a:off x="0" y="0"/>
                      <a:ext cx="2209165" cy="687705"/>
                    </a:xfrm>
                    <a:prstGeom prst="rect">
                      <a:avLst/>
                    </a:prstGeom>
                    <a:noFill/>
                    <a:ln w="9525">
                      <a:noFill/>
                      <a:miter lim="800000"/>
                      <a:headEnd/>
                      <a:tailEnd/>
                    </a:ln>
                  </pic:spPr>
                </pic:pic>
              </a:graphicData>
            </a:graphic>
          </wp:inline>
        </w:drawing>
      </w:r>
      <w:r>
        <w:t xml:space="preserve">                           </w:t>
      </w:r>
      <w:r>
        <w:rPr>
          <w:noProof/>
          <w:position w:val="-60"/>
        </w:rPr>
        <w:drawing>
          <wp:inline distT="0" distB="0" distL="0" distR="0">
            <wp:extent cx="2216785" cy="687705"/>
            <wp:effectExtent l="19050" t="0" r="0" b="0"/>
            <wp:docPr id="271"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242" cstate="print"/>
                    <a:srcRect/>
                    <a:stretch>
                      <a:fillRect/>
                    </a:stretch>
                  </pic:blipFill>
                  <pic:spPr bwMode="auto">
                    <a:xfrm>
                      <a:off x="0" y="0"/>
                      <a:ext cx="2216785" cy="68770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position w:val="-60"/>
        </w:rPr>
        <w:drawing>
          <wp:inline distT="0" distB="0" distL="0" distR="0">
            <wp:extent cx="2940685" cy="789940"/>
            <wp:effectExtent l="19050" t="0" r="0" b="0"/>
            <wp:docPr id="272"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243" cstate="print"/>
                    <a:srcRect/>
                    <a:stretch>
                      <a:fillRect/>
                    </a:stretch>
                  </pic:blipFill>
                  <pic:spPr bwMode="auto">
                    <a:xfrm>
                      <a:off x="0" y="0"/>
                      <a:ext cx="2940685" cy="789940"/>
                    </a:xfrm>
                    <a:prstGeom prst="rect">
                      <a:avLst/>
                    </a:prstGeom>
                    <a:noFill/>
                    <a:ln w="9525">
                      <a:noFill/>
                      <a:miter lim="800000"/>
                      <a:headEnd/>
                      <a:tailEnd/>
                    </a:ln>
                  </pic:spPr>
                </pic:pic>
              </a:graphicData>
            </a:graphic>
          </wp:inline>
        </w:drawing>
      </w:r>
      <w:r>
        <w:t xml:space="preserve">       </w:t>
      </w:r>
      <w:r>
        <w:rPr>
          <w:noProof/>
          <w:position w:val="-60"/>
        </w:rPr>
        <w:drawing>
          <wp:inline distT="0" distB="0" distL="0" distR="0">
            <wp:extent cx="2369820" cy="782955"/>
            <wp:effectExtent l="19050" t="0" r="0" b="0"/>
            <wp:docPr id="273"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244" cstate="print"/>
                    <a:srcRect/>
                    <a:stretch>
                      <a:fillRect/>
                    </a:stretch>
                  </pic:blipFill>
                  <pic:spPr bwMode="auto">
                    <a:xfrm>
                      <a:off x="0" y="0"/>
                      <a:ext cx="2369820" cy="78295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position w:val="-60"/>
        </w:rPr>
        <w:drawing>
          <wp:inline distT="0" distB="0" distL="0" distR="0">
            <wp:extent cx="2355215" cy="768350"/>
            <wp:effectExtent l="19050" t="0" r="6985" b="0"/>
            <wp:docPr id="274"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245" cstate="print"/>
                    <a:srcRect/>
                    <a:stretch>
                      <a:fillRect/>
                    </a:stretch>
                  </pic:blipFill>
                  <pic:spPr bwMode="auto">
                    <a:xfrm>
                      <a:off x="0" y="0"/>
                      <a:ext cx="2355215" cy="768350"/>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rPr>
        <w:drawing>
          <wp:inline distT="0" distB="0" distL="0" distR="0">
            <wp:extent cx="3503930" cy="665480"/>
            <wp:effectExtent l="19050" t="0" r="1270" b="0"/>
            <wp:docPr id="275"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1246" cstate="print"/>
                    <a:srcRect/>
                    <a:stretch>
                      <a:fillRect/>
                    </a:stretch>
                  </pic:blipFill>
                  <pic:spPr bwMode="auto">
                    <a:xfrm>
                      <a:off x="0" y="0"/>
                      <a:ext cx="3503930" cy="665480"/>
                    </a:xfrm>
                    <a:prstGeom prst="rect">
                      <a:avLst/>
                    </a:prstGeom>
                    <a:noFill/>
                    <a:ln w="9525">
                      <a:noFill/>
                      <a:miter lim="800000"/>
                      <a:headEnd/>
                      <a:tailEnd/>
                    </a:ln>
                  </pic:spPr>
                </pic:pic>
              </a:graphicData>
            </a:graphic>
          </wp:inline>
        </w:drawing>
      </w:r>
      <w:r>
        <w:rPr>
          <w:noProof/>
          <w:position w:val="-27"/>
        </w:rPr>
        <w:drawing>
          <wp:inline distT="0" distB="0" distL="0" distR="0">
            <wp:extent cx="2684780" cy="753745"/>
            <wp:effectExtent l="19050" t="0" r="1270" b="0"/>
            <wp:docPr id="276"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247" cstate="print"/>
                    <a:srcRect/>
                    <a:stretch>
                      <a:fillRect/>
                    </a:stretch>
                  </pic:blipFill>
                  <pic:spPr bwMode="auto">
                    <a:xfrm>
                      <a:off x="0" y="0"/>
                      <a:ext cx="2684780" cy="753745"/>
                    </a:xfrm>
                    <a:prstGeom prst="rect">
                      <a:avLst/>
                    </a:prstGeom>
                    <a:noFill/>
                    <a:ln w="9525">
                      <a:noFill/>
                      <a:miter lim="800000"/>
                      <a:headEnd/>
                      <a:tailEnd/>
                    </a:ln>
                  </pic:spPr>
                </pic:pic>
              </a:graphicData>
            </a:graphic>
          </wp:inline>
        </w:drawing>
      </w:r>
      <w:r>
        <w:t xml:space="preserve">           </w:t>
      </w:r>
      <w:r>
        <w:rPr>
          <w:noProof/>
          <w:position w:val="-27"/>
        </w:rPr>
        <w:drawing>
          <wp:inline distT="0" distB="0" distL="0" distR="0">
            <wp:extent cx="2743200" cy="753745"/>
            <wp:effectExtent l="19050" t="0" r="0" b="0"/>
            <wp:docPr id="277"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1248" cstate="print"/>
                    <a:srcRect/>
                    <a:stretch>
                      <a:fillRect/>
                    </a:stretch>
                  </pic:blipFill>
                  <pic:spPr bwMode="auto">
                    <a:xfrm>
                      <a:off x="0" y="0"/>
                      <a:ext cx="2743200" cy="753745"/>
                    </a:xfrm>
                    <a:prstGeom prst="rect">
                      <a:avLst/>
                    </a:prstGeom>
                    <a:noFill/>
                    <a:ln w="9525">
                      <a:noFill/>
                      <a:miter lim="800000"/>
                      <a:headEnd/>
                      <a:tailEnd/>
                    </a:ln>
                  </pic:spPr>
                </pic:pic>
              </a:graphicData>
            </a:graphic>
          </wp:inline>
        </w:drawing>
      </w:r>
    </w:p>
    <w:p w:rsidR="00161F1F" w:rsidRDefault="00161F1F" w:rsidP="0080473C">
      <w:pPr>
        <w:autoSpaceDE w:val="0"/>
        <w:autoSpaceDN w:val="0"/>
        <w:adjustRightInd w:val="0"/>
        <w:spacing w:line="480" w:lineRule="auto"/>
      </w:pPr>
      <w:r>
        <w:rPr>
          <w:noProof/>
          <w:position w:val="-7"/>
        </w:rPr>
        <w:drawing>
          <wp:inline distT="0" distB="0" distL="0" distR="0">
            <wp:extent cx="951230" cy="175260"/>
            <wp:effectExtent l="19050" t="0" r="1270" b="0"/>
            <wp:docPr id="278"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1249" cstate="print"/>
                    <a:srcRect/>
                    <a:stretch>
                      <a:fillRect/>
                    </a:stretch>
                  </pic:blipFill>
                  <pic:spPr bwMode="auto">
                    <a:xfrm>
                      <a:off x="0" y="0"/>
                      <a:ext cx="951230" cy="175260"/>
                    </a:xfrm>
                    <a:prstGeom prst="rect">
                      <a:avLst/>
                    </a:prstGeom>
                    <a:noFill/>
                    <a:ln w="9525">
                      <a:noFill/>
                      <a:miter lim="800000"/>
                      <a:headEnd/>
                      <a:tailEnd/>
                    </a:ln>
                  </pic:spPr>
                </pic:pic>
              </a:graphicData>
            </a:graphic>
          </wp:inline>
        </w:drawing>
      </w:r>
    </w:p>
    <w:p w:rsidR="00161F1F" w:rsidRDefault="00161F1F" w:rsidP="00161F1F">
      <w:pPr>
        <w:autoSpaceDE w:val="0"/>
        <w:autoSpaceDN w:val="0"/>
        <w:adjustRightInd w:val="0"/>
        <w:rPr>
          <w:noProof/>
          <w:position w:val="-7"/>
        </w:rPr>
      </w:pPr>
      <w:r>
        <w:t xml:space="preserve">Where </w:t>
      </w:r>
    </w:p>
    <w:p w:rsidR="00161F1F" w:rsidRDefault="00161F1F" w:rsidP="000A3457">
      <w:pPr>
        <w:autoSpaceDE w:val="0"/>
        <w:autoSpaceDN w:val="0"/>
        <w:adjustRightInd w:val="0"/>
        <w:spacing w:line="480" w:lineRule="auto"/>
        <w:rPr>
          <w:lang w:bidi="ar-JO"/>
        </w:rPr>
      </w:pPr>
      <w:r>
        <w:rPr>
          <w:noProof/>
          <w:position w:val="-7"/>
        </w:rPr>
        <w:drawing>
          <wp:inline distT="0" distB="0" distL="0" distR="0">
            <wp:extent cx="3430905" cy="358140"/>
            <wp:effectExtent l="19050" t="0" r="0" b="0"/>
            <wp:docPr id="279"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250" cstate="print"/>
                    <a:srcRect/>
                    <a:stretch>
                      <a:fillRect/>
                    </a:stretch>
                  </pic:blipFill>
                  <pic:spPr bwMode="auto">
                    <a:xfrm>
                      <a:off x="0" y="0"/>
                      <a:ext cx="3430905" cy="358140"/>
                    </a:xfrm>
                    <a:prstGeom prst="rect">
                      <a:avLst/>
                    </a:prstGeom>
                    <a:noFill/>
                    <a:ln w="9525">
                      <a:noFill/>
                      <a:miter lim="800000"/>
                      <a:headEnd/>
                      <a:tailEnd/>
                    </a:ln>
                  </pic:spPr>
                </pic:pic>
              </a:graphicData>
            </a:graphic>
          </wp:inline>
        </w:drawing>
      </w:r>
    </w:p>
    <w:p w:rsidR="00161F1F" w:rsidRDefault="00161F1F" w:rsidP="00161F1F">
      <w:pPr>
        <w:spacing w:line="480" w:lineRule="auto"/>
        <w:rPr>
          <w:lang w:bidi="ar-JO"/>
        </w:rPr>
      </w:pPr>
      <w:r>
        <w:rPr>
          <w:lang w:bidi="ar-JO"/>
        </w:rPr>
        <w:t>Note that the above system consists of three types of variables:</w:t>
      </w:r>
    </w:p>
    <w:p w:rsidR="00161F1F" w:rsidRDefault="00161F1F" w:rsidP="00D444EF">
      <w:pPr>
        <w:spacing w:line="480" w:lineRule="auto"/>
        <w:rPr>
          <w:rFonts w:eastAsiaTheme="minorHAnsi"/>
          <w:position w:val="-14"/>
          <w:lang w:bidi="ar-JO"/>
        </w:rPr>
      </w:pPr>
      <w:r>
        <w:rPr>
          <w:lang w:bidi="ar-JO"/>
        </w:rPr>
        <w:t xml:space="preserve">The state variables:  </w:t>
      </w:r>
      <w:r>
        <w:rPr>
          <w:lang w:bidi="ar-JO"/>
        </w:rPr>
        <w:tab/>
      </w:r>
      <w:r>
        <w:rPr>
          <w:lang w:bidi="ar-JO"/>
        </w:rPr>
        <w:tab/>
      </w:r>
      <w:r>
        <w:rPr>
          <w:lang w:bidi="ar-JO"/>
        </w:rPr>
        <w:tab/>
        <w:t xml:space="preserve">       </w:t>
      </w:r>
      <w:r w:rsidRPr="005C67D1">
        <w:rPr>
          <w:rFonts w:eastAsiaTheme="minorHAnsi"/>
          <w:position w:val="-14"/>
          <w:lang w:bidi="ar-JO"/>
        </w:rPr>
        <w:object w:dxaOrig="3040" w:dyaOrig="440">
          <v:shape id="_x0000_i1663" type="#_x0000_t75" style="width:153.2pt;height:22.6pt" o:ole="">
            <v:imagedata r:id="rId1251" o:title=""/>
          </v:shape>
          <o:OLEObject Type="Embed" ProgID="Equation.DSMT4" ShapeID="_x0000_i1663" DrawAspect="Content" ObjectID="_1359267586" r:id="rId1252"/>
        </w:object>
      </w:r>
    </w:p>
    <w:p w:rsidR="00161F1F" w:rsidRDefault="00161F1F" w:rsidP="00D444EF">
      <w:pPr>
        <w:spacing w:line="480" w:lineRule="auto"/>
        <w:rPr>
          <w:lang w:bidi="ar-JO"/>
        </w:rPr>
      </w:pPr>
      <w:r>
        <w:rPr>
          <w:lang w:bidi="ar-JO"/>
        </w:rPr>
        <w:t xml:space="preserve">Other endogenous variables:                     </w:t>
      </w:r>
      <w:r w:rsidRPr="005C67D1">
        <w:rPr>
          <w:rFonts w:eastAsiaTheme="minorHAnsi"/>
          <w:position w:val="-28"/>
          <w:lang w:bidi="ar-JO"/>
        </w:rPr>
        <w:object w:dxaOrig="3600" w:dyaOrig="720">
          <v:shape id="_x0000_i1664" type="#_x0000_t75" style="width:181.65pt;height:37.65pt" o:ole="">
            <v:imagedata r:id="rId1253" o:title=""/>
          </v:shape>
          <o:OLEObject Type="Embed" ProgID="Equation.DSMT4" ShapeID="_x0000_i1664" DrawAspect="Content" ObjectID="_1359267587" r:id="rId1254"/>
        </w:object>
      </w:r>
    </w:p>
    <w:p w:rsidR="00161F1F" w:rsidRDefault="00161F1F" w:rsidP="00D444EF">
      <w:pPr>
        <w:spacing w:line="480" w:lineRule="auto"/>
        <w:rPr>
          <w:lang w:bidi="ar-JO"/>
        </w:rPr>
      </w:pPr>
      <w:r>
        <w:rPr>
          <w:lang w:bidi="ar-JO"/>
        </w:rPr>
        <w:t xml:space="preserve">The stochastic variables:                           </w:t>
      </w:r>
      <w:r w:rsidRPr="005C67D1">
        <w:rPr>
          <w:rFonts w:eastAsiaTheme="minorHAnsi"/>
          <w:position w:val="-12"/>
          <w:lang w:bidi="ar-JO"/>
        </w:rPr>
        <w:object w:dxaOrig="1060" w:dyaOrig="400">
          <v:shape id="_x0000_i1665" type="#_x0000_t75" style="width:49.4pt;height:19.25pt" o:ole="">
            <v:imagedata r:id="rId1255" o:title=""/>
          </v:shape>
          <o:OLEObject Type="Embed" ProgID="Equation.DSMT4" ShapeID="_x0000_i1665" DrawAspect="Content" ObjectID="_1359267588" r:id="rId1256"/>
        </w:object>
      </w:r>
      <w:r>
        <w:rPr>
          <w:lang w:bidi="ar-JO"/>
        </w:rPr>
        <w:t xml:space="preserve"> </w:t>
      </w:r>
    </w:p>
    <w:p w:rsidR="00161F1F" w:rsidRDefault="00161F1F" w:rsidP="00161F1F">
      <w:pPr>
        <w:spacing w:line="480" w:lineRule="auto"/>
        <w:rPr>
          <w:lang w:bidi="ar-JO"/>
        </w:rPr>
      </w:pPr>
      <w:r>
        <w:rPr>
          <w:lang w:bidi="ar-JO"/>
        </w:rPr>
        <w:t xml:space="preserve">Moreover, for simplification, we rearrange the system of equations into three distinct blocks: </w:t>
      </w:r>
    </w:p>
    <w:p w:rsidR="00161F1F" w:rsidRDefault="00161F1F" w:rsidP="00161F1F">
      <w:pPr>
        <w:spacing w:line="480" w:lineRule="auto"/>
        <w:rPr>
          <w:b/>
          <w:bCs/>
          <w:lang w:bidi="ar-JO"/>
        </w:rPr>
      </w:pPr>
      <w:r>
        <w:rPr>
          <w:b/>
          <w:bCs/>
          <w:lang w:bidi="ar-JO"/>
        </w:rPr>
        <w:t xml:space="preserve">Block 1: Forward looking rational equations  </w:t>
      </w:r>
    </w:p>
    <w:p w:rsidR="00161F1F" w:rsidRDefault="003C34D1" w:rsidP="003C34D1">
      <w:pPr>
        <w:spacing w:line="480" w:lineRule="auto"/>
      </w:pPr>
      <w:r w:rsidRPr="003C34D1">
        <w:rPr>
          <w:rFonts w:eastAsiaTheme="minorHAnsi"/>
          <w:position w:val="-14"/>
        </w:rPr>
        <w:object w:dxaOrig="9120" w:dyaOrig="400">
          <v:shape id="_x0000_i1666" type="#_x0000_t75" style="width:452.1pt;height:19.25pt" o:ole="">
            <v:imagedata r:id="rId1257" o:title=""/>
          </v:shape>
          <o:OLEObject Type="Embed" ProgID="Equation.DSMT4" ShapeID="_x0000_i1666" DrawAspect="Content" ObjectID="_1359267589" r:id="rId1258"/>
        </w:object>
      </w:r>
      <w:r w:rsidR="00161F1F">
        <w:t xml:space="preserve">                      </w:t>
      </w:r>
      <w:r w:rsidRPr="003C34D1">
        <w:rPr>
          <w:rFonts w:eastAsiaTheme="minorHAnsi"/>
          <w:position w:val="-34"/>
        </w:rPr>
        <w:object w:dxaOrig="8480" w:dyaOrig="780">
          <v:shape id="_x0000_i1667" type="#_x0000_t75" style="width:423.65pt;height:39.35pt" o:ole="">
            <v:imagedata r:id="rId1259" o:title=""/>
          </v:shape>
          <o:OLEObject Type="Embed" ProgID="Equation.DSMT4" ShapeID="_x0000_i1667" DrawAspect="Content" ObjectID="_1359267590" r:id="rId1260"/>
        </w:object>
      </w:r>
    </w:p>
    <w:p w:rsidR="00161F1F" w:rsidRDefault="003C34D1" w:rsidP="003C34D1">
      <w:pPr>
        <w:spacing w:line="480" w:lineRule="auto"/>
      </w:pPr>
      <w:r w:rsidRPr="003C34D1">
        <w:rPr>
          <w:rFonts w:eastAsiaTheme="minorHAnsi"/>
          <w:position w:val="-32"/>
        </w:rPr>
        <w:object w:dxaOrig="9020" w:dyaOrig="760">
          <v:shape id="_x0000_i1668" type="#_x0000_t75" style="width:449.6pt;height:37.65pt" o:ole="">
            <v:imagedata r:id="rId1261" o:title=""/>
          </v:shape>
          <o:OLEObject Type="Embed" ProgID="Equation.DSMT4" ShapeID="_x0000_i1668" DrawAspect="Content" ObjectID="_1359267591" r:id="rId1262"/>
        </w:object>
      </w:r>
      <w:r w:rsidR="00161F1F">
        <w:rPr>
          <w:position w:val="-20"/>
        </w:rPr>
        <w:t xml:space="preserve">              </w:t>
      </w:r>
      <w:r w:rsidR="00161F1F">
        <w:t xml:space="preserve"> </w:t>
      </w:r>
      <w:r w:rsidR="00161F1F" w:rsidRPr="005C67D1">
        <w:rPr>
          <w:rFonts w:eastAsiaTheme="minorHAnsi"/>
          <w:position w:val="-22"/>
        </w:rPr>
        <w:object w:dxaOrig="4980" w:dyaOrig="580">
          <v:shape id="_x0000_i1669" type="#_x0000_t75" style="width:248.65pt;height:30.15pt" o:ole="">
            <v:imagedata r:id="rId1208" o:title=""/>
          </v:shape>
          <o:OLEObject Type="Embed" ProgID="Equation.DSMT4" ShapeID="_x0000_i1669" DrawAspect="Content" ObjectID="_1359267592" r:id="rId1263"/>
        </w:object>
      </w:r>
      <w:r w:rsidR="00161F1F">
        <w:t xml:space="preserve">                                                    </w:t>
      </w:r>
    </w:p>
    <w:p w:rsidR="00161F1F" w:rsidRDefault="00161F1F" w:rsidP="003C34D1">
      <w:pPr>
        <w:spacing w:line="480" w:lineRule="auto"/>
      </w:pPr>
      <w:r w:rsidRPr="005C67D1">
        <w:rPr>
          <w:rFonts w:eastAsiaTheme="minorHAnsi"/>
          <w:position w:val="-14"/>
        </w:rPr>
        <w:object w:dxaOrig="4400" w:dyaOrig="420">
          <v:shape id="_x0000_i1670" type="#_x0000_t75" style="width:218.5pt;height:22.6pt" o:ole="">
            <v:imagedata r:id="rId1212" o:title=""/>
          </v:shape>
          <o:OLEObject Type="Embed" ProgID="Equation.DSMT4" ShapeID="_x0000_i1670" DrawAspect="Content" ObjectID="_1359267593" r:id="rId1264"/>
        </w:object>
      </w:r>
      <w:r>
        <w:t xml:space="preserve">                                                                </w:t>
      </w:r>
      <w:r>
        <w:rPr>
          <w:position w:val="-24"/>
        </w:rPr>
        <w:t xml:space="preserve">  </w:t>
      </w:r>
    </w:p>
    <w:p w:rsidR="00161F1F" w:rsidRDefault="00161F1F" w:rsidP="00161F1F">
      <w:pPr>
        <w:spacing w:line="480" w:lineRule="auto"/>
        <w:rPr>
          <w:b/>
          <w:bCs/>
          <w:lang w:bidi="ar-JO"/>
        </w:rPr>
      </w:pPr>
      <w:r>
        <w:rPr>
          <w:b/>
          <w:bCs/>
          <w:lang w:bidi="ar-JO"/>
        </w:rPr>
        <w:t xml:space="preserve">Block 2: Static equations  </w:t>
      </w:r>
    </w:p>
    <w:p w:rsidR="00161F1F" w:rsidRDefault="00161F1F" w:rsidP="003C34D1">
      <w:pPr>
        <w:spacing w:line="480" w:lineRule="auto"/>
        <w:rPr>
          <w:position w:val="-10"/>
        </w:rPr>
      </w:pPr>
      <w:r w:rsidRPr="005C67D1">
        <w:rPr>
          <w:rFonts w:eastAsiaTheme="minorHAnsi"/>
          <w:position w:val="-12"/>
        </w:rPr>
        <w:object w:dxaOrig="2680" w:dyaOrig="380">
          <v:shape id="_x0000_i1671" type="#_x0000_t75" style="width:134.8pt;height:16.75pt" o:ole="">
            <v:imagedata r:id="rId1184" o:title=""/>
          </v:shape>
          <o:OLEObject Type="Embed" ProgID="Equation.DSMT4" ShapeID="_x0000_i1671" DrawAspect="Content" ObjectID="_1359267594" r:id="rId1265"/>
        </w:object>
      </w:r>
    </w:p>
    <w:p w:rsidR="00161F1F" w:rsidRPr="003C34D1" w:rsidRDefault="00161F1F" w:rsidP="003C34D1">
      <w:pPr>
        <w:spacing w:line="480" w:lineRule="auto"/>
        <w:rPr>
          <w:rFonts w:eastAsiaTheme="minorHAnsi"/>
          <w:position w:val="-12"/>
        </w:rPr>
      </w:pPr>
      <w:r w:rsidRPr="003C34D1">
        <w:rPr>
          <w:rFonts w:eastAsiaTheme="minorHAnsi"/>
          <w:position w:val="-12"/>
        </w:rPr>
        <w:object w:dxaOrig="3040" w:dyaOrig="420">
          <v:shape id="_x0000_i1672" type="#_x0000_t75" style="width:153.2pt;height:19.25pt" o:ole="">
            <v:imagedata r:id="rId1186" o:title=""/>
          </v:shape>
          <o:OLEObject Type="Embed" ProgID="Equation.DSMT4" ShapeID="_x0000_i1672" DrawAspect="Content" ObjectID="_1359267595" r:id="rId1266"/>
        </w:object>
      </w:r>
    </w:p>
    <w:p w:rsidR="00161F1F" w:rsidRPr="003C34D1" w:rsidRDefault="00161F1F" w:rsidP="003C34D1">
      <w:pPr>
        <w:spacing w:line="480" w:lineRule="auto"/>
        <w:rPr>
          <w:rFonts w:eastAsiaTheme="minorHAnsi"/>
          <w:position w:val="-12"/>
        </w:rPr>
      </w:pPr>
      <w:r w:rsidRPr="003C34D1">
        <w:rPr>
          <w:rFonts w:eastAsiaTheme="minorHAnsi"/>
          <w:position w:val="-12"/>
        </w:rPr>
        <w:object w:dxaOrig="1820" w:dyaOrig="380">
          <v:shape id="_x0000_i1673" type="#_x0000_t75" style="width:88.75pt;height:16.75pt" o:ole="">
            <v:imagedata r:id="rId1188" o:title=""/>
          </v:shape>
          <o:OLEObject Type="Embed" ProgID="Equation.DSMT4" ShapeID="_x0000_i1673" DrawAspect="Content" ObjectID="_1359267596" r:id="rId1267"/>
        </w:object>
      </w:r>
      <w:r w:rsidRPr="003C34D1">
        <w:rPr>
          <w:rFonts w:eastAsiaTheme="minorHAnsi"/>
          <w:position w:val="-12"/>
        </w:rPr>
        <w:t xml:space="preserve">        </w:t>
      </w:r>
    </w:p>
    <w:p w:rsidR="003C34D1" w:rsidRDefault="00161F1F" w:rsidP="003C34D1">
      <w:pPr>
        <w:spacing w:line="480" w:lineRule="auto"/>
        <w:rPr>
          <w:rFonts w:eastAsiaTheme="minorHAnsi"/>
          <w:position w:val="-12"/>
        </w:rPr>
      </w:pPr>
      <w:r w:rsidRPr="003C34D1">
        <w:rPr>
          <w:rFonts w:eastAsiaTheme="minorHAnsi"/>
          <w:position w:val="-12"/>
        </w:rPr>
        <w:object w:dxaOrig="5620" w:dyaOrig="580">
          <v:shape id="_x0000_i1674" type="#_x0000_t75" style="width:279.65pt;height:30.15pt" o:ole="">
            <v:imagedata r:id="rId1190" o:title=""/>
          </v:shape>
          <o:OLEObject Type="Embed" ProgID="Equation.DSMT4" ShapeID="_x0000_i1674" DrawAspect="Content" ObjectID="_1359267597" r:id="rId1268"/>
        </w:object>
      </w:r>
      <w:r w:rsidRPr="003C34D1">
        <w:rPr>
          <w:rFonts w:eastAsiaTheme="minorHAnsi"/>
          <w:position w:val="-12"/>
        </w:rPr>
        <w:t xml:space="preserve">                   </w:t>
      </w:r>
    </w:p>
    <w:p w:rsidR="00161F1F" w:rsidRPr="003C34D1" w:rsidRDefault="00161F1F" w:rsidP="003C34D1">
      <w:pPr>
        <w:spacing w:line="480" w:lineRule="auto"/>
        <w:rPr>
          <w:rFonts w:eastAsiaTheme="minorHAnsi"/>
          <w:position w:val="-12"/>
        </w:rPr>
      </w:pPr>
      <w:r w:rsidRPr="003C34D1">
        <w:rPr>
          <w:rFonts w:eastAsiaTheme="minorHAnsi"/>
          <w:position w:val="-12"/>
        </w:rPr>
        <w:object w:dxaOrig="2180" w:dyaOrig="520">
          <v:shape id="_x0000_i1675" type="#_x0000_t75" style="width:109.65pt;height:25.1pt" o:ole="">
            <v:imagedata r:id="rId1192" o:title=""/>
          </v:shape>
          <o:OLEObject Type="Embed" ProgID="Equation.DSMT4" ShapeID="_x0000_i1675" DrawAspect="Content" ObjectID="_1359267598" r:id="rId1269"/>
        </w:object>
      </w:r>
      <w:r w:rsidRPr="003C34D1">
        <w:rPr>
          <w:rFonts w:eastAsiaTheme="minorHAnsi"/>
          <w:position w:val="-12"/>
        </w:rPr>
        <w:t xml:space="preserve">                                                                          </w:t>
      </w:r>
    </w:p>
    <w:p w:rsidR="00161F1F" w:rsidRDefault="00161F1F" w:rsidP="003C34D1">
      <w:pPr>
        <w:spacing w:line="480" w:lineRule="auto"/>
      </w:pPr>
      <w:r w:rsidRPr="005C67D1">
        <w:rPr>
          <w:rFonts w:eastAsiaTheme="minorHAnsi"/>
          <w:position w:val="-12"/>
        </w:rPr>
        <w:object w:dxaOrig="2740" w:dyaOrig="380">
          <v:shape id="_x0000_i1676" type="#_x0000_t75" style="width:136.45pt;height:16.75pt" o:ole="">
            <v:imagedata r:id="rId1194" o:title=""/>
          </v:shape>
          <o:OLEObject Type="Embed" ProgID="Equation.DSMT4" ShapeID="_x0000_i1676" DrawAspect="Content" ObjectID="_1359267599" r:id="rId1270"/>
        </w:object>
      </w:r>
      <w:r w:rsidRPr="003C34D1">
        <w:rPr>
          <w:rFonts w:eastAsiaTheme="minorHAnsi"/>
          <w:position w:val="-12"/>
        </w:rPr>
        <w:t xml:space="preserve">  </w:t>
      </w:r>
      <w:r>
        <w:t xml:space="preserve">                              </w:t>
      </w:r>
    </w:p>
    <w:p w:rsidR="00161F1F" w:rsidRPr="003C34D1" w:rsidRDefault="00161F1F" w:rsidP="003C34D1">
      <w:pPr>
        <w:spacing w:line="480" w:lineRule="auto"/>
        <w:rPr>
          <w:rFonts w:eastAsiaTheme="minorHAnsi"/>
          <w:position w:val="-12"/>
        </w:rPr>
      </w:pPr>
      <w:r w:rsidRPr="005C67D1">
        <w:rPr>
          <w:rFonts w:eastAsiaTheme="minorHAnsi"/>
          <w:position w:val="-12"/>
        </w:rPr>
        <w:object w:dxaOrig="1219" w:dyaOrig="400">
          <v:shape id="_x0000_i1677" type="#_x0000_t75" style="width:62.8pt;height:19.25pt" o:ole="">
            <v:imagedata r:id="rId1196" o:title=""/>
          </v:shape>
          <o:OLEObject Type="Embed" ProgID="Equation.DSMT4" ShapeID="_x0000_i1677" DrawAspect="Content" ObjectID="_1359267600" r:id="rId1271"/>
        </w:object>
      </w:r>
      <w:r w:rsidRPr="003C34D1">
        <w:rPr>
          <w:rFonts w:eastAsiaTheme="minorHAnsi"/>
          <w:position w:val="-12"/>
        </w:rPr>
        <w:t xml:space="preserve">                                       </w:t>
      </w:r>
    </w:p>
    <w:p w:rsidR="00161F1F" w:rsidRPr="003C34D1" w:rsidRDefault="00161F1F" w:rsidP="003C34D1">
      <w:pPr>
        <w:spacing w:line="480" w:lineRule="auto"/>
        <w:rPr>
          <w:rFonts w:eastAsiaTheme="minorHAnsi"/>
          <w:position w:val="-12"/>
        </w:rPr>
      </w:pPr>
      <w:r w:rsidRPr="003C34D1">
        <w:rPr>
          <w:rFonts w:eastAsiaTheme="minorHAnsi"/>
          <w:position w:val="-12"/>
        </w:rPr>
        <w:t xml:space="preserve"> </w:t>
      </w:r>
      <w:r w:rsidRPr="005C67D1">
        <w:rPr>
          <w:rFonts w:eastAsiaTheme="minorHAnsi"/>
          <w:position w:val="-12"/>
        </w:rPr>
        <w:object w:dxaOrig="3060" w:dyaOrig="380">
          <v:shape id="_x0000_i1678" type="#_x0000_t75" style="width:153.2pt;height:16.75pt" o:ole="">
            <v:imagedata r:id="rId1198" o:title=""/>
          </v:shape>
          <o:OLEObject Type="Embed" ProgID="Equation.DSMT4" ShapeID="_x0000_i1678" DrawAspect="Content" ObjectID="_1359267601" r:id="rId1272"/>
        </w:object>
      </w:r>
      <w:r w:rsidRPr="003C34D1">
        <w:rPr>
          <w:rFonts w:eastAsiaTheme="minorHAnsi"/>
          <w:position w:val="-12"/>
        </w:rPr>
        <w:t xml:space="preserve">                    </w:t>
      </w:r>
    </w:p>
    <w:p w:rsidR="00161F1F" w:rsidRDefault="00161F1F" w:rsidP="003C34D1">
      <w:pPr>
        <w:spacing w:line="480" w:lineRule="auto"/>
      </w:pPr>
      <w:r w:rsidRPr="005C67D1">
        <w:rPr>
          <w:rFonts w:eastAsiaTheme="minorHAnsi"/>
          <w:position w:val="-10"/>
        </w:rPr>
        <w:object w:dxaOrig="1340" w:dyaOrig="360">
          <v:shape id="_x0000_i1679" type="#_x0000_t75" style="width:66.15pt;height:17.6pt" o:ole="">
            <v:imagedata r:id="rId1210" o:title=""/>
          </v:shape>
          <o:OLEObject Type="Embed" ProgID="Equation.DSMT4" ShapeID="_x0000_i1679" DrawAspect="Content" ObjectID="_1359267602" r:id="rId1273"/>
        </w:object>
      </w:r>
      <w:r>
        <w:t xml:space="preserve">                                                                                         </w:t>
      </w:r>
      <w:r w:rsidRPr="005C67D1">
        <w:rPr>
          <w:rFonts w:eastAsiaTheme="minorHAnsi"/>
          <w:position w:val="-28"/>
        </w:rPr>
        <w:object w:dxaOrig="5480" w:dyaOrig="740">
          <v:shape id="_x0000_i1680" type="#_x0000_t75" style="width:274.6pt;height:37.65pt" o:ole="">
            <v:imagedata r:id="rId1214" o:title=""/>
          </v:shape>
          <o:OLEObject Type="Embed" ProgID="Equation.DSMT4" ShapeID="_x0000_i1680" DrawAspect="Content" ObjectID="_1359267603" r:id="rId1274"/>
        </w:object>
      </w:r>
      <w:r>
        <w:t xml:space="preserve">                                        </w:t>
      </w:r>
    </w:p>
    <w:p w:rsidR="00161F1F" w:rsidRDefault="00161F1F" w:rsidP="00161F1F">
      <w:pPr>
        <w:spacing w:line="480" w:lineRule="auto"/>
        <w:rPr>
          <w:b/>
          <w:bCs/>
          <w:lang w:bidi="ar-JO"/>
        </w:rPr>
      </w:pPr>
      <w:r>
        <w:rPr>
          <w:b/>
          <w:bCs/>
          <w:lang w:bidi="ar-JO"/>
        </w:rPr>
        <w:t>Block 3: Stochastic equations</w:t>
      </w:r>
    </w:p>
    <w:p w:rsidR="00161F1F" w:rsidRDefault="00161F1F" w:rsidP="003C34D1">
      <w:pPr>
        <w:spacing w:line="480" w:lineRule="auto"/>
        <w:rPr>
          <w:position w:val="-20"/>
        </w:rPr>
      </w:pPr>
      <w:r>
        <w:t xml:space="preserve"> </w:t>
      </w:r>
      <w:r w:rsidRPr="005C67D1">
        <w:rPr>
          <w:rFonts w:eastAsiaTheme="minorHAnsi"/>
          <w:position w:val="-14"/>
        </w:rPr>
        <w:object w:dxaOrig="1820" w:dyaOrig="380">
          <v:shape id="_x0000_i1681" type="#_x0000_t75" style="width:88.75pt;height:16.75pt" o:ole="">
            <v:imagedata r:id="rId1188" o:title=""/>
          </v:shape>
          <o:OLEObject Type="Embed" ProgID="Equation.DSMT4" ShapeID="_x0000_i1681" DrawAspect="Content" ObjectID="_1359267604" r:id="rId1275"/>
        </w:object>
      </w:r>
    </w:p>
    <w:p w:rsidR="00161F1F" w:rsidRDefault="00161F1F" w:rsidP="003C34D1">
      <w:pPr>
        <w:spacing w:line="480" w:lineRule="auto"/>
        <w:rPr>
          <w:lang w:bidi="ar-JO"/>
        </w:rPr>
      </w:pPr>
      <w:r>
        <w:t xml:space="preserve"> </w:t>
      </w:r>
      <w:r w:rsidRPr="005C67D1">
        <w:rPr>
          <w:rFonts w:eastAsiaTheme="minorHAnsi"/>
          <w:position w:val="-10"/>
        </w:rPr>
        <w:object w:dxaOrig="1719" w:dyaOrig="340">
          <v:shape id="_x0000_i1682" type="#_x0000_t75" style="width:85.4pt;height:16.75pt" o:ole="">
            <v:imagedata r:id="rId1200" o:title=""/>
          </v:shape>
          <o:OLEObject Type="Embed" ProgID="Equation.DSMT4" ShapeID="_x0000_i1682" DrawAspect="Content" ObjectID="_1359267605" r:id="rId1276"/>
        </w:object>
      </w:r>
      <w:r>
        <w:t xml:space="preserve">     </w:t>
      </w:r>
    </w:p>
    <w:p w:rsidR="00161F1F" w:rsidRDefault="00161F1F" w:rsidP="00161F1F">
      <w:pPr>
        <w:spacing w:line="480" w:lineRule="auto"/>
        <w:rPr>
          <w:lang w:bidi="ar-JO"/>
        </w:rPr>
      </w:pPr>
      <w:r>
        <w:rPr>
          <w:lang w:bidi="ar-JO"/>
        </w:rPr>
        <w:t>These three blocks can be re-written as:</w:t>
      </w:r>
    </w:p>
    <w:p w:rsidR="00161F1F" w:rsidRPr="00161F1F" w:rsidRDefault="00161F1F" w:rsidP="003C34D1">
      <w:pPr>
        <w:pStyle w:val="ListParagraph"/>
        <w:spacing w:after="0" w:line="480" w:lineRule="auto"/>
        <w:ind w:left="0"/>
        <w:rPr>
          <w:rFonts w:ascii="Times New Roman" w:hAnsi="Times New Roman"/>
          <w:sz w:val="24"/>
          <w:szCs w:val="24"/>
          <w:lang w:bidi="ar-JO"/>
        </w:rPr>
      </w:pPr>
      <w:r w:rsidRPr="00161F1F">
        <w:rPr>
          <w:b/>
          <w:bCs/>
          <w:sz w:val="24"/>
          <w:szCs w:val="24"/>
          <w:lang w:bidi="ar-JO"/>
        </w:rPr>
        <w:t>1.</w:t>
      </w:r>
      <w:r w:rsidRPr="00161F1F">
        <w:rPr>
          <w:position w:val="-10"/>
          <w:sz w:val="24"/>
          <w:szCs w:val="24"/>
          <w:lang w:bidi="ar-JO"/>
        </w:rPr>
        <w:object w:dxaOrig="4458" w:dyaOrig="280">
          <v:shape id="_x0000_i1683" type="#_x0000_t75" style="width:223.55pt;height:13.4pt" o:ole="">
            <v:imagedata r:id="rId1277" o:title=""/>
          </v:shape>
          <o:OLEObject Type="Embed" ProgID="Equation.DSMT4" ShapeID="_x0000_i1683" DrawAspect="Content" ObjectID="_1359267606" r:id="rId1278"/>
        </w:object>
      </w:r>
    </w:p>
    <w:p w:rsidR="00161F1F" w:rsidRPr="00161F1F" w:rsidRDefault="00161F1F" w:rsidP="003C34D1">
      <w:pPr>
        <w:pStyle w:val="ListParagraph"/>
        <w:spacing w:after="0" w:line="480" w:lineRule="auto"/>
        <w:ind w:left="0"/>
        <w:rPr>
          <w:sz w:val="24"/>
          <w:szCs w:val="24"/>
          <w:lang w:bidi="ar-JO"/>
        </w:rPr>
      </w:pPr>
      <w:r w:rsidRPr="00161F1F">
        <w:rPr>
          <w:b/>
          <w:bCs/>
          <w:sz w:val="24"/>
          <w:szCs w:val="24"/>
          <w:lang w:bidi="ar-JO"/>
        </w:rPr>
        <w:t>2.</w:t>
      </w:r>
      <w:r w:rsidRPr="00161F1F">
        <w:rPr>
          <w:position w:val="-10"/>
          <w:sz w:val="24"/>
          <w:szCs w:val="24"/>
          <w:lang w:bidi="ar-JO"/>
        </w:rPr>
        <w:object w:dxaOrig="2279" w:dyaOrig="280">
          <v:shape id="_x0000_i1684" type="#_x0000_t75" style="width:113.85pt;height:13.4pt" o:ole="">
            <v:imagedata r:id="rId1279" o:title=""/>
          </v:shape>
          <o:OLEObject Type="Embed" ProgID="Equation.DSMT4" ShapeID="_x0000_i1684" DrawAspect="Content" ObjectID="_1359267607" r:id="rId1280"/>
        </w:object>
      </w:r>
    </w:p>
    <w:p w:rsidR="00161F1F" w:rsidRPr="00161F1F" w:rsidRDefault="00161F1F" w:rsidP="003C34D1">
      <w:pPr>
        <w:pStyle w:val="ListParagraph"/>
        <w:spacing w:after="0" w:line="480" w:lineRule="auto"/>
        <w:ind w:left="0"/>
        <w:rPr>
          <w:rFonts w:ascii="Times New Roman" w:hAnsi="Times New Roman"/>
          <w:sz w:val="24"/>
          <w:szCs w:val="24"/>
          <w:lang w:bidi="ar-JO"/>
        </w:rPr>
      </w:pPr>
      <w:r w:rsidRPr="00161F1F">
        <w:rPr>
          <w:b/>
          <w:bCs/>
          <w:sz w:val="24"/>
          <w:szCs w:val="24"/>
          <w:lang w:bidi="ar-JO"/>
        </w:rPr>
        <w:t>3.</w:t>
      </w:r>
      <w:r w:rsidRPr="00161F1F">
        <w:rPr>
          <w:position w:val="-10"/>
          <w:sz w:val="24"/>
          <w:szCs w:val="24"/>
          <w:lang w:bidi="ar-JO"/>
        </w:rPr>
        <w:object w:dxaOrig="1279" w:dyaOrig="280">
          <v:shape id="_x0000_i1685" type="#_x0000_t75" style="width:62.8pt;height:13.4pt" o:ole="">
            <v:imagedata r:id="rId1281" o:title=""/>
          </v:shape>
          <o:OLEObject Type="Embed" ProgID="Equation.DSMT4" ShapeID="_x0000_i1685" DrawAspect="Content" ObjectID="_1359267608" r:id="rId1282"/>
        </w:object>
      </w:r>
      <w:r w:rsidRPr="00161F1F">
        <w:rPr>
          <w:sz w:val="24"/>
          <w:szCs w:val="24"/>
          <w:lang w:bidi="ar-JO"/>
        </w:rPr>
        <w:t xml:space="preserve"> </w:t>
      </w:r>
      <w:r w:rsidRPr="00161F1F">
        <w:rPr>
          <w:rFonts w:ascii="Times New Roman" w:eastAsia="Batang" w:hAnsi="Times New Roman"/>
          <w:sz w:val="24"/>
          <w:szCs w:val="24"/>
          <w:lang w:eastAsia="en-US" w:bidi="ar-JO"/>
        </w:rPr>
        <w:t>With</w:t>
      </w:r>
      <w:r w:rsidRPr="00161F1F">
        <w:rPr>
          <w:sz w:val="24"/>
          <w:szCs w:val="24"/>
          <w:lang w:bidi="ar-JO"/>
        </w:rPr>
        <w:t xml:space="preserve"> </w:t>
      </w:r>
      <w:r w:rsidRPr="00161F1F">
        <w:rPr>
          <w:position w:val="-10"/>
          <w:sz w:val="24"/>
          <w:szCs w:val="24"/>
          <w:lang w:bidi="ar-JO"/>
        </w:rPr>
        <w:object w:dxaOrig="940" w:dyaOrig="280">
          <v:shape id="_x0000_i1686" type="#_x0000_t75" style="width:46.9pt;height:13.4pt" o:ole="">
            <v:imagedata r:id="rId1283" o:title=""/>
          </v:shape>
          <o:OLEObject Type="Embed" ProgID="Equation.DSMT4" ShapeID="_x0000_i1686" DrawAspect="Content" ObjectID="_1359267609" r:id="rId1284"/>
        </w:object>
      </w:r>
    </w:p>
    <w:p w:rsidR="00161F1F" w:rsidRPr="000A3457" w:rsidRDefault="00161F1F" w:rsidP="00161F1F">
      <w:pPr>
        <w:pStyle w:val="MTDisplayEquation"/>
        <w:jc w:val="left"/>
        <w:rPr>
          <w:rFonts w:eastAsia="Times New Roman"/>
          <w:position w:val="0"/>
          <w:lang w:eastAsia="en-US"/>
        </w:rPr>
      </w:pPr>
      <w:proofErr w:type="gramStart"/>
      <w:r w:rsidRPr="000A3457">
        <w:rPr>
          <w:rFonts w:eastAsia="Times New Roman"/>
          <w:position w:val="0"/>
          <w:lang w:eastAsia="en-US"/>
        </w:rPr>
        <w:t>where</w:t>
      </w:r>
      <w:proofErr w:type="gramEnd"/>
      <w:r w:rsidRPr="000A3457">
        <w:rPr>
          <w:rFonts w:eastAsia="Times New Roman"/>
          <w:position w:val="0"/>
          <w:lang w:eastAsia="en-US"/>
        </w:rPr>
        <w:t xml:space="preserve"> </w:t>
      </w:r>
      <w:r w:rsidR="000A3457" w:rsidRPr="000A3457">
        <w:rPr>
          <w:rFonts w:eastAsia="Times New Roman"/>
          <w:position w:val="-12"/>
          <w:lang w:eastAsia="en-US"/>
        </w:rPr>
        <w:object w:dxaOrig="1040" w:dyaOrig="320">
          <v:shape id="_x0000_i1687" type="#_x0000_t75" style="width:52.75pt;height:16.75pt" o:ole="">
            <v:imagedata r:id="rId1285" o:title=""/>
          </v:shape>
          <o:OLEObject Type="Embed" ProgID="Equation.DSMT4" ShapeID="_x0000_i1687" DrawAspect="Content" ObjectID="_1359267610" r:id="rId1286"/>
        </w:object>
      </w:r>
      <w:r w:rsidRPr="000A3457">
        <w:rPr>
          <w:rFonts w:eastAsia="Times New Roman"/>
          <w:position w:val="0"/>
          <w:lang w:eastAsia="en-US"/>
        </w:rPr>
        <w:t>are coefficient matrices with the elements descried in above three blocks.</w:t>
      </w:r>
    </w:p>
    <w:p w:rsidR="00D444EF" w:rsidRDefault="00161F1F" w:rsidP="00D444EF">
      <w:pPr>
        <w:spacing w:line="480" w:lineRule="auto"/>
        <w:ind w:firstLine="720"/>
        <w:rPr>
          <w:lang w:bidi="ar-JO"/>
        </w:rPr>
      </w:pPr>
      <w:r>
        <w:rPr>
          <w:lang w:bidi="ar-JO"/>
        </w:rPr>
        <w:t>We solve the system following the method of undetermined coefficients.  The syste</w:t>
      </w:r>
      <w:r w:rsidR="006A3EF5">
        <w:rPr>
          <w:lang w:bidi="ar-JO"/>
        </w:rPr>
        <w:t>m (</w:t>
      </w:r>
      <w:r>
        <w:rPr>
          <w:b/>
          <w:bCs/>
          <w:lang w:bidi="ar-JO"/>
        </w:rPr>
        <w:t>1-3</w:t>
      </w:r>
      <w:r w:rsidR="006A3EF5">
        <w:rPr>
          <w:b/>
          <w:bCs/>
          <w:lang w:bidi="ar-JO"/>
        </w:rPr>
        <w:t>)</w:t>
      </w:r>
      <w:r>
        <w:rPr>
          <w:lang w:bidi="ar-JO"/>
        </w:rPr>
        <w:t xml:space="preserve"> is a set of difference equations with rational expectation feature. The solution for such difference equations consist of policy function of the form "suggested </w:t>
      </w:r>
      <w:r w:rsidR="003C34D1">
        <w:rPr>
          <w:lang w:bidi="ar-JO"/>
        </w:rPr>
        <w:t>solution"</w:t>
      </w:r>
    </w:p>
    <w:p w:rsidR="00161F1F" w:rsidRDefault="00161F1F" w:rsidP="00D444EF">
      <w:pPr>
        <w:spacing w:line="480" w:lineRule="auto"/>
        <w:rPr>
          <w:lang w:bidi="ar-JO"/>
        </w:rPr>
      </w:pPr>
      <w:r w:rsidRPr="005C67D1">
        <w:rPr>
          <w:rFonts w:eastAsiaTheme="minorHAnsi"/>
          <w:position w:val="-38"/>
          <w:lang w:bidi="ar-JO"/>
        </w:rPr>
        <w:object w:dxaOrig="1479" w:dyaOrig="840">
          <v:shape id="_x0000_i1688" type="#_x0000_t75" style="width:74.5pt;height:41.85pt" o:ole="">
            <v:imagedata r:id="rId1287" o:title=""/>
          </v:shape>
          <o:OLEObject Type="Embed" ProgID="Equation.DSMT4" ShapeID="_x0000_i1688" DrawAspect="Content" ObjectID="_1359267611" r:id="rId1288"/>
        </w:object>
      </w:r>
    </w:p>
    <w:p w:rsidR="00161F1F" w:rsidRDefault="00161F1F" w:rsidP="00161F1F">
      <w:pPr>
        <w:rPr>
          <w:lang w:bidi="ar-JO"/>
        </w:rPr>
      </w:pPr>
      <w:r>
        <w:rPr>
          <w:lang w:bidi="ar-JO"/>
        </w:rPr>
        <w:t>The coefficient matrices that solve that “suggested solution</w:t>
      </w:r>
      <w:proofErr w:type="gramStart"/>
      <w:r>
        <w:rPr>
          <w:lang w:bidi="ar-JO"/>
        </w:rPr>
        <w:t>” :</w:t>
      </w:r>
      <w:proofErr w:type="gramEnd"/>
    </w:p>
    <w:p w:rsidR="00161F1F" w:rsidRDefault="00161F1F" w:rsidP="00161F1F">
      <w:pPr>
        <w:rPr>
          <w:lang w:bidi="ar-JO"/>
        </w:rPr>
      </w:pPr>
    </w:p>
    <w:p w:rsidR="00161F1F" w:rsidRDefault="00161F1F" w:rsidP="00161F1F">
      <w:pPr>
        <w:rPr>
          <w:position w:val="-94"/>
          <w:lang w:bidi="ar-JO"/>
        </w:rPr>
      </w:pPr>
      <w:r w:rsidRPr="005C67D1">
        <w:rPr>
          <w:rFonts w:eastAsiaTheme="minorHAnsi"/>
          <w:position w:val="-94"/>
          <w:lang w:bidi="ar-JO"/>
        </w:rPr>
        <w:object w:dxaOrig="5420" w:dyaOrig="2000">
          <v:shape id="_x0000_i1689" type="#_x0000_t75" style="width:271.25pt;height:100.45pt" o:ole="">
            <v:imagedata r:id="rId1289" o:title=""/>
          </v:shape>
          <o:OLEObject Type="Embed" ProgID="Equation.DSMT4" ShapeID="_x0000_i1689" DrawAspect="Content" ObjectID="_1359267612" r:id="rId1290"/>
        </w:object>
      </w:r>
      <w:r>
        <w:rPr>
          <w:position w:val="-94"/>
          <w:lang w:bidi="ar-JO"/>
        </w:rPr>
        <w:t>,</w:t>
      </w:r>
      <w:r w:rsidRPr="005C67D1">
        <w:rPr>
          <w:rFonts w:eastAsiaTheme="minorHAnsi"/>
          <w:position w:val="-94"/>
          <w:lang w:bidi="ar-JO"/>
        </w:rPr>
        <w:object w:dxaOrig="2340" w:dyaOrig="2000">
          <v:shape id="_x0000_i1690" type="#_x0000_t75" style="width:118.05pt;height:100.45pt" o:ole="">
            <v:imagedata r:id="rId1291" o:title=""/>
          </v:shape>
          <o:OLEObject Type="Embed" ProgID="Equation.DSMT4" ShapeID="_x0000_i1690" DrawAspect="Content" ObjectID="_1359267613" r:id="rId1292"/>
        </w:object>
      </w:r>
      <w:r>
        <w:rPr>
          <w:position w:val="-94"/>
          <w:lang w:bidi="ar-JO"/>
        </w:rPr>
        <w:t>,</w:t>
      </w:r>
    </w:p>
    <w:p w:rsidR="005A53C1" w:rsidRDefault="00161F1F" w:rsidP="005A53C1">
      <w:pPr>
        <w:spacing w:before="120"/>
        <w:rPr>
          <w:rFonts w:eastAsiaTheme="minorHAnsi"/>
          <w:position w:val="-160"/>
          <w:lang w:bidi="ar-JO"/>
        </w:rPr>
      </w:pPr>
      <w:r>
        <w:rPr>
          <w:lang w:bidi="ar-JO"/>
        </w:rPr>
        <w:t xml:space="preserve"> </w:t>
      </w:r>
      <w:r w:rsidRPr="005C67D1">
        <w:rPr>
          <w:rFonts w:eastAsiaTheme="minorHAnsi"/>
          <w:position w:val="-160"/>
          <w:lang w:bidi="ar-JO"/>
        </w:rPr>
        <w:object w:dxaOrig="5440" w:dyaOrig="3320">
          <v:shape id="_x0000_i1691" type="#_x0000_t75" style="width:271.25pt;height:165.75pt" o:ole="">
            <v:imagedata r:id="rId1293" o:title=""/>
          </v:shape>
          <o:OLEObject Type="Embed" ProgID="Equation.DSMT4" ShapeID="_x0000_i1691" DrawAspect="Content" ObjectID="_1359267614" r:id="rId1294"/>
        </w:object>
      </w:r>
      <w:r>
        <w:rPr>
          <w:position w:val="-128"/>
          <w:lang w:bidi="ar-JO"/>
        </w:rPr>
        <w:t xml:space="preserve">, </w:t>
      </w:r>
      <w:r w:rsidRPr="005C67D1">
        <w:rPr>
          <w:rFonts w:eastAsiaTheme="minorHAnsi"/>
          <w:position w:val="-160"/>
          <w:lang w:bidi="ar-JO"/>
        </w:rPr>
        <w:object w:dxaOrig="2320" w:dyaOrig="3320">
          <v:shape id="_x0000_i1692" type="#_x0000_t75" style="width:118.05pt;height:165.75pt" o:ole="">
            <v:imagedata r:id="rId1295" o:title=""/>
          </v:shape>
          <o:OLEObject Type="Embed" ProgID="Equation.DSMT4" ShapeID="_x0000_i1692" DrawAspect="Content" ObjectID="_1359267615" r:id="rId1296"/>
        </w:object>
      </w:r>
      <w:r>
        <w:rPr>
          <w:rFonts w:eastAsiaTheme="minorHAnsi"/>
          <w:position w:val="-160"/>
          <w:lang w:bidi="ar-JO"/>
        </w:rPr>
        <w:t>.</w:t>
      </w:r>
    </w:p>
    <w:p w:rsidR="005A53C1" w:rsidRDefault="00161F1F" w:rsidP="005A53C1">
      <w:pPr>
        <w:spacing w:before="120"/>
        <w:rPr>
          <w:lang w:bidi="ar-JO"/>
        </w:rPr>
      </w:pPr>
      <w:r>
        <w:rPr>
          <w:lang w:bidi="ar-JO"/>
        </w:rPr>
        <w:t>Plugging the solution in the policy functions we obtain the solution to our model as defined by the following processes:</w:t>
      </w:r>
    </w:p>
    <w:p w:rsidR="00161F1F" w:rsidRDefault="00161F1F" w:rsidP="005A53C1">
      <w:pPr>
        <w:spacing w:before="120"/>
        <w:rPr>
          <w:position w:val="-104"/>
          <w:lang w:bidi="ar-JO"/>
        </w:rPr>
      </w:pPr>
      <w:r w:rsidRPr="005C67D1">
        <w:rPr>
          <w:rFonts w:eastAsiaTheme="minorHAnsi"/>
          <w:position w:val="-110"/>
          <w:lang w:bidi="ar-JO"/>
        </w:rPr>
        <w:object w:dxaOrig="9100" w:dyaOrig="2300">
          <v:shape id="_x0000_i1693" type="#_x0000_t75" style="width:407.7pt;height:110.5pt" o:ole="">
            <v:imagedata r:id="rId1297" o:title=""/>
          </v:shape>
          <o:OLEObject Type="Embed" ProgID="Equation.DSMT4" ShapeID="_x0000_i1693" DrawAspect="Content" ObjectID="_1359267616" r:id="rId1298"/>
        </w:object>
      </w:r>
    </w:p>
    <w:p w:rsidR="00161F1F" w:rsidRDefault="00161F1F" w:rsidP="00161F1F">
      <w:pPr>
        <w:rPr>
          <w:position w:val="-104"/>
          <w:lang w:bidi="ar-JO"/>
        </w:rPr>
      </w:pPr>
      <w:r w:rsidRPr="005C67D1">
        <w:rPr>
          <w:rFonts w:eastAsiaTheme="minorHAnsi"/>
          <w:position w:val="-182"/>
          <w:lang w:bidi="ar-JO"/>
        </w:rPr>
        <w:object w:dxaOrig="8980" w:dyaOrig="3760">
          <v:shape id="_x0000_i1694" type="#_x0000_t75" style="width:401pt;height:182.5pt" o:ole="">
            <v:imagedata r:id="rId1299" o:title=""/>
          </v:shape>
          <o:OLEObject Type="Embed" ProgID="Equation.DSMT4" ShapeID="_x0000_i1694" DrawAspect="Content" ObjectID="_1359267617" r:id="rId1300"/>
        </w:object>
      </w:r>
    </w:p>
    <w:p w:rsidR="00161F1F" w:rsidRDefault="00161F1F" w:rsidP="00161F1F">
      <w:pPr>
        <w:spacing w:line="480" w:lineRule="auto"/>
        <w:ind w:firstLine="720"/>
        <w:rPr>
          <w:lang w:bidi="ar-JO"/>
        </w:rPr>
      </w:pPr>
      <w:r>
        <w:rPr>
          <w:lang w:bidi="ar-JO"/>
        </w:rPr>
        <w:t xml:space="preserve">Now using the above solutions we obtain the impulse response functions (IRFs) and the simulated data for our baseline model in Essay 2. </w:t>
      </w:r>
    </w:p>
    <w:p w:rsidR="005A53C1" w:rsidRDefault="005A53C1" w:rsidP="00161F1F">
      <w:pPr>
        <w:spacing w:line="480" w:lineRule="auto"/>
        <w:ind w:firstLine="720"/>
        <w:rPr>
          <w:lang w:bidi="ar-JO"/>
        </w:rPr>
      </w:pPr>
    </w:p>
    <w:p w:rsidR="005A53C1" w:rsidRDefault="005A53C1" w:rsidP="00161F1F">
      <w:pPr>
        <w:spacing w:line="480" w:lineRule="auto"/>
        <w:ind w:firstLine="720"/>
        <w:rPr>
          <w:lang w:bidi="ar-JO"/>
        </w:rPr>
      </w:pPr>
    </w:p>
    <w:p w:rsidR="005A53C1" w:rsidRDefault="005A53C1" w:rsidP="00161F1F">
      <w:pPr>
        <w:spacing w:line="480" w:lineRule="auto"/>
        <w:ind w:firstLine="720"/>
        <w:rPr>
          <w:lang w:bidi="ar-JO"/>
        </w:rPr>
      </w:pPr>
    </w:p>
    <w:p w:rsidR="005A53C1" w:rsidRDefault="005A53C1" w:rsidP="00161F1F">
      <w:pPr>
        <w:spacing w:line="480" w:lineRule="auto"/>
        <w:ind w:firstLine="720"/>
        <w:rPr>
          <w:lang w:bidi="ar-JO"/>
        </w:rPr>
      </w:pPr>
    </w:p>
    <w:p w:rsidR="005A53C1" w:rsidRDefault="005A53C1" w:rsidP="00161F1F">
      <w:pPr>
        <w:spacing w:line="480" w:lineRule="auto"/>
        <w:ind w:firstLine="720"/>
        <w:rPr>
          <w:lang w:bidi="ar-JO"/>
        </w:rPr>
      </w:pPr>
    </w:p>
    <w:p w:rsidR="005A53C1" w:rsidRDefault="005A53C1" w:rsidP="00161F1F">
      <w:pPr>
        <w:spacing w:line="480" w:lineRule="auto"/>
        <w:ind w:firstLine="720"/>
        <w:rPr>
          <w:lang w:bidi="ar-JO"/>
        </w:rPr>
      </w:pPr>
    </w:p>
    <w:p w:rsidR="005A53C1" w:rsidRDefault="005A53C1" w:rsidP="00161F1F">
      <w:pPr>
        <w:spacing w:line="480" w:lineRule="auto"/>
        <w:ind w:firstLine="720"/>
        <w:rPr>
          <w:lang w:bidi="ar-JO"/>
        </w:rPr>
      </w:pPr>
    </w:p>
    <w:p w:rsidR="005A53C1" w:rsidRDefault="005A53C1" w:rsidP="00161F1F">
      <w:pPr>
        <w:spacing w:line="480" w:lineRule="auto"/>
        <w:ind w:firstLine="720"/>
        <w:rPr>
          <w:lang w:bidi="ar-JO"/>
        </w:rPr>
      </w:pPr>
    </w:p>
    <w:p w:rsidR="005A53C1" w:rsidRPr="00DC1EF8" w:rsidRDefault="005A53C1" w:rsidP="00161F1F">
      <w:pPr>
        <w:spacing w:line="480" w:lineRule="auto"/>
        <w:ind w:firstLine="720"/>
        <w:rPr>
          <w:lang w:bidi="ar-JO"/>
        </w:rPr>
      </w:pPr>
    </w:p>
    <w:p w:rsidR="009D464A" w:rsidRDefault="009D464A" w:rsidP="009D464A"/>
    <w:p w:rsidR="009D464A" w:rsidRDefault="009D464A" w:rsidP="009D464A"/>
    <w:p w:rsidR="00C3124C" w:rsidRDefault="00C3124C" w:rsidP="00C3124C">
      <w:pPr>
        <w:pStyle w:val="Heading1"/>
        <w:rPr>
          <w:rFonts w:asciiTheme="majorBidi" w:hAnsiTheme="majorBidi"/>
          <w:b w:val="0"/>
          <w:bCs w:val="0"/>
          <w:color w:val="auto"/>
          <w:sz w:val="48"/>
          <w:szCs w:val="48"/>
        </w:rPr>
      </w:pPr>
      <w:bookmarkStart w:id="102" w:name="_Toc285478045"/>
      <w:r>
        <w:rPr>
          <w:rFonts w:asciiTheme="majorBidi" w:hAnsiTheme="majorBidi"/>
          <w:b w:val="0"/>
          <w:bCs w:val="0"/>
          <w:color w:val="auto"/>
          <w:sz w:val="48"/>
          <w:szCs w:val="48"/>
        </w:rPr>
        <w:t>C.3 Solutions of the Dynamic Model in Essay 3</w:t>
      </w:r>
      <w:bookmarkEnd w:id="102"/>
      <w:r>
        <w:rPr>
          <w:rFonts w:asciiTheme="majorBidi" w:hAnsiTheme="majorBidi"/>
          <w:b w:val="0"/>
          <w:bCs w:val="0"/>
          <w:color w:val="auto"/>
          <w:sz w:val="48"/>
          <w:szCs w:val="48"/>
        </w:rPr>
        <w:t xml:space="preserve"> </w:t>
      </w:r>
    </w:p>
    <w:p w:rsidR="003572C8" w:rsidRDefault="003572C8" w:rsidP="00D458FD">
      <w:pPr>
        <w:spacing w:line="480" w:lineRule="auto"/>
        <w:ind w:firstLine="720"/>
      </w:pPr>
    </w:p>
    <w:p w:rsidR="00D458FD" w:rsidRDefault="00D458FD" w:rsidP="00D458FD">
      <w:pPr>
        <w:spacing w:line="480" w:lineRule="auto"/>
        <w:ind w:firstLine="720"/>
      </w:pPr>
      <w:r>
        <w:t>There are 17</w:t>
      </w:r>
      <w:r w:rsidRPr="009016A9">
        <w:t xml:space="preserve"> equations in our model that control the dynamics of the economy. These are numbered as equations </w:t>
      </w:r>
      <w:r>
        <w:t>(3), (5</w:t>
      </w:r>
      <w:r w:rsidRPr="009016A9">
        <w:t>)-(</w:t>
      </w:r>
      <w:r>
        <w:t>8</w:t>
      </w:r>
      <w:r w:rsidRPr="009016A9">
        <w:t xml:space="preserve">), </w:t>
      </w:r>
      <w:r>
        <w:t>(11</w:t>
      </w:r>
      <w:r w:rsidRPr="009016A9">
        <w:t>)</w:t>
      </w:r>
      <w:proofErr w:type="gramStart"/>
      <w:r>
        <w:t>,(</w:t>
      </w:r>
      <w:proofErr w:type="gramEnd"/>
      <w:r>
        <w:t>15)</w:t>
      </w:r>
      <w:r w:rsidRPr="009016A9">
        <w:t>-(</w:t>
      </w:r>
      <w:r>
        <w:t>17</w:t>
      </w:r>
      <w:r w:rsidRPr="009016A9">
        <w:t>)</w:t>
      </w:r>
      <w:r>
        <w:t>,(19)-(24)</w:t>
      </w:r>
      <w:r w:rsidRPr="009016A9">
        <w:t xml:space="preserve"> in the main text</w:t>
      </w:r>
      <w:r>
        <w:t xml:space="preserve"> along with two other definitions.  We </w:t>
      </w:r>
      <w:proofErr w:type="spellStart"/>
      <w:r>
        <w:t>linearize</w:t>
      </w:r>
      <w:proofErr w:type="spellEnd"/>
      <w:r>
        <w:t xml:space="preserve"> them one by one and obtain the following equations:  </w:t>
      </w:r>
    </w:p>
    <w:p w:rsidR="00D458FD" w:rsidRPr="00DC38B7" w:rsidRDefault="00D458FD" w:rsidP="003C34D1">
      <w:pPr>
        <w:spacing w:line="480" w:lineRule="auto"/>
        <w:rPr>
          <w:position w:val="-10"/>
        </w:rPr>
      </w:pPr>
      <w:r w:rsidRPr="00DC38B7">
        <w:rPr>
          <w:position w:val="-16"/>
        </w:rPr>
        <w:object w:dxaOrig="3760" w:dyaOrig="420">
          <v:shape id="_x0000_i1695" type="#_x0000_t75" style="width:188.35pt;height:22.6pt" o:ole="">
            <v:imagedata r:id="rId1301" o:title=""/>
          </v:shape>
          <o:OLEObject Type="Embed" ProgID="Equation.DSMT4" ShapeID="_x0000_i1695" DrawAspect="Content" ObjectID="_1359267618" r:id="rId1302"/>
        </w:object>
      </w:r>
      <w:r>
        <w:rPr>
          <w:position w:val="-16"/>
        </w:rPr>
        <w:t xml:space="preserve">  </w:t>
      </w:r>
      <w:r w:rsidR="00F643DE">
        <w:rPr>
          <w:position w:val="-16"/>
        </w:rPr>
        <w:t xml:space="preserve">       </w:t>
      </w:r>
      <w:r w:rsidR="003C34D1">
        <w:rPr>
          <w:position w:val="-16"/>
        </w:rPr>
        <w:t xml:space="preserve">                             </w:t>
      </w:r>
      <w:r w:rsidR="00F643DE">
        <w:rPr>
          <w:position w:val="-16"/>
        </w:rPr>
        <w:t xml:space="preserve">                      </w:t>
      </w:r>
      <w:r>
        <w:rPr>
          <w:position w:val="-16"/>
        </w:rPr>
        <w:t xml:space="preserve">  </w:t>
      </w:r>
      <w:r w:rsidR="003C34D1">
        <w:rPr>
          <w:position w:val="-16"/>
        </w:rPr>
        <w:t xml:space="preserve">                 </w:t>
      </w:r>
      <w:r>
        <w:rPr>
          <w:position w:val="-16"/>
        </w:rPr>
        <w:t xml:space="preserve">  </w:t>
      </w:r>
      <w:r w:rsidRPr="00DC38B7">
        <w:rPr>
          <w:position w:val="-10"/>
        </w:rPr>
        <w:t>(A.</w:t>
      </w:r>
      <w:r w:rsidR="003C34D1">
        <w:rPr>
          <w:position w:val="-10"/>
        </w:rPr>
        <w:t>3.</w:t>
      </w:r>
      <w:r w:rsidRPr="00DC38B7">
        <w:rPr>
          <w:position w:val="-10"/>
        </w:rPr>
        <w:t>3)</w:t>
      </w:r>
    </w:p>
    <w:p w:rsidR="00D458FD" w:rsidRPr="00DC38B7" w:rsidRDefault="00D458FD" w:rsidP="00FA7D09">
      <w:pPr>
        <w:spacing w:line="480" w:lineRule="auto"/>
      </w:pPr>
      <w:r w:rsidRPr="00DC38B7">
        <w:rPr>
          <w:position w:val="-14"/>
        </w:rPr>
        <w:object w:dxaOrig="2500" w:dyaOrig="420">
          <v:shape id="_x0000_i1696" type="#_x0000_t75" style="width:127.25pt;height:22.6pt" o:ole="">
            <v:imagedata r:id="rId1303" o:title=""/>
          </v:shape>
          <o:OLEObject Type="Embed" ProgID="Equation.DSMT4" ShapeID="_x0000_i1696" DrawAspect="Content" ObjectID="_1359267619" r:id="rId1304"/>
        </w:object>
      </w:r>
      <w:r w:rsidRPr="00DC38B7">
        <w:t xml:space="preserve"> </w:t>
      </w:r>
      <w:r w:rsidR="00FA7D09">
        <w:t xml:space="preserve">                 </w:t>
      </w:r>
      <w:r w:rsidR="00F643DE">
        <w:t xml:space="preserve">                                                               </w:t>
      </w:r>
      <w:r w:rsidRPr="00DC38B7">
        <w:t xml:space="preserve"> </w:t>
      </w:r>
      <w:r>
        <w:t xml:space="preserve"> </w:t>
      </w:r>
      <w:r w:rsidRPr="00DC38B7">
        <w:t xml:space="preserve">  </w:t>
      </w:r>
      <w:r w:rsidR="003C34D1">
        <w:t xml:space="preserve">                 </w:t>
      </w:r>
      <w:r w:rsidRPr="00DC38B7">
        <w:t>(A.</w:t>
      </w:r>
      <w:r w:rsidR="00FA7D09">
        <w:t>3.</w:t>
      </w:r>
      <w:r w:rsidRPr="00DC38B7">
        <w:t>5)</w:t>
      </w:r>
    </w:p>
    <w:p w:rsidR="00D458FD" w:rsidRPr="00DC38B7" w:rsidRDefault="00D458FD" w:rsidP="003C34D1">
      <w:pPr>
        <w:spacing w:line="480" w:lineRule="auto"/>
      </w:pPr>
      <w:r w:rsidRPr="00DC38B7">
        <w:rPr>
          <w:position w:val="-20"/>
        </w:rPr>
        <w:object w:dxaOrig="2240" w:dyaOrig="600">
          <v:shape id="_x0000_i1697" type="#_x0000_t75" style="width:111.35pt;height:30.15pt" o:ole="">
            <v:imagedata r:id="rId1305" o:title=""/>
          </v:shape>
          <o:OLEObject Type="Embed" ProgID="Equation.DSMT4" ShapeID="_x0000_i1697" DrawAspect="Content" ObjectID="_1359267620" r:id="rId1306"/>
        </w:object>
      </w:r>
      <w:r w:rsidRPr="00DC38B7">
        <w:t xml:space="preserve">  </w:t>
      </w:r>
      <w:r w:rsidR="00F643DE">
        <w:t xml:space="preserve">                                                                                         </w:t>
      </w:r>
      <w:r w:rsidRPr="00DC38B7">
        <w:t xml:space="preserve">   </w:t>
      </w:r>
      <w:r w:rsidR="00FA7D09">
        <w:t xml:space="preserve">         </w:t>
      </w:r>
      <w:r w:rsidR="003C34D1">
        <w:t xml:space="preserve">    </w:t>
      </w:r>
      <w:r w:rsidRPr="00DC38B7">
        <w:t>(A</w:t>
      </w:r>
      <w:r w:rsidR="00FA7D09">
        <w:t>.3</w:t>
      </w:r>
      <w:r w:rsidRPr="00DC38B7">
        <w:t>.6)</w:t>
      </w:r>
    </w:p>
    <w:p w:rsidR="00D458FD" w:rsidRPr="00DC38B7" w:rsidRDefault="00D458FD" w:rsidP="003C34D1">
      <w:pPr>
        <w:spacing w:line="480" w:lineRule="auto"/>
      </w:pPr>
      <w:r w:rsidRPr="00DC38B7">
        <w:rPr>
          <w:position w:val="-12"/>
        </w:rPr>
        <w:object w:dxaOrig="3500" w:dyaOrig="360">
          <v:shape id="_x0000_i1698" type="#_x0000_t75" style="width:175pt;height:17.6pt" o:ole="">
            <v:imagedata r:id="rId1307" o:title=""/>
          </v:shape>
          <o:OLEObject Type="Embed" ProgID="Equation.DSMT4" ShapeID="_x0000_i1698" DrawAspect="Content" ObjectID="_1359267621" r:id="rId1308"/>
        </w:object>
      </w:r>
      <w:r w:rsidRPr="00DC38B7">
        <w:t xml:space="preserve"> </w:t>
      </w:r>
      <w:r w:rsidR="00F643DE">
        <w:t xml:space="preserve">                                                                  </w:t>
      </w:r>
      <w:r w:rsidRPr="00DC38B7">
        <w:t xml:space="preserve">   </w:t>
      </w:r>
      <w:r w:rsidR="00FA7D09">
        <w:t xml:space="preserve">              </w:t>
      </w:r>
      <w:r w:rsidRPr="00DC38B7">
        <w:t xml:space="preserve"> (A</w:t>
      </w:r>
      <w:r w:rsidR="00FA7D09">
        <w:t>.3</w:t>
      </w:r>
      <w:r w:rsidRPr="00DC38B7">
        <w:t>.7)</w:t>
      </w:r>
    </w:p>
    <w:p w:rsidR="00D458FD" w:rsidRPr="00DC38B7" w:rsidRDefault="00D458FD" w:rsidP="003C34D1">
      <w:pPr>
        <w:spacing w:line="480" w:lineRule="auto"/>
      </w:pPr>
      <w:r w:rsidRPr="00DC38B7">
        <w:rPr>
          <w:position w:val="-10"/>
        </w:rPr>
        <w:object w:dxaOrig="1219" w:dyaOrig="320">
          <v:shape id="_x0000_i1699" type="#_x0000_t75" style="width:62.8pt;height:16.75pt" o:ole="">
            <v:imagedata r:id="rId1309" o:title=""/>
          </v:shape>
          <o:OLEObject Type="Embed" ProgID="Equation.DSMT4" ShapeID="_x0000_i1699" DrawAspect="Content" ObjectID="_1359267622" r:id="rId1310"/>
        </w:object>
      </w:r>
      <w:r w:rsidRPr="00DC38B7">
        <w:t xml:space="preserve"> </w:t>
      </w:r>
      <w:r w:rsidR="00F643DE">
        <w:t xml:space="preserve">                                                                                             </w:t>
      </w:r>
      <w:r w:rsidRPr="00DC38B7">
        <w:t xml:space="preserve">  </w:t>
      </w:r>
      <w:r w:rsidR="00F643DE">
        <w:t xml:space="preserve">           </w:t>
      </w:r>
      <w:r w:rsidR="00FA7D09">
        <w:t xml:space="preserve">              </w:t>
      </w:r>
      <w:r w:rsidRPr="00DC38B7">
        <w:t xml:space="preserve">  (A</w:t>
      </w:r>
      <w:r w:rsidR="00FA7D09">
        <w:t>.3</w:t>
      </w:r>
      <w:r w:rsidRPr="00DC38B7">
        <w:t>.8)</w:t>
      </w:r>
    </w:p>
    <w:p w:rsidR="00D458FD" w:rsidRPr="00DC38B7" w:rsidRDefault="00D458FD" w:rsidP="003C34D1">
      <w:pPr>
        <w:spacing w:line="480" w:lineRule="auto"/>
      </w:pPr>
      <w:r w:rsidRPr="00DC38B7">
        <w:rPr>
          <w:position w:val="-14"/>
        </w:rPr>
        <w:object w:dxaOrig="2280" w:dyaOrig="380">
          <v:shape id="_x0000_i1700" type="#_x0000_t75" style="width:113pt;height:16.75pt" o:ole="">
            <v:imagedata r:id="rId1311" o:title=""/>
          </v:shape>
          <o:OLEObject Type="Embed" ProgID="Equation.DSMT4" ShapeID="_x0000_i1700" DrawAspect="Content" ObjectID="_1359267623" r:id="rId1312"/>
        </w:object>
      </w:r>
      <w:r w:rsidRPr="00DC38B7">
        <w:rPr>
          <w:position w:val="-12"/>
        </w:rPr>
        <w:t xml:space="preserve"> </w:t>
      </w:r>
      <w:r w:rsidR="00F643DE">
        <w:rPr>
          <w:position w:val="-12"/>
        </w:rPr>
        <w:t xml:space="preserve">                                                                                      </w:t>
      </w:r>
      <w:r w:rsidRPr="00DC38B7">
        <w:rPr>
          <w:position w:val="-12"/>
        </w:rPr>
        <w:t xml:space="preserve"> </w:t>
      </w:r>
      <w:r w:rsidRPr="00DC38B7">
        <w:t xml:space="preserve">   </w:t>
      </w:r>
      <w:r w:rsidR="00FA7D09">
        <w:t xml:space="preserve">             </w:t>
      </w:r>
      <w:r w:rsidRPr="00DC38B7">
        <w:t>(A.</w:t>
      </w:r>
      <w:r w:rsidR="00FA7D09">
        <w:t>3.</w:t>
      </w:r>
      <w:r w:rsidRPr="00DC38B7">
        <w:t>11)</w:t>
      </w:r>
    </w:p>
    <w:p w:rsidR="00D458FD" w:rsidRPr="00DC38B7" w:rsidRDefault="00D458FD" w:rsidP="003C34D1">
      <w:pPr>
        <w:spacing w:line="480" w:lineRule="auto"/>
      </w:pPr>
      <w:r w:rsidRPr="00DC38B7">
        <w:rPr>
          <w:position w:val="-10"/>
        </w:rPr>
        <w:object w:dxaOrig="7320" w:dyaOrig="340">
          <v:shape id="_x0000_i1701" type="#_x0000_t75" style="width:364.2pt;height:17.6pt" o:ole="">
            <v:imagedata r:id="rId1313" o:title=""/>
          </v:shape>
          <o:OLEObject Type="Embed" ProgID="Equation.DSMT4" ShapeID="_x0000_i1701" DrawAspect="Content" ObjectID="_1359267624" r:id="rId1314"/>
        </w:object>
      </w:r>
      <w:r w:rsidRPr="00DC38B7">
        <w:t xml:space="preserve"> </w:t>
      </w:r>
      <w:r>
        <w:t xml:space="preserve"> </w:t>
      </w:r>
      <w:r w:rsidR="00F643DE">
        <w:t xml:space="preserve">        </w:t>
      </w:r>
      <w:r w:rsidR="00FA7D09">
        <w:t xml:space="preserve">         </w:t>
      </w:r>
      <w:r w:rsidR="00F643DE">
        <w:t xml:space="preserve"> </w:t>
      </w:r>
      <w:r w:rsidRPr="00DC38B7">
        <w:t>(A.</w:t>
      </w:r>
      <w:r w:rsidR="00FA7D09">
        <w:t>3.</w:t>
      </w:r>
      <w:r w:rsidRPr="00DC38B7">
        <w:t>15)</w:t>
      </w:r>
    </w:p>
    <w:p w:rsidR="00D458FD" w:rsidRPr="00DC38B7" w:rsidRDefault="00D458FD" w:rsidP="00FA7D09">
      <w:pPr>
        <w:spacing w:line="480" w:lineRule="auto"/>
        <w:jc w:val="right"/>
        <w:rPr>
          <w:position w:val="-16"/>
        </w:rPr>
      </w:pPr>
      <w:r w:rsidRPr="00DC38B7">
        <w:rPr>
          <w:position w:val="-10"/>
        </w:rPr>
        <w:object w:dxaOrig="9380" w:dyaOrig="340">
          <v:shape id="_x0000_i1702" type="#_x0000_t75" style="width:473pt;height:17.6pt" o:ole="">
            <v:imagedata r:id="rId1315" o:title=""/>
          </v:shape>
          <o:OLEObject Type="Embed" ProgID="Equation.DSMT4" ShapeID="_x0000_i1702" DrawAspect="Content" ObjectID="_1359267625" r:id="rId1316"/>
        </w:object>
      </w:r>
      <w:r w:rsidRPr="00DC38B7">
        <w:rPr>
          <w:position w:val="-12"/>
        </w:rPr>
        <w:t xml:space="preserve"> </w:t>
      </w:r>
      <w:r w:rsidRPr="00DC38B7">
        <w:t>(A.</w:t>
      </w:r>
      <w:r w:rsidR="00FA7D09">
        <w:t>3.</w:t>
      </w:r>
      <w:r w:rsidRPr="00DC38B7">
        <w:t>16)</w:t>
      </w:r>
      <w:r w:rsidRPr="00DC38B7">
        <w:rPr>
          <w:position w:val="-16"/>
        </w:rPr>
        <w:t xml:space="preserve"> </w:t>
      </w:r>
    </w:p>
    <w:p w:rsidR="00D458FD" w:rsidRPr="00DC38B7" w:rsidRDefault="00D458FD" w:rsidP="003C34D1">
      <w:pPr>
        <w:spacing w:line="480" w:lineRule="auto"/>
      </w:pPr>
      <w:r w:rsidRPr="00DC38B7">
        <w:rPr>
          <w:position w:val="-12"/>
        </w:rPr>
        <w:object w:dxaOrig="6399" w:dyaOrig="360">
          <v:shape id="_x0000_i1703" type="#_x0000_t75" style="width:318.15pt;height:17.6pt" o:ole="">
            <v:imagedata r:id="rId1317" o:title=""/>
          </v:shape>
          <o:OLEObject Type="Embed" ProgID="Equation.DSMT4" ShapeID="_x0000_i1703" DrawAspect="Content" ObjectID="_1359267626" r:id="rId1318"/>
        </w:object>
      </w:r>
      <w:r w:rsidRPr="00DC38B7">
        <w:rPr>
          <w:position w:val="-16"/>
        </w:rPr>
        <w:tab/>
      </w:r>
      <w:r w:rsidRPr="00DC38B7">
        <w:rPr>
          <w:position w:val="-16"/>
        </w:rPr>
        <w:tab/>
      </w:r>
      <w:r w:rsidR="00F643DE">
        <w:rPr>
          <w:position w:val="-16"/>
        </w:rPr>
        <w:t xml:space="preserve">        </w:t>
      </w:r>
      <w:r w:rsidR="00FA7D09">
        <w:rPr>
          <w:position w:val="-16"/>
        </w:rPr>
        <w:t xml:space="preserve">             </w:t>
      </w:r>
      <w:r w:rsidR="00F643DE">
        <w:rPr>
          <w:position w:val="-16"/>
        </w:rPr>
        <w:t xml:space="preserve"> </w:t>
      </w:r>
      <w:r w:rsidRPr="00DC38B7">
        <w:t>(A.</w:t>
      </w:r>
      <w:r w:rsidR="00FA7D09">
        <w:t>3.</w:t>
      </w:r>
      <w:r w:rsidRPr="00DC38B7">
        <w:t>17)</w:t>
      </w:r>
    </w:p>
    <w:p w:rsidR="00D458FD" w:rsidRPr="00DC38B7" w:rsidRDefault="00D458FD" w:rsidP="003C34D1">
      <w:pPr>
        <w:spacing w:line="480" w:lineRule="auto"/>
      </w:pPr>
      <w:r w:rsidRPr="00DC38B7">
        <w:rPr>
          <w:position w:val="-10"/>
        </w:rPr>
        <w:object w:dxaOrig="1840" w:dyaOrig="340">
          <v:shape id="_x0000_i1704" type="#_x0000_t75" style="width:92.95pt;height:17.6pt" o:ole="">
            <v:imagedata r:id="rId1319" o:title=""/>
          </v:shape>
          <o:OLEObject Type="Embed" ProgID="Equation.DSMT4" ShapeID="_x0000_i1704" DrawAspect="Content" ObjectID="_1359267627" r:id="rId1320"/>
        </w:object>
      </w:r>
      <w:r w:rsidRPr="00DC38B7">
        <w:tab/>
      </w:r>
      <w:r w:rsidRPr="00DC38B7">
        <w:tab/>
      </w:r>
      <w:r w:rsidRPr="00DC38B7">
        <w:tab/>
      </w:r>
      <w:r w:rsidRPr="00DC38B7">
        <w:tab/>
      </w:r>
      <w:r w:rsidRPr="00DC38B7">
        <w:tab/>
      </w:r>
      <w:r w:rsidRPr="00DC38B7">
        <w:tab/>
      </w:r>
      <w:r w:rsidRPr="00DC38B7">
        <w:tab/>
      </w:r>
      <w:r w:rsidRPr="00DC38B7">
        <w:tab/>
      </w:r>
      <w:r w:rsidR="00F643DE">
        <w:t xml:space="preserve">         </w:t>
      </w:r>
      <w:r w:rsidR="00F643DE" w:rsidRPr="00DC38B7">
        <w:t xml:space="preserve"> </w:t>
      </w:r>
      <w:r w:rsidR="00FA7D09">
        <w:t xml:space="preserve">            </w:t>
      </w:r>
      <w:r w:rsidRPr="00DC38B7">
        <w:t>(A.</w:t>
      </w:r>
      <w:r w:rsidR="00FA7D09">
        <w:t>3.</w:t>
      </w:r>
      <w:r w:rsidRPr="00DC38B7">
        <w:t>19)</w:t>
      </w:r>
    </w:p>
    <w:p w:rsidR="00D458FD" w:rsidRPr="00DC38B7" w:rsidRDefault="00D458FD" w:rsidP="003C34D1">
      <w:pPr>
        <w:spacing w:line="480" w:lineRule="auto"/>
      </w:pPr>
      <w:r w:rsidRPr="00DC38B7">
        <w:rPr>
          <w:position w:val="-20"/>
        </w:rPr>
        <w:object w:dxaOrig="4300" w:dyaOrig="600">
          <v:shape id="_x0000_i1705" type="#_x0000_t75" style="width:215.15pt;height:31pt" o:ole="">
            <v:imagedata r:id="rId1321" o:title=""/>
          </v:shape>
          <o:OLEObject Type="Embed" ProgID="Equation.DSMT4" ShapeID="_x0000_i1705" DrawAspect="Content" ObjectID="_1359267628" r:id="rId1322"/>
        </w:object>
      </w:r>
      <w:r w:rsidRPr="00DC38B7">
        <w:t xml:space="preserve">  </w:t>
      </w:r>
      <w:r w:rsidRPr="00DC38B7">
        <w:tab/>
      </w:r>
      <w:r w:rsidRPr="00DC38B7">
        <w:tab/>
      </w:r>
      <w:r w:rsidRPr="00DC38B7">
        <w:tab/>
      </w:r>
      <w:r w:rsidRPr="00DC38B7">
        <w:tab/>
      </w:r>
      <w:r w:rsidR="00F643DE">
        <w:t xml:space="preserve">        </w:t>
      </w:r>
      <w:r w:rsidR="00FA7D09">
        <w:t xml:space="preserve">           </w:t>
      </w:r>
      <w:r w:rsidR="00F643DE">
        <w:t xml:space="preserve">  </w:t>
      </w:r>
      <w:r w:rsidR="00F643DE" w:rsidRPr="00DC38B7">
        <w:t xml:space="preserve"> </w:t>
      </w:r>
      <w:r w:rsidRPr="00DC38B7">
        <w:t>(A.</w:t>
      </w:r>
      <w:r w:rsidR="00FA7D09">
        <w:t>3.</w:t>
      </w:r>
      <w:r w:rsidRPr="00DC38B7">
        <w:t>20)</w:t>
      </w:r>
    </w:p>
    <w:p w:rsidR="00D458FD" w:rsidRPr="00DC38B7" w:rsidRDefault="00D458FD" w:rsidP="006A3EF5">
      <w:pPr>
        <w:spacing w:line="480" w:lineRule="auto"/>
        <w:jc w:val="right"/>
      </w:pPr>
      <w:r w:rsidRPr="00DC38B7">
        <w:rPr>
          <w:position w:val="-10"/>
        </w:rPr>
        <w:object w:dxaOrig="1180" w:dyaOrig="499">
          <v:shape id="_x0000_i1706" type="#_x0000_t75" style="width:58.6pt;height:25.1pt" o:ole="">
            <v:imagedata r:id="rId1323" o:title=""/>
          </v:shape>
          <o:OLEObject Type="Embed" ProgID="Equation.DSMT4" ShapeID="_x0000_i1706" DrawAspect="Content" ObjectID="_1359267629" r:id="rId1324"/>
        </w:object>
      </w:r>
      <w:r>
        <w:rPr>
          <w:position w:val="-10"/>
        </w:rPr>
        <w:t xml:space="preserve">         </w:t>
      </w:r>
      <w:r w:rsidR="006A3EF5">
        <w:rPr>
          <w:position w:val="-10"/>
        </w:rPr>
        <w:t xml:space="preserve"> </w:t>
      </w:r>
      <w:r>
        <w:rPr>
          <w:position w:val="-10"/>
        </w:rPr>
        <w:t xml:space="preserve">              </w:t>
      </w:r>
      <w:r w:rsidR="006A3EF5">
        <w:rPr>
          <w:position w:val="-10"/>
        </w:rPr>
        <w:t xml:space="preserve">         </w:t>
      </w:r>
      <w:r>
        <w:rPr>
          <w:position w:val="-10"/>
        </w:rPr>
        <w:t xml:space="preserve">                                                                                        </w:t>
      </w:r>
      <w:r w:rsidRPr="00DC38B7">
        <w:t xml:space="preserve"> (A.</w:t>
      </w:r>
      <w:r w:rsidR="00FA7D09">
        <w:t>3.</w:t>
      </w:r>
      <w:r w:rsidRPr="00DC38B7">
        <w:t>21)</w:t>
      </w:r>
    </w:p>
    <w:p w:rsidR="00D458FD" w:rsidRPr="00DC38B7" w:rsidRDefault="00D458FD" w:rsidP="003C34D1">
      <w:pPr>
        <w:spacing w:line="480" w:lineRule="auto"/>
        <w:jc w:val="center"/>
      </w:pPr>
      <w:r w:rsidRPr="00DC38B7">
        <w:rPr>
          <w:position w:val="-10"/>
        </w:rPr>
        <w:object w:dxaOrig="1140" w:dyaOrig="499">
          <v:shape id="_x0000_i1707" type="#_x0000_t75" style="width:57.75pt;height:25.1pt" o:ole="">
            <v:imagedata r:id="rId1325" o:title=""/>
          </v:shape>
          <o:OLEObject Type="Embed" ProgID="Equation.DSMT4" ShapeID="_x0000_i1707" DrawAspect="Content" ObjectID="_1359267630" r:id="rId1326"/>
        </w:object>
      </w:r>
      <w:r w:rsidRPr="00DC38B7">
        <w:t xml:space="preserve">    </w:t>
      </w:r>
      <w:r w:rsidR="001348AA">
        <w:t xml:space="preserve">       </w:t>
      </w:r>
      <w:r>
        <w:t xml:space="preserve">                                                                                                            </w:t>
      </w:r>
      <w:r w:rsidR="00FA7D09">
        <w:t xml:space="preserve">   </w:t>
      </w:r>
      <w:r>
        <w:t xml:space="preserve"> </w:t>
      </w:r>
      <w:r w:rsidRPr="00DC38B7">
        <w:t>(A.</w:t>
      </w:r>
      <w:r w:rsidR="00FA7D09">
        <w:t>3.</w:t>
      </w:r>
      <w:r w:rsidRPr="00DC38B7">
        <w:t>22)</w:t>
      </w:r>
    </w:p>
    <w:p w:rsidR="00D458FD" w:rsidRPr="00DC38B7" w:rsidRDefault="00D458FD" w:rsidP="003C34D1">
      <w:pPr>
        <w:spacing w:line="480" w:lineRule="auto"/>
        <w:jc w:val="center"/>
      </w:pPr>
      <w:r w:rsidRPr="00DC38B7">
        <w:rPr>
          <w:position w:val="-10"/>
        </w:rPr>
        <w:object w:dxaOrig="1140" w:dyaOrig="499">
          <v:shape id="_x0000_i1708" type="#_x0000_t75" style="width:57.75pt;height:25.1pt" o:ole="">
            <v:imagedata r:id="rId1327" o:title=""/>
          </v:shape>
          <o:OLEObject Type="Embed" ProgID="Equation.DSMT4" ShapeID="_x0000_i1708" DrawAspect="Content" ObjectID="_1359267631" r:id="rId1328"/>
        </w:object>
      </w:r>
      <w:r w:rsidRPr="00DC38B7">
        <w:t xml:space="preserve">           </w:t>
      </w:r>
      <w:r>
        <w:t xml:space="preserve"> </w:t>
      </w:r>
      <w:r w:rsidR="001348AA">
        <w:t xml:space="preserve">          </w:t>
      </w:r>
      <w:r>
        <w:t xml:space="preserve">                                                                                                     (</w:t>
      </w:r>
      <w:r w:rsidRPr="00DC38B7">
        <w:t>A.</w:t>
      </w:r>
      <w:r w:rsidR="00FA7D09">
        <w:t>3.</w:t>
      </w:r>
      <w:r w:rsidRPr="00DC38B7">
        <w:t>23)</w:t>
      </w:r>
    </w:p>
    <w:p w:rsidR="00D458FD" w:rsidRPr="00DC38B7" w:rsidRDefault="00D458FD" w:rsidP="003C34D1">
      <w:pPr>
        <w:spacing w:line="480" w:lineRule="auto"/>
        <w:rPr>
          <w:position w:val="-24"/>
        </w:rPr>
      </w:pPr>
      <w:r w:rsidRPr="00DC38B7">
        <w:rPr>
          <w:position w:val="-24"/>
        </w:rPr>
        <w:t>The aggregate budget constraint</w:t>
      </w:r>
      <w:r>
        <w:rPr>
          <w:position w:val="-24"/>
        </w:rPr>
        <w:t xml:space="preserve"> (</w:t>
      </w:r>
      <w:r w:rsidRPr="00DC38B7">
        <w:rPr>
          <w:position w:val="-24"/>
        </w:rPr>
        <w:t>combination of (20) and (24)</w:t>
      </w:r>
      <w:r>
        <w:rPr>
          <w:position w:val="-24"/>
        </w:rPr>
        <w:t>)</w:t>
      </w:r>
      <w:r w:rsidRPr="00DC38B7">
        <w:rPr>
          <w:position w:val="-24"/>
        </w:rPr>
        <w:t xml:space="preserve"> </w:t>
      </w:r>
      <w:r>
        <w:rPr>
          <w:position w:val="-24"/>
        </w:rPr>
        <w:t>is</w:t>
      </w:r>
      <w:r w:rsidRPr="00DC38B7">
        <w:rPr>
          <w:position w:val="-24"/>
        </w:rPr>
        <w:t xml:space="preserve"> linearize</w:t>
      </w:r>
      <w:r>
        <w:rPr>
          <w:position w:val="-24"/>
        </w:rPr>
        <w:t>d</w:t>
      </w:r>
      <w:r w:rsidRPr="00DC38B7">
        <w:rPr>
          <w:position w:val="-24"/>
        </w:rPr>
        <w:t xml:space="preserve"> as</w:t>
      </w:r>
    </w:p>
    <w:p w:rsidR="00D458FD" w:rsidRPr="00DC38B7" w:rsidRDefault="00D458FD" w:rsidP="003C34D1">
      <w:pPr>
        <w:spacing w:line="480" w:lineRule="auto"/>
        <w:jc w:val="center"/>
      </w:pPr>
      <w:r w:rsidRPr="00DC38B7">
        <w:rPr>
          <w:position w:val="-20"/>
        </w:rPr>
        <w:object w:dxaOrig="3560" w:dyaOrig="540">
          <v:shape id="_x0000_i1709" type="#_x0000_t75" style="width:176.65pt;height:28.45pt" o:ole="">
            <v:imagedata r:id="rId1329" o:title=""/>
          </v:shape>
          <o:OLEObject Type="Embed" ProgID="Equation.DSMT4" ShapeID="_x0000_i1709" DrawAspect="Content" ObjectID="_1359267632" r:id="rId1330"/>
        </w:object>
      </w:r>
      <w:r w:rsidRPr="00DC38B7">
        <w:t xml:space="preserve">   </w:t>
      </w:r>
      <w:r>
        <w:t xml:space="preserve">                                                                </w:t>
      </w:r>
      <w:r w:rsidR="00ED38D3">
        <w:t xml:space="preserve">           </w:t>
      </w:r>
      <w:r>
        <w:t xml:space="preserve">     </w:t>
      </w:r>
      <w:r w:rsidRPr="00DC38B7">
        <w:t>(A.</w:t>
      </w:r>
      <w:r w:rsidR="00FA7D09">
        <w:t>3.</w:t>
      </w:r>
      <w:r w:rsidRPr="00DC38B7">
        <w:t>24)</w:t>
      </w:r>
    </w:p>
    <w:p w:rsidR="00D458FD" w:rsidRPr="00DC38B7" w:rsidRDefault="00D458FD" w:rsidP="003C34D1">
      <w:pPr>
        <w:spacing w:line="480" w:lineRule="auto"/>
        <w:rPr>
          <w:bCs/>
          <w:position w:val="-12"/>
        </w:rPr>
      </w:pPr>
      <w:r>
        <w:rPr>
          <w:bCs/>
          <w:position w:val="-12"/>
        </w:rPr>
        <w:t xml:space="preserve">The definition </w:t>
      </w:r>
      <w:r w:rsidRPr="00DC38B7">
        <w:rPr>
          <w:bCs/>
          <w:position w:val="-12"/>
        </w:rPr>
        <w:t>of government current revenues</w:t>
      </w:r>
    </w:p>
    <w:p w:rsidR="00D458FD" w:rsidRPr="00DC38B7" w:rsidRDefault="00D458FD" w:rsidP="003C34D1">
      <w:pPr>
        <w:spacing w:line="480" w:lineRule="auto"/>
        <w:jc w:val="center"/>
      </w:pPr>
      <w:r w:rsidRPr="00DC38B7">
        <w:rPr>
          <w:position w:val="-10"/>
        </w:rPr>
        <w:object w:dxaOrig="2560" w:dyaOrig="499">
          <v:shape id="_x0000_i1710" type="#_x0000_t75" style="width:127.25pt;height:25.1pt" o:ole="">
            <v:imagedata r:id="rId1331" o:title=""/>
          </v:shape>
          <o:OLEObject Type="Embed" ProgID="Equation.DSMT4" ShapeID="_x0000_i1710" DrawAspect="Content" ObjectID="_1359267633" r:id="rId1332"/>
        </w:object>
      </w:r>
      <w:r w:rsidRPr="00DC38B7">
        <w:tab/>
      </w:r>
      <w:r>
        <w:t xml:space="preserve">                                                                             </w:t>
      </w:r>
      <w:r w:rsidR="00ED38D3">
        <w:t xml:space="preserve">           </w:t>
      </w:r>
      <w:r>
        <w:t xml:space="preserve">      </w:t>
      </w:r>
      <w:r w:rsidRPr="00DC38B7">
        <w:t>(A.</w:t>
      </w:r>
      <w:r w:rsidR="00FA7D09">
        <w:t>3.</w:t>
      </w:r>
      <w:r w:rsidRPr="00DC38B7">
        <w:t>25)</w:t>
      </w:r>
    </w:p>
    <w:p w:rsidR="00D458FD" w:rsidRPr="00DC38B7" w:rsidRDefault="00D458FD" w:rsidP="003C34D1">
      <w:pPr>
        <w:spacing w:line="480" w:lineRule="auto"/>
      </w:pPr>
      <w:r w:rsidRPr="00DC38B7">
        <w:rPr>
          <w:bCs/>
          <w:position w:val="-12"/>
        </w:rPr>
        <w:t>Plus extra equation that</w:t>
      </w:r>
    </w:p>
    <w:p w:rsidR="00D458FD" w:rsidRDefault="00D458FD" w:rsidP="003C34D1">
      <w:pPr>
        <w:spacing w:line="480" w:lineRule="auto"/>
        <w:jc w:val="center"/>
      </w:pPr>
      <w:r w:rsidRPr="00DC38B7">
        <w:rPr>
          <w:position w:val="-10"/>
        </w:rPr>
        <w:object w:dxaOrig="639" w:dyaOrig="300">
          <v:shape id="_x0000_i1711" type="#_x0000_t75" style="width:32.65pt;height:15.9pt" o:ole="">
            <v:imagedata r:id="rId1333" o:title=""/>
          </v:shape>
          <o:OLEObject Type="Embed" ProgID="Equation.DSMT4" ShapeID="_x0000_i1711" DrawAspect="Content" ObjectID="_1359267634" r:id="rId1334"/>
        </w:object>
      </w:r>
      <w:r w:rsidRPr="00DC38B7">
        <w:t xml:space="preserve">    </w:t>
      </w:r>
      <w:r>
        <w:t xml:space="preserve">                                                                                                                 </w:t>
      </w:r>
      <w:r w:rsidR="00ED38D3">
        <w:t xml:space="preserve">           </w:t>
      </w:r>
      <w:r w:rsidRPr="00DC38B7">
        <w:t xml:space="preserve">   (A.</w:t>
      </w:r>
      <w:r w:rsidR="00FA7D09">
        <w:t>3.</w:t>
      </w:r>
      <w:r w:rsidRPr="00DC38B7">
        <w:t>26)</w:t>
      </w:r>
    </w:p>
    <w:p w:rsidR="00D458FD" w:rsidRDefault="00D458FD" w:rsidP="00D458FD">
      <w:pPr>
        <w:spacing w:line="480" w:lineRule="auto"/>
      </w:pPr>
      <w:r>
        <w:t xml:space="preserve">This </w:t>
      </w:r>
      <w:r w:rsidRPr="009016A9">
        <w:t>is a</w:t>
      </w:r>
      <w:r>
        <w:t xml:space="preserve"> 17X17</w:t>
      </w:r>
      <w:r w:rsidRPr="009016A9">
        <w:t xml:space="preserve"> system of equations. Some of the coeffic</w:t>
      </w:r>
      <w:r>
        <w:t xml:space="preserve">ients used above are defined in terms of model parameters as </w:t>
      </w:r>
      <w:r w:rsidRPr="009016A9">
        <w:t xml:space="preserve">follows: </w:t>
      </w:r>
    </w:p>
    <w:p w:rsidR="00D458FD" w:rsidRDefault="00D458FD" w:rsidP="00417BE3">
      <w:pPr>
        <w:autoSpaceDE w:val="0"/>
        <w:autoSpaceDN w:val="0"/>
        <w:adjustRightInd w:val="0"/>
        <w:spacing w:line="480" w:lineRule="auto"/>
      </w:pPr>
      <w:r>
        <w:rPr>
          <w:noProof/>
        </w:rPr>
        <w:drawing>
          <wp:inline distT="0" distB="0" distL="0" distR="0">
            <wp:extent cx="4733703" cy="531628"/>
            <wp:effectExtent l="1905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335" cstate="print"/>
                    <a:srcRect/>
                    <a:stretch>
                      <a:fillRect/>
                    </a:stretch>
                  </pic:blipFill>
                  <pic:spPr bwMode="auto">
                    <a:xfrm>
                      <a:off x="0" y="0"/>
                      <a:ext cx="4764059" cy="535037"/>
                    </a:xfrm>
                    <a:prstGeom prst="rect">
                      <a:avLst/>
                    </a:prstGeom>
                    <a:noFill/>
                    <a:ln w="9525">
                      <a:noFill/>
                      <a:miter lim="800000"/>
                      <a:headEnd/>
                      <a:tailEnd/>
                    </a:ln>
                  </pic:spPr>
                </pic:pic>
              </a:graphicData>
            </a:graphic>
          </wp:inline>
        </w:drawing>
      </w:r>
    </w:p>
    <w:p w:rsidR="00D458FD" w:rsidRDefault="00D458FD" w:rsidP="00417BE3">
      <w:pPr>
        <w:autoSpaceDE w:val="0"/>
        <w:autoSpaceDN w:val="0"/>
        <w:adjustRightInd w:val="0"/>
        <w:spacing w:line="480" w:lineRule="auto"/>
      </w:pPr>
      <w:r>
        <w:rPr>
          <w:noProof/>
        </w:rPr>
        <w:drawing>
          <wp:inline distT="0" distB="0" distL="0" distR="0">
            <wp:extent cx="4329666" cy="584791"/>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336" cstate="print"/>
                    <a:srcRect/>
                    <a:stretch>
                      <a:fillRect/>
                    </a:stretch>
                  </pic:blipFill>
                  <pic:spPr bwMode="auto">
                    <a:xfrm>
                      <a:off x="0" y="0"/>
                      <a:ext cx="4357408" cy="588538"/>
                    </a:xfrm>
                    <a:prstGeom prst="rect">
                      <a:avLst/>
                    </a:prstGeom>
                    <a:noFill/>
                    <a:ln w="9525">
                      <a:noFill/>
                      <a:miter lim="800000"/>
                      <a:headEnd/>
                      <a:tailEnd/>
                    </a:ln>
                  </pic:spPr>
                </pic:pic>
              </a:graphicData>
            </a:graphic>
          </wp:inline>
        </w:drawing>
      </w:r>
    </w:p>
    <w:p w:rsidR="00D458FD" w:rsidRDefault="00D458FD" w:rsidP="00417BE3">
      <w:pPr>
        <w:autoSpaceDE w:val="0"/>
        <w:autoSpaceDN w:val="0"/>
        <w:adjustRightInd w:val="0"/>
        <w:spacing w:line="480" w:lineRule="auto"/>
      </w:pPr>
      <w:r>
        <w:rPr>
          <w:noProof/>
        </w:rPr>
        <w:drawing>
          <wp:inline distT="0" distB="0" distL="0" distR="0">
            <wp:extent cx="4647416" cy="542261"/>
            <wp:effectExtent l="19050" t="0" r="784"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337" cstate="print"/>
                    <a:srcRect/>
                    <a:stretch>
                      <a:fillRect/>
                    </a:stretch>
                  </pic:blipFill>
                  <pic:spPr bwMode="auto">
                    <a:xfrm>
                      <a:off x="0" y="0"/>
                      <a:ext cx="4664067" cy="544204"/>
                    </a:xfrm>
                    <a:prstGeom prst="rect">
                      <a:avLst/>
                    </a:prstGeom>
                    <a:noFill/>
                    <a:ln w="9525">
                      <a:noFill/>
                      <a:miter lim="800000"/>
                      <a:headEnd/>
                      <a:tailEnd/>
                    </a:ln>
                  </pic:spPr>
                </pic:pic>
              </a:graphicData>
            </a:graphic>
          </wp:inline>
        </w:drawing>
      </w:r>
      <w:r>
        <w:rPr>
          <w:noProof/>
          <w:position w:val="-25"/>
        </w:rPr>
        <w:drawing>
          <wp:inline distT="0" distB="0" distL="0" distR="0">
            <wp:extent cx="2702214" cy="754911"/>
            <wp:effectExtent l="19050" t="0" r="2886"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338" cstate="print"/>
                    <a:srcRect/>
                    <a:stretch>
                      <a:fillRect/>
                    </a:stretch>
                  </pic:blipFill>
                  <pic:spPr bwMode="auto">
                    <a:xfrm>
                      <a:off x="0" y="0"/>
                      <a:ext cx="2706748" cy="756178"/>
                    </a:xfrm>
                    <a:prstGeom prst="rect">
                      <a:avLst/>
                    </a:prstGeom>
                    <a:noFill/>
                    <a:ln w="9525">
                      <a:noFill/>
                      <a:miter lim="800000"/>
                      <a:headEnd/>
                      <a:tailEnd/>
                    </a:ln>
                  </pic:spPr>
                </pic:pic>
              </a:graphicData>
            </a:graphic>
          </wp:inline>
        </w:drawing>
      </w:r>
      <w:r>
        <w:rPr>
          <w:noProof/>
        </w:rPr>
        <w:drawing>
          <wp:inline distT="0" distB="0" distL="0" distR="0">
            <wp:extent cx="4003234" cy="691116"/>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339" cstate="print"/>
                    <a:srcRect/>
                    <a:stretch>
                      <a:fillRect/>
                    </a:stretch>
                  </pic:blipFill>
                  <pic:spPr bwMode="auto">
                    <a:xfrm>
                      <a:off x="0" y="0"/>
                      <a:ext cx="4005285" cy="691470"/>
                    </a:xfrm>
                    <a:prstGeom prst="rect">
                      <a:avLst/>
                    </a:prstGeom>
                    <a:noFill/>
                    <a:ln w="9525">
                      <a:noFill/>
                      <a:miter lim="800000"/>
                      <a:headEnd/>
                      <a:tailEnd/>
                    </a:ln>
                  </pic:spPr>
                </pic:pic>
              </a:graphicData>
            </a:graphic>
          </wp:inline>
        </w:drawing>
      </w:r>
      <w:r>
        <w:rPr>
          <w:noProof/>
          <w:position w:val="-22"/>
        </w:rPr>
        <w:drawing>
          <wp:inline distT="0" distB="0" distL="0" distR="0">
            <wp:extent cx="3160085" cy="813610"/>
            <wp:effectExtent l="19050" t="0" r="22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340" cstate="print"/>
                    <a:srcRect/>
                    <a:stretch>
                      <a:fillRect/>
                    </a:stretch>
                  </pic:blipFill>
                  <pic:spPr bwMode="auto">
                    <a:xfrm>
                      <a:off x="0" y="0"/>
                      <a:ext cx="3175502" cy="817579"/>
                    </a:xfrm>
                    <a:prstGeom prst="rect">
                      <a:avLst/>
                    </a:prstGeom>
                    <a:noFill/>
                    <a:ln w="9525">
                      <a:noFill/>
                      <a:miter lim="800000"/>
                      <a:headEnd/>
                      <a:tailEnd/>
                    </a:ln>
                  </pic:spPr>
                </pic:pic>
              </a:graphicData>
            </a:graphic>
          </wp:inline>
        </w:drawing>
      </w:r>
      <w:r>
        <w:rPr>
          <w:noProof/>
          <w:position w:val="-22"/>
        </w:rPr>
        <w:drawing>
          <wp:inline distT="0" distB="0" distL="0" distR="0">
            <wp:extent cx="2849245" cy="914400"/>
            <wp:effectExtent l="1905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341" cstate="print"/>
                    <a:srcRect/>
                    <a:stretch>
                      <a:fillRect/>
                    </a:stretch>
                  </pic:blipFill>
                  <pic:spPr bwMode="auto">
                    <a:xfrm>
                      <a:off x="0" y="0"/>
                      <a:ext cx="2849245" cy="914400"/>
                    </a:xfrm>
                    <a:prstGeom prst="rect">
                      <a:avLst/>
                    </a:prstGeom>
                    <a:noFill/>
                    <a:ln w="9525">
                      <a:noFill/>
                      <a:miter lim="800000"/>
                      <a:headEnd/>
                      <a:tailEnd/>
                    </a:ln>
                  </pic:spPr>
                </pic:pic>
              </a:graphicData>
            </a:graphic>
          </wp:inline>
        </w:drawing>
      </w:r>
      <w:r>
        <w:t xml:space="preserve">  </w:t>
      </w:r>
      <w:r w:rsidR="00417BE3">
        <w:t xml:space="preserve">      </w:t>
      </w:r>
      <w:r>
        <w:rPr>
          <w:noProof/>
          <w:position w:val="-22"/>
        </w:rPr>
        <w:drawing>
          <wp:inline distT="0" distB="0" distL="0" distR="0">
            <wp:extent cx="2554029" cy="795889"/>
            <wp:effectExtent l="1905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342" cstate="print"/>
                    <a:srcRect/>
                    <a:stretch>
                      <a:fillRect/>
                    </a:stretch>
                  </pic:blipFill>
                  <pic:spPr bwMode="auto">
                    <a:xfrm>
                      <a:off x="0" y="0"/>
                      <a:ext cx="2554029" cy="795889"/>
                    </a:xfrm>
                    <a:prstGeom prst="rect">
                      <a:avLst/>
                    </a:prstGeom>
                    <a:noFill/>
                    <a:ln w="9525">
                      <a:noFill/>
                      <a:miter lim="800000"/>
                      <a:headEnd/>
                      <a:tailEnd/>
                    </a:ln>
                  </pic:spPr>
                </pic:pic>
              </a:graphicData>
            </a:graphic>
          </wp:inline>
        </w:drawing>
      </w:r>
    </w:p>
    <w:p w:rsidR="00D458FD" w:rsidRDefault="00D458FD" w:rsidP="00417BE3">
      <w:pPr>
        <w:autoSpaceDE w:val="0"/>
        <w:autoSpaceDN w:val="0"/>
        <w:adjustRightInd w:val="0"/>
        <w:spacing w:line="480" w:lineRule="auto"/>
      </w:pPr>
      <w:r>
        <w:rPr>
          <w:noProof/>
          <w:position w:val="-22"/>
        </w:rPr>
        <w:drawing>
          <wp:inline distT="0" distB="0" distL="0" distR="0">
            <wp:extent cx="2797308" cy="893135"/>
            <wp:effectExtent l="19050" t="0" r="3042"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342" cstate="print"/>
                    <a:srcRect/>
                    <a:stretch>
                      <a:fillRect/>
                    </a:stretch>
                  </pic:blipFill>
                  <pic:spPr bwMode="auto">
                    <a:xfrm>
                      <a:off x="0" y="0"/>
                      <a:ext cx="2797972" cy="893347"/>
                    </a:xfrm>
                    <a:prstGeom prst="rect">
                      <a:avLst/>
                    </a:prstGeom>
                    <a:noFill/>
                    <a:ln w="9525">
                      <a:noFill/>
                      <a:miter lim="800000"/>
                      <a:headEnd/>
                      <a:tailEnd/>
                    </a:ln>
                  </pic:spPr>
                </pic:pic>
              </a:graphicData>
            </a:graphic>
          </wp:inline>
        </w:drawing>
      </w:r>
      <w:r>
        <w:t xml:space="preserve">     </w:t>
      </w:r>
      <w:r w:rsidR="00417BE3">
        <w:t xml:space="preserve">  </w:t>
      </w:r>
      <w:r>
        <w:t xml:space="preserve"> </w:t>
      </w:r>
      <w:r>
        <w:rPr>
          <w:noProof/>
          <w:position w:val="-60"/>
        </w:rPr>
        <w:drawing>
          <wp:inline distT="0" distB="0" distL="0" distR="0">
            <wp:extent cx="2700345" cy="707191"/>
            <wp:effectExtent l="19050" t="0" r="475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343" cstate="print"/>
                    <a:srcRect/>
                    <a:stretch>
                      <a:fillRect/>
                    </a:stretch>
                  </pic:blipFill>
                  <pic:spPr bwMode="auto">
                    <a:xfrm>
                      <a:off x="0" y="0"/>
                      <a:ext cx="2701283" cy="707437"/>
                    </a:xfrm>
                    <a:prstGeom prst="rect">
                      <a:avLst/>
                    </a:prstGeom>
                    <a:noFill/>
                    <a:ln w="9525">
                      <a:noFill/>
                      <a:miter lim="800000"/>
                      <a:headEnd/>
                      <a:tailEnd/>
                    </a:ln>
                  </pic:spPr>
                </pic:pic>
              </a:graphicData>
            </a:graphic>
          </wp:inline>
        </w:drawing>
      </w:r>
    </w:p>
    <w:p w:rsidR="00D458FD" w:rsidRDefault="00D458FD" w:rsidP="00417BE3">
      <w:pPr>
        <w:autoSpaceDE w:val="0"/>
        <w:autoSpaceDN w:val="0"/>
        <w:adjustRightInd w:val="0"/>
        <w:spacing w:line="480" w:lineRule="auto"/>
      </w:pPr>
      <w:r>
        <w:t xml:space="preserve"> </w:t>
      </w:r>
      <w:r>
        <w:rPr>
          <w:noProof/>
          <w:position w:val="-60"/>
        </w:rPr>
        <w:drawing>
          <wp:inline distT="0" distB="0" distL="0" distR="0">
            <wp:extent cx="2532764" cy="685791"/>
            <wp:effectExtent l="19050" t="0" r="886"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1344" cstate="print"/>
                    <a:srcRect/>
                    <a:stretch>
                      <a:fillRect/>
                    </a:stretch>
                  </pic:blipFill>
                  <pic:spPr bwMode="auto">
                    <a:xfrm>
                      <a:off x="0" y="0"/>
                      <a:ext cx="2533644" cy="686029"/>
                    </a:xfrm>
                    <a:prstGeom prst="rect">
                      <a:avLst/>
                    </a:prstGeom>
                    <a:noFill/>
                    <a:ln w="9525">
                      <a:noFill/>
                      <a:miter lim="800000"/>
                      <a:headEnd/>
                      <a:tailEnd/>
                    </a:ln>
                  </pic:spPr>
                </pic:pic>
              </a:graphicData>
            </a:graphic>
          </wp:inline>
        </w:drawing>
      </w:r>
      <w:r>
        <w:t xml:space="preserve">             </w:t>
      </w:r>
      <w:r w:rsidR="00417BE3">
        <w:t xml:space="preserve">      </w:t>
      </w:r>
      <w:r>
        <w:rPr>
          <w:noProof/>
          <w:position w:val="-60"/>
        </w:rPr>
        <w:drawing>
          <wp:inline distT="0" distB="0" distL="0" distR="0">
            <wp:extent cx="2383908" cy="645486"/>
            <wp:effectExtent l="19050" t="0" r="0" b="0"/>
            <wp:docPr id="228"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345" cstate="print"/>
                    <a:srcRect/>
                    <a:stretch>
                      <a:fillRect/>
                    </a:stretch>
                  </pic:blipFill>
                  <pic:spPr bwMode="auto">
                    <a:xfrm>
                      <a:off x="0" y="0"/>
                      <a:ext cx="2384733" cy="645709"/>
                    </a:xfrm>
                    <a:prstGeom prst="rect">
                      <a:avLst/>
                    </a:prstGeom>
                    <a:noFill/>
                    <a:ln w="9525">
                      <a:noFill/>
                      <a:miter lim="800000"/>
                      <a:headEnd/>
                      <a:tailEnd/>
                    </a:ln>
                  </pic:spPr>
                </pic:pic>
              </a:graphicData>
            </a:graphic>
          </wp:inline>
        </w:drawing>
      </w:r>
    </w:p>
    <w:p w:rsidR="00D458FD" w:rsidRDefault="00D458FD" w:rsidP="00417BE3">
      <w:pPr>
        <w:autoSpaceDE w:val="0"/>
        <w:autoSpaceDN w:val="0"/>
        <w:adjustRightInd w:val="0"/>
        <w:spacing w:line="480" w:lineRule="auto"/>
      </w:pPr>
      <w:r>
        <w:rPr>
          <w:noProof/>
          <w:position w:val="-60"/>
        </w:rPr>
        <w:drawing>
          <wp:inline distT="0" distB="0" distL="0" distR="0">
            <wp:extent cx="2626360" cy="914400"/>
            <wp:effectExtent l="19050" t="0" r="254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346" cstate="print"/>
                    <a:srcRect/>
                    <a:stretch>
                      <a:fillRect/>
                    </a:stretch>
                  </pic:blipFill>
                  <pic:spPr bwMode="auto">
                    <a:xfrm>
                      <a:off x="0" y="0"/>
                      <a:ext cx="2626360" cy="914400"/>
                    </a:xfrm>
                    <a:prstGeom prst="rect">
                      <a:avLst/>
                    </a:prstGeom>
                    <a:noFill/>
                    <a:ln w="9525">
                      <a:noFill/>
                      <a:miter lim="800000"/>
                      <a:headEnd/>
                      <a:tailEnd/>
                    </a:ln>
                  </pic:spPr>
                </pic:pic>
              </a:graphicData>
            </a:graphic>
          </wp:inline>
        </w:drawing>
      </w:r>
      <w:r>
        <w:t xml:space="preserve">            </w:t>
      </w:r>
      <w:r>
        <w:rPr>
          <w:noProof/>
          <w:position w:val="-60"/>
        </w:rPr>
        <w:drawing>
          <wp:inline distT="0" distB="0" distL="0" distR="0">
            <wp:extent cx="2796540" cy="914400"/>
            <wp:effectExtent l="19050" t="0" r="381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347" cstate="print"/>
                    <a:srcRect/>
                    <a:stretch>
                      <a:fillRect/>
                    </a:stretch>
                  </pic:blipFill>
                  <pic:spPr bwMode="auto">
                    <a:xfrm>
                      <a:off x="0" y="0"/>
                      <a:ext cx="2796540" cy="914400"/>
                    </a:xfrm>
                    <a:prstGeom prst="rect">
                      <a:avLst/>
                    </a:prstGeom>
                    <a:noFill/>
                    <a:ln w="9525">
                      <a:noFill/>
                      <a:miter lim="800000"/>
                      <a:headEnd/>
                      <a:tailEnd/>
                    </a:ln>
                  </pic:spPr>
                </pic:pic>
              </a:graphicData>
            </a:graphic>
          </wp:inline>
        </w:drawing>
      </w:r>
    </w:p>
    <w:p w:rsidR="00D458FD" w:rsidRDefault="00D458FD" w:rsidP="00417BE3">
      <w:pPr>
        <w:spacing w:line="480" w:lineRule="auto"/>
      </w:pPr>
      <w:r>
        <w:rPr>
          <w:noProof/>
        </w:rPr>
        <w:drawing>
          <wp:inline distT="0" distB="0" distL="0" distR="0">
            <wp:extent cx="4967620" cy="773272"/>
            <wp:effectExtent l="19050" t="0" r="443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348" cstate="print"/>
                    <a:srcRect/>
                    <a:stretch>
                      <a:fillRect/>
                    </a:stretch>
                  </pic:blipFill>
                  <pic:spPr bwMode="auto">
                    <a:xfrm>
                      <a:off x="0" y="0"/>
                      <a:ext cx="4968490" cy="773407"/>
                    </a:xfrm>
                    <a:prstGeom prst="rect">
                      <a:avLst/>
                    </a:prstGeom>
                    <a:noFill/>
                    <a:ln w="9525">
                      <a:noFill/>
                      <a:miter lim="800000"/>
                      <a:headEnd/>
                      <a:tailEnd/>
                    </a:ln>
                  </pic:spPr>
                </pic:pic>
              </a:graphicData>
            </a:graphic>
          </wp:inline>
        </w:drawing>
      </w:r>
      <w:r>
        <w:rPr>
          <w:noProof/>
          <w:position w:val="-22"/>
        </w:rPr>
        <w:drawing>
          <wp:inline distT="0" distB="0" distL="0" distR="0">
            <wp:extent cx="2904903" cy="901984"/>
            <wp:effectExtent l="19050" t="0" r="0" b="0"/>
            <wp:docPr id="229"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349" cstate="print"/>
                    <a:srcRect/>
                    <a:stretch>
                      <a:fillRect/>
                    </a:stretch>
                  </pic:blipFill>
                  <pic:spPr bwMode="auto">
                    <a:xfrm>
                      <a:off x="0" y="0"/>
                      <a:ext cx="2901401" cy="900897"/>
                    </a:xfrm>
                    <a:prstGeom prst="rect">
                      <a:avLst/>
                    </a:prstGeom>
                    <a:noFill/>
                    <a:ln w="9525">
                      <a:noFill/>
                      <a:miter lim="800000"/>
                      <a:headEnd/>
                      <a:tailEnd/>
                    </a:ln>
                  </pic:spPr>
                </pic:pic>
              </a:graphicData>
            </a:graphic>
          </wp:inline>
        </w:drawing>
      </w:r>
      <w:r>
        <w:rPr>
          <w:noProof/>
          <w:position w:val="-22"/>
        </w:rPr>
        <w:drawing>
          <wp:inline distT="0" distB="0" distL="0" distR="0">
            <wp:extent cx="2979331" cy="786809"/>
            <wp:effectExtent l="1905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350" cstate="print"/>
                    <a:srcRect/>
                    <a:stretch>
                      <a:fillRect/>
                    </a:stretch>
                  </pic:blipFill>
                  <pic:spPr bwMode="auto">
                    <a:xfrm>
                      <a:off x="0" y="0"/>
                      <a:ext cx="2992728" cy="790347"/>
                    </a:xfrm>
                    <a:prstGeom prst="rect">
                      <a:avLst/>
                    </a:prstGeom>
                    <a:noFill/>
                    <a:ln w="9525">
                      <a:noFill/>
                      <a:miter lim="800000"/>
                      <a:headEnd/>
                      <a:tailEnd/>
                    </a:ln>
                  </pic:spPr>
                </pic:pic>
              </a:graphicData>
            </a:graphic>
          </wp:inline>
        </w:drawing>
      </w:r>
      <w:r>
        <w:rPr>
          <w:noProof/>
          <w:position w:val="-7"/>
        </w:rPr>
        <w:drawing>
          <wp:inline distT="0" distB="0" distL="0" distR="0">
            <wp:extent cx="956945" cy="170180"/>
            <wp:effectExtent l="1905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351" cstate="print"/>
                    <a:srcRect/>
                    <a:stretch>
                      <a:fillRect/>
                    </a:stretch>
                  </pic:blipFill>
                  <pic:spPr bwMode="auto">
                    <a:xfrm>
                      <a:off x="0" y="0"/>
                      <a:ext cx="956945" cy="170180"/>
                    </a:xfrm>
                    <a:prstGeom prst="rect">
                      <a:avLst/>
                    </a:prstGeom>
                    <a:noFill/>
                    <a:ln w="9525">
                      <a:noFill/>
                      <a:miter lim="800000"/>
                      <a:headEnd/>
                      <a:tailEnd/>
                    </a:ln>
                  </pic:spPr>
                </pic:pic>
              </a:graphicData>
            </a:graphic>
          </wp:inline>
        </w:drawing>
      </w:r>
      <w:r>
        <w:t xml:space="preserve">                                                        </w:t>
      </w:r>
      <w:r>
        <w:rPr>
          <w:noProof/>
          <w:position w:val="-20"/>
        </w:rPr>
        <w:drawing>
          <wp:inline distT="0" distB="0" distL="0" distR="0">
            <wp:extent cx="1711960" cy="531495"/>
            <wp:effectExtent l="19050" t="0" r="254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352" cstate="print"/>
                    <a:srcRect/>
                    <a:stretch>
                      <a:fillRect/>
                    </a:stretch>
                  </pic:blipFill>
                  <pic:spPr bwMode="auto">
                    <a:xfrm>
                      <a:off x="0" y="0"/>
                      <a:ext cx="1711960" cy="531495"/>
                    </a:xfrm>
                    <a:prstGeom prst="rect">
                      <a:avLst/>
                    </a:prstGeom>
                    <a:noFill/>
                    <a:ln w="9525">
                      <a:noFill/>
                      <a:miter lim="800000"/>
                      <a:headEnd/>
                      <a:tailEnd/>
                    </a:ln>
                  </pic:spPr>
                </pic:pic>
              </a:graphicData>
            </a:graphic>
          </wp:inline>
        </w:drawing>
      </w:r>
      <w:r>
        <w:rPr>
          <w:noProof/>
          <w:position w:val="-20"/>
        </w:rPr>
        <w:drawing>
          <wp:inline distT="0" distB="0" distL="0" distR="0">
            <wp:extent cx="2115820" cy="520700"/>
            <wp:effectExtent l="1905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353" cstate="print"/>
                    <a:srcRect/>
                    <a:stretch>
                      <a:fillRect/>
                    </a:stretch>
                  </pic:blipFill>
                  <pic:spPr bwMode="auto">
                    <a:xfrm>
                      <a:off x="0" y="0"/>
                      <a:ext cx="2115820" cy="520700"/>
                    </a:xfrm>
                    <a:prstGeom prst="rect">
                      <a:avLst/>
                    </a:prstGeom>
                    <a:noFill/>
                    <a:ln w="9525">
                      <a:noFill/>
                      <a:miter lim="800000"/>
                      <a:headEnd/>
                      <a:tailEnd/>
                    </a:ln>
                  </pic:spPr>
                </pic:pic>
              </a:graphicData>
            </a:graphic>
          </wp:inline>
        </w:drawing>
      </w:r>
      <w:r>
        <w:t xml:space="preserve">                          </w:t>
      </w:r>
      <w:r>
        <w:rPr>
          <w:noProof/>
          <w:position w:val="-7"/>
        </w:rPr>
        <w:drawing>
          <wp:inline distT="0" distB="0" distL="0" distR="0">
            <wp:extent cx="1437610" cy="213097"/>
            <wp:effectExtent l="1905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1354" cstate="print"/>
                    <a:srcRect/>
                    <a:stretch>
                      <a:fillRect/>
                    </a:stretch>
                  </pic:blipFill>
                  <pic:spPr bwMode="auto">
                    <a:xfrm>
                      <a:off x="0" y="0"/>
                      <a:ext cx="1438110" cy="213171"/>
                    </a:xfrm>
                    <a:prstGeom prst="rect">
                      <a:avLst/>
                    </a:prstGeom>
                    <a:noFill/>
                    <a:ln w="9525">
                      <a:noFill/>
                      <a:miter lim="800000"/>
                      <a:headEnd/>
                      <a:tailEnd/>
                    </a:ln>
                  </pic:spPr>
                </pic:pic>
              </a:graphicData>
            </a:graphic>
          </wp:inline>
        </w:drawing>
      </w:r>
    </w:p>
    <w:p w:rsidR="00D458FD" w:rsidRDefault="00D458FD" w:rsidP="00417BE3">
      <w:pPr>
        <w:spacing w:line="480" w:lineRule="auto"/>
      </w:pPr>
      <w:r>
        <w:rPr>
          <w:noProof/>
        </w:rPr>
        <w:drawing>
          <wp:inline distT="0" distB="0" distL="0" distR="0">
            <wp:extent cx="4156355" cy="698922"/>
            <wp:effectExtent l="19050" t="0" r="0" b="0"/>
            <wp:docPr id="230"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355" cstate="print"/>
                    <a:srcRect/>
                    <a:stretch>
                      <a:fillRect/>
                    </a:stretch>
                  </pic:blipFill>
                  <pic:spPr bwMode="auto">
                    <a:xfrm>
                      <a:off x="0" y="0"/>
                      <a:ext cx="4155252" cy="698737"/>
                    </a:xfrm>
                    <a:prstGeom prst="rect">
                      <a:avLst/>
                    </a:prstGeom>
                    <a:noFill/>
                    <a:ln w="9525">
                      <a:noFill/>
                      <a:miter lim="800000"/>
                      <a:headEnd/>
                      <a:tailEnd/>
                    </a:ln>
                  </pic:spPr>
                </pic:pic>
              </a:graphicData>
            </a:graphic>
          </wp:inline>
        </w:drawing>
      </w:r>
      <w:r>
        <w:rPr>
          <w:noProof/>
          <w:position w:val="-25"/>
        </w:rPr>
        <w:drawing>
          <wp:inline distT="0" distB="0" distL="0" distR="0">
            <wp:extent cx="2301409" cy="797442"/>
            <wp:effectExtent l="19050" t="0" r="3641"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356" cstate="print"/>
                    <a:srcRect/>
                    <a:stretch>
                      <a:fillRect/>
                    </a:stretch>
                  </pic:blipFill>
                  <pic:spPr bwMode="auto">
                    <a:xfrm>
                      <a:off x="0" y="0"/>
                      <a:ext cx="2301697" cy="797542"/>
                    </a:xfrm>
                    <a:prstGeom prst="rect">
                      <a:avLst/>
                    </a:prstGeom>
                    <a:noFill/>
                    <a:ln w="9525">
                      <a:noFill/>
                      <a:miter lim="800000"/>
                      <a:headEnd/>
                      <a:tailEnd/>
                    </a:ln>
                  </pic:spPr>
                </pic:pic>
              </a:graphicData>
            </a:graphic>
          </wp:inline>
        </w:drawing>
      </w:r>
      <w:r w:rsidR="00417BE3">
        <w:t xml:space="preserve">                    </w:t>
      </w:r>
      <w:r>
        <w:rPr>
          <w:noProof/>
          <w:position w:val="-25"/>
        </w:rPr>
        <w:drawing>
          <wp:inline distT="0" distB="0" distL="0" distR="0">
            <wp:extent cx="2193459" cy="616689"/>
            <wp:effectExtent l="1905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357" cstate="print"/>
                    <a:srcRect/>
                    <a:stretch>
                      <a:fillRect/>
                    </a:stretch>
                  </pic:blipFill>
                  <pic:spPr bwMode="auto">
                    <a:xfrm>
                      <a:off x="0" y="0"/>
                      <a:ext cx="2194221" cy="616903"/>
                    </a:xfrm>
                    <a:prstGeom prst="rect">
                      <a:avLst/>
                    </a:prstGeom>
                    <a:noFill/>
                    <a:ln w="9525">
                      <a:noFill/>
                      <a:miter lim="800000"/>
                      <a:headEnd/>
                      <a:tailEnd/>
                    </a:ln>
                  </pic:spPr>
                </pic:pic>
              </a:graphicData>
            </a:graphic>
          </wp:inline>
        </w:drawing>
      </w:r>
      <w:r>
        <w:rPr>
          <w:noProof/>
          <w:position w:val="-60"/>
        </w:rPr>
        <w:drawing>
          <wp:inline distT="0" distB="0" distL="0" distR="0">
            <wp:extent cx="2904903" cy="810952"/>
            <wp:effectExtent l="1905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358" cstate="print"/>
                    <a:srcRect/>
                    <a:stretch>
                      <a:fillRect/>
                    </a:stretch>
                  </pic:blipFill>
                  <pic:spPr bwMode="auto">
                    <a:xfrm>
                      <a:off x="0" y="0"/>
                      <a:ext cx="2905912" cy="811234"/>
                    </a:xfrm>
                    <a:prstGeom prst="rect">
                      <a:avLst/>
                    </a:prstGeom>
                    <a:noFill/>
                    <a:ln w="9525">
                      <a:noFill/>
                      <a:miter lim="800000"/>
                      <a:headEnd/>
                      <a:tailEnd/>
                    </a:ln>
                  </pic:spPr>
                </pic:pic>
              </a:graphicData>
            </a:graphic>
          </wp:inline>
        </w:drawing>
      </w:r>
      <w:r>
        <w:t xml:space="preserve">   </w:t>
      </w:r>
      <w:r w:rsidR="00417BE3">
        <w:t xml:space="preserve"> </w:t>
      </w:r>
      <w:r>
        <w:rPr>
          <w:noProof/>
          <w:position w:val="-60"/>
        </w:rPr>
        <w:drawing>
          <wp:inline distT="0" distB="0" distL="0" distR="0">
            <wp:extent cx="2828290" cy="914400"/>
            <wp:effectExtent l="1905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359" cstate="print"/>
                    <a:srcRect/>
                    <a:stretch>
                      <a:fillRect/>
                    </a:stretch>
                  </pic:blipFill>
                  <pic:spPr bwMode="auto">
                    <a:xfrm>
                      <a:off x="0" y="0"/>
                      <a:ext cx="2828290" cy="914400"/>
                    </a:xfrm>
                    <a:prstGeom prst="rect">
                      <a:avLst/>
                    </a:prstGeom>
                    <a:noFill/>
                    <a:ln w="9525">
                      <a:noFill/>
                      <a:miter lim="800000"/>
                      <a:headEnd/>
                      <a:tailEnd/>
                    </a:ln>
                  </pic:spPr>
                </pic:pic>
              </a:graphicData>
            </a:graphic>
          </wp:inline>
        </w:drawing>
      </w:r>
      <w:r>
        <w:rPr>
          <w:noProof/>
          <w:position w:val="-22"/>
        </w:rPr>
        <w:drawing>
          <wp:inline distT="0" distB="0" distL="0" distR="0">
            <wp:extent cx="2955925" cy="914400"/>
            <wp:effectExtent l="1905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360" cstate="print"/>
                    <a:srcRect/>
                    <a:stretch>
                      <a:fillRect/>
                    </a:stretch>
                  </pic:blipFill>
                  <pic:spPr bwMode="auto">
                    <a:xfrm>
                      <a:off x="0" y="0"/>
                      <a:ext cx="2955925" cy="914400"/>
                    </a:xfrm>
                    <a:prstGeom prst="rect">
                      <a:avLst/>
                    </a:prstGeom>
                    <a:noFill/>
                    <a:ln w="9525">
                      <a:noFill/>
                      <a:miter lim="800000"/>
                      <a:headEnd/>
                      <a:tailEnd/>
                    </a:ln>
                  </pic:spPr>
                </pic:pic>
              </a:graphicData>
            </a:graphic>
          </wp:inline>
        </w:drawing>
      </w:r>
      <w:r>
        <w:t xml:space="preserve">  </w:t>
      </w:r>
    </w:p>
    <w:p w:rsidR="00D458FD" w:rsidRDefault="00F643DE" w:rsidP="00D458FD">
      <w:pPr>
        <w:autoSpaceDE w:val="0"/>
        <w:autoSpaceDN w:val="0"/>
        <w:adjustRightInd w:val="0"/>
        <w:rPr>
          <w:noProof/>
          <w:position w:val="-7"/>
        </w:rPr>
      </w:pPr>
      <w:r>
        <w:t>Where</w:t>
      </w:r>
      <w:r w:rsidR="00D458FD">
        <w:t xml:space="preserve"> </w:t>
      </w:r>
    </w:p>
    <w:p w:rsidR="00D458FD" w:rsidRDefault="00D458FD" w:rsidP="00D458FD">
      <w:pPr>
        <w:autoSpaceDE w:val="0"/>
        <w:autoSpaceDN w:val="0"/>
        <w:adjustRightInd w:val="0"/>
        <w:rPr>
          <w:noProof/>
          <w:position w:val="-7"/>
        </w:rPr>
      </w:pPr>
    </w:p>
    <w:p w:rsidR="00D458FD" w:rsidRDefault="00D458FD" w:rsidP="00417BE3">
      <w:pPr>
        <w:autoSpaceDE w:val="0"/>
        <w:autoSpaceDN w:val="0"/>
        <w:adjustRightInd w:val="0"/>
        <w:spacing w:line="480" w:lineRule="auto"/>
      </w:pPr>
      <w:r>
        <w:rPr>
          <w:noProof/>
          <w:position w:val="-7"/>
        </w:rPr>
        <w:drawing>
          <wp:inline distT="0" distB="0" distL="0" distR="0">
            <wp:extent cx="1416345" cy="438677"/>
            <wp:effectExtent l="1905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361" cstate="print"/>
                    <a:srcRect/>
                    <a:stretch>
                      <a:fillRect/>
                    </a:stretch>
                  </pic:blipFill>
                  <pic:spPr bwMode="auto">
                    <a:xfrm>
                      <a:off x="0" y="0"/>
                      <a:ext cx="1410817" cy="436965"/>
                    </a:xfrm>
                    <a:prstGeom prst="rect">
                      <a:avLst/>
                    </a:prstGeom>
                    <a:noFill/>
                    <a:ln w="9525">
                      <a:noFill/>
                      <a:miter lim="800000"/>
                      <a:headEnd/>
                      <a:tailEnd/>
                    </a:ln>
                  </pic:spPr>
                </pic:pic>
              </a:graphicData>
            </a:graphic>
          </wp:inline>
        </w:drawing>
      </w:r>
    </w:p>
    <w:p w:rsidR="00D458FD" w:rsidRDefault="00D458FD" w:rsidP="00417BE3">
      <w:pPr>
        <w:spacing w:line="480" w:lineRule="auto"/>
        <w:rPr>
          <w:lang w:bidi="ar-JO"/>
        </w:rPr>
      </w:pPr>
      <w:r>
        <w:rPr>
          <w:noProof/>
        </w:rPr>
        <w:drawing>
          <wp:inline distT="0" distB="0" distL="0" distR="0">
            <wp:extent cx="2060775" cy="438197"/>
            <wp:effectExtent l="1905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362" cstate="print"/>
                    <a:srcRect/>
                    <a:stretch>
                      <a:fillRect/>
                    </a:stretch>
                  </pic:blipFill>
                  <pic:spPr bwMode="auto">
                    <a:xfrm>
                      <a:off x="0" y="0"/>
                      <a:ext cx="2065360" cy="439172"/>
                    </a:xfrm>
                    <a:prstGeom prst="rect">
                      <a:avLst/>
                    </a:prstGeom>
                    <a:noFill/>
                    <a:ln w="9525">
                      <a:noFill/>
                      <a:miter lim="800000"/>
                      <a:headEnd/>
                      <a:tailEnd/>
                    </a:ln>
                  </pic:spPr>
                </pic:pic>
              </a:graphicData>
            </a:graphic>
          </wp:inline>
        </w:drawing>
      </w:r>
      <w:r>
        <w:t xml:space="preserve">. </w:t>
      </w:r>
    </w:p>
    <w:p w:rsidR="00D458FD" w:rsidRPr="009016A9" w:rsidRDefault="00D458FD" w:rsidP="00D458FD">
      <w:pPr>
        <w:spacing w:line="480" w:lineRule="auto"/>
        <w:rPr>
          <w:lang w:bidi="ar-JO"/>
        </w:rPr>
      </w:pPr>
      <w:r w:rsidRPr="009016A9">
        <w:rPr>
          <w:lang w:bidi="ar-JO"/>
        </w:rPr>
        <w:t xml:space="preserve">Note that the </w:t>
      </w:r>
      <w:r>
        <w:rPr>
          <w:lang w:bidi="ar-JO"/>
        </w:rPr>
        <w:t xml:space="preserve">above </w:t>
      </w:r>
      <w:r w:rsidRPr="009016A9">
        <w:rPr>
          <w:lang w:bidi="ar-JO"/>
        </w:rPr>
        <w:t>system consists of three types of variables:</w:t>
      </w:r>
    </w:p>
    <w:p w:rsidR="00D458FD" w:rsidRDefault="00D458FD" w:rsidP="00D444EF">
      <w:pPr>
        <w:spacing w:line="480" w:lineRule="auto"/>
        <w:rPr>
          <w:lang w:bidi="ar-JO"/>
        </w:rPr>
      </w:pPr>
      <w:r w:rsidRPr="009016A9">
        <w:rPr>
          <w:lang w:bidi="ar-JO"/>
        </w:rPr>
        <w:t xml:space="preserve">The state variables:  </w:t>
      </w:r>
      <w:r w:rsidRPr="009016A9">
        <w:rPr>
          <w:lang w:bidi="ar-JO"/>
        </w:rPr>
        <w:tab/>
      </w:r>
      <w:r w:rsidRPr="009016A9">
        <w:rPr>
          <w:lang w:bidi="ar-JO"/>
        </w:rPr>
        <w:tab/>
      </w:r>
      <w:r w:rsidRPr="009016A9">
        <w:rPr>
          <w:lang w:bidi="ar-JO"/>
        </w:rPr>
        <w:tab/>
      </w:r>
      <w:r w:rsidRPr="009016A9">
        <w:rPr>
          <w:position w:val="-14"/>
          <w:lang w:bidi="ar-JO"/>
        </w:rPr>
        <w:object w:dxaOrig="3040" w:dyaOrig="440">
          <v:shape id="_x0000_i1712" type="#_x0000_t75" style="width:153.2pt;height:19.25pt" o:ole="">
            <v:imagedata r:id="rId1363" o:title=""/>
          </v:shape>
          <o:OLEObject Type="Embed" ProgID="Equation.DSMT4" ShapeID="_x0000_i1712" DrawAspect="Content" ObjectID="_1359267635" r:id="rId1364"/>
        </w:object>
      </w:r>
    </w:p>
    <w:p w:rsidR="00D458FD" w:rsidRPr="009016A9" w:rsidRDefault="00D458FD" w:rsidP="00D444EF">
      <w:pPr>
        <w:spacing w:line="480" w:lineRule="auto"/>
        <w:rPr>
          <w:lang w:bidi="ar-JO"/>
        </w:rPr>
      </w:pPr>
      <w:r w:rsidRPr="009016A9">
        <w:rPr>
          <w:lang w:bidi="ar-JO"/>
        </w:rPr>
        <w:t xml:space="preserve">Other endogenous variables:                  </w:t>
      </w:r>
      <w:r>
        <w:rPr>
          <w:lang w:bidi="ar-JO"/>
        </w:rPr>
        <w:tab/>
      </w:r>
      <w:r w:rsidRPr="009016A9">
        <w:rPr>
          <w:position w:val="-28"/>
          <w:lang w:bidi="ar-JO"/>
        </w:rPr>
        <w:object w:dxaOrig="4020" w:dyaOrig="720">
          <v:shape id="_x0000_i1713" type="#_x0000_t75" style="width:203.45pt;height:37.65pt" o:ole="">
            <v:imagedata r:id="rId1365" o:title=""/>
          </v:shape>
          <o:OLEObject Type="Embed" ProgID="Equation.DSMT4" ShapeID="_x0000_i1713" DrawAspect="Content" ObjectID="_1359267636" r:id="rId1366"/>
        </w:object>
      </w:r>
    </w:p>
    <w:p w:rsidR="00D458FD" w:rsidRDefault="00D458FD" w:rsidP="00D444EF">
      <w:pPr>
        <w:spacing w:line="480" w:lineRule="auto"/>
        <w:rPr>
          <w:lang w:bidi="ar-JO"/>
        </w:rPr>
      </w:pPr>
      <w:r w:rsidRPr="009016A9">
        <w:rPr>
          <w:lang w:bidi="ar-JO"/>
        </w:rPr>
        <w:t xml:space="preserve">The stochastic variables:                          </w:t>
      </w:r>
      <w:r w:rsidRPr="00DB4066">
        <w:rPr>
          <w:position w:val="-10"/>
          <w:lang w:bidi="ar-JO"/>
        </w:rPr>
        <w:object w:dxaOrig="540" w:dyaOrig="279">
          <v:shape id="_x0000_i1714" type="#_x0000_t75" style="width:25.1pt;height:13.4pt" o:ole="">
            <v:imagedata r:id="rId1367" o:title=""/>
          </v:shape>
          <o:OLEObject Type="Embed" ProgID="Equation.DSMT4" ShapeID="_x0000_i1714" DrawAspect="Content" ObjectID="_1359267637" r:id="rId1368"/>
        </w:object>
      </w:r>
      <w:r w:rsidRPr="009016A9">
        <w:rPr>
          <w:lang w:bidi="ar-JO"/>
        </w:rPr>
        <w:t xml:space="preserve"> </w:t>
      </w:r>
    </w:p>
    <w:p w:rsidR="00D458FD" w:rsidRPr="009016A9" w:rsidRDefault="00D458FD" w:rsidP="00D458FD">
      <w:pPr>
        <w:spacing w:line="480" w:lineRule="auto"/>
        <w:rPr>
          <w:lang w:bidi="ar-JO"/>
        </w:rPr>
      </w:pPr>
      <w:r>
        <w:rPr>
          <w:lang w:bidi="ar-JO"/>
        </w:rPr>
        <w:t xml:space="preserve">For simplification we rearrange the system of equations into </w:t>
      </w:r>
      <w:r w:rsidRPr="009016A9">
        <w:rPr>
          <w:lang w:bidi="ar-JO"/>
        </w:rPr>
        <w:t xml:space="preserve">three distinct blocks: </w:t>
      </w:r>
    </w:p>
    <w:p w:rsidR="00D458FD" w:rsidRDefault="00D458FD" w:rsidP="00D458FD">
      <w:pPr>
        <w:spacing w:line="480" w:lineRule="auto"/>
        <w:rPr>
          <w:b/>
          <w:bCs/>
          <w:lang w:bidi="ar-JO"/>
        </w:rPr>
      </w:pPr>
    </w:p>
    <w:p w:rsidR="00D458FD" w:rsidRPr="0005151D" w:rsidRDefault="00D458FD" w:rsidP="00D458FD">
      <w:pPr>
        <w:spacing w:line="480" w:lineRule="auto"/>
        <w:rPr>
          <w:b/>
          <w:bCs/>
          <w:lang w:bidi="ar-JO"/>
        </w:rPr>
      </w:pPr>
      <w:r>
        <w:rPr>
          <w:b/>
          <w:bCs/>
          <w:lang w:bidi="ar-JO"/>
        </w:rPr>
        <w:t>Block 1:</w:t>
      </w:r>
      <w:r w:rsidRPr="0005151D">
        <w:rPr>
          <w:b/>
          <w:bCs/>
          <w:lang w:bidi="ar-JO"/>
        </w:rPr>
        <w:t xml:space="preserve"> Forward looking rational equations  </w:t>
      </w:r>
    </w:p>
    <w:p w:rsidR="00D458FD" w:rsidRDefault="00D458FD" w:rsidP="00F643DE">
      <w:pPr>
        <w:spacing w:line="480" w:lineRule="auto"/>
        <w:rPr>
          <w:position w:val="-10"/>
        </w:rPr>
      </w:pPr>
      <w:r w:rsidRPr="00DC38B7">
        <w:rPr>
          <w:position w:val="-10"/>
        </w:rPr>
        <w:object w:dxaOrig="7320" w:dyaOrig="340">
          <v:shape id="_x0000_i1715" type="#_x0000_t75" style="width:364.2pt;height:17.6pt" o:ole="">
            <v:imagedata r:id="rId1313" o:title=""/>
          </v:shape>
          <o:OLEObject Type="Embed" ProgID="Equation.DSMT4" ShapeID="_x0000_i1715" DrawAspect="Content" ObjectID="_1359267638" r:id="rId1369"/>
        </w:object>
      </w:r>
    </w:p>
    <w:p w:rsidR="00F643DE" w:rsidRDefault="00D458FD" w:rsidP="00F643DE">
      <w:pPr>
        <w:spacing w:line="480" w:lineRule="auto"/>
        <w:rPr>
          <w:position w:val="-10"/>
        </w:rPr>
      </w:pPr>
      <w:r w:rsidRPr="00DC38B7">
        <w:rPr>
          <w:position w:val="-10"/>
        </w:rPr>
        <w:object w:dxaOrig="9380" w:dyaOrig="340">
          <v:shape id="_x0000_i1716" type="#_x0000_t75" style="width:473pt;height:17.6pt" o:ole="">
            <v:imagedata r:id="rId1315" o:title=""/>
          </v:shape>
          <o:OLEObject Type="Embed" ProgID="Equation.DSMT4" ShapeID="_x0000_i1716" DrawAspect="Content" ObjectID="_1359267639" r:id="rId1370"/>
        </w:object>
      </w:r>
    </w:p>
    <w:p w:rsidR="00D458FD" w:rsidRPr="00F643DE" w:rsidRDefault="00D458FD" w:rsidP="00F643DE">
      <w:pPr>
        <w:spacing w:line="480" w:lineRule="auto"/>
        <w:rPr>
          <w:position w:val="-10"/>
        </w:rPr>
      </w:pPr>
      <w:r w:rsidRPr="00DC38B7">
        <w:rPr>
          <w:position w:val="-12"/>
        </w:rPr>
        <w:object w:dxaOrig="6399" w:dyaOrig="360">
          <v:shape id="_x0000_i1717" type="#_x0000_t75" style="width:318.15pt;height:17.6pt" o:ole="">
            <v:imagedata r:id="rId1317" o:title=""/>
          </v:shape>
          <o:OLEObject Type="Embed" ProgID="Equation.DSMT4" ShapeID="_x0000_i1717" DrawAspect="Content" ObjectID="_1359267640" r:id="rId1371"/>
        </w:object>
      </w:r>
      <w:r w:rsidR="00F643DE">
        <w:rPr>
          <w:position w:val="-12"/>
        </w:rPr>
        <w:t xml:space="preserve">                                                      </w:t>
      </w:r>
    </w:p>
    <w:p w:rsidR="00D458FD" w:rsidRDefault="00D458FD" w:rsidP="00F643DE">
      <w:pPr>
        <w:spacing w:line="480" w:lineRule="auto"/>
        <w:rPr>
          <w:position w:val="-16"/>
        </w:rPr>
      </w:pPr>
      <w:r w:rsidRPr="00DC38B7">
        <w:rPr>
          <w:position w:val="-10"/>
        </w:rPr>
        <w:object w:dxaOrig="1840" w:dyaOrig="340">
          <v:shape id="_x0000_i1718" type="#_x0000_t75" style="width:92.95pt;height:17.6pt" o:ole="">
            <v:imagedata r:id="rId1319" o:title=""/>
          </v:shape>
          <o:OLEObject Type="Embed" ProgID="Equation.DSMT4" ShapeID="_x0000_i1718" DrawAspect="Content" ObjectID="_1359267641" r:id="rId1372"/>
        </w:object>
      </w:r>
      <w:r>
        <w:rPr>
          <w:position w:val="-16"/>
        </w:rPr>
        <w:t xml:space="preserve"> </w:t>
      </w:r>
    </w:p>
    <w:p w:rsidR="00F643DE" w:rsidRDefault="00F643DE" w:rsidP="00F643DE">
      <w:pPr>
        <w:rPr>
          <w:position w:val="-16"/>
        </w:rPr>
      </w:pPr>
    </w:p>
    <w:p w:rsidR="00D458FD" w:rsidRDefault="00D458FD" w:rsidP="00D458FD">
      <w:pPr>
        <w:spacing w:line="480" w:lineRule="auto"/>
        <w:rPr>
          <w:b/>
          <w:bCs/>
          <w:lang w:bidi="ar-JO"/>
        </w:rPr>
      </w:pPr>
      <w:r>
        <w:rPr>
          <w:b/>
          <w:bCs/>
          <w:lang w:bidi="ar-JO"/>
        </w:rPr>
        <w:t>Block 2: Static equations</w:t>
      </w:r>
      <w:r w:rsidRPr="009016A9">
        <w:rPr>
          <w:b/>
          <w:bCs/>
          <w:lang w:bidi="ar-JO"/>
        </w:rPr>
        <w:t xml:space="preserve">  </w:t>
      </w:r>
    </w:p>
    <w:p w:rsidR="00D458FD" w:rsidRDefault="00D458FD" w:rsidP="00D444EF">
      <w:pPr>
        <w:spacing w:line="480" w:lineRule="auto"/>
        <w:rPr>
          <w:position w:val="-10"/>
        </w:rPr>
      </w:pPr>
      <w:r w:rsidRPr="00DC38B7">
        <w:rPr>
          <w:position w:val="-16"/>
        </w:rPr>
        <w:object w:dxaOrig="3760" w:dyaOrig="420">
          <v:shape id="_x0000_i1719" type="#_x0000_t75" style="width:188.35pt;height:22.6pt" o:ole="">
            <v:imagedata r:id="rId1301" o:title=""/>
          </v:shape>
          <o:OLEObject Type="Embed" ProgID="Equation.DSMT4" ShapeID="_x0000_i1719" DrawAspect="Content" ObjectID="_1359267642" r:id="rId1373"/>
        </w:object>
      </w:r>
    </w:p>
    <w:p w:rsidR="00D458FD" w:rsidRDefault="00D458FD" w:rsidP="00D444EF">
      <w:pPr>
        <w:spacing w:line="480" w:lineRule="auto"/>
        <w:rPr>
          <w:position w:val="-10"/>
        </w:rPr>
      </w:pPr>
      <w:r w:rsidRPr="00DC38B7">
        <w:rPr>
          <w:position w:val="-14"/>
        </w:rPr>
        <w:object w:dxaOrig="2500" w:dyaOrig="420">
          <v:shape id="_x0000_i1720" type="#_x0000_t75" style="width:127.25pt;height:22.6pt" o:ole="">
            <v:imagedata r:id="rId1303" o:title=""/>
          </v:shape>
          <o:OLEObject Type="Embed" ProgID="Equation.DSMT4" ShapeID="_x0000_i1720" DrawAspect="Content" ObjectID="_1359267643" r:id="rId1374"/>
        </w:object>
      </w:r>
    </w:p>
    <w:p w:rsidR="00D458FD" w:rsidRDefault="001348AA" w:rsidP="00D444EF">
      <w:pPr>
        <w:spacing w:line="480" w:lineRule="auto"/>
        <w:rPr>
          <w:position w:val="-10"/>
        </w:rPr>
      </w:pPr>
      <w:r w:rsidRPr="00DC38B7">
        <w:rPr>
          <w:position w:val="-20"/>
        </w:rPr>
        <w:object w:dxaOrig="2240" w:dyaOrig="600">
          <v:shape id="_x0000_i1721" type="#_x0000_t75" style="width:113pt;height:30.15pt" o:ole="">
            <v:imagedata r:id="rId1375" o:title=""/>
          </v:shape>
          <o:OLEObject Type="Embed" ProgID="Equation.DSMT4" ShapeID="_x0000_i1721" DrawAspect="Content" ObjectID="_1359267644" r:id="rId1376"/>
        </w:object>
      </w:r>
    </w:p>
    <w:p w:rsidR="00D458FD" w:rsidRDefault="00D458FD" w:rsidP="00D444EF">
      <w:pPr>
        <w:spacing w:line="480" w:lineRule="auto"/>
        <w:rPr>
          <w:position w:val="-12"/>
        </w:rPr>
      </w:pPr>
      <w:r w:rsidRPr="00DC38B7">
        <w:rPr>
          <w:position w:val="-12"/>
        </w:rPr>
        <w:object w:dxaOrig="3500" w:dyaOrig="360">
          <v:shape id="_x0000_i1722" type="#_x0000_t75" style="width:175pt;height:17.6pt" o:ole="">
            <v:imagedata r:id="rId1307" o:title=""/>
          </v:shape>
          <o:OLEObject Type="Embed" ProgID="Equation.DSMT4" ShapeID="_x0000_i1722" DrawAspect="Content" ObjectID="_1359267645" r:id="rId1377"/>
        </w:object>
      </w:r>
    </w:p>
    <w:p w:rsidR="00D458FD" w:rsidRDefault="00D458FD" w:rsidP="00D444EF">
      <w:pPr>
        <w:spacing w:line="480" w:lineRule="auto"/>
      </w:pPr>
      <w:r w:rsidRPr="00DC38B7">
        <w:rPr>
          <w:position w:val="-10"/>
        </w:rPr>
        <w:object w:dxaOrig="1219" w:dyaOrig="320">
          <v:shape id="_x0000_i1723" type="#_x0000_t75" style="width:62.8pt;height:16.75pt" o:ole="">
            <v:imagedata r:id="rId1309" o:title=""/>
          </v:shape>
          <o:OLEObject Type="Embed" ProgID="Equation.DSMT4" ShapeID="_x0000_i1723" DrawAspect="Content" ObjectID="_1359267646" r:id="rId1378"/>
        </w:object>
      </w:r>
    </w:p>
    <w:p w:rsidR="00D458FD" w:rsidRPr="009016A9" w:rsidRDefault="00D458FD" w:rsidP="00D444EF">
      <w:pPr>
        <w:spacing w:line="480" w:lineRule="auto"/>
        <w:rPr>
          <w:b/>
          <w:bCs/>
          <w:lang w:bidi="ar-JO"/>
        </w:rPr>
      </w:pPr>
      <w:r w:rsidRPr="00DC38B7">
        <w:rPr>
          <w:position w:val="-14"/>
        </w:rPr>
        <w:object w:dxaOrig="2280" w:dyaOrig="380">
          <v:shape id="_x0000_i1724" type="#_x0000_t75" style="width:113pt;height:16.75pt" o:ole="">
            <v:imagedata r:id="rId1311" o:title=""/>
          </v:shape>
          <o:OLEObject Type="Embed" ProgID="Equation.DSMT4" ShapeID="_x0000_i1724" DrawAspect="Content" ObjectID="_1359267647" r:id="rId1379"/>
        </w:object>
      </w:r>
      <w:r w:rsidRPr="009016A9">
        <w:rPr>
          <w:b/>
          <w:bCs/>
          <w:lang w:bidi="ar-JO"/>
        </w:rPr>
        <w:t xml:space="preserve"> </w:t>
      </w:r>
    </w:p>
    <w:p w:rsidR="00D458FD" w:rsidRDefault="00D458FD" w:rsidP="00D444EF">
      <w:pPr>
        <w:spacing w:line="480" w:lineRule="auto"/>
      </w:pPr>
      <w:r w:rsidRPr="00DC38B7">
        <w:rPr>
          <w:position w:val="-20"/>
        </w:rPr>
        <w:object w:dxaOrig="4300" w:dyaOrig="600">
          <v:shape id="_x0000_i1725" type="#_x0000_t75" style="width:215.15pt;height:31pt" o:ole="">
            <v:imagedata r:id="rId1321" o:title=""/>
          </v:shape>
          <o:OLEObject Type="Embed" ProgID="Equation.DSMT4" ShapeID="_x0000_i1725" DrawAspect="Content" ObjectID="_1359267648" r:id="rId1380"/>
        </w:object>
      </w:r>
      <w:r w:rsidRPr="00DC38B7">
        <w:t xml:space="preserve">  </w:t>
      </w:r>
    </w:p>
    <w:p w:rsidR="00D458FD" w:rsidRDefault="00D458FD" w:rsidP="00D444EF">
      <w:pPr>
        <w:spacing w:line="480" w:lineRule="auto"/>
        <w:rPr>
          <w:position w:val="-16"/>
        </w:rPr>
      </w:pPr>
      <w:r w:rsidRPr="00DC38B7">
        <w:rPr>
          <w:position w:val="-10"/>
        </w:rPr>
        <w:object w:dxaOrig="1180" w:dyaOrig="499">
          <v:shape id="_x0000_i1726" type="#_x0000_t75" style="width:58.6pt;height:25.1pt" o:ole="">
            <v:imagedata r:id="rId1323" o:title=""/>
          </v:shape>
          <o:OLEObject Type="Embed" ProgID="Equation.DSMT4" ShapeID="_x0000_i1726" DrawAspect="Content" ObjectID="_1359267649" r:id="rId1381"/>
        </w:object>
      </w:r>
    </w:p>
    <w:p w:rsidR="00D458FD" w:rsidRDefault="00D458FD" w:rsidP="00D444EF">
      <w:pPr>
        <w:spacing w:line="480" w:lineRule="auto"/>
        <w:rPr>
          <w:position w:val="-14"/>
        </w:rPr>
      </w:pPr>
      <w:r w:rsidRPr="00DC38B7">
        <w:rPr>
          <w:position w:val="-10"/>
        </w:rPr>
        <w:object w:dxaOrig="1140" w:dyaOrig="499">
          <v:shape id="_x0000_i1727" type="#_x0000_t75" style="width:57.75pt;height:25.1pt" o:ole="">
            <v:imagedata r:id="rId1325" o:title=""/>
          </v:shape>
          <o:OLEObject Type="Embed" ProgID="Equation.DSMT4" ShapeID="_x0000_i1727" DrawAspect="Content" ObjectID="_1359267650" r:id="rId1382"/>
        </w:object>
      </w:r>
    </w:p>
    <w:p w:rsidR="00D458FD" w:rsidRPr="00DC38B7" w:rsidRDefault="00D458FD" w:rsidP="00D444EF">
      <w:pPr>
        <w:spacing w:line="480" w:lineRule="auto"/>
        <w:rPr>
          <w:bCs/>
          <w:position w:val="-12"/>
        </w:rPr>
      </w:pPr>
      <w:r w:rsidRPr="00DC38B7">
        <w:rPr>
          <w:position w:val="-10"/>
        </w:rPr>
        <w:object w:dxaOrig="1140" w:dyaOrig="499">
          <v:shape id="_x0000_i1728" type="#_x0000_t75" style="width:57.75pt;height:25.1pt" o:ole="">
            <v:imagedata r:id="rId1327" o:title=""/>
          </v:shape>
          <o:OLEObject Type="Embed" ProgID="Equation.DSMT4" ShapeID="_x0000_i1728" DrawAspect="Content" ObjectID="_1359267651" r:id="rId1383"/>
        </w:object>
      </w:r>
      <w:r>
        <w:rPr>
          <w:position w:val="-10"/>
        </w:rPr>
        <w:t xml:space="preserve"> </w:t>
      </w:r>
    </w:p>
    <w:p w:rsidR="00D458FD" w:rsidRDefault="00D458FD" w:rsidP="00D444EF">
      <w:pPr>
        <w:spacing w:line="480" w:lineRule="auto"/>
        <w:rPr>
          <w:position w:val="-24"/>
        </w:rPr>
      </w:pPr>
      <w:r w:rsidRPr="00DC38B7">
        <w:rPr>
          <w:position w:val="-10"/>
        </w:rPr>
        <w:object w:dxaOrig="2560" w:dyaOrig="499">
          <v:shape id="_x0000_i1729" type="#_x0000_t75" style="width:127.25pt;height:25.1pt" o:ole="">
            <v:imagedata r:id="rId1331" o:title=""/>
          </v:shape>
          <o:OLEObject Type="Embed" ProgID="Equation.DSMT4" ShapeID="_x0000_i1729" DrawAspect="Content" ObjectID="_1359267652" r:id="rId1384"/>
        </w:object>
      </w:r>
      <w:r>
        <w:rPr>
          <w:position w:val="-24"/>
        </w:rPr>
        <w:t xml:space="preserve">       </w:t>
      </w:r>
    </w:p>
    <w:p w:rsidR="00D458FD" w:rsidRPr="009016A9" w:rsidRDefault="00D458FD" w:rsidP="00D458FD">
      <w:pPr>
        <w:spacing w:line="480" w:lineRule="auto"/>
        <w:rPr>
          <w:b/>
          <w:bCs/>
          <w:lang w:bidi="ar-JO"/>
        </w:rPr>
      </w:pPr>
      <w:r>
        <w:rPr>
          <w:b/>
          <w:bCs/>
          <w:lang w:bidi="ar-JO"/>
        </w:rPr>
        <w:t>Block 3:</w:t>
      </w:r>
      <w:r w:rsidRPr="009016A9">
        <w:rPr>
          <w:b/>
          <w:bCs/>
          <w:lang w:bidi="ar-JO"/>
        </w:rPr>
        <w:t xml:space="preserve"> Stochastic equations</w:t>
      </w:r>
    </w:p>
    <w:p w:rsidR="00D458FD" w:rsidRDefault="00D458FD" w:rsidP="00D444EF">
      <w:pPr>
        <w:spacing w:line="480" w:lineRule="auto"/>
        <w:rPr>
          <w:lang w:bidi="ar-JO"/>
        </w:rPr>
      </w:pPr>
      <w:r w:rsidRPr="00DC38B7">
        <w:rPr>
          <w:position w:val="-10"/>
        </w:rPr>
        <w:object w:dxaOrig="639" w:dyaOrig="300">
          <v:shape id="_x0000_i1730" type="#_x0000_t75" style="width:32.65pt;height:15.9pt" o:ole="">
            <v:imagedata r:id="rId1333" o:title=""/>
          </v:shape>
          <o:OLEObject Type="Embed" ProgID="Equation.DSMT4" ShapeID="_x0000_i1730" DrawAspect="Content" ObjectID="_1359267653" r:id="rId1385"/>
        </w:object>
      </w:r>
    </w:p>
    <w:p w:rsidR="00D458FD" w:rsidRPr="006C5F90" w:rsidRDefault="00D458FD" w:rsidP="00D458FD">
      <w:pPr>
        <w:spacing w:line="480" w:lineRule="auto"/>
        <w:rPr>
          <w:lang w:bidi="ar-JO"/>
        </w:rPr>
      </w:pPr>
      <w:r w:rsidRPr="006C5F90">
        <w:rPr>
          <w:lang w:bidi="ar-JO"/>
        </w:rPr>
        <w:t>These three blocks can be re-written as:</w:t>
      </w:r>
    </w:p>
    <w:p w:rsidR="00D458FD" w:rsidRPr="006A3EF5" w:rsidRDefault="00D458FD" w:rsidP="00D444EF">
      <w:pPr>
        <w:pStyle w:val="ListParagraph"/>
        <w:spacing w:after="0" w:line="480" w:lineRule="auto"/>
        <w:ind w:left="0"/>
        <w:rPr>
          <w:rFonts w:asciiTheme="majorBidi" w:hAnsiTheme="majorBidi" w:cstheme="majorBidi"/>
          <w:sz w:val="24"/>
          <w:szCs w:val="24"/>
          <w:lang w:bidi="ar-JO"/>
        </w:rPr>
      </w:pPr>
      <w:r w:rsidRPr="006A3EF5">
        <w:rPr>
          <w:rFonts w:asciiTheme="majorBidi" w:hAnsiTheme="majorBidi" w:cstheme="majorBidi"/>
          <w:b/>
          <w:bCs/>
          <w:sz w:val="24"/>
          <w:szCs w:val="24"/>
          <w:lang w:bidi="ar-JO"/>
        </w:rPr>
        <w:t>1.</w:t>
      </w:r>
      <w:r w:rsidRPr="006A3EF5">
        <w:rPr>
          <w:rFonts w:asciiTheme="majorBidi" w:hAnsiTheme="majorBidi" w:cstheme="majorBidi"/>
          <w:position w:val="-10"/>
          <w:sz w:val="24"/>
          <w:szCs w:val="24"/>
          <w:lang w:bidi="ar-JO"/>
        </w:rPr>
        <w:object w:dxaOrig="4459" w:dyaOrig="279">
          <v:shape id="_x0000_i1731" type="#_x0000_t75" style="width:223.55pt;height:13.4pt" o:ole="">
            <v:imagedata r:id="rId1277" o:title=""/>
          </v:shape>
          <o:OLEObject Type="Embed" ProgID="Equation.DSMT4" ShapeID="_x0000_i1731" DrawAspect="Content" ObjectID="_1359267654" r:id="rId1386"/>
        </w:object>
      </w:r>
    </w:p>
    <w:p w:rsidR="00D458FD" w:rsidRPr="006A3EF5" w:rsidRDefault="00D458FD" w:rsidP="00D444EF">
      <w:pPr>
        <w:pStyle w:val="ListParagraph"/>
        <w:spacing w:after="0" w:line="480" w:lineRule="auto"/>
        <w:ind w:left="0"/>
        <w:rPr>
          <w:rFonts w:asciiTheme="majorBidi" w:hAnsiTheme="majorBidi" w:cstheme="majorBidi"/>
          <w:sz w:val="24"/>
          <w:szCs w:val="24"/>
          <w:lang w:bidi="ar-JO"/>
        </w:rPr>
      </w:pPr>
      <w:r w:rsidRPr="006A3EF5">
        <w:rPr>
          <w:rFonts w:asciiTheme="majorBidi" w:hAnsiTheme="majorBidi" w:cstheme="majorBidi"/>
          <w:b/>
          <w:bCs/>
          <w:sz w:val="24"/>
          <w:szCs w:val="24"/>
          <w:lang w:bidi="ar-JO"/>
        </w:rPr>
        <w:t>2.</w:t>
      </w:r>
      <w:r w:rsidRPr="006A3EF5">
        <w:rPr>
          <w:rFonts w:asciiTheme="majorBidi" w:hAnsiTheme="majorBidi" w:cstheme="majorBidi"/>
          <w:position w:val="-10"/>
          <w:sz w:val="24"/>
          <w:szCs w:val="24"/>
          <w:lang w:bidi="ar-JO"/>
        </w:rPr>
        <w:object w:dxaOrig="2280" w:dyaOrig="279">
          <v:shape id="_x0000_i1732" type="#_x0000_t75" style="width:113.85pt;height:13.4pt" o:ole="">
            <v:imagedata r:id="rId1279" o:title=""/>
          </v:shape>
          <o:OLEObject Type="Embed" ProgID="Equation.DSMT4" ShapeID="_x0000_i1732" DrawAspect="Content" ObjectID="_1359267655" r:id="rId1387"/>
        </w:object>
      </w:r>
    </w:p>
    <w:p w:rsidR="00D458FD" w:rsidRPr="006A3EF5" w:rsidRDefault="00D458FD" w:rsidP="00D444EF">
      <w:pPr>
        <w:pStyle w:val="ListParagraph"/>
        <w:spacing w:after="0" w:line="480" w:lineRule="auto"/>
        <w:ind w:left="0"/>
        <w:rPr>
          <w:rFonts w:asciiTheme="majorBidi" w:hAnsiTheme="majorBidi" w:cstheme="majorBidi"/>
          <w:sz w:val="24"/>
          <w:szCs w:val="24"/>
          <w:lang w:bidi="ar-JO"/>
        </w:rPr>
      </w:pPr>
      <w:r w:rsidRPr="006A3EF5">
        <w:rPr>
          <w:rFonts w:asciiTheme="majorBidi" w:hAnsiTheme="majorBidi" w:cstheme="majorBidi"/>
          <w:b/>
          <w:bCs/>
          <w:sz w:val="24"/>
          <w:szCs w:val="24"/>
          <w:lang w:bidi="ar-JO"/>
        </w:rPr>
        <w:t>3.</w:t>
      </w:r>
      <w:r w:rsidRPr="006A3EF5">
        <w:rPr>
          <w:rFonts w:asciiTheme="majorBidi" w:hAnsiTheme="majorBidi" w:cstheme="majorBidi"/>
          <w:position w:val="-10"/>
          <w:sz w:val="24"/>
          <w:szCs w:val="24"/>
          <w:lang w:bidi="ar-JO"/>
        </w:rPr>
        <w:object w:dxaOrig="1280" w:dyaOrig="279">
          <v:shape id="_x0000_i1733" type="#_x0000_t75" style="width:62.8pt;height:13.4pt" o:ole="">
            <v:imagedata r:id="rId1281" o:title=""/>
          </v:shape>
          <o:OLEObject Type="Embed" ProgID="Equation.DSMT4" ShapeID="_x0000_i1733" DrawAspect="Content" ObjectID="_1359267656" r:id="rId1388"/>
        </w:object>
      </w:r>
      <w:r w:rsidRPr="006A3EF5">
        <w:rPr>
          <w:rFonts w:asciiTheme="majorBidi" w:hAnsiTheme="majorBidi" w:cstheme="majorBidi"/>
          <w:sz w:val="24"/>
          <w:szCs w:val="24"/>
          <w:lang w:bidi="ar-JO"/>
        </w:rPr>
        <w:t xml:space="preserve"> </w:t>
      </w:r>
      <w:r w:rsidRPr="006A3EF5">
        <w:rPr>
          <w:rFonts w:asciiTheme="majorBidi" w:eastAsia="Batang" w:hAnsiTheme="majorBidi" w:cstheme="majorBidi"/>
          <w:sz w:val="24"/>
          <w:szCs w:val="24"/>
          <w:lang w:eastAsia="en-US" w:bidi="ar-JO"/>
        </w:rPr>
        <w:t>With</w:t>
      </w:r>
      <w:r w:rsidRPr="006A3EF5">
        <w:rPr>
          <w:rFonts w:asciiTheme="majorBidi" w:hAnsiTheme="majorBidi" w:cstheme="majorBidi"/>
          <w:sz w:val="24"/>
          <w:szCs w:val="24"/>
          <w:lang w:bidi="ar-JO"/>
        </w:rPr>
        <w:t xml:space="preserve"> </w:t>
      </w:r>
      <w:r w:rsidRPr="006A3EF5">
        <w:rPr>
          <w:rFonts w:asciiTheme="majorBidi" w:hAnsiTheme="majorBidi" w:cstheme="majorBidi"/>
          <w:position w:val="-10"/>
          <w:sz w:val="24"/>
          <w:szCs w:val="24"/>
          <w:lang w:bidi="ar-JO"/>
        </w:rPr>
        <w:object w:dxaOrig="940" w:dyaOrig="279">
          <v:shape id="_x0000_i1734" type="#_x0000_t75" style="width:46.9pt;height:13.4pt" o:ole="">
            <v:imagedata r:id="rId1283" o:title=""/>
          </v:shape>
          <o:OLEObject Type="Embed" ProgID="Equation.DSMT4" ShapeID="_x0000_i1734" DrawAspect="Content" ObjectID="_1359267657" r:id="rId1389"/>
        </w:object>
      </w:r>
    </w:p>
    <w:p w:rsidR="00D458FD" w:rsidRPr="000A3457" w:rsidRDefault="000A3457" w:rsidP="00D458FD">
      <w:pPr>
        <w:pStyle w:val="MTDisplayEquation"/>
        <w:jc w:val="left"/>
        <w:rPr>
          <w:rFonts w:ascii="Cambria Math" w:eastAsia="Times New Roman" w:hAnsi="Cambria Math"/>
          <w:position w:val="0"/>
          <w:lang w:eastAsia="en-US"/>
        </w:rPr>
      </w:pPr>
      <w:r>
        <w:rPr>
          <w:rFonts w:ascii="Cambria Math" w:eastAsia="Times New Roman" w:hAnsi="Cambria Math"/>
          <w:position w:val="0"/>
          <w:lang w:eastAsia="en-US"/>
        </w:rPr>
        <w:t>W</w:t>
      </w:r>
      <w:r w:rsidR="00D458FD" w:rsidRPr="000A3457">
        <w:rPr>
          <w:rFonts w:ascii="Cambria Math" w:eastAsia="Times New Roman" w:hAnsi="Cambria Math"/>
          <w:position w:val="0"/>
          <w:lang w:eastAsia="en-US"/>
        </w:rPr>
        <w:t xml:space="preserve">here </w:t>
      </w:r>
      <w:r w:rsidRPr="000A3457">
        <w:rPr>
          <w:rFonts w:ascii="Cambria Math" w:eastAsia="Times New Roman" w:hAnsi="Cambria Math"/>
          <w:position w:val="-12"/>
          <w:lang w:eastAsia="en-US"/>
        </w:rPr>
        <w:object w:dxaOrig="1040" w:dyaOrig="320">
          <v:shape id="_x0000_i1735" type="#_x0000_t75" style="width:52.75pt;height:16.75pt" o:ole="">
            <v:imagedata r:id="rId1390" o:title=""/>
          </v:shape>
          <o:OLEObject Type="Embed" ProgID="Equation.DSMT4" ShapeID="_x0000_i1735" DrawAspect="Content" ObjectID="_1359267658" r:id="rId1391"/>
        </w:object>
      </w:r>
      <w:r>
        <w:rPr>
          <w:rFonts w:ascii="Cambria Math" w:eastAsia="Times New Roman" w:hAnsi="Cambria Math"/>
          <w:position w:val="0"/>
          <w:lang w:eastAsia="en-US"/>
        </w:rPr>
        <w:t xml:space="preserve">are coefficient </w:t>
      </w:r>
      <w:r w:rsidR="00D458FD" w:rsidRPr="000A3457">
        <w:rPr>
          <w:rFonts w:ascii="Cambria Math" w:eastAsia="Times New Roman" w:hAnsi="Cambria Math"/>
          <w:position w:val="0"/>
          <w:lang w:eastAsia="en-US"/>
        </w:rPr>
        <w:t>matrices with the elements descried in above three blocks</w:t>
      </w:r>
      <w:r w:rsidR="006A3EF5">
        <w:rPr>
          <w:rFonts w:ascii="Cambria Math" w:eastAsia="Times New Roman" w:hAnsi="Cambria Math"/>
          <w:position w:val="0"/>
          <w:lang w:eastAsia="en-US"/>
        </w:rPr>
        <w:t xml:space="preserve"> (</w:t>
      </w:r>
      <w:r w:rsidR="006A3EF5" w:rsidRPr="006A3EF5">
        <w:rPr>
          <w:rFonts w:ascii="Cambria Math" w:eastAsia="Times New Roman" w:hAnsi="Cambria Math"/>
          <w:b/>
          <w:bCs/>
          <w:position w:val="0"/>
          <w:lang w:eastAsia="en-US"/>
        </w:rPr>
        <w:t>1-3</w:t>
      </w:r>
      <w:r w:rsidR="006A3EF5">
        <w:rPr>
          <w:rFonts w:ascii="Cambria Math" w:eastAsia="Times New Roman" w:hAnsi="Cambria Math"/>
          <w:position w:val="0"/>
          <w:lang w:eastAsia="en-US"/>
        </w:rPr>
        <w:t>)</w:t>
      </w:r>
      <w:proofErr w:type="gramStart"/>
      <w:r w:rsidR="00D458FD" w:rsidRPr="000A3457">
        <w:rPr>
          <w:rFonts w:ascii="Cambria Math" w:eastAsia="Times New Roman" w:hAnsi="Cambria Math"/>
          <w:position w:val="0"/>
          <w:lang w:eastAsia="en-US"/>
        </w:rPr>
        <w:t>.</w:t>
      </w:r>
      <w:proofErr w:type="gramEnd"/>
    </w:p>
    <w:p w:rsidR="00D458FD" w:rsidRPr="006C5F90" w:rsidRDefault="00D458FD" w:rsidP="00D458FD">
      <w:pPr>
        <w:spacing w:line="480" w:lineRule="auto"/>
        <w:ind w:firstLine="720"/>
        <w:rPr>
          <w:lang w:bidi="ar-JO"/>
        </w:rPr>
      </w:pPr>
      <w:r>
        <w:rPr>
          <w:lang w:bidi="ar-JO"/>
        </w:rPr>
        <w:t xml:space="preserve">We solve the system following the method of undetermined coefficients.  </w:t>
      </w:r>
      <w:r w:rsidRPr="006C5F90">
        <w:rPr>
          <w:lang w:bidi="ar-JO"/>
        </w:rPr>
        <w:t>The system</w:t>
      </w:r>
      <w:r>
        <w:rPr>
          <w:lang w:bidi="ar-JO"/>
        </w:rPr>
        <w:t>s</w:t>
      </w:r>
      <w:r w:rsidRPr="006C5F90">
        <w:rPr>
          <w:lang w:bidi="ar-JO"/>
        </w:rPr>
        <w:t xml:space="preserve"> </w:t>
      </w:r>
      <w:r w:rsidRPr="00BE1C9B">
        <w:rPr>
          <w:b/>
          <w:bCs/>
          <w:lang w:bidi="ar-JO"/>
        </w:rPr>
        <w:t>1-3</w:t>
      </w:r>
      <w:r w:rsidRPr="006C5F90">
        <w:rPr>
          <w:lang w:bidi="ar-JO"/>
        </w:rPr>
        <w:t xml:space="preserve"> is a set of difference equations with rational expectation feature. The solution for </w:t>
      </w:r>
      <w:r>
        <w:rPr>
          <w:lang w:bidi="ar-JO"/>
        </w:rPr>
        <w:t xml:space="preserve">such </w:t>
      </w:r>
      <w:r w:rsidRPr="006C5F90">
        <w:rPr>
          <w:lang w:bidi="ar-JO"/>
        </w:rPr>
        <w:t>difference equations consist of policy function of the form "suggested solution"</w:t>
      </w:r>
    </w:p>
    <w:p w:rsidR="00D458FD" w:rsidRDefault="00D458FD" w:rsidP="00D458FD">
      <w:pPr>
        <w:spacing w:line="480" w:lineRule="auto"/>
        <w:rPr>
          <w:position w:val="-38"/>
          <w:lang w:bidi="ar-JO"/>
        </w:rPr>
      </w:pPr>
      <w:r w:rsidRPr="00295C27">
        <w:rPr>
          <w:position w:val="-38"/>
          <w:lang w:bidi="ar-JO"/>
        </w:rPr>
        <w:object w:dxaOrig="1480" w:dyaOrig="840">
          <v:shape id="_x0000_i1736" type="#_x0000_t75" style="width:74.5pt;height:41.85pt" o:ole="">
            <v:imagedata r:id="rId1287" o:title=""/>
          </v:shape>
          <o:OLEObject Type="Embed" ProgID="Equation.DSMT4" ShapeID="_x0000_i1736" DrawAspect="Content" ObjectID="_1359267659" r:id="rId1392"/>
        </w:object>
      </w:r>
    </w:p>
    <w:p w:rsidR="00D458FD" w:rsidRDefault="00D458FD" w:rsidP="00D458FD">
      <w:pPr>
        <w:spacing w:line="480" w:lineRule="auto"/>
        <w:rPr>
          <w:lang w:bidi="ar-JO"/>
        </w:rPr>
      </w:pPr>
      <w:r w:rsidRPr="00FF4AA5">
        <w:rPr>
          <w:lang w:bidi="ar-JO"/>
        </w:rPr>
        <w:t>The coefficient matrices that solve the</w:t>
      </w:r>
      <w:r>
        <w:rPr>
          <w:lang w:bidi="ar-JO"/>
        </w:rPr>
        <w:t xml:space="preserve"> “suggested solution”</w:t>
      </w:r>
      <w:r w:rsidRPr="00FF4AA5">
        <w:rPr>
          <w:lang w:bidi="ar-JO"/>
        </w:rPr>
        <w:t>:</w:t>
      </w:r>
    </w:p>
    <w:p w:rsidR="00ED38D3" w:rsidRDefault="00D458FD" w:rsidP="00D458FD">
      <w:pPr>
        <w:rPr>
          <w:position w:val="-94"/>
          <w:lang w:bidi="ar-JO"/>
        </w:rPr>
      </w:pPr>
      <w:r w:rsidRPr="00FF4AA5">
        <w:rPr>
          <w:position w:val="-112"/>
          <w:lang w:bidi="ar-JO"/>
        </w:rPr>
        <w:object w:dxaOrig="6039" w:dyaOrig="2340">
          <v:shape id="_x0000_i1737" type="#_x0000_t75" style="width:299.7pt;height:118.05pt" o:ole="">
            <v:imagedata r:id="rId1393" o:title=""/>
          </v:shape>
          <o:OLEObject Type="Embed" ProgID="Equation.DSMT4" ShapeID="_x0000_i1737" DrawAspect="Content" ObjectID="_1359267660" r:id="rId1394"/>
        </w:object>
      </w:r>
      <w:r w:rsidRPr="00FF4AA5">
        <w:rPr>
          <w:position w:val="-94"/>
          <w:lang w:bidi="ar-JO"/>
        </w:rPr>
        <w:t>,</w:t>
      </w:r>
      <w:r w:rsidRPr="00FF4AA5">
        <w:rPr>
          <w:position w:val="-112"/>
          <w:lang w:bidi="ar-JO"/>
        </w:rPr>
        <w:object w:dxaOrig="1500" w:dyaOrig="2340">
          <v:shape id="_x0000_i1738" type="#_x0000_t75" style="width:74.5pt;height:118.05pt" o:ole="">
            <v:imagedata r:id="rId1395" o:title=""/>
          </v:shape>
          <o:OLEObject Type="Embed" ProgID="Equation.DSMT4" ShapeID="_x0000_i1738" DrawAspect="Content" ObjectID="_1359267661" r:id="rId1396"/>
        </w:object>
      </w:r>
      <w:r w:rsidRPr="00FF4AA5">
        <w:rPr>
          <w:position w:val="-94"/>
          <w:lang w:bidi="ar-JO"/>
        </w:rPr>
        <w:t>,</w:t>
      </w:r>
    </w:p>
    <w:p w:rsidR="00D458FD" w:rsidRDefault="00D458FD" w:rsidP="000D14E3">
      <w:pPr>
        <w:spacing w:before="120"/>
        <w:rPr>
          <w:position w:val="-144"/>
          <w:lang w:bidi="ar-JO"/>
        </w:rPr>
      </w:pPr>
      <w:r w:rsidRPr="00FF4AA5">
        <w:rPr>
          <w:lang w:bidi="ar-JO"/>
        </w:rPr>
        <w:t xml:space="preserve"> </w:t>
      </w:r>
      <w:r w:rsidRPr="00FF4AA5">
        <w:rPr>
          <w:position w:val="-144"/>
          <w:lang w:bidi="ar-JO"/>
        </w:rPr>
        <w:object w:dxaOrig="6039" w:dyaOrig="3000">
          <v:shape id="_x0000_i1739" type="#_x0000_t75" style="width:299.7pt;height:149pt" o:ole="">
            <v:imagedata r:id="rId1397" o:title=""/>
          </v:shape>
          <o:OLEObject Type="Embed" ProgID="Equation.DSMT4" ShapeID="_x0000_i1739" DrawAspect="Content" ObjectID="_1359267662" r:id="rId1398"/>
        </w:object>
      </w:r>
      <w:r w:rsidRPr="00FF4AA5">
        <w:rPr>
          <w:position w:val="-128"/>
          <w:lang w:bidi="ar-JO"/>
        </w:rPr>
        <w:t xml:space="preserve">, </w:t>
      </w:r>
      <w:r w:rsidRPr="00FF4AA5">
        <w:rPr>
          <w:position w:val="-144"/>
          <w:lang w:bidi="ar-JO"/>
        </w:rPr>
        <w:object w:dxaOrig="1460" w:dyaOrig="3000">
          <v:shape id="_x0000_i1740" type="#_x0000_t75" style="width:72.85pt;height:149pt" o:ole="">
            <v:imagedata r:id="rId1399" o:title=""/>
          </v:shape>
          <o:OLEObject Type="Embed" ProgID="Equation.DSMT4" ShapeID="_x0000_i1740" DrawAspect="Content" ObjectID="_1359267663" r:id="rId1400"/>
        </w:object>
      </w:r>
    </w:p>
    <w:p w:rsidR="00D458FD" w:rsidRPr="00FF4AA5" w:rsidRDefault="00D458FD" w:rsidP="00D458FD">
      <w:pPr>
        <w:spacing w:line="480" w:lineRule="auto"/>
        <w:ind w:firstLine="720"/>
        <w:rPr>
          <w:position w:val="-104"/>
          <w:lang w:bidi="ar-JO"/>
        </w:rPr>
      </w:pPr>
      <w:r w:rsidRPr="00FF4AA5">
        <w:rPr>
          <w:lang w:bidi="ar-JO"/>
        </w:rPr>
        <w:t>Plugging the solution in the policy functions we obtain the solution to our model as defined by the following processes:</w:t>
      </w:r>
      <w:r w:rsidRPr="00FF4AA5">
        <w:rPr>
          <w:position w:val="-124"/>
          <w:lang w:bidi="ar-JO"/>
        </w:rPr>
        <w:object w:dxaOrig="8440" w:dyaOrig="2580">
          <v:shape id="_x0000_i1741" type="#_x0000_t75" style="width:376.75pt;height:124.75pt" o:ole="">
            <v:imagedata r:id="rId1401" o:title=""/>
          </v:shape>
          <o:OLEObject Type="Embed" ProgID="Equation.DSMT4" ShapeID="_x0000_i1741" DrawAspect="Content" ObjectID="_1359267664" r:id="rId1402"/>
        </w:object>
      </w:r>
    </w:p>
    <w:p w:rsidR="00D458FD" w:rsidRPr="00947455" w:rsidRDefault="00D458FD" w:rsidP="00D458FD">
      <w:pPr>
        <w:rPr>
          <w:position w:val="-104"/>
          <w:lang w:bidi="ar-JO"/>
        </w:rPr>
      </w:pPr>
      <w:r w:rsidRPr="00947455">
        <w:rPr>
          <w:position w:val="-172"/>
          <w:lang w:bidi="ar-JO"/>
        </w:rPr>
        <w:object w:dxaOrig="8600" w:dyaOrig="3540">
          <v:shape id="_x0000_i1742" type="#_x0000_t75" style="width:384.3pt;height:169.95pt" o:ole="">
            <v:imagedata r:id="rId1403" o:title=""/>
          </v:shape>
          <o:OLEObject Type="Embed" ProgID="Equation.DSMT4" ShapeID="_x0000_i1742" DrawAspect="Content" ObjectID="_1359267665" r:id="rId1404"/>
        </w:object>
      </w:r>
    </w:p>
    <w:p w:rsidR="00C94108" w:rsidRDefault="00D458FD" w:rsidP="000A3457">
      <w:pPr>
        <w:spacing w:line="480" w:lineRule="auto"/>
        <w:ind w:firstLine="720"/>
        <w:rPr>
          <w:noProof/>
        </w:rPr>
      </w:pPr>
      <w:r w:rsidRPr="00947455">
        <w:rPr>
          <w:lang w:bidi="ar-JO"/>
        </w:rPr>
        <w:t>Now using the above solutions we obtain the impulse response functions (IRFs) and the simulated data for our model economy</w:t>
      </w:r>
      <w:r>
        <w:rPr>
          <w:lang w:bidi="ar-JO"/>
        </w:rPr>
        <w:t xml:space="preserve"> with BSF in Essay 3</w:t>
      </w:r>
      <w:r w:rsidRPr="00947455">
        <w:rPr>
          <w:lang w:bidi="ar-JO"/>
        </w:rPr>
        <w:t xml:space="preserve">. </w:t>
      </w:r>
    </w:p>
    <w:p w:rsidR="00C94108" w:rsidRDefault="00C9410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C94108" w:rsidRDefault="00C9410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C94108" w:rsidRDefault="00C9410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F06882" w:rsidRDefault="00F06882"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C94108" w:rsidRDefault="00C94108"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5A53C1" w:rsidRDefault="005A53C1"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ED38D3" w:rsidRDefault="00ED38D3" w:rsidP="00DC5BC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noProof/>
        </w:rPr>
      </w:pPr>
    </w:p>
    <w:p w:rsidR="00C3124C" w:rsidRDefault="00C3124C" w:rsidP="007C62E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Style w:val="StyleHeading1CenteredChar"/>
          <w:rFonts w:asciiTheme="majorBidi" w:hAnsiTheme="majorBidi" w:cstheme="majorBidi"/>
          <w:b w:val="0"/>
          <w:bCs w:val="0"/>
          <w:sz w:val="48"/>
          <w:szCs w:val="48"/>
        </w:rPr>
      </w:pPr>
    </w:p>
    <w:p w:rsidR="0076619F" w:rsidRDefault="0076619F" w:rsidP="007C62E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Style w:val="StyleHeading1CenteredChar"/>
          <w:rFonts w:asciiTheme="majorBidi" w:hAnsiTheme="majorBidi" w:cstheme="majorBidi"/>
          <w:b w:val="0"/>
          <w:bCs w:val="0"/>
          <w:sz w:val="48"/>
          <w:szCs w:val="48"/>
        </w:rPr>
      </w:pPr>
      <w:bookmarkStart w:id="103" w:name="_Toc285478046"/>
    </w:p>
    <w:p w:rsidR="00DC5BC8" w:rsidRPr="007C62E4" w:rsidRDefault="00DC5BC8" w:rsidP="007C62E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b/>
          <w:bCs/>
          <w:sz w:val="48"/>
          <w:szCs w:val="48"/>
        </w:rPr>
      </w:pPr>
      <w:r w:rsidRPr="007C62E4">
        <w:rPr>
          <w:rStyle w:val="StyleHeading1CenteredChar"/>
          <w:rFonts w:asciiTheme="majorBidi" w:hAnsiTheme="majorBidi" w:cstheme="majorBidi"/>
          <w:b w:val="0"/>
          <w:bCs w:val="0"/>
          <w:sz w:val="48"/>
          <w:szCs w:val="48"/>
        </w:rPr>
        <w:t>V</w:t>
      </w:r>
      <w:r w:rsidR="002A62F9">
        <w:rPr>
          <w:rStyle w:val="StyleHeading1CenteredChar"/>
          <w:rFonts w:asciiTheme="majorBidi" w:hAnsiTheme="majorBidi" w:cstheme="majorBidi"/>
          <w:b w:val="0"/>
          <w:bCs w:val="0"/>
          <w:caps w:val="0"/>
          <w:sz w:val="48"/>
          <w:szCs w:val="48"/>
        </w:rPr>
        <w:t>ita</w:t>
      </w:r>
      <w:bookmarkEnd w:id="103"/>
    </w:p>
    <w:p w:rsidR="00DC5BC8" w:rsidRDefault="00DC5BC8" w:rsidP="00DC5BC8"/>
    <w:p w:rsidR="00AB0667" w:rsidRDefault="00AB0667">
      <w:pPr>
        <w:rPr>
          <w:sz w:val="20"/>
          <w:szCs w:val="20"/>
        </w:rPr>
      </w:pPr>
    </w:p>
    <w:p w:rsidR="001348AA" w:rsidRDefault="00860FDB" w:rsidP="00FF213C">
      <w:pPr>
        <w:spacing w:line="480" w:lineRule="auto"/>
        <w:ind w:firstLine="720"/>
        <w:jc w:val="both"/>
        <w:rPr>
          <w:rFonts w:asciiTheme="majorBidi" w:eastAsiaTheme="minorEastAsia" w:hAnsiTheme="majorBidi" w:cstheme="majorBidi"/>
          <w:lang w:eastAsia="zh-CN"/>
        </w:rPr>
      </w:pPr>
      <w:r>
        <w:rPr>
          <w:rFonts w:asciiTheme="majorBidi" w:hAnsiTheme="majorBidi" w:cstheme="majorBidi"/>
        </w:rPr>
        <w:t>Ali Mohammad</w:t>
      </w:r>
      <w:r w:rsidR="00AB0667" w:rsidRPr="00860FDB">
        <w:rPr>
          <w:rFonts w:asciiTheme="majorBidi" w:hAnsiTheme="majorBidi" w:cstheme="majorBidi"/>
        </w:rPr>
        <w:t xml:space="preserve"> Al-</w:t>
      </w:r>
      <w:proofErr w:type="spellStart"/>
      <w:r w:rsidR="00AB0667" w:rsidRPr="00860FDB">
        <w:rPr>
          <w:rFonts w:asciiTheme="majorBidi" w:hAnsiTheme="majorBidi" w:cstheme="majorBidi"/>
        </w:rPr>
        <w:t>Nadi</w:t>
      </w:r>
      <w:proofErr w:type="spellEnd"/>
      <w:r w:rsidR="00AB0667" w:rsidRPr="00860FDB">
        <w:rPr>
          <w:rFonts w:asciiTheme="majorBidi" w:hAnsiTheme="majorBidi" w:cstheme="majorBidi"/>
        </w:rPr>
        <w:t xml:space="preserve"> was born in Jordan on </w:t>
      </w:r>
      <w:r w:rsidR="00C949C7" w:rsidRPr="00860FDB">
        <w:rPr>
          <w:rFonts w:asciiTheme="majorBidi" w:hAnsiTheme="majorBidi" w:cstheme="majorBidi"/>
        </w:rPr>
        <w:t>September 5,</w:t>
      </w:r>
      <w:r>
        <w:rPr>
          <w:rFonts w:asciiTheme="majorBidi" w:hAnsiTheme="majorBidi" w:cstheme="majorBidi"/>
        </w:rPr>
        <w:t xml:space="preserve"> </w:t>
      </w:r>
      <w:r w:rsidR="00C949C7" w:rsidRPr="00860FDB">
        <w:rPr>
          <w:rFonts w:asciiTheme="majorBidi" w:hAnsiTheme="majorBidi" w:cstheme="majorBidi"/>
        </w:rPr>
        <w:t xml:space="preserve">1970. </w:t>
      </w:r>
      <w:r w:rsidR="00C949C7" w:rsidRPr="00860FDB">
        <w:rPr>
          <w:rFonts w:asciiTheme="majorBidi" w:eastAsiaTheme="minorEastAsia" w:hAnsiTheme="majorBidi" w:cstheme="majorBidi"/>
          <w:lang w:eastAsia="zh-CN"/>
        </w:rPr>
        <w:t>He</w:t>
      </w:r>
      <w:r>
        <w:rPr>
          <w:rFonts w:asciiTheme="majorBidi" w:eastAsiaTheme="minorEastAsia" w:hAnsiTheme="majorBidi" w:cstheme="majorBidi"/>
          <w:lang w:eastAsia="zh-CN"/>
        </w:rPr>
        <w:t xml:space="preserve"> </w:t>
      </w:r>
      <w:r w:rsidR="00C949C7" w:rsidRPr="00860FDB">
        <w:rPr>
          <w:rFonts w:asciiTheme="majorBidi" w:eastAsiaTheme="minorEastAsia" w:hAnsiTheme="majorBidi" w:cstheme="majorBidi"/>
          <w:lang w:eastAsia="zh-CN"/>
        </w:rPr>
        <w:t xml:space="preserve">received </w:t>
      </w:r>
      <w:r w:rsidR="0020291F" w:rsidRPr="00860FDB">
        <w:rPr>
          <w:rFonts w:asciiTheme="majorBidi" w:eastAsiaTheme="minorEastAsia" w:hAnsiTheme="majorBidi" w:cstheme="majorBidi"/>
          <w:lang w:eastAsia="zh-CN"/>
        </w:rPr>
        <w:t>his</w:t>
      </w:r>
      <w:r w:rsidR="00C949C7" w:rsidRPr="00860FDB">
        <w:rPr>
          <w:rFonts w:asciiTheme="majorBidi" w:eastAsiaTheme="minorEastAsia" w:hAnsiTheme="majorBidi" w:cstheme="majorBidi"/>
          <w:lang w:eastAsia="zh-CN"/>
        </w:rPr>
        <w:t xml:space="preserve"> Bachelor</w:t>
      </w:r>
      <w:r>
        <w:rPr>
          <w:rFonts w:asciiTheme="majorBidi" w:eastAsiaTheme="minorEastAsia" w:hAnsiTheme="majorBidi" w:cstheme="majorBidi"/>
          <w:lang w:eastAsia="zh-CN"/>
        </w:rPr>
        <w:t xml:space="preserve"> </w:t>
      </w:r>
      <w:r w:rsidR="00C949C7" w:rsidRPr="00860FDB">
        <w:rPr>
          <w:rFonts w:asciiTheme="majorBidi" w:eastAsiaTheme="minorEastAsia" w:hAnsiTheme="majorBidi" w:cstheme="majorBidi"/>
          <w:lang w:eastAsia="zh-CN"/>
        </w:rPr>
        <w:t>in Economics from the Yarmouk University in 1992. The</w:t>
      </w:r>
      <w:r w:rsidR="0076619F">
        <w:rPr>
          <w:rFonts w:asciiTheme="majorBidi" w:eastAsiaTheme="minorEastAsia" w:hAnsiTheme="majorBidi" w:cstheme="majorBidi"/>
          <w:lang w:eastAsia="zh-CN"/>
        </w:rPr>
        <w:t>n</w:t>
      </w:r>
      <w:r w:rsidR="00C949C7" w:rsidRPr="00860FDB">
        <w:rPr>
          <w:rFonts w:asciiTheme="majorBidi" w:eastAsiaTheme="minorEastAsia" w:hAnsiTheme="majorBidi" w:cstheme="majorBidi"/>
          <w:lang w:eastAsia="zh-CN"/>
        </w:rPr>
        <w:t xml:space="preserve"> he </w:t>
      </w:r>
      <w:r w:rsidR="0076619F">
        <w:rPr>
          <w:rFonts w:asciiTheme="majorBidi" w:eastAsiaTheme="minorEastAsia" w:hAnsiTheme="majorBidi" w:cstheme="majorBidi"/>
          <w:lang w:eastAsia="zh-CN"/>
        </w:rPr>
        <w:t xml:space="preserve">joined </w:t>
      </w:r>
      <w:r w:rsidR="00C949C7" w:rsidRPr="00860FDB">
        <w:rPr>
          <w:rFonts w:asciiTheme="majorBidi" w:eastAsiaTheme="minorEastAsia" w:hAnsiTheme="majorBidi" w:cstheme="majorBidi"/>
          <w:lang w:eastAsia="zh-CN"/>
        </w:rPr>
        <w:t>the Central Bank of Jordan in 1993.</w:t>
      </w:r>
      <w:r w:rsidR="0076619F">
        <w:rPr>
          <w:rFonts w:asciiTheme="majorBidi" w:eastAsiaTheme="minorEastAsia" w:hAnsiTheme="majorBidi" w:cstheme="majorBidi"/>
          <w:lang w:eastAsia="zh-CN"/>
        </w:rPr>
        <w:t xml:space="preserve"> </w:t>
      </w:r>
      <w:r w:rsidR="0076619F" w:rsidRPr="00860FDB">
        <w:rPr>
          <w:rFonts w:asciiTheme="majorBidi" w:eastAsiaTheme="minorEastAsia" w:hAnsiTheme="majorBidi" w:cstheme="majorBidi"/>
          <w:lang w:eastAsia="zh-CN"/>
        </w:rPr>
        <w:t>In 1997 he received</w:t>
      </w:r>
      <w:r w:rsidR="0076619F">
        <w:rPr>
          <w:rFonts w:asciiTheme="majorBidi" w:eastAsiaTheme="minorEastAsia" w:hAnsiTheme="majorBidi" w:cstheme="majorBidi"/>
          <w:lang w:eastAsia="zh-CN"/>
        </w:rPr>
        <w:t xml:space="preserve"> </w:t>
      </w:r>
      <w:r w:rsidR="00C949C7" w:rsidRPr="00860FDB">
        <w:rPr>
          <w:rFonts w:asciiTheme="majorBidi" w:eastAsiaTheme="minorEastAsia" w:hAnsiTheme="majorBidi" w:cstheme="majorBidi"/>
          <w:lang w:eastAsia="zh-CN"/>
        </w:rPr>
        <w:t xml:space="preserve">his Master degree in Economics from the University of Jordan. He </w:t>
      </w:r>
      <w:r w:rsidRPr="00860FDB">
        <w:rPr>
          <w:rFonts w:asciiTheme="majorBidi" w:eastAsiaTheme="minorEastAsia" w:hAnsiTheme="majorBidi" w:cstheme="majorBidi"/>
          <w:lang w:eastAsia="zh-CN"/>
        </w:rPr>
        <w:t>enrolled</w:t>
      </w:r>
      <w:r w:rsidR="00C949C7" w:rsidRPr="00860FDB">
        <w:rPr>
          <w:rFonts w:asciiTheme="majorBidi" w:eastAsiaTheme="minorEastAsia" w:hAnsiTheme="majorBidi" w:cstheme="majorBidi"/>
          <w:lang w:eastAsia="zh-CN"/>
        </w:rPr>
        <w:t xml:space="preserve"> at The University of Tennessee in </w:t>
      </w:r>
      <w:r w:rsidRPr="00860FDB">
        <w:rPr>
          <w:rFonts w:asciiTheme="majorBidi" w:eastAsiaTheme="minorEastAsia" w:hAnsiTheme="majorBidi" w:cstheme="majorBidi"/>
          <w:lang w:eastAsia="zh-CN"/>
        </w:rPr>
        <w:t>August</w:t>
      </w:r>
      <w:r>
        <w:rPr>
          <w:rFonts w:asciiTheme="majorBidi" w:eastAsiaTheme="minorEastAsia" w:hAnsiTheme="majorBidi" w:cstheme="majorBidi"/>
          <w:lang w:eastAsia="zh-CN"/>
        </w:rPr>
        <w:t>,</w:t>
      </w:r>
      <w:r w:rsidR="00C949C7" w:rsidRPr="00860FDB">
        <w:rPr>
          <w:rFonts w:asciiTheme="majorBidi" w:eastAsiaTheme="minorEastAsia" w:hAnsiTheme="majorBidi" w:cstheme="majorBidi"/>
          <w:lang w:eastAsia="zh-CN"/>
        </w:rPr>
        <w:t xml:space="preserve"> 2005. His doctoral degree would be received in May 2011.</w:t>
      </w:r>
      <w:r w:rsidRPr="00860FDB">
        <w:rPr>
          <w:rFonts w:asciiTheme="majorBidi" w:eastAsiaTheme="minorEastAsia" w:hAnsiTheme="majorBidi" w:cstheme="majorBidi"/>
          <w:lang w:eastAsia="zh-CN"/>
        </w:rPr>
        <w:t xml:space="preserve"> </w:t>
      </w:r>
    </w:p>
    <w:p w:rsidR="0020291F" w:rsidRPr="00860FDB" w:rsidRDefault="00860FDB" w:rsidP="00FF213C">
      <w:pPr>
        <w:spacing w:line="480" w:lineRule="auto"/>
        <w:ind w:firstLine="720"/>
        <w:jc w:val="both"/>
        <w:rPr>
          <w:rFonts w:asciiTheme="majorBidi" w:eastAsiaTheme="minorEastAsia" w:hAnsiTheme="majorBidi" w:cstheme="majorBidi"/>
          <w:lang w:eastAsia="zh-CN"/>
        </w:rPr>
      </w:pPr>
      <w:r w:rsidRPr="00860FDB">
        <w:rPr>
          <w:rFonts w:asciiTheme="majorBidi" w:eastAsiaTheme="minorEastAsia" w:hAnsiTheme="majorBidi" w:cstheme="majorBidi"/>
          <w:lang w:eastAsia="zh-CN"/>
        </w:rPr>
        <w:t xml:space="preserve">The author is a member of the </w:t>
      </w:r>
      <w:r w:rsidR="0020291F" w:rsidRPr="00860FDB">
        <w:rPr>
          <w:rFonts w:asciiTheme="majorBidi" w:eastAsiaTheme="minorEastAsia" w:hAnsiTheme="majorBidi" w:cstheme="majorBidi"/>
          <w:lang w:eastAsia="zh-CN"/>
        </w:rPr>
        <w:t>American</w:t>
      </w:r>
      <w:r w:rsidRPr="00860FDB">
        <w:rPr>
          <w:rFonts w:asciiTheme="majorBidi" w:eastAsiaTheme="minorEastAsia" w:hAnsiTheme="majorBidi" w:cstheme="majorBidi"/>
          <w:lang w:eastAsia="zh-CN"/>
        </w:rPr>
        <w:t xml:space="preserve"> Economic Association and the Sothern Economics Association.</w:t>
      </w:r>
      <w:r>
        <w:rPr>
          <w:rFonts w:asciiTheme="majorBidi" w:eastAsiaTheme="minorEastAsia" w:hAnsiTheme="majorBidi" w:cstheme="majorBidi"/>
          <w:lang w:eastAsia="zh-CN"/>
        </w:rPr>
        <w:t xml:space="preserve"> </w:t>
      </w:r>
      <w:r w:rsidRPr="00860FDB">
        <w:rPr>
          <w:rFonts w:asciiTheme="majorBidi" w:eastAsiaTheme="minorEastAsia" w:hAnsiTheme="majorBidi" w:cstheme="majorBidi"/>
          <w:lang w:eastAsia="zh-CN"/>
        </w:rPr>
        <w:t xml:space="preserve">He is married </w:t>
      </w:r>
      <w:r w:rsidR="001348AA">
        <w:rPr>
          <w:rFonts w:asciiTheme="majorBidi" w:eastAsiaTheme="minorEastAsia" w:hAnsiTheme="majorBidi" w:cstheme="majorBidi"/>
          <w:lang w:eastAsia="zh-CN"/>
        </w:rPr>
        <w:t xml:space="preserve">to </w:t>
      </w:r>
      <w:proofErr w:type="spellStart"/>
      <w:r w:rsidR="001348AA">
        <w:rPr>
          <w:rFonts w:asciiTheme="majorBidi" w:eastAsiaTheme="minorEastAsia" w:hAnsiTheme="majorBidi" w:cstheme="majorBidi"/>
          <w:lang w:eastAsia="zh-CN"/>
        </w:rPr>
        <w:t>Fadwa</w:t>
      </w:r>
      <w:proofErr w:type="spellEnd"/>
      <w:r w:rsidR="001348AA">
        <w:rPr>
          <w:rFonts w:asciiTheme="majorBidi" w:eastAsiaTheme="minorEastAsia" w:hAnsiTheme="majorBidi" w:cstheme="majorBidi"/>
          <w:lang w:eastAsia="zh-CN"/>
        </w:rPr>
        <w:t xml:space="preserve"> </w:t>
      </w:r>
      <w:proofErr w:type="spellStart"/>
      <w:r w:rsidR="001348AA">
        <w:rPr>
          <w:rFonts w:asciiTheme="majorBidi" w:eastAsiaTheme="minorEastAsia" w:hAnsiTheme="majorBidi" w:cstheme="majorBidi"/>
          <w:lang w:eastAsia="zh-CN"/>
        </w:rPr>
        <w:t>Khwaileh</w:t>
      </w:r>
      <w:proofErr w:type="spellEnd"/>
      <w:r w:rsidR="001348AA">
        <w:rPr>
          <w:rFonts w:asciiTheme="majorBidi" w:eastAsiaTheme="minorEastAsia" w:hAnsiTheme="majorBidi" w:cstheme="majorBidi"/>
          <w:lang w:eastAsia="zh-CN"/>
        </w:rPr>
        <w:t xml:space="preserve"> </w:t>
      </w:r>
      <w:r w:rsidRPr="00860FDB">
        <w:rPr>
          <w:rFonts w:asciiTheme="majorBidi" w:eastAsiaTheme="minorEastAsia" w:hAnsiTheme="majorBidi" w:cstheme="majorBidi"/>
          <w:lang w:eastAsia="zh-CN"/>
        </w:rPr>
        <w:t xml:space="preserve">and has </w:t>
      </w:r>
      <w:r w:rsidR="0020291F" w:rsidRPr="00860FDB">
        <w:rPr>
          <w:rFonts w:asciiTheme="majorBidi" w:eastAsiaTheme="minorEastAsia" w:hAnsiTheme="majorBidi" w:cstheme="majorBidi"/>
          <w:lang w:eastAsia="zh-CN"/>
        </w:rPr>
        <w:t>two</w:t>
      </w:r>
      <w:r w:rsidRPr="00860FDB">
        <w:rPr>
          <w:rFonts w:asciiTheme="majorBidi" w:eastAsiaTheme="minorEastAsia" w:hAnsiTheme="majorBidi" w:cstheme="majorBidi"/>
          <w:lang w:eastAsia="zh-CN"/>
        </w:rPr>
        <w:t xml:space="preserve"> sons</w:t>
      </w:r>
      <w:r w:rsidR="001348AA">
        <w:rPr>
          <w:rFonts w:asciiTheme="majorBidi" w:eastAsiaTheme="minorEastAsia" w:hAnsiTheme="majorBidi" w:cstheme="majorBidi"/>
          <w:lang w:eastAsia="zh-CN"/>
        </w:rPr>
        <w:t xml:space="preserve">, </w:t>
      </w:r>
      <w:proofErr w:type="spellStart"/>
      <w:r w:rsidR="001348AA">
        <w:rPr>
          <w:rFonts w:asciiTheme="majorBidi" w:eastAsiaTheme="minorEastAsia" w:hAnsiTheme="majorBidi" w:cstheme="majorBidi"/>
          <w:lang w:eastAsia="zh-CN"/>
        </w:rPr>
        <w:t>Jawad</w:t>
      </w:r>
      <w:proofErr w:type="spellEnd"/>
      <w:r w:rsidR="001348AA">
        <w:rPr>
          <w:rFonts w:asciiTheme="majorBidi" w:eastAsiaTheme="minorEastAsia" w:hAnsiTheme="majorBidi" w:cstheme="majorBidi"/>
          <w:lang w:eastAsia="zh-CN"/>
        </w:rPr>
        <w:t xml:space="preserve"> and Ibrahim.</w:t>
      </w:r>
    </w:p>
    <w:p w:rsidR="00860FDB" w:rsidRDefault="00860FDB" w:rsidP="00860FDB">
      <w:pPr>
        <w:ind w:left="720" w:hanging="720"/>
        <w:rPr>
          <w:rFonts w:ascii="Arial" w:eastAsiaTheme="minorEastAsia" w:hAnsi="Arial" w:cs="Arial"/>
          <w:lang w:eastAsia="zh-CN"/>
        </w:rPr>
      </w:pPr>
    </w:p>
    <w:p w:rsidR="00860FDB" w:rsidRDefault="00860FDB" w:rsidP="00860FDB">
      <w:pPr>
        <w:ind w:left="720" w:hanging="720"/>
        <w:rPr>
          <w:rFonts w:ascii="Arial" w:eastAsiaTheme="minorEastAsia" w:hAnsi="Arial" w:cs="Arial"/>
          <w:lang w:eastAsia="zh-CN"/>
        </w:rPr>
      </w:pPr>
    </w:p>
    <w:p w:rsidR="00860FDB" w:rsidRDefault="00860FDB" w:rsidP="00860FDB">
      <w:pPr>
        <w:ind w:left="720" w:hanging="720"/>
        <w:rPr>
          <w:rFonts w:ascii="Arial" w:eastAsiaTheme="minorEastAsia" w:hAnsi="Arial" w:cs="Arial"/>
          <w:lang w:eastAsia="zh-CN"/>
        </w:rPr>
      </w:pPr>
    </w:p>
    <w:p w:rsidR="00860FDB" w:rsidRDefault="00860FDB" w:rsidP="00860FDB">
      <w:pPr>
        <w:ind w:left="720" w:hanging="720"/>
        <w:rPr>
          <w:rFonts w:ascii="Arial" w:eastAsiaTheme="minorEastAsia" w:hAnsi="Arial" w:cs="Arial"/>
          <w:lang w:eastAsia="zh-CN"/>
        </w:rPr>
      </w:pPr>
    </w:p>
    <w:sectPr w:rsidR="00860FDB" w:rsidSect="00617D79">
      <w:footerReference w:type="default" r:id="rId1405"/>
      <w:pgSz w:w="12240" w:h="15840" w:code="1"/>
      <w:pgMar w:top="1440" w:right="1440" w:bottom="1872" w:left="1440" w:header="720" w:footer="144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F67" w:rsidRDefault="00240F67" w:rsidP="00786F2D">
      <w:r>
        <w:separator/>
      </w:r>
    </w:p>
  </w:endnote>
  <w:endnote w:type="continuationSeparator" w:id="0">
    <w:p w:rsidR="00240F67" w:rsidRDefault="00240F67" w:rsidP="00786F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AFF" w:usb1="C000605B" w:usb2="00000029" w:usb3="00000000" w:csb0="000101FF" w:csb1="00000000"/>
  </w:font>
  <w:font w:name="Code">
    <w:altName w:val="Code"/>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dvMc_Times-i">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6372575"/>
      <w:docPartObj>
        <w:docPartGallery w:val="Page Numbers (Bottom of Page)"/>
        <w:docPartUnique/>
      </w:docPartObj>
    </w:sdtPr>
    <w:sdtEndPr>
      <w:rPr>
        <w:noProof/>
      </w:rPr>
    </w:sdtEndPr>
    <w:sdtContent>
      <w:p w:rsidR="00240F67" w:rsidRDefault="00240F67" w:rsidP="00615A12">
        <w:pPr>
          <w:pStyle w:val="Footer"/>
          <w:tabs>
            <w:tab w:val="left" w:pos="4454"/>
            <w:tab w:val="center" w:pos="4680"/>
          </w:tabs>
        </w:pPr>
        <w:r>
          <w:tab/>
        </w:r>
        <w:fldSimple w:instr=" PAGE   \* MERGEFORMAT ">
          <w:r>
            <w:rPr>
              <w:noProof/>
            </w:rPr>
            <w:t>xiii</w:t>
          </w:r>
        </w:fldSimple>
      </w:p>
    </w:sdtContent>
  </w:sdt>
  <w:p w:rsidR="00240F67" w:rsidRDefault="00240F6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8812877"/>
      <w:docPartObj>
        <w:docPartGallery w:val="Page Numbers (Bottom of Page)"/>
        <w:docPartUnique/>
      </w:docPartObj>
    </w:sdtPr>
    <w:sdtEndPr>
      <w:rPr>
        <w:noProof/>
      </w:rPr>
    </w:sdtEndPr>
    <w:sdtContent>
      <w:p w:rsidR="00240F67" w:rsidRDefault="00240F67" w:rsidP="00F4506E">
        <w:pPr>
          <w:pStyle w:val="Footer"/>
          <w:tabs>
            <w:tab w:val="left" w:pos="991"/>
            <w:tab w:val="left" w:pos="4454"/>
            <w:tab w:val="center" w:pos="4680"/>
          </w:tabs>
        </w:pPr>
        <w:r>
          <w:tab/>
        </w:r>
        <w:r>
          <w:tab/>
        </w:r>
        <w:fldSimple w:instr=" PAGE   \* MERGEFORMAT ">
          <w:r>
            <w:rPr>
              <w:noProof/>
            </w:rPr>
            <w:t>xiv</w:t>
          </w:r>
        </w:fldSimple>
      </w:p>
    </w:sdtContent>
  </w:sdt>
  <w:p w:rsidR="00240F67" w:rsidRDefault="00240F67"/>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67" w:rsidRDefault="00240F6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661340"/>
      <w:docPartObj>
        <w:docPartGallery w:val="Page Numbers (Bottom of Page)"/>
        <w:docPartUnique/>
      </w:docPartObj>
    </w:sdtPr>
    <w:sdtEndPr>
      <w:rPr>
        <w:noProof/>
      </w:rPr>
    </w:sdtEndPr>
    <w:sdtContent>
      <w:p w:rsidR="00240F67" w:rsidRDefault="00240F67" w:rsidP="00F4506E">
        <w:pPr>
          <w:pStyle w:val="Footer"/>
          <w:tabs>
            <w:tab w:val="left" w:pos="4454"/>
            <w:tab w:val="center" w:pos="4680"/>
          </w:tabs>
          <w:spacing w:after="120"/>
        </w:pPr>
        <w:r>
          <w:tab/>
        </w:r>
        <w:fldSimple w:instr=" PAGE   \* MERGEFORMAT ">
          <w:r w:rsidR="001A5B92">
            <w:rPr>
              <w:noProof/>
            </w:rPr>
            <w:t>89</w:t>
          </w:r>
        </w:fldSimple>
      </w:p>
    </w:sdtContent>
  </w:sdt>
  <w:p w:rsidR="00240F67" w:rsidRDefault="00240F6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F67" w:rsidRDefault="00240F67" w:rsidP="00786F2D">
      <w:r>
        <w:separator/>
      </w:r>
    </w:p>
  </w:footnote>
  <w:footnote w:type="continuationSeparator" w:id="0">
    <w:p w:rsidR="00240F67" w:rsidRDefault="00240F67" w:rsidP="00786F2D">
      <w:r>
        <w:continuationSeparator/>
      </w:r>
    </w:p>
  </w:footnote>
  <w:footnote w:id="1">
    <w:p w:rsidR="00240F67" w:rsidRDefault="00240F67" w:rsidP="00D57DAF">
      <w:pPr>
        <w:autoSpaceDE w:val="0"/>
        <w:autoSpaceDN w:val="0"/>
        <w:adjustRightInd w:val="0"/>
        <w:spacing w:before="60" w:after="120"/>
        <w:jc w:val="both"/>
      </w:pPr>
      <w:r>
        <w:rPr>
          <w:rStyle w:val="FootnoteReference"/>
        </w:rPr>
        <w:footnoteRef/>
      </w:r>
      <w:r>
        <w:t xml:space="preserve"> </w:t>
      </w:r>
      <w:r w:rsidRPr="00D57DAF">
        <w:rPr>
          <w:sz w:val="22"/>
          <w:szCs w:val="22"/>
        </w:rPr>
        <w:t>Mendoza (1991) successfully explains the positive correlation between domestic savings and investment, and accounts for the counter cyclicality of the current account and balance of trade in the economy documented by Backus and Kehoe (1989, 1992).</w:t>
      </w:r>
    </w:p>
  </w:footnote>
  <w:footnote w:id="2">
    <w:p w:rsidR="00240F67" w:rsidRDefault="00240F67" w:rsidP="00FC0096">
      <w:pPr>
        <w:pStyle w:val="FootnoteText"/>
        <w:spacing w:before="60" w:after="120" w:line="240" w:lineRule="auto"/>
      </w:pPr>
      <w:r>
        <w:rPr>
          <w:rStyle w:val="FootnoteReference"/>
        </w:rPr>
        <w:footnoteRef/>
      </w:r>
      <w:r>
        <w:t xml:space="preserve"> </w:t>
      </w:r>
      <w:r w:rsidRPr="00D57DAF">
        <w:rPr>
          <w:rFonts w:ascii="Times New Roman" w:hAnsi="Times New Roman"/>
          <w:sz w:val="22"/>
          <w:szCs w:val="22"/>
        </w:rPr>
        <w:t>Schmitt-</w:t>
      </w:r>
      <w:proofErr w:type="spellStart"/>
      <w:r w:rsidRPr="00D57DAF">
        <w:rPr>
          <w:rFonts w:ascii="Times New Roman" w:hAnsi="Times New Roman"/>
          <w:sz w:val="22"/>
          <w:szCs w:val="22"/>
        </w:rPr>
        <w:t>Grohe</w:t>
      </w:r>
      <w:proofErr w:type="spellEnd"/>
      <w:r w:rsidRPr="00D57DAF">
        <w:rPr>
          <w:rFonts w:ascii="Times New Roman" w:hAnsi="Times New Roman"/>
          <w:sz w:val="22"/>
          <w:szCs w:val="22"/>
        </w:rPr>
        <w:t xml:space="preserve"> and Uribe (2003) and many others used the same methodology.</w:t>
      </w:r>
    </w:p>
  </w:footnote>
  <w:footnote w:id="3">
    <w:p w:rsidR="00240F67" w:rsidRPr="00FC0096" w:rsidRDefault="00240F67" w:rsidP="00D57DAF">
      <w:pPr>
        <w:pStyle w:val="FootnoteText"/>
        <w:spacing w:before="60" w:after="120" w:line="240" w:lineRule="auto"/>
        <w:jc w:val="both"/>
        <w:rPr>
          <w:rFonts w:asciiTheme="majorBidi" w:hAnsiTheme="majorBidi" w:cstheme="majorBidi"/>
        </w:rPr>
      </w:pPr>
      <w:r w:rsidRPr="00FC0096">
        <w:rPr>
          <w:rStyle w:val="FootnoteReference"/>
          <w:rFonts w:asciiTheme="majorBidi" w:hAnsiTheme="majorBidi" w:cstheme="majorBidi"/>
        </w:rPr>
        <w:footnoteRef/>
      </w:r>
      <w:r w:rsidRPr="00FC0096">
        <w:rPr>
          <w:rFonts w:asciiTheme="majorBidi" w:hAnsiTheme="majorBidi" w:cstheme="majorBidi"/>
        </w:rPr>
        <w:t xml:space="preserve"> </w:t>
      </w:r>
      <w:r w:rsidRPr="00D57DAF">
        <w:rPr>
          <w:rFonts w:asciiTheme="majorBidi" w:hAnsiTheme="majorBidi" w:cstheme="majorBidi"/>
          <w:sz w:val="22"/>
          <w:szCs w:val="22"/>
        </w:rPr>
        <w:t xml:space="preserve">In an open economy RBC framework such preference is often recommended since the work of Mendoza (1991). Under this specification, the labor supply becomes independent of consumption, exclusively dependent on the marginal product of labor. This eliminates the income from households’ labor supply decision making consumption and labor supply more sensitive to technology shock. Detailed discussion on the prosperities of </w:t>
      </w:r>
      <w:proofErr w:type="spellStart"/>
      <w:r w:rsidRPr="00D57DAF">
        <w:rPr>
          <w:rFonts w:asciiTheme="majorBidi" w:hAnsiTheme="majorBidi" w:cstheme="majorBidi"/>
          <w:sz w:val="22"/>
          <w:szCs w:val="22"/>
        </w:rPr>
        <w:t>of</w:t>
      </w:r>
      <w:proofErr w:type="spellEnd"/>
      <w:r w:rsidRPr="00D57DAF">
        <w:rPr>
          <w:rFonts w:asciiTheme="majorBidi" w:hAnsiTheme="majorBidi" w:cstheme="majorBidi"/>
          <w:sz w:val="22"/>
          <w:szCs w:val="22"/>
        </w:rPr>
        <w:t xml:space="preserve"> the GHH preference is carried by </w:t>
      </w:r>
      <w:proofErr w:type="spellStart"/>
      <w:r w:rsidRPr="00D57DAF">
        <w:rPr>
          <w:rFonts w:asciiTheme="majorBidi" w:hAnsiTheme="majorBidi" w:cstheme="majorBidi"/>
          <w:sz w:val="22"/>
          <w:szCs w:val="22"/>
        </w:rPr>
        <w:t>Correia</w:t>
      </w:r>
      <w:proofErr w:type="spellEnd"/>
      <w:r w:rsidRPr="00D57DAF">
        <w:rPr>
          <w:rFonts w:asciiTheme="majorBidi" w:hAnsiTheme="majorBidi" w:cstheme="majorBidi"/>
          <w:sz w:val="22"/>
          <w:szCs w:val="22"/>
        </w:rPr>
        <w:t xml:space="preserve">, </w:t>
      </w:r>
      <w:proofErr w:type="spellStart"/>
      <w:r w:rsidRPr="00D57DAF">
        <w:rPr>
          <w:rFonts w:asciiTheme="majorBidi" w:hAnsiTheme="majorBidi" w:cstheme="majorBidi"/>
          <w:sz w:val="22"/>
          <w:szCs w:val="22"/>
        </w:rPr>
        <w:t>Neves</w:t>
      </w:r>
      <w:proofErr w:type="spellEnd"/>
      <w:r w:rsidRPr="00D57DAF">
        <w:rPr>
          <w:rFonts w:asciiTheme="majorBidi" w:hAnsiTheme="majorBidi" w:cstheme="majorBidi"/>
          <w:sz w:val="22"/>
          <w:szCs w:val="22"/>
        </w:rPr>
        <w:t xml:space="preserve">, and </w:t>
      </w:r>
      <w:proofErr w:type="spellStart"/>
      <w:r w:rsidRPr="00D57DAF">
        <w:rPr>
          <w:rFonts w:asciiTheme="majorBidi" w:hAnsiTheme="majorBidi" w:cstheme="majorBidi"/>
          <w:sz w:val="22"/>
          <w:szCs w:val="22"/>
        </w:rPr>
        <w:t>Rebelo</w:t>
      </w:r>
      <w:proofErr w:type="spellEnd"/>
      <w:r w:rsidRPr="00D57DAF">
        <w:rPr>
          <w:rFonts w:asciiTheme="majorBidi" w:hAnsiTheme="majorBidi" w:cstheme="majorBidi"/>
          <w:sz w:val="22"/>
          <w:szCs w:val="22"/>
        </w:rPr>
        <w:t xml:space="preserve"> (1995).</w:t>
      </w:r>
      <w:r w:rsidRPr="00FC0096">
        <w:rPr>
          <w:rFonts w:asciiTheme="majorBidi" w:hAnsiTheme="majorBidi" w:cstheme="majorBidi"/>
        </w:rPr>
        <w:t xml:space="preserve"> </w:t>
      </w:r>
    </w:p>
  </w:footnote>
  <w:footnote w:id="4">
    <w:p w:rsidR="00240F67" w:rsidRDefault="00240F67" w:rsidP="00FC0096">
      <w:pPr>
        <w:pStyle w:val="FootnoteText"/>
        <w:spacing w:before="60" w:after="120" w:line="240" w:lineRule="auto"/>
      </w:pPr>
      <w:r>
        <w:rPr>
          <w:rStyle w:val="FootnoteReference"/>
        </w:rPr>
        <w:footnoteRef/>
      </w:r>
      <w:r>
        <w:t xml:space="preserve"> </w:t>
      </w:r>
      <w:r w:rsidRPr="009B43E2">
        <w:rPr>
          <w:rFonts w:ascii="Times New Roman" w:hAnsi="Times New Roman"/>
        </w:rPr>
        <w:t>Neumeyer and Perri</w:t>
      </w:r>
      <w:r>
        <w:rPr>
          <w:rFonts w:ascii="Times New Roman" w:hAnsi="Times New Roman"/>
        </w:rPr>
        <w:t xml:space="preserve"> </w:t>
      </w:r>
      <w:r w:rsidRPr="009B43E2">
        <w:rPr>
          <w:rFonts w:ascii="Times New Roman" w:hAnsi="Times New Roman"/>
        </w:rPr>
        <w:t>correctly</w:t>
      </w:r>
      <w:r>
        <w:rPr>
          <w:rFonts w:ascii="Times New Roman" w:hAnsi="Times New Roman"/>
        </w:rPr>
        <w:t xml:space="preserve"> predict that that emerging economies are highly volatile, consumption volatility exceeds output volatility, trade balance is strongly countercyclical and interest rates are countercyclical.  </w:t>
      </w:r>
    </w:p>
  </w:footnote>
  <w:footnote w:id="5">
    <w:p w:rsidR="00240F67" w:rsidRPr="006C5933" w:rsidRDefault="00240F67" w:rsidP="00D57DAF">
      <w:pPr>
        <w:autoSpaceDE w:val="0"/>
        <w:autoSpaceDN w:val="0"/>
        <w:adjustRightInd w:val="0"/>
        <w:spacing w:before="60" w:after="120"/>
        <w:jc w:val="both"/>
        <w:rPr>
          <w:sz w:val="20"/>
          <w:szCs w:val="20"/>
        </w:rPr>
      </w:pPr>
      <w:r w:rsidRPr="006C5933">
        <w:rPr>
          <w:rStyle w:val="FootnoteReference"/>
          <w:sz w:val="20"/>
          <w:szCs w:val="20"/>
        </w:rPr>
        <w:footnoteRef/>
      </w:r>
      <w:r w:rsidRPr="006C5933">
        <w:rPr>
          <w:sz w:val="20"/>
          <w:szCs w:val="20"/>
        </w:rPr>
        <w:t xml:space="preserve"> </w:t>
      </w:r>
      <w:r w:rsidRPr="00D57DAF">
        <w:rPr>
          <w:sz w:val="22"/>
          <w:szCs w:val="22"/>
        </w:rPr>
        <w:t xml:space="preserve">This aspect of time non-separable preferences is exploited by Abel (1990), </w:t>
      </w:r>
      <w:proofErr w:type="spellStart"/>
      <w:r w:rsidRPr="00D57DAF">
        <w:rPr>
          <w:sz w:val="22"/>
          <w:szCs w:val="22"/>
        </w:rPr>
        <w:t>Constantinides</w:t>
      </w:r>
      <w:proofErr w:type="spellEnd"/>
      <w:r w:rsidRPr="00D57DAF">
        <w:rPr>
          <w:sz w:val="22"/>
          <w:szCs w:val="22"/>
        </w:rPr>
        <w:t xml:space="preserve"> (1990), </w:t>
      </w:r>
      <w:proofErr w:type="spellStart"/>
      <w:r w:rsidRPr="00D57DAF">
        <w:rPr>
          <w:sz w:val="22"/>
          <w:szCs w:val="22"/>
        </w:rPr>
        <w:t>Gali</w:t>
      </w:r>
      <w:proofErr w:type="spellEnd"/>
      <w:r w:rsidRPr="00D57DAF">
        <w:rPr>
          <w:sz w:val="22"/>
          <w:szCs w:val="22"/>
        </w:rPr>
        <w:t xml:space="preserve"> (1994), and Campbell and Cochrane (1995) and empirically tested to study the current account dynamics in Gruber (2004), Uribe (2002) and </w:t>
      </w:r>
      <w:proofErr w:type="spellStart"/>
      <w:r w:rsidRPr="00D57DAF">
        <w:rPr>
          <w:sz w:val="22"/>
          <w:szCs w:val="22"/>
        </w:rPr>
        <w:t>Letender</w:t>
      </w:r>
      <w:proofErr w:type="spellEnd"/>
      <w:r w:rsidRPr="00D57DAF">
        <w:rPr>
          <w:sz w:val="22"/>
          <w:szCs w:val="22"/>
        </w:rPr>
        <w:t xml:space="preserve"> (2004). Further, empirical evidence in favor of habit persistence has been provided by Heaton (1993), </w:t>
      </w:r>
      <w:proofErr w:type="spellStart"/>
      <w:r w:rsidRPr="00D57DAF">
        <w:rPr>
          <w:sz w:val="22"/>
          <w:szCs w:val="22"/>
        </w:rPr>
        <w:t>Ferson</w:t>
      </w:r>
      <w:proofErr w:type="spellEnd"/>
      <w:r w:rsidRPr="00D57DAF">
        <w:rPr>
          <w:sz w:val="22"/>
          <w:szCs w:val="22"/>
        </w:rPr>
        <w:t xml:space="preserve"> and </w:t>
      </w:r>
      <w:proofErr w:type="spellStart"/>
      <w:r w:rsidRPr="00D57DAF">
        <w:rPr>
          <w:sz w:val="22"/>
          <w:szCs w:val="22"/>
        </w:rPr>
        <w:t>Constantinides</w:t>
      </w:r>
      <w:proofErr w:type="spellEnd"/>
      <w:r w:rsidRPr="00D57DAF">
        <w:rPr>
          <w:sz w:val="22"/>
          <w:szCs w:val="22"/>
        </w:rPr>
        <w:t xml:space="preserve"> (1991), Fuhrer and Klein (1998), and </w:t>
      </w:r>
      <w:proofErr w:type="spellStart"/>
      <w:r w:rsidRPr="00D57DAF">
        <w:rPr>
          <w:sz w:val="22"/>
          <w:szCs w:val="22"/>
        </w:rPr>
        <w:t>Naik</w:t>
      </w:r>
      <w:proofErr w:type="spellEnd"/>
      <w:r w:rsidRPr="00D57DAF">
        <w:rPr>
          <w:sz w:val="22"/>
          <w:szCs w:val="22"/>
        </w:rPr>
        <w:t xml:space="preserve"> and Moore (1996) as well.</w:t>
      </w:r>
      <w:r w:rsidRPr="006C5933">
        <w:rPr>
          <w:sz w:val="20"/>
          <w:szCs w:val="20"/>
        </w:rPr>
        <w:t xml:space="preserve"> </w:t>
      </w:r>
    </w:p>
  </w:footnote>
  <w:footnote w:id="6">
    <w:p w:rsidR="00240F67" w:rsidRPr="00D57DAF" w:rsidRDefault="00240F67" w:rsidP="00D57DAF">
      <w:pPr>
        <w:pStyle w:val="FootnoteText"/>
        <w:spacing w:before="120" w:after="120" w:line="240" w:lineRule="auto"/>
        <w:jc w:val="both"/>
        <w:rPr>
          <w:rFonts w:ascii="Times New Roman" w:hAnsi="Times New Roman"/>
          <w:sz w:val="22"/>
          <w:szCs w:val="22"/>
        </w:rPr>
      </w:pPr>
      <w:r w:rsidRPr="00D57DAF">
        <w:rPr>
          <w:rStyle w:val="FootnoteReference"/>
          <w:rFonts w:ascii="Times New Roman" w:hAnsi="Times New Roman"/>
          <w:sz w:val="22"/>
          <w:szCs w:val="22"/>
        </w:rPr>
        <w:footnoteRef/>
      </w:r>
      <w:r w:rsidRPr="00D57DAF">
        <w:rPr>
          <w:rFonts w:ascii="Times New Roman" w:hAnsi="Times New Roman"/>
          <w:sz w:val="22"/>
          <w:szCs w:val="22"/>
        </w:rPr>
        <w:t xml:space="preserve"> In the US economy spending on durable goods consumption is 12.1 percent of total personal spending on goods and services (8.6 percent of GDP) in 2009. </w:t>
      </w:r>
    </w:p>
  </w:footnote>
  <w:footnote w:id="7">
    <w:p w:rsidR="00240F67" w:rsidRPr="00E857E3" w:rsidRDefault="00240F67" w:rsidP="00E15A53">
      <w:pPr>
        <w:pStyle w:val="FootnoteText"/>
        <w:spacing w:before="120" w:after="120" w:line="240" w:lineRule="auto"/>
        <w:jc w:val="both"/>
        <w:rPr>
          <w:rFonts w:ascii="Times New Roman" w:hAnsi="Times New Roman"/>
        </w:rPr>
      </w:pPr>
      <w:r w:rsidRPr="00E857E3">
        <w:rPr>
          <w:rStyle w:val="FootnoteReference"/>
          <w:rFonts w:ascii="Times New Roman" w:hAnsi="Times New Roman"/>
        </w:rPr>
        <w:footnoteRef/>
      </w:r>
      <w:r w:rsidRPr="00E857E3">
        <w:rPr>
          <w:rFonts w:ascii="Times New Roman" w:hAnsi="Times New Roman"/>
        </w:rPr>
        <w:t xml:space="preserve"> </w:t>
      </w:r>
      <w:r w:rsidRPr="00D57DAF">
        <w:rPr>
          <w:rFonts w:ascii="Times New Roman" w:hAnsi="Times New Roman"/>
          <w:sz w:val="22"/>
          <w:szCs w:val="22"/>
        </w:rPr>
        <w:t>When</w:t>
      </w:r>
      <w:r w:rsidRPr="00D57DAF">
        <w:rPr>
          <w:position w:val="-10"/>
          <w:sz w:val="22"/>
          <w:szCs w:val="22"/>
        </w:rPr>
        <w:object w:dxaOrig="2560" w:dyaOrig="320">
          <v:shape id="_x0000_i1744" type="#_x0000_t75" style="width:127.25pt;height:15.9pt" o:ole="">
            <v:imagedata r:id="rId1" o:title=""/>
          </v:shape>
          <o:OLEObject Type="Embed" ProgID="Equation.DSMT4" ShapeID="_x0000_i1744" DrawAspect="Content" ObjectID="_1359267666" r:id="rId2"/>
        </w:object>
      </w:r>
      <w:r w:rsidRPr="00D57DAF">
        <w:rPr>
          <w:rFonts w:ascii="Times New Roman" w:hAnsi="Times New Roman"/>
          <w:sz w:val="22"/>
          <w:szCs w:val="22"/>
        </w:rPr>
        <w:t xml:space="preserve">the preference in (3) collapses to what is commonly known as the GHH preferences according to Greenwood, </w:t>
      </w:r>
      <w:proofErr w:type="spellStart"/>
      <w:r w:rsidRPr="00D57DAF">
        <w:rPr>
          <w:rFonts w:ascii="Times New Roman" w:hAnsi="Times New Roman"/>
          <w:sz w:val="22"/>
          <w:szCs w:val="22"/>
        </w:rPr>
        <w:t>Hercowitz</w:t>
      </w:r>
      <w:proofErr w:type="spellEnd"/>
      <w:r w:rsidRPr="00D57DAF">
        <w:rPr>
          <w:rFonts w:ascii="Times New Roman" w:hAnsi="Times New Roman"/>
          <w:sz w:val="22"/>
          <w:szCs w:val="22"/>
        </w:rPr>
        <w:t xml:space="preserve">, and Huffman (1988). We have also experimented with Cobb-Douglas and the standard additively separable preference. The simulations from these two experiments smooth produces too smooth consumption on the nondurable </w:t>
      </w:r>
      <w:proofErr w:type="spellStart"/>
      <w:r w:rsidRPr="00D57DAF">
        <w:rPr>
          <w:rFonts w:ascii="Times New Roman" w:hAnsi="Times New Roman"/>
          <w:sz w:val="22"/>
          <w:szCs w:val="22"/>
        </w:rPr>
        <w:t>good</w:t>
      </w:r>
      <w:proofErr w:type="spellEnd"/>
      <w:r w:rsidRPr="00D57DAF">
        <w:rPr>
          <w:rFonts w:ascii="Times New Roman" w:hAnsi="Times New Roman"/>
          <w:sz w:val="22"/>
          <w:szCs w:val="22"/>
        </w:rPr>
        <w:t>. The results of both experiments are not reported in this study but can be available under request from the authors.</w:t>
      </w:r>
    </w:p>
  </w:footnote>
  <w:footnote w:id="8">
    <w:p w:rsidR="00240F67" w:rsidRPr="00D57DAF" w:rsidRDefault="00240F67" w:rsidP="00D57DAF">
      <w:pPr>
        <w:autoSpaceDE w:val="0"/>
        <w:autoSpaceDN w:val="0"/>
        <w:adjustRightInd w:val="0"/>
        <w:spacing w:before="120" w:after="120"/>
        <w:jc w:val="both"/>
        <w:rPr>
          <w:sz w:val="22"/>
          <w:szCs w:val="22"/>
        </w:rPr>
      </w:pPr>
      <w:r w:rsidRPr="00F73AD7">
        <w:rPr>
          <w:sz w:val="20"/>
          <w:szCs w:val="20"/>
          <w:vertAlign w:val="superscript"/>
        </w:rPr>
        <w:footnoteRef/>
      </w:r>
      <w:r w:rsidRPr="00F73AD7">
        <w:rPr>
          <w:sz w:val="20"/>
          <w:szCs w:val="20"/>
        </w:rPr>
        <w:t xml:space="preserve"> </w:t>
      </w:r>
      <w:r w:rsidRPr="00D57DAF">
        <w:rPr>
          <w:sz w:val="22"/>
          <w:szCs w:val="22"/>
        </w:rPr>
        <w:t xml:space="preserve">Uribe and </w:t>
      </w:r>
      <w:proofErr w:type="spellStart"/>
      <w:r w:rsidRPr="00D57DAF">
        <w:rPr>
          <w:sz w:val="22"/>
          <w:szCs w:val="22"/>
        </w:rPr>
        <w:t>Yue</w:t>
      </w:r>
      <w:proofErr w:type="spellEnd"/>
      <w:r w:rsidRPr="00D57DAF">
        <w:rPr>
          <w:sz w:val="22"/>
          <w:szCs w:val="22"/>
        </w:rPr>
        <w:t xml:space="preserve"> attribute about two thirds of the volatility in the country premium in emerging economies to exogenous disturbances and only one third to its domestic fundamentals as indicated by external debt only. </w:t>
      </w:r>
    </w:p>
  </w:footnote>
  <w:footnote w:id="9">
    <w:p w:rsidR="00240F67" w:rsidRDefault="00240F67" w:rsidP="00D57DAF">
      <w:pPr>
        <w:autoSpaceDE w:val="0"/>
        <w:autoSpaceDN w:val="0"/>
        <w:adjustRightInd w:val="0"/>
        <w:spacing w:before="120" w:after="120"/>
        <w:jc w:val="both"/>
      </w:pPr>
      <w:r w:rsidRPr="00D57DAF">
        <w:rPr>
          <w:sz w:val="22"/>
          <w:szCs w:val="22"/>
          <w:vertAlign w:val="superscript"/>
        </w:rPr>
        <w:footnoteRef/>
      </w:r>
      <w:r w:rsidRPr="00D57DAF">
        <w:rPr>
          <w:sz w:val="22"/>
          <w:szCs w:val="22"/>
          <w:vertAlign w:val="superscript"/>
        </w:rPr>
        <w:t xml:space="preserve"> </w:t>
      </w:r>
      <w:r w:rsidRPr="00D57DAF">
        <w:rPr>
          <w:sz w:val="22"/>
          <w:szCs w:val="22"/>
        </w:rPr>
        <w:t>Note that country premium assumes debt elastic interest rate. This is necessary to “close the open economy”; other equivalent alternatives are discussed in Schmitt-Groh and Uribe (2003).</w:t>
      </w:r>
      <w:r w:rsidRPr="00562E96">
        <w:rPr>
          <w:rFonts w:ascii="Book Antiqua" w:hAnsi="Book Antiqua"/>
        </w:rPr>
        <w:t xml:space="preserve"> </w:t>
      </w:r>
      <w:r>
        <w:t xml:space="preserve"> </w:t>
      </w:r>
    </w:p>
  </w:footnote>
  <w:footnote w:id="10">
    <w:p w:rsidR="00240F67" w:rsidRPr="00FC0096" w:rsidRDefault="00240F67" w:rsidP="00D57DAF">
      <w:pPr>
        <w:pStyle w:val="FootnoteText"/>
        <w:spacing w:before="60" w:after="120" w:line="240" w:lineRule="auto"/>
        <w:jc w:val="both"/>
        <w:rPr>
          <w:rFonts w:asciiTheme="majorBidi" w:hAnsiTheme="majorBidi" w:cstheme="majorBidi"/>
        </w:rPr>
      </w:pPr>
      <w:r w:rsidRPr="00FC0096">
        <w:rPr>
          <w:rStyle w:val="FootnoteReference"/>
          <w:rFonts w:asciiTheme="majorBidi" w:hAnsiTheme="majorBidi" w:cstheme="majorBidi"/>
        </w:rPr>
        <w:footnoteRef/>
      </w:r>
      <w:r w:rsidRPr="00FC0096">
        <w:rPr>
          <w:rFonts w:asciiTheme="majorBidi" w:hAnsiTheme="majorBidi" w:cstheme="majorBidi"/>
        </w:rPr>
        <w:t xml:space="preserve"> </w:t>
      </w:r>
      <w:r w:rsidRPr="00D57DAF">
        <w:rPr>
          <w:rFonts w:asciiTheme="majorBidi" w:hAnsiTheme="majorBidi" w:cstheme="majorBidi"/>
          <w:sz w:val="22"/>
          <w:szCs w:val="22"/>
        </w:rPr>
        <w:t>In Section 6 we analyze the macroeconomic sensitivity of using alternative feasible values of employment elasticity and intraperiod elasticity of substitution.</w:t>
      </w:r>
    </w:p>
  </w:footnote>
  <w:footnote w:id="11">
    <w:p w:rsidR="00240F67" w:rsidRPr="00D57DAF" w:rsidRDefault="00240F67" w:rsidP="00FC0096">
      <w:pPr>
        <w:pStyle w:val="FootnoteText"/>
        <w:spacing w:before="60" w:after="120" w:line="240" w:lineRule="auto"/>
        <w:jc w:val="both"/>
        <w:rPr>
          <w:rFonts w:ascii="Times New Roman" w:hAnsi="Times New Roman"/>
          <w:sz w:val="22"/>
          <w:szCs w:val="22"/>
        </w:rPr>
      </w:pPr>
      <w:r w:rsidRPr="00D57DAF">
        <w:rPr>
          <w:rStyle w:val="FootnoteReference"/>
          <w:rFonts w:ascii="Times New Roman" w:hAnsi="Times New Roman"/>
          <w:sz w:val="22"/>
          <w:szCs w:val="22"/>
        </w:rPr>
        <w:footnoteRef/>
      </w:r>
      <w:r w:rsidRPr="00D57DAF">
        <w:rPr>
          <w:rFonts w:ascii="Times New Roman" w:hAnsi="Times New Roman"/>
          <w:sz w:val="22"/>
          <w:szCs w:val="22"/>
        </w:rPr>
        <w:t xml:space="preserve"> The reason behind the observed high persistence in investment and durable data could be due to the actual national accounts classification of the components of investment and durable goods. A large component of aggregate investment data is the households’ spending on  residential structure, which may have high persistence level due to the household incentive to smooth the utility generated from these assets. Similarly the actual data on durable spending include consumption spending on semi-durables that has higher direct utility than other durables, given utility smoothing semi durables expected to be more persistence than other types of durables, thus the aggregate durable spending is more persistence than only pure durables.</w:t>
      </w:r>
    </w:p>
  </w:footnote>
  <w:footnote w:id="12">
    <w:p w:rsidR="00240F67" w:rsidRDefault="00240F67" w:rsidP="00FC0096">
      <w:pPr>
        <w:pStyle w:val="ListParagraph"/>
        <w:spacing w:before="120" w:after="120" w:line="240" w:lineRule="auto"/>
        <w:ind w:left="0"/>
        <w:jc w:val="both"/>
      </w:pPr>
      <w:r w:rsidRPr="00D57DAF">
        <w:rPr>
          <w:rStyle w:val="FootnoteReference"/>
          <w:rFonts w:ascii="Times New Roman" w:hAnsi="Times New Roman"/>
        </w:rPr>
        <w:footnoteRef/>
      </w:r>
      <w:r w:rsidRPr="00D57DAF">
        <w:rPr>
          <w:rFonts w:ascii="Times New Roman" w:hAnsi="Times New Roman"/>
        </w:rPr>
        <w:t xml:space="preserve"> Including semi-durables in the aggregate durable spending may overstate the persistence of the durable spending in the actual data and also bias the shape of the actual crosscorrelation.</w:t>
      </w:r>
    </w:p>
  </w:footnote>
  <w:footnote w:id="13">
    <w:p w:rsidR="00240F67" w:rsidRPr="00D57DAF" w:rsidRDefault="00240F67" w:rsidP="00D57DAF">
      <w:pPr>
        <w:pStyle w:val="FootnoteText"/>
        <w:spacing w:before="120" w:after="120" w:line="240" w:lineRule="auto"/>
        <w:jc w:val="both"/>
        <w:rPr>
          <w:rFonts w:ascii="Times New Roman" w:hAnsi="Times New Roman"/>
          <w:sz w:val="22"/>
          <w:szCs w:val="22"/>
        </w:rPr>
      </w:pPr>
      <w:r w:rsidRPr="00D57DAF">
        <w:rPr>
          <w:rStyle w:val="FootnoteReference"/>
          <w:rFonts w:ascii="Times New Roman" w:hAnsi="Times New Roman"/>
          <w:sz w:val="22"/>
          <w:szCs w:val="22"/>
        </w:rPr>
        <w:footnoteRef/>
      </w:r>
      <w:r w:rsidRPr="00D57DAF">
        <w:rPr>
          <w:rFonts w:ascii="Times New Roman" w:hAnsi="Times New Roman"/>
          <w:sz w:val="22"/>
          <w:szCs w:val="22"/>
        </w:rPr>
        <w:t xml:space="preserve"> Recall that the predictions of the standard open economy model relative to the open economy stylized facts deteriorates when interest rates uncertainty included in the model.</w:t>
      </w:r>
    </w:p>
  </w:footnote>
  <w:footnote w:id="14">
    <w:p w:rsidR="00240F67" w:rsidRPr="00C86268" w:rsidRDefault="00240F67" w:rsidP="00D57DAF">
      <w:pPr>
        <w:pStyle w:val="FootnoteText"/>
        <w:spacing w:before="120" w:after="120" w:line="240" w:lineRule="auto"/>
        <w:jc w:val="both"/>
        <w:rPr>
          <w:rFonts w:asciiTheme="majorBidi" w:hAnsiTheme="majorBidi" w:cstheme="majorBidi"/>
        </w:rPr>
      </w:pPr>
      <w:r w:rsidRPr="00D57DAF">
        <w:rPr>
          <w:rStyle w:val="FootnoteReference"/>
          <w:rFonts w:asciiTheme="majorBidi" w:hAnsiTheme="majorBidi" w:cstheme="majorBidi"/>
          <w:sz w:val="22"/>
          <w:szCs w:val="22"/>
        </w:rPr>
        <w:footnoteRef/>
      </w:r>
      <w:r w:rsidRPr="00D57DAF">
        <w:rPr>
          <w:rFonts w:asciiTheme="majorBidi" w:hAnsiTheme="majorBidi" w:cstheme="majorBidi"/>
          <w:sz w:val="22"/>
          <w:szCs w:val="22"/>
        </w:rPr>
        <w:t xml:space="preserve"> Our results are significantly different from Neumeyer and Perri. In their working capital model of emerging countries output, employment, consumption and investment response negatively to positive external interest rates. Trade balance, however, response positively to interest rates (see Figure 7, pp. 367).</w:t>
      </w:r>
    </w:p>
  </w:footnote>
  <w:footnote w:id="15">
    <w:p w:rsidR="00240F67" w:rsidRPr="00AD1AA7" w:rsidRDefault="00240F67" w:rsidP="0076619F">
      <w:pPr>
        <w:jc w:val="both"/>
        <w:rPr>
          <w:sz w:val="22"/>
          <w:szCs w:val="22"/>
        </w:rPr>
      </w:pPr>
      <w:r w:rsidRPr="00AD1AA7">
        <w:rPr>
          <w:rStyle w:val="FootnoteReference"/>
          <w:sz w:val="22"/>
          <w:szCs w:val="22"/>
        </w:rPr>
        <w:footnoteRef/>
      </w:r>
      <w:r w:rsidRPr="00AD1AA7">
        <w:rPr>
          <w:sz w:val="22"/>
          <w:szCs w:val="22"/>
        </w:rPr>
        <w:t xml:space="preserve"> There exist some empirical studies on the effects of terms of trade shocks. Otto (2003) tests the relationship between the terms of trade and the trade balance for fifty-five small open economies. Using a structural vector autoregressive model, he finds that a positive terms of trade shock leads to an initial improvement in the trade balance. The finding is consistent for developing countries and small OECD countries. In another study, </w:t>
      </w:r>
      <w:proofErr w:type="spellStart"/>
      <w:r w:rsidRPr="00AD1AA7">
        <w:rPr>
          <w:sz w:val="22"/>
          <w:szCs w:val="22"/>
        </w:rPr>
        <w:t>Cashin</w:t>
      </w:r>
      <w:proofErr w:type="spellEnd"/>
      <w:r w:rsidRPr="00AD1AA7">
        <w:rPr>
          <w:sz w:val="22"/>
          <w:szCs w:val="22"/>
        </w:rPr>
        <w:t xml:space="preserve"> and McDermott (2002) also use a structural VAR model to show that terms of trade shocks have significant impacts on the current account balance in Australia and New Zealand. However, in Canada, the United Kingdom, and the United States, they find that terms of trade movements are not important. Furthermore, using panel data for non-oil commodity exporters in sub-Saharan Africa, </w:t>
      </w:r>
      <w:proofErr w:type="spellStart"/>
      <w:r w:rsidRPr="00AD1AA7">
        <w:rPr>
          <w:sz w:val="22"/>
          <w:szCs w:val="22"/>
        </w:rPr>
        <w:t>Agénor</w:t>
      </w:r>
      <w:proofErr w:type="spellEnd"/>
      <w:r w:rsidRPr="00AD1AA7">
        <w:rPr>
          <w:sz w:val="22"/>
          <w:szCs w:val="22"/>
        </w:rPr>
        <w:t xml:space="preserve"> and </w:t>
      </w:r>
      <w:proofErr w:type="spellStart"/>
      <w:r w:rsidRPr="00AD1AA7">
        <w:rPr>
          <w:sz w:val="22"/>
          <w:szCs w:val="22"/>
        </w:rPr>
        <w:t>Aizenman</w:t>
      </w:r>
      <w:proofErr w:type="spellEnd"/>
      <w:r w:rsidRPr="00AD1AA7">
        <w:rPr>
          <w:sz w:val="22"/>
          <w:szCs w:val="22"/>
        </w:rPr>
        <w:t xml:space="preserve"> (2004) find that terms of trade increases have a positive effect on private savings. Using a panel VAR model and data from 75 developing countries, </w:t>
      </w:r>
      <w:proofErr w:type="spellStart"/>
      <w:r w:rsidRPr="00AD1AA7">
        <w:rPr>
          <w:sz w:val="22"/>
          <w:szCs w:val="22"/>
        </w:rPr>
        <w:t>Broda</w:t>
      </w:r>
      <w:proofErr w:type="spellEnd"/>
      <w:r w:rsidRPr="00AD1AA7">
        <w:rPr>
          <w:sz w:val="22"/>
          <w:szCs w:val="22"/>
        </w:rPr>
        <w:t xml:space="preserve"> (2004) finds that terms of trade shocks differ systematically across exchange rate regimes. He observes that they explain 30% of real GDP fluctuations in fixed regimes and about 30% of real exchange rate fluctuations in countries with flexible regimes. In an earlier panel data study, </w:t>
      </w:r>
      <w:proofErr w:type="spellStart"/>
      <w:r w:rsidRPr="00AD1AA7">
        <w:rPr>
          <w:sz w:val="22"/>
          <w:szCs w:val="22"/>
        </w:rPr>
        <w:t>Spatafora</w:t>
      </w:r>
      <w:proofErr w:type="spellEnd"/>
      <w:r w:rsidRPr="00AD1AA7">
        <w:rPr>
          <w:sz w:val="22"/>
          <w:szCs w:val="22"/>
        </w:rPr>
        <w:t xml:space="preserve"> and Warner (1999) find that permanent terms of trade shocks have significant positive effects on consumption, investment and output, no effect on saving, and an adverse effect on the trade balance. </w:t>
      </w:r>
    </w:p>
    <w:p w:rsidR="00240F67" w:rsidRDefault="00240F67" w:rsidP="0076619F">
      <w:pPr>
        <w:pStyle w:val="FootnoteText"/>
        <w:rPr>
          <w:rFonts w:ascii="Times New Roman" w:hAnsi="Times New Roman"/>
        </w:rPr>
      </w:pPr>
    </w:p>
  </w:footnote>
  <w:footnote w:id="16">
    <w:p w:rsidR="00240F67" w:rsidRPr="001415CA" w:rsidRDefault="00240F67" w:rsidP="001712BA">
      <w:pPr>
        <w:autoSpaceDE w:val="0"/>
        <w:autoSpaceDN w:val="0"/>
        <w:adjustRightInd w:val="0"/>
        <w:spacing w:before="60" w:after="120"/>
        <w:jc w:val="both"/>
        <w:rPr>
          <w:sz w:val="22"/>
          <w:szCs w:val="22"/>
        </w:rPr>
      </w:pPr>
      <w:r w:rsidRPr="001415CA">
        <w:rPr>
          <w:rStyle w:val="FootnoteReference"/>
          <w:sz w:val="22"/>
          <w:szCs w:val="22"/>
        </w:rPr>
        <w:footnoteRef/>
      </w:r>
      <w:r w:rsidRPr="001415CA">
        <w:rPr>
          <w:sz w:val="22"/>
          <w:szCs w:val="22"/>
        </w:rPr>
        <w:t xml:space="preserve"> According to Ogaki and Reinhart (1998) durable consumption improves the performance of the general equilibrium models. Uribe (2002), show that introducing time nonseparablity of the preference by assuming durability can explain the “The Price-Consumption Puzzle of Currency Pegs”. Engel and Wang (2010) show that when traded goods are durable in nature, the standard international business cycle model perform better in explaining the stylized facts of the international business cycle. </w:t>
      </w:r>
    </w:p>
  </w:footnote>
  <w:footnote w:id="17">
    <w:p w:rsidR="00240F67" w:rsidRPr="001415CA" w:rsidRDefault="00240F67" w:rsidP="00C86268">
      <w:pPr>
        <w:autoSpaceDE w:val="0"/>
        <w:autoSpaceDN w:val="0"/>
        <w:adjustRightInd w:val="0"/>
        <w:spacing w:after="120"/>
        <w:jc w:val="both"/>
        <w:rPr>
          <w:sz w:val="22"/>
          <w:szCs w:val="22"/>
        </w:rPr>
      </w:pPr>
      <w:r w:rsidRPr="001415CA">
        <w:rPr>
          <w:rStyle w:val="FootnoteReference"/>
          <w:sz w:val="22"/>
          <w:szCs w:val="22"/>
        </w:rPr>
        <w:footnoteRef/>
      </w:r>
      <w:r w:rsidRPr="001415CA">
        <w:rPr>
          <w:sz w:val="22"/>
          <w:szCs w:val="22"/>
        </w:rPr>
        <w:t xml:space="preserve"> This aspect of time non-separable preferences is exploited by Abel (1990), </w:t>
      </w:r>
      <w:proofErr w:type="spellStart"/>
      <w:r w:rsidRPr="001415CA">
        <w:rPr>
          <w:sz w:val="22"/>
          <w:szCs w:val="22"/>
        </w:rPr>
        <w:t>Constantinides</w:t>
      </w:r>
      <w:proofErr w:type="spellEnd"/>
      <w:r w:rsidRPr="001415CA">
        <w:rPr>
          <w:sz w:val="22"/>
          <w:szCs w:val="22"/>
        </w:rPr>
        <w:t xml:space="preserve"> (1990), </w:t>
      </w:r>
      <w:proofErr w:type="spellStart"/>
      <w:r w:rsidRPr="001415CA">
        <w:rPr>
          <w:sz w:val="22"/>
          <w:szCs w:val="22"/>
        </w:rPr>
        <w:t>Gali</w:t>
      </w:r>
      <w:proofErr w:type="spellEnd"/>
      <w:r w:rsidRPr="001415CA">
        <w:rPr>
          <w:sz w:val="22"/>
          <w:szCs w:val="22"/>
        </w:rPr>
        <w:t xml:space="preserve"> (1994), and Campbell and Cochrane (1995) and empirically tested to study the current account dynamics in Gruber (2004), Uribe (2002) and </w:t>
      </w:r>
      <w:proofErr w:type="spellStart"/>
      <w:r w:rsidRPr="001415CA">
        <w:rPr>
          <w:sz w:val="22"/>
          <w:szCs w:val="22"/>
        </w:rPr>
        <w:t>Letender</w:t>
      </w:r>
      <w:proofErr w:type="spellEnd"/>
      <w:r w:rsidRPr="001415CA">
        <w:rPr>
          <w:sz w:val="22"/>
          <w:szCs w:val="22"/>
        </w:rPr>
        <w:t xml:space="preserve"> (2004). Further, empirical evidence in favor of habit persistence has been provided by Heaton (1993), </w:t>
      </w:r>
      <w:proofErr w:type="spellStart"/>
      <w:r w:rsidRPr="001415CA">
        <w:rPr>
          <w:sz w:val="22"/>
          <w:szCs w:val="22"/>
        </w:rPr>
        <w:t>Ferson</w:t>
      </w:r>
      <w:proofErr w:type="spellEnd"/>
      <w:r w:rsidRPr="001415CA">
        <w:rPr>
          <w:sz w:val="22"/>
          <w:szCs w:val="22"/>
        </w:rPr>
        <w:t xml:space="preserve"> and </w:t>
      </w:r>
      <w:proofErr w:type="spellStart"/>
      <w:r w:rsidRPr="001415CA">
        <w:rPr>
          <w:sz w:val="22"/>
          <w:szCs w:val="22"/>
        </w:rPr>
        <w:t>Constantinides</w:t>
      </w:r>
      <w:proofErr w:type="spellEnd"/>
      <w:r w:rsidRPr="001415CA">
        <w:rPr>
          <w:sz w:val="22"/>
          <w:szCs w:val="22"/>
        </w:rPr>
        <w:t xml:space="preserve"> (1991), Fuhrer and Klein (1998), and </w:t>
      </w:r>
      <w:proofErr w:type="spellStart"/>
      <w:r w:rsidRPr="001415CA">
        <w:rPr>
          <w:sz w:val="22"/>
          <w:szCs w:val="22"/>
        </w:rPr>
        <w:t>Naik</w:t>
      </w:r>
      <w:proofErr w:type="spellEnd"/>
      <w:r w:rsidRPr="001415CA">
        <w:rPr>
          <w:sz w:val="22"/>
          <w:szCs w:val="22"/>
        </w:rPr>
        <w:t xml:space="preserve"> and Moore (1996) as well. </w:t>
      </w:r>
    </w:p>
  </w:footnote>
  <w:footnote w:id="18">
    <w:p w:rsidR="00240F67" w:rsidRPr="001415CA" w:rsidRDefault="00240F67" w:rsidP="00C86268">
      <w:pPr>
        <w:autoSpaceDE w:val="0"/>
        <w:autoSpaceDN w:val="0"/>
        <w:adjustRightInd w:val="0"/>
        <w:jc w:val="both"/>
        <w:rPr>
          <w:sz w:val="22"/>
          <w:szCs w:val="22"/>
        </w:rPr>
      </w:pPr>
      <w:r w:rsidRPr="001415CA">
        <w:rPr>
          <w:rStyle w:val="FootnoteReference"/>
          <w:sz w:val="22"/>
          <w:szCs w:val="22"/>
        </w:rPr>
        <w:footnoteRef/>
      </w:r>
      <w:r w:rsidRPr="001415CA">
        <w:rPr>
          <w:sz w:val="22"/>
          <w:szCs w:val="22"/>
        </w:rPr>
        <w:t xml:space="preserve"> As in Burnside, </w:t>
      </w:r>
      <w:proofErr w:type="spellStart"/>
      <w:r w:rsidRPr="001415CA">
        <w:rPr>
          <w:sz w:val="22"/>
          <w:szCs w:val="22"/>
        </w:rPr>
        <w:t>Eichenbaum</w:t>
      </w:r>
      <w:proofErr w:type="spellEnd"/>
      <w:r w:rsidRPr="001415CA">
        <w:rPr>
          <w:sz w:val="22"/>
          <w:szCs w:val="22"/>
        </w:rPr>
        <w:t xml:space="preserve"> and </w:t>
      </w:r>
      <w:proofErr w:type="spellStart"/>
      <w:r w:rsidRPr="001415CA">
        <w:rPr>
          <w:sz w:val="22"/>
          <w:szCs w:val="22"/>
        </w:rPr>
        <w:t>Rebelo</w:t>
      </w:r>
      <w:proofErr w:type="spellEnd"/>
      <w:r w:rsidRPr="001415CA">
        <w:rPr>
          <w:sz w:val="22"/>
          <w:szCs w:val="22"/>
        </w:rPr>
        <w:t xml:space="preserve"> (1993), Burnside and </w:t>
      </w:r>
      <w:proofErr w:type="spellStart"/>
      <w:r w:rsidRPr="001415CA">
        <w:rPr>
          <w:sz w:val="22"/>
          <w:szCs w:val="22"/>
        </w:rPr>
        <w:t>Eichenbaum</w:t>
      </w:r>
      <w:proofErr w:type="spellEnd"/>
      <w:r w:rsidRPr="001415CA">
        <w:rPr>
          <w:sz w:val="22"/>
          <w:szCs w:val="22"/>
        </w:rPr>
        <w:t xml:space="preserve"> (1996), and King and </w:t>
      </w:r>
      <w:proofErr w:type="spellStart"/>
      <w:r w:rsidRPr="001415CA">
        <w:rPr>
          <w:sz w:val="22"/>
          <w:szCs w:val="22"/>
        </w:rPr>
        <w:t>Rebelo</w:t>
      </w:r>
      <w:proofErr w:type="spellEnd"/>
      <w:r w:rsidRPr="001415CA">
        <w:rPr>
          <w:sz w:val="22"/>
          <w:szCs w:val="22"/>
        </w:rPr>
        <w:t xml:space="preserve"> (1999), capacity utilization reduces the variance of the innovation in productivity shocks necessary to match the observed volatility of output, and reduces the likelihood of a technological regress. Baxter and Farr (2001), Letendre (2004), and </w:t>
      </w:r>
      <w:proofErr w:type="spellStart"/>
      <w:r w:rsidRPr="001415CA">
        <w:rPr>
          <w:sz w:val="22"/>
          <w:szCs w:val="22"/>
        </w:rPr>
        <w:t>Gau</w:t>
      </w:r>
      <w:proofErr w:type="spellEnd"/>
      <w:r w:rsidRPr="001415CA">
        <w:rPr>
          <w:sz w:val="22"/>
          <w:szCs w:val="22"/>
        </w:rPr>
        <w:t xml:space="preserve"> and </w:t>
      </w:r>
      <w:proofErr w:type="spellStart"/>
      <w:r w:rsidRPr="001415CA">
        <w:rPr>
          <w:sz w:val="22"/>
          <w:szCs w:val="22"/>
        </w:rPr>
        <w:t>Janko</w:t>
      </w:r>
      <w:proofErr w:type="spellEnd"/>
      <w:r w:rsidRPr="001415CA">
        <w:rPr>
          <w:sz w:val="22"/>
          <w:szCs w:val="22"/>
        </w:rPr>
        <w:t xml:space="preserve"> (2009) utilize the variable capital utilization to improve the open economy RBC predictions as we intend to do in our model.  </w:t>
      </w:r>
    </w:p>
    <w:p w:rsidR="00240F67" w:rsidRDefault="00240F67" w:rsidP="00FB71B2">
      <w:pPr>
        <w:pStyle w:val="FootnoteText"/>
        <w:rPr>
          <w:rFonts w:ascii="Times New Roman" w:hAnsi="Times New Roman"/>
        </w:rPr>
      </w:pPr>
    </w:p>
  </w:footnote>
  <w:footnote w:id="19">
    <w:p w:rsidR="00240F67" w:rsidRPr="001415CA" w:rsidRDefault="00240F67" w:rsidP="00C86268">
      <w:pPr>
        <w:pStyle w:val="FootnoteText"/>
        <w:jc w:val="both"/>
        <w:rPr>
          <w:rFonts w:ascii="Times New Roman" w:hAnsi="Times New Roman"/>
          <w:color w:val="FF0000"/>
          <w:sz w:val="22"/>
          <w:szCs w:val="22"/>
        </w:rPr>
      </w:pPr>
      <w:r w:rsidRPr="001415CA">
        <w:rPr>
          <w:rStyle w:val="FootnoteReference"/>
          <w:rFonts w:ascii="Times New Roman" w:hAnsi="Times New Roman"/>
          <w:sz w:val="22"/>
          <w:szCs w:val="22"/>
        </w:rPr>
        <w:footnoteRef/>
      </w:r>
      <w:r w:rsidRPr="001415CA">
        <w:rPr>
          <w:rFonts w:ascii="Times New Roman" w:hAnsi="Times New Roman"/>
          <w:sz w:val="22"/>
          <w:szCs w:val="22"/>
        </w:rPr>
        <w:t xml:space="preserve"> Using a static framework, they argue that an adverse ToT leads to a decline in real income and aggregate savings, resulting in a deterioration of the current account balance. Based on static Keynesian assumptions, </w:t>
      </w:r>
      <w:proofErr w:type="spellStart"/>
      <w:r w:rsidRPr="001415CA">
        <w:rPr>
          <w:rFonts w:ascii="Times New Roman" w:hAnsi="Times New Roman"/>
          <w:sz w:val="22"/>
          <w:szCs w:val="22"/>
        </w:rPr>
        <w:t>Laursen</w:t>
      </w:r>
      <w:proofErr w:type="spellEnd"/>
      <w:r w:rsidRPr="001415CA">
        <w:rPr>
          <w:rFonts w:ascii="Times New Roman" w:hAnsi="Times New Roman"/>
          <w:sz w:val="22"/>
          <w:szCs w:val="22"/>
        </w:rPr>
        <w:t xml:space="preserve"> and </w:t>
      </w:r>
      <w:proofErr w:type="spellStart"/>
      <w:r w:rsidRPr="001415CA">
        <w:rPr>
          <w:rFonts w:ascii="Times New Roman" w:hAnsi="Times New Roman"/>
          <w:sz w:val="22"/>
          <w:szCs w:val="22"/>
        </w:rPr>
        <w:t>Mezler</w:t>
      </w:r>
      <w:proofErr w:type="spellEnd"/>
      <w:r w:rsidRPr="001415CA">
        <w:rPr>
          <w:rFonts w:ascii="Times New Roman" w:hAnsi="Times New Roman"/>
          <w:sz w:val="22"/>
          <w:szCs w:val="22"/>
        </w:rPr>
        <w:t xml:space="preserve"> show that an exogenous rise in the tot of a small open economy leads to an improvement in its trade balance. The reason is that an improvement in a country’s ToT raises its current income, and, given a marginal propensity to consume less than unity, current consumption increases less than current income, causing private savings to increase.</w:t>
      </w:r>
    </w:p>
  </w:footnote>
  <w:footnote w:id="20">
    <w:p w:rsidR="00240F67" w:rsidRPr="001415CA" w:rsidRDefault="00240F67" w:rsidP="001415CA">
      <w:pPr>
        <w:pStyle w:val="FootnoteText"/>
        <w:rPr>
          <w:rFonts w:asciiTheme="majorBidi" w:hAnsiTheme="majorBidi" w:cstheme="majorBidi"/>
          <w:sz w:val="22"/>
          <w:szCs w:val="22"/>
        </w:rPr>
      </w:pPr>
      <w:r w:rsidRPr="001415CA">
        <w:rPr>
          <w:rFonts w:asciiTheme="majorBidi" w:hAnsiTheme="majorBidi" w:cstheme="majorBidi"/>
          <w:sz w:val="22"/>
          <w:szCs w:val="22"/>
          <w:vertAlign w:val="superscript"/>
        </w:rPr>
        <w:footnoteRef/>
      </w:r>
      <w:r w:rsidRPr="001415CA">
        <w:rPr>
          <w:rFonts w:asciiTheme="majorBidi" w:hAnsiTheme="majorBidi" w:cstheme="majorBidi"/>
          <w:sz w:val="22"/>
          <w:szCs w:val="22"/>
        </w:rPr>
        <w:t xml:space="preserve"> The intra-trade phenomena, among advanced economies, are explained by the similarity in the taste and product differentiation among developed countries.</w:t>
      </w:r>
    </w:p>
  </w:footnote>
  <w:footnote w:id="21">
    <w:p w:rsidR="00240F67" w:rsidRPr="001415CA" w:rsidRDefault="00240F67" w:rsidP="00EE6912">
      <w:pPr>
        <w:pStyle w:val="FootnoteText"/>
        <w:spacing w:before="60" w:after="120" w:line="240" w:lineRule="auto"/>
        <w:jc w:val="both"/>
        <w:rPr>
          <w:rFonts w:ascii="Times New Roman" w:hAnsi="Times New Roman"/>
          <w:sz w:val="22"/>
          <w:szCs w:val="22"/>
        </w:rPr>
      </w:pPr>
      <w:r w:rsidRPr="001415CA">
        <w:rPr>
          <w:rStyle w:val="FootnoteReference"/>
          <w:rFonts w:ascii="Times New Roman" w:hAnsi="Times New Roman"/>
          <w:sz w:val="22"/>
          <w:szCs w:val="22"/>
        </w:rPr>
        <w:footnoteRef/>
      </w:r>
      <w:r w:rsidRPr="001415CA">
        <w:rPr>
          <w:rFonts w:ascii="Times New Roman" w:hAnsi="Times New Roman"/>
          <w:sz w:val="22"/>
          <w:szCs w:val="22"/>
        </w:rPr>
        <w:t xml:space="preserve"> It should be noted that when</w:t>
      </w:r>
      <w:r w:rsidRPr="001415CA">
        <w:rPr>
          <w:rFonts w:ascii="Times New Roman" w:eastAsia="Times New Roman" w:hAnsi="Times New Roman"/>
          <w:position w:val="-12"/>
          <w:sz w:val="22"/>
          <w:szCs w:val="22"/>
        </w:rPr>
        <w:object w:dxaOrig="2175" w:dyaOrig="345">
          <v:shape id="_x0000_i1746" type="#_x0000_t75" style="width:109.65pt;height:16.75pt" o:ole="">
            <v:imagedata r:id="rId3" o:title=""/>
          </v:shape>
          <o:OLEObject Type="Embed" ProgID="Equation.DSMT4" ShapeID="_x0000_i1746" DrawAspect="Content" ObjectID="_1359267667" r:id="rId4"/>
        </w:object>
      </w:r>
      <w:r w:rsidRPr="001415CA">
        <w:rPr>
          <w:rFonts w:ascii="Times New Roman" w:hAnsi="Times New Roman"/>
          <w:sz w:val="22"/>
          <w:szCs w:val="22"/>
        </w:rPr>
        <w:t xml:space="preserve">the preference in (3) collapses to what is commonly known as the GHH preferences due to Greenwood, </w:t>
      </w:r>
      <w:proofErr w:type="spellStart"/>
      <w:r w:rsidRPr="001415CA">
        <w:rPr>
          <w:rFonts w:ascii="Times New Roman" w:hAnsi="Times New Roman"/>
          <w:sz w:val="22"/>
          <w:szCs w:val="22"/>
        </w:rPr>
        <w:t>Hercowitz</w:t>
      </w:r>
      <w:proofErr w:type="spellEnd"/>
      <w:r w:rsidRPr="001415CA">
        <w:rPr>
          <w:rFonts w:ascii="Times New Roman" w:hAnsi="Times New Roman"/>
          <w:sz w:val="22"/>
          <w:szCs w:val="22"/>
        </w:rPr>
        <w:t xml:space="preserve">, and Huffman (1988). In open economy RBC models such preference is often recommended.  </w:t>
      </w:r>
    </w:p>
  </w:footnote>
  <w:footnote w:id="22">
    <w:p w:rsidR="00240F67" w:rsidRPr="001415CA" w:rsidRDefault="00240F67" w:rsidP="001415CA">
      <w:pPr>
        <w:pStyle w:val="FootnoteText"/>
        <w:spacing w:before="120" w:after="120"/>
        <w:jc w:val="both"/>
        <w:rPr>
          <w:sz w:val="22"/>
          <w:szCs w:val="22"/>
        </w:rPr>
      </w:pPr>
      <w:r w:rsidRPr="001415CA">
        <w:rPr>
          <w:rStyle w:val="FootnoteReference"/>
          <w:rFonts w:ascii="Times New Roman" w:hAnsi="Times New Roman"/>
          <w:sz w:val="22"/>
          <w:szCs w:val="22"/>
        </w:rPr>
        <w:footnoteRef/>
      </w:r>
      <w:r w:rsidRPr="001415CA">
        <w:rPr>
          <w:rFonts w:ascii="Times New Roman" w:hAnsi="Times New Roman"/>
          <w:sz w:val="22"/>
          <w:szCs w:val="22"/>
        </w:rPr>
        <w:t xml:space="preserve"> Although it is it is possible for household to make negative purchases of either or both durable goods, their consumption of durables will continue to be positive as long as they carry some stock of durables from previous periods.</w:t>
      </w:r>
    </w:p>
  </w:footnote>
  <w:footnote w:id="23">
    <w:p w:rsidR="00240F67" w:rsidRPr="001415CA" w:rsidRDefault="00240F67" w:rsidP="00D444EF">
      <w:pPr>
        <w:pStyle w:val="FootnoteText"/>
        <w:jc w:val="both"/>
        <w:rPr>
          <w:rFonts w:asciiTheme="majorBidi" w:hAnsiTheme="majorBidi" w:cstheme="majorBidi"/>
          <w:sz w:val="22"/>
          <w:szCs w:val="22"/>
        </w:rPr>
      </w:pPr>
      <w:r w:rsidRPr="001415CA">
        <w:rPr>
          <w:rStyle w:val="FootnoteReference"/>
          <w:rFonts w:asciiTheme="majorBidi" w:hAnsiTheme="majorBidi" w:cstheme="majorBidi"/>
          <w:sz w:val="22"/>
          <w:szCs w:val="22"/>
        </w:rPr>
        <w:footnoteRef/>
      </w:r>
      <w:r w:rsidRPr="001415CA">
        <w:rPr>
          <w:rFonts w:asciiTheme="majorBidi" w:hAnsiTheme="majorBidi" w:cstheme="majorBidi"/>
          <w:sz w:val="22"/>
          <w:szCs w:val="22"/>
        </w:rPr>
        <w:t xml:space="preserve"> It is very challenging to account for the high level of persistence in investment data. It seems that the reason for the observed high persistence in investment data is due to actual national accounts classification of the components of investment and durable goods. A large component of aggregate investment data is households’ spending on residential structure, which may have high persistence level due to household’s incentives for consumption smoothing.</w:t>
      </w:r>
    </w:p>
  </w:footnote>
  <w:footnote w:id="24">
    <w:p w:rsidR="00240F67" w:rsidRPr="001415CA" w:rsidRDefault="00240F67" w:rsidP="0019589A">
      <w:pPr>
        <w:pStyle w:val="FootnoteText"/>
        <w:spacing w:before="60" w:after="120" w:line="240" w:lineRule="auto"/>
        <w:rPr>
          <w:rFonts w:asciiTheme="majorBidi" w:hAnsiTheme="majorBidi" w:cstheme="majorBidi"/>
          <w:sz w:val="22"/>
          <w:szCs w:val="22"/>
        </w:rPr>
      </w:pPr>
      <w:r w:rsidRPr="001415CA">
        <w:rPr>
          <w:rStyle w:val="FootnoteReference"/>
          <w:rFonts w:asciiTheme="majorBidi" w:hAnsiTheme="majorBidi" w:cstheme="majorBidi"/>
          <w:sz w:val="22"/>
          <w:szCs w:val="22"/>
        </w:rPr>
        <w:footnoteRef/>
      </w:r>
      <w:r w:rsidRPr="001415CA">
        <w:rPr>
          <w:rFonts w:asciiTheme="majorBidi" w:hAnsiTheme="majorBidi" w:cstheme="majorBidi"/>
          <w:sz w:val="22"/>
          <w:szCs w:val="22"/>
        </w:rPr>
        <w:t xml:space="preserve"> Most of the RBC literature with ToT is based on the assumption of constant interest rates.</w:t>
      </w:r>
    </w:p>
  </w:footnote>
  <w:footnote w:id="25">
    <w:p w:rsidR="00240F67" w:rsidRDefault="00240F67" w:rsidP="0019589A">
      <w:pPr>
        <w:pStyle w:val="FootnoteText"/>
        <w:spacing w:after="120" w:line="240" w:lineRule="auto"/>
      </w:pPr>
      <w:r w:rsidRPr="001415CA">
        <w:rPr>
          <w:rStyle w:val="FootnoteReference"/>
          <w:rFonts w:asciiTheme="majorBidi" w:hAnsiTheme="majorBidi" w:cstheme="majorBidi"/>
          <w:sz w:val="22"/>
          <w:szCs w:val="22"/>
        </w:rPr>
        <w:footnoteRef/>
      </w:r>
      <w:r w:rsidRPr="001415CA">
        <w:rPr>
          <w:rFonts w:asciiTheme="majorBidi" w:hAnsiTheme="majorBidi" w:cstheme="majorBidi"/>
          <w:sz w:val="22"/>
          <w:szCs w:val="22"/>
        </w:rPr>
        <w:t xml:space="preserve"> Domestic absorption consists of household’s spending and on consumption and household’s aggregate spending investment.</w:t>
      </w:r>
      <w:r>
        <w:t xml:space="preserve"> </w:t>
      </w:r>
    </w:p>
  </w:footnote>
  <w:footnote w:id="26">
    <w:p w:rsidR="00240F67" w:rsidRPr="001415CA" w:rsidRDefault="00240F67" w:rsidP="0023410E">
      <w:pPr>
        <w:pStyle w:val="FootnoteText"/>
        <w:rPr>
          <w:rFonts w:asciiTheme="majorBidi" w:hAnsiTheme="majorBidi" w:cstheme="majorBidi"/>
          <w:sz w:val="22"/>
          <w:szCs w:val="22"/>
        </w:rPr>
      </w:pPr>
      <w:r w:rsidRPr="001415CA">
        <w:rPr>
          <w:rStyle w:val="FootnoteReference"/>
          <w:rFonts w:asciiTheme="majorBidi" w:hAnsiTheme="majorBidi" w:cstheme="majorBidi"/>
          <w:sz w:val="22"/>
          <w:szCs w:val="22"/>
        </w:rPr>
        <w:footnoteRef/>
      </w:r>
      <w:r w:rsidRPr="001415CA">
        <w:rPr>
          <w:rFonts w:asciiTheme="majorBidi" w:hAnsiTheme="majorBidi" w:cstheme="majorBidi"/>
          <w:sz w:val="22"/>
          <w:szCs w:val="22"/>
        </w:rPr>
        <w:t xml:space="preserve"> The IRFs for these experiments are available upon request. </w:t>
      </w:r>
    </w:p>
  </w:footnote>
  <w:footnote w:id="27">
    <w:p w:rsidR="00240F67" w:rsidRPr="00953E72" w:rsidRDefault="00240F67" w:rsidP="0019589A">
      <w:pPr>
        <w:autoSpaceDE w:val="0"/>
        <w:autoSpaceDN w:val="0"/>
        <w:adjustRightInd w:val="0"/>
        <w:spacing w:before="60" w:after="120"/>
        <w:rPr>
          <w:sz w:val="20"/>
          <w:szCs w:val="20"/>
        </w:rPr>
      </w:pPr>
      <w:r w:rsidRPr="00953E72">
        <w:rPr>
          <w:rStyle w:val="FootnoteReference"/>
          <w:sz w:val="20"/>
          <w:szCs w:val="20"/>
        </w:rPr>
        <w:footnoteRef/>
      </w:r>
      <w:r w:rsidRPr="00953E72">
        <w:rPr>
          <w:sz w:val="20"/>
          <w:szCs w:val="20"/>
        </w:rPr>
        <w:t xml:space="preserve"> </w:t>
      </w:r>
      <w:proofErr w:type="spellStart"/>
      <w:r w:rsidRPr="00953E72">
        <w:rPr>
          <w:sz w:val="20"/>
          <w:szCs w:val="20"/>
        </w:rPr>
        <w:t>Balassone</w:t>
      </w:r>
      <w:proofErr w:type="spellEnd"/>
      <w:r w:rsidRPr="00953E72">
        <w:rPr>
          <w:sz w:val="20"/>
          <w:szCs w:val="20"/>
        </w:rPr>
        <w:t xml:space="preserve">, Franco, and </w:t>
      </w:r>
      <w:proofErr w:type="spellStart"/>
      <w:r w:rsidRPr="00953E72">
        <w:rPr>
          <w:sz w:val="20"/>
          <w:szCs w:val="20"/>
        </w:rPr>
        <w:t>Zotteri</w:t>
      </w:r>
      <w:proofErr w:type="spellEnd"/>
      <w:r w:rsidRPr="00953E72">
        <w:rPr>
          <w:sz w:val="20"/>
          <w:szCs w:val="20"/>
        </w:rPr>
        <w:t xml:space="preserve"> (2007) among others, argues that under some conditions European Monetary Union countries can benefit from BSFs as the Stability and Growth Pact (</w:t>
      </w:r>
      <w:smartTag w:uri="urn:schemas-microsoft-com:office:smarttags" w:element="stockticker">
        <w:r w:rsidRPr="00953E72">
          <w:rPr>
            <w:sz w:val="20"/>
            <w:szCs w:val="20"/>
          </w:rPr>
          <w:t>SGP</w:t>
        </w:r>
      </w:smartTag>
      <w:r w:rsidRPr="00953E72">
        <w:rPr>
          <w:sz w:val="20"/>
          <w:szCs w:val="20"/>
        </w:rPr>
        <w:t xml:space="preserve">) limits the amount of the budget deficit in these countries. </w:t>
      </w:r>
    </w:p>
    <w:p w:rsidR="00240F67" w:rsidRDefault="00240F67" w:rsidP="00C05320">
      <w:pPr>
        <w:autoSpaceDE w:val="0"/>
        <w:autoSpaceDN w:val="0"/>
        <w:adjustRightInd w:val="0"/>
      </w:pPr>
    </w:p>
  </w:footnote>
  <w:footnote w:id="28">
    <w:p w:rsidR="00240F67" w:rsidRDefault="00240F67" w:rsidP="0019589A">
      <w:pPr>
        <w:pStyle w:val="FootnoteText"/>
        <w:spacing w:before="60" w:after="120" w:line="240" w:lineRule="auto"/>
        <w:jc w:val="both"/>
      </w:pPr>
      <w:r w:rsidRPr="00953E72">
        <w:rPr>
          <w:rStyle w:val="FootnoteReference"/>
          <w:rFonts w:ascii="Times New Roman" w:hAnsi="Times New Roman"/>
        </w:rPr>
        <w:footnoteRef/>
      </w:r>
      <w:r w:rsidRPr="00953E72">
        <w:rPr>
          <w:rFonts w:ascii="Times New Roman" w:hAnsi="Times New Roman"/>
        </w:rPr>
        <w:t xml:space="preserve"> </w:t>
      </w:r>
      <w:r>
        <w:rPr>
          <w:rFonts w:ascii="Times New Roman" w:hAnsi="Times New Roman"/>
        </w:rPr>
        <w:t xml:space="preserve">Moreover, </w:t>
      </w:r>
      <w:r w:rsidRPr="00953E72">
        <w:rPr>
          <w:rFonts w:ascii="Times New Roman" w:hAnsi="Times New Roman"/>
        </w:rPr>
        <w:t xml:space="preserve">Levinson (1998, 2007), </w:t>
      </w:r>
      <w:proofErr w:type="spellStart"/>
      <w:r w:rsidRPr="00953E72">
        <w:rPr>
          <w:rFonts w:ascii="Times New Roman" w:hAnsi="Times New Roman"/>
        </w:rPr>
        <w:t>Krol</w:t>
      </w:r>
      <w:proofErr w:type="spellEnd"/>
      <w:r w:rsidRPr="00953E72">
        <w:rPr>
          <w:rFonts w:ascii="Times New Roman" w:hAnsi="Times New Roman"/>
        </w:rPr>
        <w:t xml:space="preserve"> and </w:t>
      </w:r>
      <w:proofErr w:type="spellStart"/>
      <w:r w:rsidRPr="00953E72">
        <w:rPr>
          <w:rFonts w:ascii="Times New Roman" w:hAnsi="Times New Roman"/>
        </w:rPr>
        <w:t>Svorny</w:t>
      </w:r>
      <w:proofErr w:type="spellEnd"/>
      <w:r w:rsidRPr="00953E72">
        <w:rPr>
          <w:rFonts w:ascii="Times New Roman" w:hAnsi="Times New Roman"/>
        </w:rPr>
        <w:t xml:space="preserve"> (2007) </w:t>
      </w:r>
      <w:proofErr w:type="gramStart"/>
      <w:r w:rsidRPr="00953E72">
        <w:rPr>
          <w:rFonts w:ascii="Times New Roman" w:hAnsi="Times New Roman"/>
        </w:rPr>
        <w:t>find  that</w:t>
      </w:r>
      <w:proofErr w:type="gramEnd"/>
      <w:r w:rsidRPr="00953E72">
        <w:rPr>
          <w:rFonts w:ascii="Times New Roman" w:hAnsi="Times New Roman"/>
        </w:rPr>
        <w:t xml:space="preserve"> </w:t>
      </w:r>
      <w:r>
        <w:rPr>
          <w:rFonts w:ascii="Times New Roman" w:hAnsi="Times New Roman"/>
        </w:rPr>
        <w:t>s</w:t>
      </w:r>
      <w:r w:rsidRPr="00953E72">
        <w:rPr>
          <w:rFonts w:ascii="Times New Roman" w:hAnsi="Times New Roman"/>
        </w:rPr>
        <w:t xml:space="preserve">tates with strict balanced budget rules </w:t>
      </w:r>
      <w:r>
        <w:rPr>
          <w:rFonts w:ascii="Times New Roman" w:hAnsi="Times New Roman"/>
        </w:rPr>
        <w:t xml:space="preserve">encounter </w:t>
      </w:r>
      <w:r w:rsidRPr="00953E72">
        <w:rPr>
          <w:rFonts w:ascii="Times New Roman" w:hAnsi="Times New Roman"/>
        </w:rPr>
        <w:t xml:space="preserve">volatile business cycles. </w:t>
      </w:r>
      <w:r>
        <w:rPr>
          <w:rFonts w:ascii="Times New Roman" w:hAnsi="Times New Roman"/>
        </w:rPr>
        <w:t xml:space="preserve">In a recent study </w:t>
      </w:r>
      <w:r w:rsidRPr="00953E72">
        <w:rPr>
          <w:rFonts w:ascii="Times New Roman" w:hAnsi="Times New Roman"/>
        </w:rPr>
        <w:t>on BSF management</w:t>
      </w:r>
      <w:r>
        <w:rPr>
          <w:rFonts w:ascii="Times New Roman" w:hAnsi="Times New Roman"/>
        </w:rPr>
        <w:t xml:space="preserve">, </w:t>
      </w:r>
      <w:r w:rsidRPr="00953E72">
        <w:rPr>
          <w:rFonts w:ascii="Times New Roman" w:hAnsi="Times New Roman"/>
        </w:rPr>
        <w:t>Rose (2008) find</w:t>
      </w:r>
      <w:r>
        <w:rPr>
          <w:rFonts w:ascii="Times New Roman" w:hAnsi="Times New Roman"/>
        </w:rPr>
        <w:t>s</w:t>
      </w:r>
      <w:r w:rsidRPr="00953E72">
        <w:rPr>
          <w:rFonts w:ascii="Times New Roman" w:hAnsi="Times New Roman"/>
        </w:rPr>
        <w:t xml:space="preserve"> that U.S. state politicians manipulate rainy day funds for political purposes. Given these studies</w:t>
      </w:r>
      <w:r>
        <w:rPr>
          <w:rFonts w:ascii="Times New Roman" w:hAnsi="Times New Roman"/>
        </w:rPr>
        <w:t>,</w:t>
      </w:r>
      <w:r w:rsidRPr="00953E72">
        <w:rPr>
          <w:rFonts w:ascii="Times New Roman" w:hAnsi="Times New Roman"/>
        </w:rPr>
        <w:t xml:space="preserve"> one may suspect that the balanced budget role </w:t>
      </w:r>
      <w:r>
        <w:rPr>
          <w:rFonts w:ascii="Times New Roman" w:hAnsi="Times New Roman"/>
        </w:rPr>
        <w:t xml:space="preserve">of, even with BSF, </w:t>
      </w:r>
      <w:r w:rsidRPr="00953E72">
        <w:rPr>
          <w:rFonts w:ascii="Times New Roman" w:hAnsi="Times New Roman"/>
        </w:rPr>
        <w:t>may increase the volatility of business</w:t>
      </w:r>
      <w:r>
        <w:rPr>
          <w:rFonts w:ascii="Times New Roman" w:hAnsi="Times New Roman"/>
        </w:rPr>
        <w:t xml:space="preserve"> due to political business cycles</w:t>
      </w:r>
      <w:r w:rsidRPr="00953E72">
        <w:rPr>
          <w:rFonts w:ascii="Times New Roman" w:hAnsi="Times New Roman"/>
        </w:rPr>
        <w:t>.</w:t>
      </w:r>
    </w:p>
  </w:footnote>
  <w:footnote w:id="29">
    <w:p w:rsidR="00240F67" w:rsidRDefault="00240F67" w:rsidP="0019589A">
      <w:pPr>
        <w:pStyle w:val="FootnoteText"/>
        <w:spacing w:before="60" w:after="120" w:line="240" w:lineRule="auto"/>
      </w:pPr>
      <w:r w:rsidRPr="00953E72">
        <w:rPr>
          <w:rStyle w:val="FootnoteReference"/>
          <w:rFonts w:ascii="Times New Roman" w:hAnsi="Times New Roman"/>
        </w:rPr>
        <w:footnoteRef/>
      </w:r>
      <w:r w:rsidRPr="00953E72">
        <w:rPr>
          <w:rFonts w:ascii="Times New Roman" w:hAnsi="Times New Roman"/>
        </w:rPr>
        <w:t xml:space="preserve"> Wagner and </w:t>
      </w:r>
      <w:proofErr w:type="spellStart"/>
      <w:r w:rsidRPr="00953E72">
        <w:rPr>
          <w:rFonts w:ascii="Times New Roman" w:hAnsi="Times New Roman"/>
        </w:rPr>
        <w:t>Sobel</w:t>
      </w:r>
      <w:proofErr w:type="spellEnd"/>
      <w:r w:rsidRPr="00953E72">
        <w:rPr>
          <w:rFonts w:ascii="Times New Roman" w:hAnsi="Times New Roman"/>
        </w:rPr>
        <w:t xml:space="preserve"> (2006) examine empirically the </w:t>
      </w:r>
      <w:r>
        <w:rPr>
          <w:rFonts w:ascii="Times New Roman" w:hAnsi="Times New Roman"/>
        </w:rPr>
        <w:t>BSF</w:t>
      </w:r>
      <w:r w:rsidRPr="00953E72">
        <w:rPr>
          <w:rFonts w:ascii="Times New Roman" w:hAnsi="Times New Roman"/>
        </w:rPr>
        <w:t xml:space="preserve"> adoption decision of the states.</w:t>
      </w:r>
    </w:p>
  </w:footnote>
  <w:footnote w:id="30">
    <w:p w:rsidR="00240F67" w:rsidRPr="001415CA" w:rsidRDefault="00240F67" w:rsidP="001415CA">
      <w:pPr>
        <w:pStyle w:val="FootnoteText"/>
        <w:spacing w:before="60" w:after="120" w:line="240" w:lineRule="auto"/>
        <w:rPr>
          <w:sz w:val="22"/>
          <w:szCs w:val="22"/>
        </w:rPr>
      </w:pPr>
      <w:r w:rsidRPr="001415CA">
        <w:rPr>
          <w:rStyle w:val="FootnoteReference"/>
          <w:rFonts w:ascii="Times New Roman" w:hAnsi="Times New Roman"/>
          <w:sz w:val="22"/>
          <w:szCs w:val="22"/>
        </w:rPr>
        <w:footnoteRef/>
      </w:r>
      <w:r w:rsidRPr="001415CA">
        <w:rPr>
          <w:rFonts w:ascii="Times New Roman" w:hAnsi="Times New Roman"/>
          <w:sz w:val="22"/>
          <w:szCs w:val="22"/>
        </w:rPr>
        <w:t xml:space="preserve"> When </w:t>
      </w:r>
      <w:r w:rsidRPr="001415CA">
        <w:rPr>
          <w:rFonts w:ascii="Times New Roman" w:hAnsi="Times New Roman"/>
          <w:position w:val="-10"/>
          <w:sz w:val="22"/>
          <w:szCs w:val="22"/>
        </w:rPr>
        <w:object w:dxaOrig="639" w:dyaOrig="240">
          <v:shape id="_x0000_i1748" type="#_x0000_t75" style="width:32.65pt;height:13.4pt" o:ole="">
            <v:imagedata r:id="rId5" o:title=""/>
          </v:shape>
          <o:OLEObject Type="Embed" ProgID="Equation.DSMT4" ShapeID="_x0000_i1748" DrawAspect="Content" ObjectID="_1359267668" r:id="rId6"/>
        </w:object>
      </w:r>
      <w:r w:rsidRPr="001415CA">
        <w:rPr>
          <w:rFonts w:ascii="Times New Roman" w:hAnsi="Times New Roman"/>
          <w:position w:val="-10"/>
          <w:sz w:val="22"/>
          <w:szCs w:val="22"/>
        </w:rPr>
        <w:t xml:space="preserve"> </w:t>
      </w:r>
      <w:r w:rsidRPr="001415CA">
        <w:rPr>
          <w:rFonts w:ascii="Times New Roman" w:hAnsi="Times New Roman"/>
          <w:sz w:val="22"/>
          <w:szCs w:val="22"/>
        </w:rPr>
        <w:t>the two goods become perfect substitutes, and when</w:t>
      </w:r>
      <w:r w:rsidRPr="001415CA">
        <w:rPr>
          <w:rFonts w:ascii="Times New Roman" w:hAnsi="Times New Roman"/>
          <w:position w:val="-10"/>
          <w:sz w:val="22"/>
          <w:szCs w:val="22"/>
        </w:rPr>
        <w:t xml:space="preserve"> </w:t>
      </w:r>
      <w:r w:rsidRPr="001415CA">
        <w:rPr>
          <w:rFonts w:ascii="Times New Roman" w:hAnsi="Times New Roman"/>
          <w:position w:val="-10"/>
          <w:sz w:val="22"/>
          <w:szCs w:val="22"/>
        </w:rPr>
        <w:object w:dxaOrig="560" w:dyaOrig="279">
          <v:shape id="_x0000_i1750" type="#_x0000_t75" style="width:25.1pt;height:13.4pt" o:ole="">
            <v:imagedata r:id="rId7" o:title=""/>
          </v:shape>
          <o:OLEObject Type="Embed" ProgID="Equation.DSMT4" ShapeID="_x0000_i1750" DrawAspect="Content" ObjectID="_1359267669" r:id="rId8"/>
        </w:object>
      </w:r>
      <w:r w:rsidRPr="001415CA">
        <w:rPr>
          <w:rFonts w:ascii="Times New Roman" w:hAnsi="Times New Roman"/>
          <w:sz w:val="22"/>
          <w:szCs w:val="22"/>
        </w:rPr>
        <w:t xml:space="preserve"> utility becomes a standard Cobb-Douglas function.</w:t>
      </w:r>
    </w:p>
  </w:footnote>
  <w:footnote w:id="31">
    <w:p w:rsidR="00240F67" w:rsidRPr="00C83735" w:rsidRDefault="00240F67" w:rsidP="001415CA">
      <w:pPr>
        <w:autoSpaceDE w:val="0"/>
        <w:autoSpaceDN w:val="0"/>
        <w:adjustRightInd w:val="0"/>
        <w:rPr>
          <w:sz w:val="20"/>
          <w:szCs w:val="20"/>
        </w:rPr>
      </w:pPr>
      <w:r w:rsidRPr="001415CA">
        <w:rPr>
          <w:rStyle w:val="FootnoteReference"/>
          <w:sz w:val="22"/>
          <w:szCs w:val="22"/>
        </w:rPr>
        <w:footnoteRef/>
      </w:r>
      <w:r w:rsidRPr="001415CA">
        <w:rPr>
          <w:sz w:val="22"/>
          <w:szCs w:val="22"/>
        </w:rPr>
        <w:t xml:space="preserve"> It should be noted that with</w:t>
      </w:r>
      <w:r w:rsidRPr="001415CA">
        <w:rPr>
          <w:sz w:val="22"/>
          <w:szCs w:val="22"/>
        </w:rPr>
        <w:fldChar w:fldCharType="begin"/>
      </w:r>
      <w:r w:rsidRPr="001415CA">
        <w:rPr>
          <w:sz w:val="22"/>
          <w:szCs w:val="22"/>
        </w:rPr>
        <w:instrText xml:space="preserve"> QUOTE </w:instrText>
      </w:r>
      <w:r w:rsidRPr="001415CA">
        <w:rPr>
          <w:noProof/>
          <w:sz w:val="22"/>
          <w:szCs w:val="22"/>
        </w:rPr>
        <w:drawing>
          <wp:inline distT="0" distB="0" distL="0" distR="0">
            <wp:extent cx="828040" cy="1466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828040" cy="146685"/>
                    </a:xfrm>
                    <a:prstGeom prst="rect">
                      <a:avLst/>
                    </a:prstGeom>
                    <a:noFill/>
                    <a:ln w="9525">
                      <a:noFill/>
                      <a:miter lim="800000"/>
                      <a:headEnd/>
                      <a:tailEnd/>
                    </a:ln>
                  </pic:spPr>
                </pic:pic>
              </a:graphicData>
            </a:graphic>
          </wp:inline>
        </w:drawing>
      </w:r>
      <w:r w:rsidRPr="001415CA">
        <w:rPr>
          <w:sz w:val="22"/>
          <w:szCs w:val="22"/>
        </w:rPr>
        <w:instrText xml:space="preserve"> </w:instrText>
      </w:r>
      <w:r w:rsidRPr="001415CA">
        <w:rPr>
          <w:sz w:val="22"/>
          <w:szCs w:val="22"/>
        </w:rPr>
        <w:fldChar w:fldCharType="separate"/>
      </w:r>
      <w:r w:rsidRPr="001415CA">
        <w:rPr>
          <w:position w:val="-10"/>
          <w:sz w:val="22"/>
          <w:szCs w:val="22"/>
        </w:rPr>
        <w:object w:dxaOrig="1700" w:dyaOrig="300">
          <v:shape id="_x0000_i1752" type="#_x0000_t75" style="width:85.4pt;height:16.75pt" o:ole="">
            <v:imagedata r:id="rId10" o:title=""/>
          </v:shape>
          <o:OLEObject Type="Embed" ProgID="Equation.DSMT4" ShapeID="_x0000_i1752" DrawAspect="Content" ObjectID="_1359267670" r:id="rId11"/>
        </w:object>
      </w:r>
      <w:r w:rsidRPr="001415CA">
        <w:rPr>
          <w:sz w:val="22"/>
          <w:szCs w:val="22"/>
        </w:rPr>
        <w:fldChar w:fldCharType="end"/>
      </w:r>
      <w:r w:rsidRPr="001415CA">
        <w:rPr>
          <w:sz w:val="22"/>
          <w:szCs w:val="22"/>
        </w:rPr>
        <w:t xml:space="preserve"> the preference in (3) collapses to what is commonly known as the GHH preferences due to Greenwood, </w:t>
      </w:r>
      <w:proofErr w:type="spellStart"/>
      <w:r w:rsidRPr="001415CA">
        <w:rPr>
          <w:sz w:val="22"/>
          <w:szCs w:val="22"/>
        </w:rPr>
        <w:t>Hercowitz</w:t>
      </w:r>
      <w:proofErr w:type="spellEnd"/>
      <w:r w:rsidRPr="001415CA">
        <w:rPr>
          <w:sz w:val="22"/>
          <w:szCs w:val="22"/>
        </w:rPr>
        <w:t>, and Huffman (1988). In open economy RBC models such preferences are often recommended. Under this specification, the labor supply which is independent of consumption depends only on the marginal product of labor. This eliminates the income effect and makes consumption and labor supply more sensitive to a technology shock.</w:t>
      </w:r>
      <w:r w:rsidRPr="005E686E">
        <w:rPr>
          <w:sz w:val="20"/>
          <w:szCs w:val="20"/>
        </w:rPr>
        <w:t xml:space="preserve"> </w:t>
      </w:r>
    </w:p>
  </w:footnote>
  <w:footnote w:id="32">
    <w:p w:rsidR="00240F67" w:rsidRPr="001415CA" w:rsidRDefault="00240F67" w:rsidP="001415CA">
      <w:pPr>
        <w:pStyle w:val="FootnoteText"/>
        <w:spacing w:before="60" w:after="120" w:line="240" w:lineRule="auto"/>
        <w:jc w:val="both"/>
        <w:rPr>
          <w:rFonts w:asciiTheme="majorBidi" w:hAnsiTheme="majorBidi" w:cstheme="majorBidi"/>
          <w:sz w:val="22"/>
          <w:szCs w:val="22"/>
        </w:rPr>
      </w:pPr>
      <w:r w:rsidRPr="001415CA">
        <w:rPr>
          <w:rFonts w:asciiTheme="majorBidi" w:hAnsiTheme="majorBidi" w:cstheme="majorBidi"/>
          <w:sz w:val="22"/>
          <w:szCs w:val="22"/>
          <w:vertAlign w:val="superscript"/>
        </w:rPr>
        <w:footnoteRef/>
      </w:r>
      <w:r w:rsidRPr="001415CA">
        <w:rPr>
          <w:rFonts w:asciiTheme="majorBidi" w:hAnsiTheme="majorBidi" w:cstheme="majorBidi"/>
          <w:sz w:val="22"/>
          <w:szCs w:val="22"/>
          <w:vertAlign w:val="superscript"/>
        </w:rPr>
        <w:t xml:space="preserve"> </w:t>
      </w:r>
      <w:r w:rsidRPr="001415CA">
        <w:rPr>
          <w:rFonts w:asciiTheme="majorBidi" w:hAnsiTheme="majorBidi" w:cstheme="majorBidi"/>
          <w:sz w:val="22"/>
          <w:szCs w:val="22"/>
        </w:rPr>
        <w:t xml:space="preserve"> It is common in the literature to incorporate adjustment costs to control the volatility of investment in the model economy.  </w:t>
      </w:r>
    </w:p>
  </w:footnote>
  <w:footnote w:id="33">
    <w:p w:rsidR="00240F67" w:rsidRDefault="00240F67" w:rsidP="001415CA">
      <w:pPr>
        <w:pStyle w:val="FootnoteText"/>
        <w:spacing w:line="240" w:lineRule="auto"/>
        <w:jc w:val="both"/>
      </w:pPr>
      <w:r w:rsidRPr="001415CA">
        <w:rPr>
          <w:rFonts w:ascii="Times New Roman" w:hAnsi="Times New Roman"/>
          <w:sz w:val="22"/>
          <w:szCs w:val="22"/>
          <w:vertAlign w:val="superscript"/>
        </w:rPr>
        <w:footnoteRef/>
      </w:r>
      <w:r w:rsidRPr="001415CA">
        <w:rPr>
          <w:rFonts w:ascii="Times New Roman" w:hAnsi="Times New Roman"/>
          <w:sz w:val="22"/>
          <w:szCs w:val="22"/>
          <w:vertAlign w:val="superscript"/>
        </w:rPr>
        <w:t xml:space="preserve"> </w:t>
      </w:r>
      <w:r w:rsidRPr="001415CA">
        <w:rPr>
          <w:rFonts w:ascii="Times New Roman" w:hAnsi="Times New Roman"/>
          <w:sz w:val="22"/>
          <w:szCs w:val="22"/>
        </w:rPr>
        <w:t>Adding convex portfolio adjustment cost is necessary to guarantee stationarity in the model.</w:t>
      </w:r>
      <w:r>
        <w:rPr>
          <w:rFonts w:ascii="Times New Roman" w:hAnsi="Times New Roman"/>
        </w:rPr>
        <w:t xml:space="preserve"> </w:t>
      </w:r>
      <w:r w:rsidRPr="00953E72">
        <w:rPr>
          <w:rFonts w:ascii="Times New Roman" w:hAnsi="Times New Roman"/>
        </w:rPr>
        <w:t xml:space="preserve"> </w:t>
      </w:r>
    </w:p>
  </w:footnote>
  <w:footnote w:id="34">
    <w:p w:rsidR="00240F67" w:rsidRPr="001415CA" w:rsidRDefault="00240F67" w:rsidP="00A9497E">
      <w:pPr>
        <w:pStyle w:val="FootnoteText"/>
        <w:spacing w:before="60" w:after="120" w:line="240" w:lineRule="auto"/>
        <w:jc w:val="both"/>
        <w:rPr>
          <w:sz w:val="22"/>
          <w:szCs w:val="22"/>
        </w:rPr>
      </w:pPr>
      <w:r w:rsidRPr="001415CA">
        <w:rPr>
          <w:rStyle w:val="FootnoteReference"/>
          <w:rFonts w:ascii="Times New Roman" w:hAnsi="Times New Roman"/>
          <w:sz w:val="22"/>
          <w:szCs w:val="22"/>
        </w:rPr>
        <w:footnoteRef/>
      </w:r>
      <w:r w:rsidRPr="001415CA">
        <w:rPr>
          <w:rFonts w:ascii="Times New Roman" w:hAnsi="Times New Roman"/>
          <w:sz w:val="22"/>
          <w:szCs w:val="22"/>
        </w:rPr>
        <w:t xml:space="preserve"> When the elasticity of substitution tends to infinity, the two goods become perfect substitutes, and when it approaches one, the production function becomes a standard Cobb-Douglas: </w:t>
      </w:r>
      <w:r w:rsidRPr="001415CA">
        <w:rPr>
          <w:rFonts w:ascii="Times New Roman" w:hAnsi="Times New Roman"/>
          <w:position w:val="-12"/>
          <w:sz w:val="22"/>
          <w:szCs w:val="22"/>
        </w:rPr>
        <w:object w:dxaOrig="2439" w:dyaOrig="400">
          <v:shape id="_x0000_i1754" type="#_x0000_t75" style="width:119.7pt;height:22.6pt" o:ole="">
            <v:imagedata r:id="rId12" o:title=""/>
          </v:shape>
          <o:OLEObject Type="Embed" ProgID="Equation.DSMT4" ShapeID="_x0000_i1754" DrawAspect="Content" ObjectID="_1359267671" r:id="rId13"/>
        </w:object>
      </w:r>
      <w:r w:rsidRPr="001415CA">
        <w:rPr>
          <w:rFonts w:ascii="Times New Roman" w:hAnsi="Times New Roman"/>
          <w:sz w:val="22"/>
          <w:szCs w:val="22"/>
        </w:rPr>
        <w:t>where A is some constant parameter.</w:t>
      </w:r>
    </w:p>
  </w:footnote>
  <w:footnote w:id="35">
    <w:p w:rsidR="00240F67" w:rsidRPr="001415CA" w:rsidRDefault="00240F67" w:rsidP="00A9497E">
      <w:pPr>
        <w:pStyle w:val="FootnoteText"/>
        <w:spacing w:before="60" w:after="120" w:line="240" w:lineRule="auto"/>
        <w:jc w:val="both"/>
        <w:rPr>
          <w:sz w:val="22"/>
          <w:szCs w:val="22"/>
        </w:rPr>
      </w:pPr>
      <w:r w:rsidRPr="001415CA">
        <w:rPr>
          <w:rStyle w:val="FootnoteReference"/>
          <w:rFonts w:ascii="Times New Roman" w:hAnsi="Times New Roman"/>
          <w:sz w:val="22"/>
          <w:szCs w:val="22"/>
        </w:rPr>
        <w:footnoteRef/>
      </w:r>
      <w:r w:rsidRPr="001415CA">
        <w:rPr>
          <w:rFonts w:ascii="Times New Roman" w:hAnsi="Times New Roman"/>
          <w:sz w:val="22"/>
          <w:szCs w:val="22"/>
        </w:rPr>
        <w:t xml:space="preserve"> Empirical evidences show that the existing stabilization funds without optimal rules suffer from lack of efficiency in reaching their goals, and leaving the BSF under the discretion of the States may lead to negative effect on the stability of government expenditures.  </w:t>
      </w:r>
    </w:p>
  </w:footnote>
  <w:footnote w:id="36">
    <w:p w:rsidR="00240F67" w:rsidRPr="001415CA" w:rsidRDefault="00240F67" w:rsidP="00A9497E">
      <w:pPr>
        <w:pStyle w:val="FootnoteText"/>
        <w:spacing w:before="60" w:after="120" w:line="240" w:lineRule="auto"/>
        <w:jc w:val="both"/>
        <w:rPr>
          <w:sz w:val="22"/>
          <w:szCs w:val="22"/>
        </w:rPr>
      </w:pPr>
      <w:r w:rsidRPr="001415CA">
        <w:rPr>
          <w:rFonts w:ascii="Times New Roman" w:hAnsi="Times New Roman"/>
          <w:sz w:val="22"/>
          <w:szCs w:val="22"/>
          <w:vertAlign w:val="superscript"/>
        </w:rPr>
        <w:footnoteRef/>
      </w:r>
      <w:r w:rsidRPr="001415CA">
        <w:rPr>
          <w:rFonts w:ascii="Times New Roman" w:hAnsi="Times New Roman"/>
          <w:sz w:val="22"/>
          <w:szCs w:val="22"/>
          <w:vertAlign w:val="superscript"/>
        </w:rPr>
        <w:t xml:space="preserve"> </w:t>
      </w:r>
      <w:r w:rsidRPr="001415CA">
        <w:rPr>
          <w:rFonts w:ascii="Times New Roman" w:hAnsi="Times New Roman"/>
          <w:sz w:val="22"/>
          <w:szCs w:val="22"/>
        </w:rPr>
        <w:t>Habit persistence also improves the persistence of output and leads to persistence in government revenues as well.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67" w:rsidRDefault="00240F67">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F67" w:rsidRDefault="00240F67">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948EB"/>
    <w:multiLevelType w:val="hybridMultilevel"/>
    <w:tmpl w:val="3DCC2828"/>
    <w:lvl w:ilvl="0" w:tplc="60CCDAD2">
      <w:start w:val="1"/>
      <w:numFmt w:val="upperLetter"/>
      <w:lvlText w:val="%1."/>
      <w:lvlJc w:val="left"/>
      <w:pPr>
        <w:ind w:left="450" w:hanging="45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313475"/>
    <w:multiLevelType w:val="hybridMultilevel"/>
    <w:tmpl w:val="5B78611E"/>
    <w:lvl w:ilvl="0" w:tplc="7E8C4F0E">
      <w:start w:val="3"/>
      <w:numFmt w:val="upperLetter"/>
      <w:lvlText w:val="%1."/>
      <w:lvlJc w:val="left"/>
      <w:pPr>
        <w:ind w:left="45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625B97"/>
    <w:multiLevelType w:val="hybridMultilevel"/>
    <w:tmpl w:val="12185EE8"/>
    <w:lvl w:ilvl="0" w:tplc="4C76E394">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F01522"/>
    <w:multiLevelType w:val="hybridMultilevel"/>
    <w:tmpl w:val="CEA4E3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374768"/>
    <w:multiLevelType w:val="multilevel"/>
    <w:tmpl w:val="A54861D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B8C6CB6"/>
    <w:multiLevelType w:val="multilevel"/>
    <w:tmpl w:val="A54861D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5"/>
  </w:num>
  <w:num w:numId="3">
    <w:abstractNumId w:val="4"/>
  </w:num>
  <w:num w:numId="4">
    <w:abstractNumId w:val="3"/>
  </w:num>
  <w:num w:numId="5">
    <w:abstractNumId w:val="1"/>
  </w:num>
  <w:num w:numId="6">
    <w:abstractNumId w:val="2"/>
  </w:num>
  <w:num w:numId="7">
    <w:abstractNumId w:val="2"/>
  </w:num>
  <w:num w:numId="8">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8193"/>
  </w:hdrShapeDefaults>
  <w:footnotePr>
    <w:footnote w:id="-1"/>
    <w:footnote w:id="0"/>
  </w:footnotePr>
  <w:endnotePr>
    <w:endnote w:id="-1"/>
    <w:endnote w:id="0"/>
  </w:endnotePr>
  <w:compat>
    <w:useFELayout/>
  </w:compat>
  <w:rsids>
    <w:rsidRoot w:val="00DC5BC8"/>
    <w:rsid w:val="00002A95"/>
    <w:rsid w:val="00003A82"/>
    <w:rsid w:val="00016290"/>
    <w:rsid w:val="000205F3"/>
    <w:rsid w:val="00026D58"/>
    <w:rsid w:val="0003503D"/>
    <w:rsid w:val="000414F6"/>
    <w:rsid w:val="00046E65"/>
    <w:rsid w:val="00054874"/>
    <w:rsid w:val="00071AA6"/>
    <w:rsid w:val="0007385D"/>
    <w:rsid w:val="00085BE7"/>
    <w:rsid w:val="000869D3"/>
    <w:rsid w:val="000A3457"/>
    <w:rsid w:val="000A5D21"/>
    <w:rsid w:val="000A7319"/>
    <w:rsid w:val="000B10C3"/>
    <w:rsid w:val="000C7E0D"/>
    <w:rsid w:val="000D14E3"/>
    <w:rsid w:val="000D5184"/>
    <w:rsid w:val="000E01F4"/>
    <w:rsid w:val="000E42D7"/>
    <w:rsid w:val="001111AC"/>
    <w:rsid w:val="001273FC"/>
    <w:rsid w:val="001348AA"/>
    <w:rsid w:val="00135946"/>
    <w:rsid w:val="001415CA"/>
    <w:rsid w:val="00161F1F"/>
    <w:rsid w:val="001712BA"/>
    <w:rsid w:val="00181849"/>
    <w:rsid w:val="0019589A"/>
    <w:rsid w:val="001A4C62"/>
    <w:rsid w:val="001A5B92"/>
    <w:rsid w:val="001B3147"/>
    <w:rsid w:val="001D0854"/>
    <w:rsid w:val="001D6940"/>
    <w:rsid w:val="001D79AB"/>
    <w:rsid w:val="001D7DE8"/>
    <w:rsid w:val="001E2B0A"/>
    <w:rsid w:val="001E70DB"/>
    <w:rsid w:val="001E7EEB"/>
    <w:rsid w:val="001F37B0"/>
    <w:rsid w:val="001F736F"/>
    <w:rsid w:val="0020291F"/>
    <w:rsid w:val="00210478"/>
    <w:rsid w:val="00211C57"/>
    <w:rsid w:val="0022302D"/>
    <w:rsid w:val="00233FEC"/>
    <w:rsid w:val="0023410E"/>
    <w:rsid w:val="00240F67"/>
    <w:rsid w:val="00245D5E"/>
    <w:rsid w:val="00251A51"/>
    <w:rsid w:val="00253F87"/>
    <w:rsid w:val="002566A4"/>
    <w:rsid w:val="0026553A"/>
    <w:rsid w:val="0027000F"/>
    <w:rsid w:val="00274863"/>
    <w:rsid w:val="00285D27"/>
    <w:rsid w:val="002871EC"/>
    <w:rsid w:val="002A4AE9"/>
    <w:rsid w:val="002A6057"/>
    <w:rsid w:val="002A62F9"/>
    <w:rsid w:val="002B7866"/>
    <w:rsid w:val="002C08B9"/>
    <w:rsid w:val="002C375B"/>
    <w:rsid w:val="002C7859"/>
    <w:rsid w:val="002E5C36"/>
    <w:rsid w:val="002F3F46"/>
    <w:rsid w:val="002F5DEC"/>
    <w:rsid w:val="003048B1"/>
    <w:rsid w:val="00311227"/>
    <w:rsid w:val="003201A4"/>
    <w:rsid w:val="00327463"/>
    <w:rsid w:val="00336D54"/>
    <w:rsid w:val="003567EB"/>
    <w:rsid w:val="003572C8"/>
    <w:rsid w:val="00370CD4"/>
    <w:rsid w:val="00385B08"/>
    <w:rsid w:val="00385F19"/>
    <w:rsid w:val="003938EC"/>
    <w:rsid w:val="003966E8"/>
    <w:rsid w:val="0039681B"/>
    <w:rsid w:val="003A64BF"/>
    <w:rsid w:val="003A65AE"/>
    <w:rsid w:val="003B40CC"/>
    <w:rsid w:val="003C2FA1"/>
    <w:rsid w:val="003C34D1"/>
    <w:rsid w:val="003D03BA"/>
    <w:rsid w:val="003E6449"/>
    <w:rsid w:val="003F00A5"/>
    <w:rsid w:val="003F1429"/>
    <w:rsid w:val="003F432C"/>
    <w:rsid w:val="003F7351"/>
    <w:rsid w:val="00415B72"/>
    <w:rsid w:val="00417BE3"/>
    <w:rsid w:val="00420832"/>
    <w:rsid w:val="00430C95"/>
    <w:rsid w:val="00442970"/>
    <w:rsid w:val="00460B77"/>
    <w:rsid w:val="00470738"/>
    <w:rsid w:val="00481117"/>
    <w:rsid w:val="004833B8"/>
    <w:rsid w:val="00484C93"/>
    <w:rsid w:val="00485749"/>
    <w:rsid w:val="0049530C"/>
    <w:rsid w:val="00497519"/>
    <w:rsid w:val="004C05AB"/>
    <w:rsid w:val="004D1BD4"/>
    <w:rsid w:val="004E26CF"/>
    <w:rsid w:val="004E5297"/>
    <w:rsid w:val="004E7CB3"/>
    <w:rsid w:val="004F06F7"/>
    <w:rsid w:val="0051003D"/>
    <w:rsid w:val="005150CD"/>
    <w:rsid w:val="005166BF"/>
    <w:rsid w:val="005227DA"/>
    <w:rsid w:val="00531AB5"/>
    <w:rsid w:val="00532B9E"/>
    <w:rsid w:val="00533C0F"/>
    <w:rsid w:val="00542951"/>
    <w:rsid w:val="005518C7"/>
    <w:rsid w:val="0055347B"/>
    <w:rsid w:val="0056737C"/>
    <w:rsid w:val="005761EF"/>
    <w:rsid w:val="0057760F"/>
    <w:rsid w:val="00584A3D"/>
    <w:rsid w:val="00584C83"/>
    <w:rsid w:val="00584FE4"/>
    <w:rsid w:val="00585949"/>
    <w:rsid w:val="00587840"/>
    <w:rsid w:val="005937E6"/>
    <w:rsid w:val="00593EA0"/>
    <w:rsid w:val="005A1E89"/>
    <w:rsid w:val="005A53C1"/>
    <w:rsid w:val="005B11DF"/>
    <w:rsid w:val="005B2F03"/>
    <w:rsid w:val="005B5904"/>
    <w:rsid w:val="005B677F"/>
    <w:rsid w:val="005D4E99"/>
    <w:rsid w:val="005E36BB"/>
    <w:rsid w:val="005E7CA8"/>
    <w:rsid w:val="00601569"/>
    <w:rsid w:val="006020FF"/>
    <w:rsid w:val="00604586"/>
    <w:rsid w:val="00610C59"/>
    <w:rsid w:val="00613564"/>
    <w:rsid w:val="00615A12"/>
    <w:rsid w:val="006162AA"/>
    <w:rsid w:val="0061674F"/>
    <w:rsid w:val="00617D79"/>
    <w:rsid w:val="006233B6"/>
    <w:rsid w:val="00625317"/>
    <w:rsid w:val="0065704E"/>
    <w:rsid w:val="0069234D"/>
    <w:rsid w:val="00692CA5"/>
    <w:rsid w:val="00692E33"/>
    <w:rsid w:val="006943A3"/>
    <w:rsid w:val="00694BA3"/>
    <w:rsid w:val="006A0429"/>
    <w:rsid w:val="006A384F"/>
    <w:rsid w:val="006A3EF5"/>
    <w:rsid w:val="006A6D83"/>
    <w:rsid w:val="006B19BC"/>
    <w:rsid w:val="006C2851"/>
    <w:rsid w:val="006C65C8"/>
    <w:rsid w:val="006E33CD"/>
    <w:rsid w:val="006F6B5E"/>
    <w:rsid w:val="006F7337"/>
    <w:rsid w:val="0071128D"/>
    <w:rsid w:val="0072121A"/>
    <w:rsid w:val="00727B0A"/>
    <w:rsid w:val="00731359"/>
    <w:rsid w:val="007363DD"/>
    <w:rsid w:val="0074060F"/>
    <w:rsid w:val="007446BA"/>
    <w:rsid w:val="007509A1"/>
    <w:rsid w:val="0075205E"/>
    <w:rsid w:val="007577D1"/>
    <w:rsid w:val="0076619F"/>
    <w:rsid w:val="00772912"/>
    <w:rsid w:val="0077731A"/>
    <w:rsid w:val="00784EA9"/>
    <w:rsid w:val="00785AC1"/>
    <w:rsid w:val="00786E86"/>
    <w:rsid w:val="00786F2D"/>
    <w:rsid w:val="00794FF2"/>
    <w:rsid w:val="007A2327"/>
    <w:rsid w:val="007B2ACA"/>
    <w:rsid w:val="007B6A26"/>
    <w:rsid w:val="007C62E4"/>
    <w:rsid w:val="007E68E4"/>
    <w:rsid w:val="007F4733"/>
    <w:rsid w:val="007F5F8C"/>
    <w:rsid w:val="0080130C"/>
    <w:rsid w:val="0080197C"/>
    <w:rsid w:val="008044EC"/>
    <w:rsid w:val="0080473C"/>
    <w:rsid w:val="0081340E"/>
    <w:rsid w:val="00824A50"/>
    <w:rsid w:val="00826857"/>
    <w:rsid w:val="008271C9"/>
    <w:rsid w:val="00835214"/>
    <w:rsid w:val="008403D1"/>
    <w:rsid w:val="00850058"/>
    <w:rsid w:val="00860FDB"/>
    <w:rsid w:val="00861B2C"/>
    <w:rsid w:val="00871852"/>
    <w:rsid w:val="0087290C"/>
    <w:rsid w:val="00873F66"/>
    <w:rsid w:val="00874540"/>
    <w:rsid w:val="00880CB3"/>
    <w:rsid w:val="00890407"/>
    <w:rsid w:val="00895D79"/>
    <w:rsid w:val="008A6FD1"/>
    <w:rsid w:val="008C1A67"/>
    <w:rsid w:val="008C7519"/>
    <w:rsid w:val="009040DC"/>
    <w:rsid w:val="00904975"/>
    <w:rsid w:val="00917FC0"/>
    <w:rsid w:val="0093597F"/>
    <w:rsid w:val="00936903"/>
    <w:rsid w:val="00941CB9"/>
    <w:rsid w:val="0095731B"/>
    <w:rsid w:val="009879FE"/>
    <w:rsid w:val="00997E3E"/>
    <w:rsid w:val="009A49BC"/>
    <w:rsid w:val="009A7248"/>
    <w:rsid w:val="009B6582"/>
    <w:rsid w:val="009B77F1"/>
    <w:rsid w:val="009C0AA3"/>
    <w:rsid w:val="009C2CD7"/>
    <w:rsid w:val="009C7F3A"/>
    <w:rsid w:val="009D464A"/>
    <w:rsid w:val="009D63F1"/>
    <w:rsid w:val="009E076C"/>
    <w:rsid w:val="009E1695"/>
    <w:rsid w:val="009F3FDE"/>
    <w:rsid w:val="00A03279"/>
    <w:rsid w:val="00A11D76"/>
    <w:rsid w:val="00A13655"/>
    <w:rsid w:val="00A13AC9"/>
    <w:rsid w:val="00A14876"/>
    <w:rsid w:val="00A2523B"/>
    <w:rsid w:val="00A306C0"/>
    <w:rsid w:val="00A31CFA"/>
    <w:rsid w:val="00A45369"/>
    <w:rsid w:val="00A55804"/>
    <w:rsid w:val="00A561B2"/>
    <w:rsid w:val="00A612A2"/>
    <w:rsid w:val="00A65DB2"/>
    <w:rsid w:val="00A6705D"/>
    <w:rsid w:val="00A9497E"/>
    <w:rsid w:val="00AA74DA"/>
    <w:rsid w:val="00AB0667"/>
    <w:rsid w:val="00AB5434"/>
    <w:rsid w:val="00AB6B49"/>
    <w:rsid w:val="00AB7C8D"/>
    <w:rsid w:val="00AC3653"/>
    <w:rsid w:val="00AD1AA7"/>
    <w:rsid w:val="00AD4525"/>
    <w:rsid w:val="00AF6AEA"/>
    <w:rsid w:val="00B1636A"/>
    <w:rsid w:val="00B213C4"/>
    <w:rsid w:val="00B33147"/>
    <w:rsid w:val="00B3510E"/>
    <w:rsid w:val="00B37585"/>
    <w:rsid w:val="00B40D39"/>
    <w:rsid w:val="00B43254"/>
    <w:rsid w:val="00B462B5"/>
    <w:rsid w:val="00B51157"/>
    <w:rsid w:val="00B671A1"/>
    <w:rsid w:val="00B727B3"/>
    <w:rsid w:val="00B82FA8"/>
    <w:rsid w:val="00B9795B"/>
    <w:rsid w:val="00B97F56"/>
    <w:rsid w:val="00BB4A61"/>
    <w:rsid w:val="00BC3E14"/>
    <w:rsid w:val="00BE18D1"/>
    <w:rsid w:val="00C05320"/>
    <w:rsid w:val="00C13538"/>
    <w:rsid w:val="00C279D6"/>
    <w:rsid w:val="00C30B64"/>
    <w:rsid w:val="00C3124C"/>
    <w:rsid w:val="00C36941"/>
    <w:rsid w:val="00C3767B"/>
    <w:rsid w:val="00C50296"/>
    <w:rsid w:val="00C52963"/>
    <w:rsid w:val="00C53250"/>
    <w:rsid w:val="00C803A9"/>
    <w:rsid w:val="00C8446B"/>
    <w:rsid w:val="00C86268"/>
    <w:rsid w:val="00C87AD1"/>
    <w:rsid w:val="00C919B9"/>
    <w:rsid w:val="00C94108"/>
    <w:rsid w:val="00C949C7"/>
    <w:rsid w:val="00C95C4D"/>
    <w:rsid w:val="00C97EE8"/>
    <w:rsid w:val="00CA6419"/>
    <w:rsid w:val="00CA6D1D"/>
    <w:rsid w:val="00CA7FCE"/>
    <w:rsid w:val="00CB0CEF"/>
    <w:rsid w:val="00CB479E"/>
    <w:rsid w:val="00CC1636"/>
    <w:rsid w:val="00CC1FA8"/>
    <w:rsid w:val="00CC26B2"/>
    <w:rsid w:val="00CC5C27"/>
    <w:rsid w:val="00CD1D96"/>
    <w:rsid w:val="00CE5A81"/>
    <w:rsid w:val="00D062E2"/>
    <w:rsid w:val="00D134B7"/>
    <w:rsid w:val="00D20F59"/>
    <w:rsid w:val="00D3282F"/>
    <w:rsid w:val="00D444EF"/>
    <w:rsid w:val="00D458FD"/>
    <w:rsid w:val="00D57DAF"/>
    <w:rsid w:val="00D666BF"/>
    <w:rsid w:val="00D72747"/>
    <w:rsid w:val="00D73135"/>
    <w:rsid w:val="00D7460A"/>
    <w:rsid w:val="00D811D5"/>
    <w:rsid w:val="00D873A1"/>
    <w:rsid w:val="00DA0C53"/>
    <w:rsid w:val="00DA1DA6"/>
    <w:rsid w:val="00DA4363"/>
    <w:rsid w:val="00DA5C55"/>
    <w:rsid w:val="00DC394E"/>
    <w:rsid w:val="00DC5BC8"/>
    <w:rsid w:val="00DC6815"/>
    <w:rsid w:val="00DE6899"/>
    <w:rsid w:val="00DF69DD"/>
    <w:rsid w:val="00E011C0"/>
    <w:rsid w:val="00E04675"/>
    <w:rsid w:val="00E046CC"/>
    <w:rsid w:val="00E15A53"/>
    <w:rsid w:val="00E26882"/>
    <w:rsid w:val="00E60AF7"/>
    <w:rsid w:val="00E625AD"/>
    <w:rsid w:val="00EA2FAB"/>
    <w:rsid w:val="00EA7E52"/>
    <w:rsid w:val="00EB3D09"/>
    <w:rsid w:val="00EC079C"/>
    <w:rsid w:val="00EC1CF8"/>
    <w:rsid w:val="00ED0730"/>
    <w:rsid w:val="00ED38D3"/>
    <w:rsid w:val="00ED3F8B"/>
    <w:rsid w:val="00ED7845"/>
    <w:rsid w:val="00EE1FD7"/>
    <w:rsid w:val="00EE218F"/>
    <w:rsid w:val="00EE66B9"/>
    <w:rsid w:val="00EE6912"/>
    <w:rsid w:val="00EE6A22"/>
    <w:rsid w:val="00F060A2"/>
    <w:rsid w:val="00F06882"/>
    <w:rsid w:val="00F15834"/>
    <w:rsid w:val="00F331FB"/>
    <w:rsid w:val="00F4506E"/>
    <w:rsid w:val="00F608C8"/>
    <w:rsid w:val="00F643DE"/>
    <w:rsid w:val="00F73BFD"/>
    <w:rsid w:val="00FA7D09"/>
    <w:rsid w:val="00FB71B2"/>
    <w:rsid w:val="00FC0096"/>
    <w:rsid w:val="00FC654F"/>
    <w:rsid w:val="00FD1B12"/>
    <w:rsid w:val="00FE50AD"/>
    <w:rsid w:val="00FF213C"/>
    <w:rsid w:val="00FF23C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248"/>
    <w:pPr>
      <w:spacing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DC5BC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D4E99"/>
    <w:pPr>
      <w:keepNext/>
      <w:numPr>
        <w:numId w:val="6"/>
      </w:numPr>
      <w:spacing w:before="240" w:after="60"/>
      <w:jc w:val="center"/>
      <w:outlineLvl w:val="1"/>
    </w:pPr>
    <w:rPr>
      <w:rFonts w:asciiTheme="majorBidi" w:hAnsiTheme="majorBidi" w:cstheme="majorBidi"/>
      <w:b/>
      <w:bCs/>
      <w:iCs/>
      <w:sz w:val="28"/>
      <w:szCs w:val="28"/>
    </w:rPr>
  </w:style>
  <w:style w:type="paragraph" w:styleId="Heading3">
    <w:name w:val="heading 3"/>
    <w:basedOn w:val="Normal"/>
    <w:next w:val="Normal"/>
    <w:link w:val="Heading3Char"/>
    <w:qFormat/>
    <w:rsid w:val="00DC5BC8"/>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BC8"/>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rsid w:val="005D4E99"/>
    <w:rPr>
      <w:rFonts w:asciiTheme="majorBidi" w:eastAsia="Times New Roman" w:hAnsiTheme="majorBidi" w:cstheme="majorBidi"/>
      <w:b/>
      <w:bCs/>
      <w:iCs/>
      <w:sz w:val="28"/>
      <w:szCs w:val="28"/>
      <w:lang w:eastAsia="en-US"/>
    </w:rPr>
  </w:style>
  <w:style w:type="character" w:customStyle="1" w:styleId="Heading3Char">
    <w:name w:val="Heading 3 Char"/>
    <w:basedOn w:val="DefaultParagraphFont"/>
    <w:link w:val="Heading3"/>
    <w:rsid w:val="00DC5BC8"/>
    <w:rPr>
      <w:rFonts w:ascii="Arial" w:eastAsia="Times New Roman" w:hAnsi="Arial" w:cs="Arial"/>
      <w:b/>
      <w:bCs/>
      <w:i/>
      <w:sz w:val="24"/>
      <w:szCs w:val="26"/>
      <w:lang w:eastAsia="en-US"/>
    </w:rPr>
  </w:style>
  <w:style w:type="paragraph" w:styleId="Footer">
    <w:name w:val="footer"/>
    <w:basedOn w:val="Normal"/>
    <w:link w:val="FooterChar"/>
    <w:uiPriority w:val="99"/>
    <w:rsid w:val="00DC5BC8"/>
    <w:pPr>
      <w:tabs>
        <w:tab w:val="center" w:pos="4320"/>
        <w:tab w:val="right" w:pos="8640"/>
      </w:tabs>
    </w:pPr>
  </w:style>
  <w:style w:type="character" w:customStyle="1" w:styleId="FooterChar">
    <w:name w:val="Footer Char"/>
    <w:basedOn w:val="DefaultParagraphFont"/>
    <w:link w:val="Footer"/>
    <w:uiPriority w:val="99"/>
    <w:rsid w:val="00DC5BC8"/>
    <w:rPr>
      <w:rFonts w:ascii="Times New Roman" w:eastAsia="Times New Roman" w:hAnsi="Times New Roman" w:cs="Times New Roman"/>
      <w:sz w:val="24"/>
      <w:szCs w:val="24"/>
      <w:lang w:eastAsia="en-US"/>
    </w:rPr>
  </w:style>
  <w:style w:type="paragraph" w:customStyle="1" w:styleId="Level1">
    <w:name w:val="Level 1"/>
    <w:rsid w:val="00DC5BC8"/>
    <w:pPr>
      <w:autoSpaceDE w:val="0"/>
      <w:autoSpaceDN w:val="0"/>
      <w:adjustRightInd w:val="0"/>
      <w:spacing w:line="240" w:lineRule="auto"/>
      <w:ind w:left="720"/>
    </w:pPr>
    <w:rPr>
      <w:rFonts w:ascii="Times New Roman" w:eastAsia="Times New Roman" w:hAnsi="Times New Roman" w:cs="Times New Roman"/>
      <w:sz w:val="24"/>
      <w:szCs w:val="24"/>
      <w:lang w:eastAsia="en-US"/>
    </w:rPr>
  </w:style>
  <w:style w:type="paragraph" w:styleId="Caption">
    <w:name w:val="caption"/>
    <w:basedOn w:val="Normal"/>
    <w:next w:val="Normal"/>
    <w:qFormat/>
    <w:rsid w:val="00DC5BC8"/>
    <w:pPr>
      <w:spacing w:before="120" w:after="120"/>
    </w:pPr>
    <w:rPr>
      <w:b/>
      <w:bCs/>
      <w:sz w:val="20"/>
      <w:szCs w:val="20"/>
    </w:rPr>
  </w:style>
  <w:style w:type="paragraph" w:styleId="TableofFigures">
    <w:name w:val="table of figures"/>
    <w:basedOn w:val="Normal"/>
    <w:next w:val="Normal"/>
    <w:uiPriority w:val="99"/>
    <w:rsid w:val="00DC5BC8"/>
    <w:pPr>
      <w:ind w:left="480" w:hanging="480"/>
    </w:pPr>
  </w:style>
  <w:style w:type="character" w:styleId="Hyperlink">
    <w:name w:val="Hyperlink"/>
    <w:uiPriority w:val="99"/>
    <w:rsid w:val="00DC5BC8"/>
    <w:rPr>
      <w:color w:val="0000FF"/>
      <w:u w:val="single"/>
    </w:rPr>
  </w:style>
  <w:style w:type="paragraph" w:styleId="TOC1">
    <w:name w:val="toc 1"/>
    <w:basedOn w:val="Normal"/>
    <w:next w:val="Normal"/>
    <w:autoRedefine/>
    <w:uiPriority w:val="39"/>
    <w:rsid w:val="00DC5BC8"/>
  </w:style>
  <w:style w:type="paragraph" w:styleId="TOC2">
    <w:name w:val="toc 2"/>
    <w:basedOn w:val="Normal"/>
    <w:next w:val="Normal"/>
    <w:autoRedefine/>
    <w:uiPriority w:val="39"/>
    <w:rsid w:val="00DC5BC8"/>
    <w:pPr>
      <w:ind w:left="240"/>
    </w:pPr>
  </w:style>
  <w:style w:type="paragraph" w:styleId="TOC3">
    <w:name w:val="toc 3"/>
    <w:basedOn w:val="Normal"/>
    <w:next w:val="Normal"/>
    <w:autoRedefine/>
    <w:uiPriority w:val="39"/>
    <w:rsid w:val="00DC5BC8"/>
    <w:pPr>
      <w:ind w:left="480"/>
    </w:pPr>
  </w:style>
  <w:style w:type="paragraph" w:customStyle="1" w:styleId="StyleHeading1Centered">
    <w:name w:val="Style Heading 1 + Centered"/>
    <w:basedOn w:val="Heading1"/>
    <w:link w:val="StyleHeading1CenteredChar"/>
    <w:rsid w:val="00DC5BC8"/>
    <w:pPr>
      <w:keepNext w:val="0"/>
      <w:keepLines w:val="0"/>
      <w:autoSpaceDE w:val="0"/>
      <w:autoSpaceDN w:val="0"/>
      <w:adjustRightInd w:val="0"/>
      <w:spacing w:before="0"/>
      <w:jc w:val="center"/>
    </w:pPr>
    <w:rPr>
      <w:rFonts w:ascii="Arial" w:eastAsia="Times New Roman" w:hAnsi="Arial" w:cs="Times New Roman"/>
      <w:caps/>
      <w:color w:val="auto"/>
    </w:rPr>
  </w:style>
  <w:style w:type="character" w:customStyle="1" w:styleId="StyleHeading1CenteredChar">
    <w:name w:val="Style Heading 1 + Centered Char"/>
    <w:link w:val="StyleHeading1Centered"/>
    <w:rsid w:val="00DC5BC8"/>
    <w:rPr>
      <w:rFonts w:ascii="Arial" w:eastAsia="Times New Roman" w:hAnsi="Arial" w:cs="Times New Roman"/>
      <w:b/>
      <w:bCs/>
      <w:caps/>
      <w:sz w:val="28"/>
      <w:szCs w:val="28"/>
      <w:lang w:eastAsia="en-US"/>
    </w:rPr>
  </w:style>
  <w:style w:type="paragraph" w:styleId="ListParagraph">
    <w:name w:val="List Paragraph"/>
    <w:basedOn w:val="Normal"/>
    <w:uiPriority w:val="34"/>
    <w:qFormat/>
    <w:rsid w:val="00786F2D"/>
    <w:pPr>
      <w:spacing w:after="200" w:line="276" w:lineRule="auto"/>
      <w:ind w:left="720"/>
      <w:contextualSpacing/>
    </w:pPr>
    <w:rPr>
      <w:rFonts w:ascii="Calibri" w:eastAsia="SimSun" w:hAnsi="Calibri"/>
      <w:sz w:val="22"/>
      <w:szCs w:val="22"/>
      <w:lang w:eastAsia="zh-CN"/>
    </w:rPr>
  </w:style>
  <w:style w:type="paragraph" w:styleId="Header">
    <w:name w:val="header"/>
    <w:basedOn w:val="Normal"/>
    <w:link w:val="HeaderChar"/>
    <w:uiPriority w:val="99"/>
    <w:unhideWhenUsed/>
    <w:rsid w:val="00786F2D"/>
    <w:pPr>
      <w:tabs>
        <w:tab w:val="center" w:pos="4680"/>
        <w:tab w:val="right" w:pos="9360"/>
      </w:tabs>
      <w:spacing w:after="200" w:line="276" w:lineRule="auto"/>
    </w:pPr>
    <w:rPr>
      <w:rFonts w:ascii="Calibri" w:eastAsia="SimSun" w:hAnsi="Calibri"/>
      <w:sz w:val="22"/>
      <w:szCs w:val="22"/>
      <w:lang w:eastAsia="zh-CN"/>
    </w:rPr>
  </w:style>
  <w:style w:type="character" w:customStyle="1" w:styleId="HeaderChar">
    <w:name w:val="Header Char"/>
    <w:basedOn w:val="DefaultParagraphFont"/>
    <w:link w:val="Header"/>
    <w:uiPriority w:val="99"/>
    <w:rsid w:val="00786F2D"/>
    <w:rPr>
      <w:rFonts w:ascii="Calibri" w:eastAsia="SimSun" w:hAnsi="Calibri" w:cs="Times New Roman"/>
    </w:rPr>
  </w:style>
  <w:style w:type="character" w:styleId="Emphasis">
    <w:name w:val="Emphasis"/>
    <w:basedOn w:val="DefaultParagraphFont"/>
    <w:uiPriority w:val="20"/>
    <w:qFormat/>
    <w:rsid w:val="00786F2D"/>
    <w:rPr>
      <w:b/>
      <w:bCs/>
      <w:i w:val="0"/>
      <w:iCs w:val="0"/>
    </w:rPr>
  </w:style>
  <w:style w:type="character" w:styleId="LineNumber">
    <w:name w:val="line number"/>
    <w:basedOn w:val="DefaultParagraphFont"/>
    <w:uiPriority w:val="99"/>
    <w:semiHidden/>
    <w:unhideWhenUsed/>
    <w:rsid w:val="00786F2D"/>
  </w:style>
  <w:style w:type="paragraph" w:customStyle="1" w:styleId="MapleOutput">
    <w:name w:val="Maple Output"/>
    <w:uiPriority w:val="99"/>
    <w:rsid w:val="00786F2D"/>
    <w:pPr>
      <w:autoSpaceDE w:val="0"/>
      <w:autoSpaceDN w:val="0"/>
      <w:adjustRightInd w:val="0"/>
      <w:spacing w:line="360" w:lineRule="auto"/>
      <w:jc w:val="center"/>
    </w:pPr>
    <w:rPr>
      <w:rFonts w:ascii="Times New Roman" w:eastAsia="SimSun" w:hAnsi="Times New Roman" w:cs="Times New Roman"/>
      <w:color w:val="000000"/>
      <w:sz w:val="24"/>
      <w:szCs w:val="24"/>
      <w:lang w:eastAsia="en-US"/>
    </w:rPr>
  </w:style>
  <w:style w:type="character" w:customStyle="1" w:styleId="hithilite1">
    <w:name w:val="hithilite1"/>
    <w:basedOn w:val="DefaultParagraphFont"/>
    <w:rsid w:val="00786F2D"/>
    <w:rPr>
      <w:shd w:val="clear" w:color="auto" w:fill="FFF3C6"/>
    </w:rPr>
  </w:style>
  <w:style w:type="character" w:customStyle="1" w:styleId="databold1">
    <w:name w:val="data_bold1"/>
    <w:rsid w:val="006B19BC"/>
  </w:style>
  <w:style w:type="paragraph" w:styleId="FootnoteText">
    <w:name w:val="footnote text"/>
    <w:basedOn w:val="Normal"/>
    <w:link w:val="FootnoteTextChar"/>
    <w:uiPriority w:val="99"/>
    <w:unhideWhenUsed/>
    <w:rsid w:val="00786F2D"/>
    <w:pPr>
      <w:spacing w:after="200" w:line="276" w:lineRule="auto"/>
    </w:pPr>
    <w:rPr>
      <w:rFonts w:ascii="Calibri" w:eastAsia="SimSun" w:hAnsi="Calibri"/>
      <w:sz w:val="20"/>
      <w:szCs w:val="20"/>
      <w:lang w:eastAsia="zh-CN"/>
    </w:rPr>
  </w:style>
  <w:style w:type="character" w:customStyle="1" w:styleId="FootnoteTextChar">
    <w:name w:val="Footnote Text Char"/>
    <w:basedOn w:val="DefaultParagraphFont"/>
    <w:link w:val="FootnoteText"/>
    <w:uiPriority w:val="99"/>
    <w:rsid w:val="00786F2D"/>
    <w:rPr>
      <w:rFonts w:ascii="Calibri" w:eastAsia="SimSun" w:hAnsi="Calibri" w:cs="Times New Roman"/>
      <w:sz w:val="20"/>
      <w:szCs w:val="20"/>
    </w:rPr>
  </w:style>
  <w:style w:type="character" w:styleId="FootnoteReference">
    <w:name w:val="footnote reference"/>
    <w:basedOn w:val="DefaultParagraphFont"/>
    <w:uiPriority w:val="99"/>
    <w:semiHidden/>
    <w:unhideWhenUsed/>
    <w:rsid w:val="00786F2D"/>
    <w:rPr>
      <w:vertAlign w:val="superscript"/>
    </w:rPr>
  </w:style>
  <w:style w:type="paragraph" w:styleId="BalloonText">
    <w:name w:val="Balloon Text"/>
    <w:basedOn w:val="Normal"/>
    <w:link w:val="BalloonTextChar"/>
    <w:uiPriority w:val="99"/>
    <w:semiHidden/>
    <w:unhideWhenUsed/>
    <w:rsid w:val="00786F2D"/>
    <w:rPr>
      <w:rFonts w:ascii="Tahoma" w:eastAsia="SimSun" w:hAnsi="Tahoma" w:cs="Tahoma"/>
      <w:sz w:val="16"/>
      <w:szCs w:val="16"/>
      <w:lang w:eastAsia="zh-CN"/>
    </w:rPr>
  </w:style>
  <w:style w:type="character" w:customStyle="1" w:styleId="BalloonTextChar">
    <w:name w:val="Balloon Text Char"/>
    <w:basedOn w:val="DefaultParagraphFont"/>
    <w:link w:val="BalloonText"/>
    <w:uiPriority w:val="99"/>
    <w:semiHidden/>
    <w:rsid w:val="00786F2D"/>
    <w:rPr>
      <w:rFonts w:ascii="Tahoma" w:eastAsia="SimSun" w:hAnsi="Tahoma" w:cs="Tahoma"/>
      <w:sz w:val="16"/>
      <w:szCs w:val="16"/>
    </w:rPr>
  </w:style>
  <w:style w:type="paragraph" w:customStyle="1" w:styleId="MTDisplayEquation">
    <w:name w:val="MTDisplayEquation"/>
    <w:basedOn w:val="Normal"/>
    <w:next w:val="Normal"/>
    <w:link w:val="MTDisplayEquationChar"/>
    <w:rsid w:val="00786F2D"/>
    <w:pPr>
      <w:tabs>
        <w:tab w:val="center" w:pos="4680"/>
        <w:tab w:val="right" w:pos="9360"/>
      </w:tabs>
      <w:spacing w:after="200" w:line="480" w:lineRule="auto"/>
      <w:jc w:val="right"/>
    </w:pPr>
    <w:rPr>
      <w:rFonts w:eastAsia="SimSun"/>
      <w:position w:val="-32"/>
      <w:lang w:eastAsia="zh-CN"/>
    </w:rPr>
  </w:style>
  <w:style w:type="character" w:customStyle="1" w:styleId="MTDisplayEquationChar">
    <w:name w:val="MTDisplayEquation Char"/>
    <w:basedOn w:val="DefaultParagraphFont"/>
    <w:link w:val="MTDisplayEquation"/>
    <w:rsid w:val="00786F2D"/>
    <w:rPr>
      <w:rFonts w:ascii="Times New Roman" w:eastAsia="SimSun" w:hAnsi="Times New Roman" w:cs="Times New Roman"/>
      <w:position w:val="-32"/>
      <w:sz w:val="24"/>
      <w:szCs w:val="24"/>
    </w:rPr>
  </w:style>
  <w:style w:type="paragraph" w:customStyle="1" w:styleId="Default">
    <w:name w:val="Default"/>
    <w:rsid w:val="00786F2D"/>
    <w:pPr>
      <w:autoSpaceDE w:val="0"/>
      <w:autoSpaceDN w:val="0"/>
      <w:adjustRightInd w:val="0"/>
      <w:spacing w:line="240" w:lineRule="auto"/>
    </w:pPr>
    <w:rPr>
      <w:rFonts w:ascii="Code" w:eastAsia="SimSun" w:hAnsi="Code" w:cs="Code"/>
      <w:color w:val="000000"/>
      <w:sz w:val="24"/>
      <w:szCs w:val="24"/>
      <w:lang w:eastAsia="en-US"/>
    </w:rPr>
  </w:style>
  <w:style w:type="character" w:styleId="PlaceholderText">
    <w:name w:val="Placeholder Text"/>
    <w:basedOn w:val="DefaultParagraphFont"/>
    <w:uiPriority w:val="99"/>
    <w:semiHidden/>
    <w:rsid w:val="00786F2D"/>
    <w:rPr>
      <w:color w:val="808080"/>
    </w:rPr>
  </w:style>
  <w:style w:type="paragraph" w:styleId="NormalWeb">
    <w:name w:val="Normal (Web)"/>
    <w:basedOn w:val="Normal"/>
    <w:uiPriority w:val="99"/>
    <w:unhideWhenUsed/>
    <w:rsid w:val="008C1A67"/>
    <w:pPr>
      <w:spacing w:before="100" w:beforeAutospacing="1" w:after="100" w:afterAutospacing="1"/>
    </w:pPr>
  </w:style>
  <w:style w:type="table" w:styleId="TableGrid">
    <w:name w:val="Table Grid"/>
    <w:basedOn w:val="TableNormal"/>
    <w:uiPriority w:val="59"/>
    <w:rsid w:val="00692CA5"/>
    <w:pPr>
      <w:spacing w:line="240" w:lineRule="auto"/>
    </w:pPr>
    <w:rPr>
      <w:rFonts w:ascii="Calibri" w:eastAsia="Calibri" w:hAnsi="Calibri" w:cs="Arial"/>
      <w:sz w:val="20"/>
      <w:szCs w:val="20"/>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6C2851"/>
    <w:rPr>
      <w:rFonts w:ascii="Tahoma" w:hAnsi="Tahoma" w:cs="Tahoma"/>
      <w:sz w:val="16"/>
      <w:szCs w:val="16"/>
    </w:rPr>
  </w:style>
  <w:style w:type="character" w:customStyle="1" w:styleId="DocumentMapChar">
    <w:name w:val="Document Map Char"/>
    <w:basedOn w:val="DefaultParagraphFont"/>
    <w:link w:val="DocumentMap"/>
    <w:uiPriority w:val="99"/>
    <w:semiHidden/>
    <w:rsid w:val="006C2851"/>
    <w:rPr>
      <w:rFonts w:ascii="Tahoma" w:eastAsia="Times New Roman" w:hAnsi="Tahoma" w:cs="Tahoma"/>
      <w:sz w:val="16"/>
      <w:szCs w:val="16"/>
      <w:lang w:eastAsia="en-US"/>
    </w:rPr>
  </w:style>
  <w:style w:type="character" w:customStyle="1" w:styleId="QuickFormat3">
    <w:name w:val="QuickFormat3"/>
    <w:rsid w:val="00FE50AD"/>
    <w:rPr>
      <w:rFonts w:ascii="Arial" w:hAnsi="Arial" w:cs="Arial"/>
      <w:b/>
      <w:bCs/>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248"/>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DC5BC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D4E99"/>
    <w:pPr>
      <w:keepNext/>
      <w:numPr>
        <w:numId w:val="6"/>
      </w:numPr>
      <w:spacing w:before="240" w:after="60"/>
      <w:jc w:val="center"/>
      <w:outlineLvl w:val="1"/>
    </w:pPr>
    <w:rPr>
      <w:rFonts w:asciiTheme="majorBidi" w:hAnsiTheme="majorBidi" w:cstheme="majorBidi"/>
      <w:b/>
      <w:bCs/>
      <w:iCs/>
      <w:sz w:val="28"/>
      <w:szCs w:val="28"/>
    </w:rPr>
  </w:style>
  <w:style w:type="paragraph" w:styleId="Heading3">
    <w:name w:val="heading 3"/>
    <w:basedOn w:val="Normal"/>
    <w:next w:val="Normal"/>
    <w:link w:val="Heading3Char"/>
    <w:qFormat/>
    <w:rsid w:val="00DC5BC8"/>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BC8"/>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rsid w:val="005D4E99"/>
    <w:rPr>
      <w:rFonts w:asciiTheme="majorBidi" w:eastAsia="Times New Roman" w:hAnsiTheme="majorBidi" w:cstheme="majorBidi"/>
      <w:b/>
      <w:bCs/>
      <w:iCs/>
      <w:sz w:val="28"/>
      <w:szCs w:val="28"/>
      <w:lang w:eastAsia="en-US"/>
    </w:rPr>
  </w:style>
  <w:style w:type="character" w:customStyle="1" w:styleId="Heading3Char">
    <w:name w:val="Heading 3 Char"/>
    <w:basedOn w:val="DefaultParagraphFont"/>
    <w:link w:val="Heading3"/>
    <w:rsid w:val="00DC5BC8"/>
    <w:rPr>
      <w:rFonts w:ascii="Arial" w:eastAsia="Times New Roman" w:hAnsi="Arial" w:cs="Arial"/>
      <w:b/>
      <w:bCs/>
      <w:i/>
      <w:sz w:val="24"/>
      <w:szCs w:val="26"/>
      <w:lang w:eastAsia="en-US"/>
    </w:rPr>
  </w:style>
  <w:style w:type="paragraph" w:styleId="Footer">
    <w:name w:val="footer"/>
    <w:basedOn w:val="Normal"/>
    <w:link w:val="FooterChar"/>
    <w:uiPriority w:val="99"/>
    <w:rsid w:val="00DC5BC8"/>
    <w:pPr>
      <w:tabs>
        <w:tab w:val="center" w:pos="4320"/>
        <w:tab w:val="right" w:pos="8640"/>
      </w:tabs>
    </w:pPr>
  </w:style>
  <w:style w:type="character" w:customStyle="1" w:styleId="FooterChar">
    <w:name w:val="Footer Char"/>
    <w:basedOn w:val="DefaultParagraphFont"/>
    <w:link w:val="Footer"/>
    <w:uiPriority w:val="99"/>
    <w:rsid w:val="00DC5BC8"/>
    <w:rPr>
      <w:rFonts w:ascii="Times New Roman" w:eastAsia="Times New Roman" w:hAnsi="Times New Roman" w:cs="Times New Roman"/>
      <w:sz w:val="24"/>
      <w:szCs w:val="24"/>
      <w:lang w:eastAsia="en-US"/>
    </w:rPr>
  </w:style>
  <w:style w:type="paragraph" w:customStyle="1" w:styleId="Level1">
    <w:name w:val="Level 1"/>
    <w:rsid w:val="00DC5BC8"/>
    <w:pPr>
      <w:autoSpaceDE w:val="0"/>
      <w:autoSpaceDN w:val="0"/>
      <w:adjustRightInd w:val="0"/>
      <w:spacing w:after="0" w:line="240" w:lineRule="auto"/>
      <w:ind w:left="720"/>
    </w:pPr>
    <w:rPr>
      <w:rFonts w:ascii="Times New Roman" w:eastAsia="Times New Roman" w:hAnsi="Times New Roman" w:cs="Times New Roman"/>
      <w:sz w:val="24"/>
      <w:szCs w:val="24"/>
      <w:lang w:eastAsia="en-US"/>
    </w:rPr>
  </w:style>
  <w:style w:type="paragraph" w:styleId="Caption">
    <w:name w:val="caption"/>
    <w:basedOn w:val="Normal"/>
    <w:next w:val="Normal"/>
    <w:qFormat/>
    <w:rsid w:val="00DC5BC8"/>
    <w:pPr>
      <w:spacing w:before="120" w:after="120"/>
    </w:pPr>
    <w:rPr>
      <w:b/>
      <w:bCs/>
      <w:sz w:val="20"/>
      <w:szCs w:val="20"/>
    </w:rPr>
  </w:style>
  <w:style w:type="paragraph" w:styleId="TableofFigures">
    <w:name w:val="table of figures"/>
    <w:basedOn w:val="Normal"/>
    <w:next w:val="Normal"/>
    <w:uiPriority w:val="99"/>
    <w:rsid w:val="00DC5BC8"/>
    <w:pPr>
      <w:ind w:left="480" w:hanging="480"/>
    </w:pPr>
  </w:style>
  <w:style w:type="character" w:styleId="Hyperlink">
    <w:name w:val="Hyperlink"/>
    <w:uiPriority w:val="99"/>
    <w:rsid w:val="00DC5BC8"/>
    <w:rPr>
      <w:color w:val="0000FF"/>
      <w:u w:val="single"/>
    </w:rPr>
  </w:style>
  <w:style w:type="paragraph" w:styleId="TOC1">
    <w:name w:val="toc 1"/>
    <w:basedOn w:val="Normal"/>
    <w:next w:val="Normal"/>
    <w:autoRedefine/>
    <w:uiPriority w:val="39"/>
    <w:rsid w:val="00DC5BC8"/>
  </w:style>
  <w:style w:type="paragraph" w:styleId="TOC2">
    <w:name w:val="toc 2"/>
    <w:basedOn w:val="Normal"/>
    <w:next w:val="Normal"/>
    <w:autoRedefine/>
    <w:uiPriority w:val="39"/>
    <w:rsid w:val="00DC5BC8"/>
    <w:pPr>
      <w:ind w:left="240"/>
    </w:pPr>
  </w:style>
  <w:style w:type="paragraph" w:styleId="TOC3">
    <w:name w:val="toc 3"/>
    <w:basedOn w:val="Normal"/>
    <w:next w:val="Normal"/>
    <w:autoRedefine/>
    <w:uiPriority w:val="39"/>
    <w:rsid w:val="00DC5BC8"/>
    <w:pPr>
      <w:ind w:left="480"/>
    </w:pPr>
  </w:style>
  <w:style w:type="paragraph" w:customStyle="1" w:styleId="StyleHeading1Centered">
    <w:name w:val="Style Heading 1 + Centered"/>
    <w:basedOn w:val="Heading1"/>
    <w:link w:val="StyleHeading1CenteredChar"/>
    <w:rsid w:val="00DC5BC8"/>
    <w:pPr>
      <w:keepNext w:val="0"/>
      <w:keepLines w:val="0"/>
      <w:autoSpaceDE w:val="0"/>
      <w:autoSpaceDN w:val="0"/>
      <w:adjustRightInd w:val="0"/>
      <w:spacing w:before="0"/>
      <w:jc w:val="center"/>
    </w:pPr>
    <w:rPr>
      <w:rFonts w:ascii="Arial" w:eastAsia="Times New Roman" w:hAnsi="Arial" w:cs="Times New Roman"/>
      <w:caps/>
      <w:color w:val="auto"/>
    </w:rPr>
  </w:style>
  <w:style w:type="character" w:customStyle="1" w:styleId="StyleHeading1CenteredChar">
    <w:name w:val="Style Heading 1 + Centered Char"/>
    <w:link w:val="StyleHeading1Centered"/>
    <w:rsid w:val="00DC5BC8"/>
    <w:rPr>
      <w:rFonts w:ascii="Arial" w:eastAsia="Times New Roman" w:hAnsi="Arial" w:cs="Times New Roman"/>
      <w:b/>
      <w:bCs/>
      <w:caps/>
      <w:sz w:val="28"/>
      <w:szCs w:val="28"/>
      <w:lang w:eastAsia="en-US"/>
    </w:rPr>
  </w:style>
  <w:style w:type="paragraph" w:styleId="ListParagraph">
    <w:name w:val="List Paragraph"/>
    <w:basedOn w:val="Normal"/>
    <w:uiPriority w:val="34"/>
    <w:qFormat/>
    <w:rsid w:val="00786F2D"/>
    <w:pPr>
      <w:spacing w:after="200" w:line="276" w:lineRule="auto"/>
      <w:ind w:left="720"/>
      <w:contextualSpacing/>
    </w:pPr>
    <w:rPr>
      <w:rFonts w:ascii="Calibri" w:eastAsia="SimSun" w:hAnsi="Calibri"/>
      <w:sz w:val="22"/>
      <w:szCs w:val="22"/>
      <w:lang w:eastAsia="zh-CN"/>
    </w:rPr>
  </w:style>
  <w:style w:type="paragraph" w:styleId="Header">
    <w:name w:val="header"/>
    <w:basedOn w:val="Normal"/>
    <w:link w:val="HeaderChar"/>
    <w:uiPriority w:val="99"/>
    <w:unhideWhenUsed/>
    <w:rsid w:val="00786F2D"/>
    <w:pPr>
      <w:tabs>
        <w:tab w:val="center" w:pos="4680"/>
        <w:tab w:val="right" w:pos="9360"/>
      </w:tabs>
      <w:spacing w:after="200" w:line="276" w:lineRule="auto"/>
    </w:pPr>
    <w:rPr>
      <w:rFonts w:ascii="Calibri" w:eastAsia="SimSun" w:hAnsi="Calibri"/>
      <w:sz w:val="22"/>
      <w:szCs w:val="22"/>
      <w:lang w:eastAsia="zh-CN"/>
    </w:rPr>
  </w:style>
  <w:style w:type="character" w:customStyle="1" w:styleId="HeaderChar">
    <w:name w:val="Header Char"/>
    <w:basedOn w:val="DefaultParagraphFont"/>
    <w:link w:val="Header"/>
    <w:uiPriority w:val="99"/>
    <w:rsid w:val="00786F2D"/>
    <w:rPr>
      <w:rFonts w:ascii="Calibri" w:eastAsia="SimSun" w:hAnsi="Calibri" w:cs="Times New Roman"/>
    </w:rPr>
  </w:style>
  <w:style w:type="character" w:styleId="Emphasis">
    <w:name w:val="Emphasis"/>
    <w:basedOn w:val="DefaultParagraphFont"/>
    <w:uiPriority w:val="20"/>
    <w:qFormat/>
    <w:rsid w:val="00786F2D"/>
    <w:rPr>
      <w:b/>
      <w:bCs/>
      <w:i w:val="0"/>
      <w:iCs w:val="0"/>
    </w:rPr>
  </w:style>
  <w:style w:type="character" w:styleId="LineNumber">
    <w:name w:val="line number"/>
    <w:basedOn w:val="DefaultParagraphFont"/>
    <w:uiPriority w:val="99"/>
    <w:semiHidden/>
    <w:unhideWhenUsed/>
    <w:rsid w:val="00786F2D"/>
  </w:style>
  <w:style w:type="paragraph" w:customStyle="1" w:styleId="MapleOutput">
    <w:name w:val="Maple Output"/>
    <w:uiPriority w:val="99"/>
    <w:rsid w:val="00786F2D"/>
    <w:pPr>
      <w:autoSpaceDE w:val="0"/>
      <w:autoSpaceDN w:val="0"/>
      <w:adjustRightInd w:val="0"/>
      <w:spacing w:after="0" w:line="360" w:lineRule="auto"/>
      <w:jc w:val="center"/>
    </w:pPr>
    <w:rPr>
      <w:rFonts w:ascii="Times New Roman" w:eastAsia="SimSun" w:hAnsi="Times New Roman" w:cs="Times New Roman"/>
      <w:color w:val="000000"/>
      <w:sz w:val="24"/>
      <w:szCs w:val="24"/>
      <w:lang w:eastAsia="en-US"/>
    </w:rPr>
  </w:style>
  <w:style w:type="character" w:customStyle="1" w:styleId="hithilite1">
    <w:name w:val="hithilite1"/>
    <w:basedOn w:val="DefaultParagraphFont"/>
    <w:rsid w:val="00786F2D"/>
    <w:rPr>
      <w:shd w:val="clear" w:color="auto" w:fill="FFF3C6"/>
    </w:rPr>
  </w:style>
  <w:style w:type="character" w:customStyle="1" w:styleId="databold1">
    <w:name w:val="data_bold1"/>
    <w:rsid w:val="006B19BC"/>
  </w:style>
  <w:style w:type="paragraph" w:styleId="FootnoteText">
    <w:name w:val="footnote text"/>
    <w:basedOn w:val="Normal"/>
    <w:link w:val="FootnoteTextChar"/>
    <w:uiPriority w:val="99"/>
    <w:unhideWhenUsed/>
    <w:rsid w:val="00786F2D"/>
    <w:pPr>
      <w:spacing w:after="200" w:line="276" w:lineRule="auto"/>
    </w:pPr>
    <w:rPr>
      <w:rFonts w:ascii="Calibri" w:eastAsia="SimSun" w:hAnsi="Calibri"/>
      <w:sz w:val="20"/>
      <w:szCs w:val="20"/>
      <w:lang w:eastAsia="zh-CN"/>
    </w:rPr>
  </w:style>
  <w:style w:type="character" w:customStyle="1" w:styleId="FootnoteTextChar">
    <w:name w:val="Footnote Text Char"/>
    <w:basedOn w:val="DefaultParagraphFont"/>
    <w:link w:val="FootnoteText"/>
    <w:uiPriority w:val="99"/>
    <w:rsid w:val="00786F2D"/>
    <w:rPr>
      <w:rFonts w:ascii="Calibri" w:eastAsia="SimSun" w:hAnsi="Calibri" w:cs="Times New Roman"/>
      <w:sz w:val="20"/>
      <w:szCs w:val="20"/>
    </w:rPr>
  </w:style>
  <w:style w:type="character" w:styleId="FootnoteReference">
    <w:name w:val="footnote reference"/>
    <w:basedOn w:val="DefaultParagraphFont"/>
    <w:uiPriority w:val="99"/>
    <w:semiHidden/>
    <w:unhideWhenUsed/>
    <w:rsid w:val="00786F2D"/>
    <w:rPr>
      <w:vertAlign w:val="superscript"/>
    </w:rPr>
  </w:style>
  <w:style w:type="paragraph" w:styleId="BalloonText">
    <w:name w:val="Balloon Text"/>
    <w:basedOn w:val="Normal"/>
    <w:link w:val="BalloonTextChar"/>
    <w:uiPriority w:val="99"/>
    <w:semiHidden/>
    <w:unhideWhenUsed/>
    <w:rsid w:val="00786F2D"/>
    <w:rPr>
      <w:rFonts w:ascii="Tahoma" w:eastAsia="SimSun" w:hAnsi="Tahoma" w:cs="Tahoma"/>
      <w:sz w:val="16"/>
      <w:szCs w:val="16"/>
      <w:lang w:eastAsia="zh-CN"/>
    </w:rPr>
  </w:style>
  <w:style w:type="character" w:customStyle="1" w:styleId="BalloonTextChar">
    <w:name w:val="Balloon Text Char"/>
    <w:basedOn w:val="DefaultParagraphFont"/>
    <w:link w:val="BalloonText"/>
    <w:uiPriority w:val="99"/>
    <w:semiHidden/>
    <w:rsid w:val="00786F2D"/>
    <w:rPr>
      <w:rFonts w:ascii="Tahoma" w:eastAsia="SimSun" w:hAnsi="Tahoma" w:cs="Tahoma"/>
      <w:sz w:val="16"/>
      <w:szCs w:val="16"/>
    </w:rPr>
  </w:style>
  <w:style w:type="paragraph" w:customStyle="1" w:styleId="MTDisplayEquation">
    <w:name w:val="MTDisplayEquation"/>
    <w:basedOn w:val="Normal"/>
    <w:next w:val="Normal"/>
    <w:link w:val="MTDisplayEquationChar"/>
    <w:rsid w:val="00786F2D"/>
    <w:pPr>
      <w:tabs>
        <w:tab w:val="center" w:pos="4680"/>
        <w:tab w:val="right" w:pos="9360"/>
      </w:tabs>
      <w:spacing w:after="200" w:line="480" w:lineRule="auto"/>
      <w:jc w:val="right"/>
    </w:pPr>
    <w:rPr>
      <w:rFonts w:eastAsia="SimSun"/>
      <w:position w:val="-32"/>
      <w:lang w:eastAsia="zh-CN"/>
    </w:rPr>
  </w:style>
  <w:style w:type="character" w:customStyle="1" w:styleId="MTDisplayEquationChar">
    <w:name w:val="MTDisplayEquation Char"/>
    <w:basedOn w:val="DefaultParagraphFont"/>
    <w:link w:val="MTDisplayEquation"/>
    <w:rsid w:val="00786F2D"/>
    <w:rPr>
      <w:rFonts w:ascii="Times New Roman" w:eastAsia="SimSun" w:hAnsi="Times New Roman" w:cs="Times New Roman"/>
      <w:position w:val="-32"/>
      <w:sz w:val="24"/>
      <w:szCs w:val="24"/>
    </w:rPr>
  </w:style>
  <w:style w:type="paragraph" w:customStyle="1" w:styleId="Default">
    <w:name w:val="Default"/>
    <w:rsid w:val="00786F2D"/>
    <w:pPr>
      <w:autoSpaceDE w:val="0"/>
      <w:autoSpaceDN w:val="0"/>
      <w:adjustRightInd w:val="0"/>
      <w:spacing w:after="0" w:line="240" w:lineRule="auto"/>
    </w:pPr>
    <w:rPr>
      <w:rFonts w:ascii="Code" w:eastAsia="SimSun" w:hAnsi="Code" w:cs="Code"/>
      <w:color w:val="000000"/>
      <w:sz w:val="24"/>
      <w:szCs w:val="24"/>
      <w:lang w:eastAsia="en-US"/>
    </w:rPr>
  </w:style>
  <w:style w:type="character" w:styleId="PlaceholderText">
    <w:name w:val="Placeholder Text"/>
    <w:basedOn w:val="DefaultParagraphFont"/>
    <w:uiPriority w:val="99"/>
    <w:semiHidden/>
    <w:rsid w:val="00786F2D"/>
    <w:rPr>
      <w:color w:val="808080"/>
    </w:rPr>
  </w:style>
  <w:style w:type="paragraph" w:styleId="NormalWeb">
    <w:name w:val="Normal (Web)"/>
    <w:basedOn w:val="Normal"/>
    <w:uiPriority w:val="99"/>
    <w:unhideWhenUsed/>
    <w:rsid w:val="008C1A67"/>
    <w:pPr>
      <w:spacing w:before="100" w:beforeAutospacing="1" w:after="100" w:afterAutospacing="1"/>
    </w:pPr>
  </w:style>
  <w:style w:type="table" w:styleId="TableGrid">
    <w:name w:val="Table Grid"/>
    <w:basedOn w:val="TableNormal"/>
    <w:uiPriority w:val="59"/>
    <w:rsid w:val="00692CA5"/>
    <w:pPr>
      <w:spacing w:after="0" w:line="240" w:lineRule="auto"/>
    </w:pPr>
    <w:rPr>
      <w:rFonts w:ascii="Calibri" w:eastAsia="Calibri" w:hAnsi="Calibri" w:cs="Arial"/>
      <w:sz w:val="20"/>
      <w:szCs w:val="20"/>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Map">
    <w:name w:val="Document Map"/>
    <w:basedOn w:val="Normal"/>
    <w:link w:val="DocumentMapChar"/>
    <w:uiPriority w:val="99"/>
    <w:semiHidden/>
    <w:unhideWhenUsed/>
    <w:rsid w:val="006C2851"/>
    <w:rPr>
      <w:rFonts w:ascii="Tahoma" w:hAnsi="Tahoma" w:cs="Tahoma"/>
      <w:sz w:val="16"/>
      <w:szCs w:val="16"/>
    </w:rPr>
  </w:style>
  <w:style w:type="character" w:customStyle="1" w:styleId="DocumentMapChar">
    <w:name w:val="Document Map Char"/>
    <w:basedOn w:val="DefaultParagraphFont"/>
    <w:link w:val="DocumentMap"/>
    <w:uiPriority w:val="99"/>
    <w:semiHidden/>
    <w:rsid w:val="006C2851"/>
    <w:rPr>
      <w:rFonts w:ascii="Tahoma" w:eastAsia="Times New Roman" w:hAnsi="Tahoma" w:cs="Tahoma"/>
      <w:sz w:val="16"/>
      <w:szCs w:val="16"/>
      <w:lang w:eastAsia="en-US"/>
    </w:rPr>
  </w:style>
  <w:style w:type="character" w:customStyle="1" w:styleId="QuickFormat3">
    <w:name w:val="QuickFormat3"/>
    <w:rsid w:val="00FE50AD"/>
    <w:rPr>
      <w:rFonts w:ascii="Arial" w:hAnsi="Arial" w:cs="Arial"/>
      <w:b/>
      <w:bCs/>
      <w:i/>
      <w:iCs/>
    </w:rPr>
  </w:style>
</w:styles>
</file>

<file path=word/webSettings.xml><?xml version="1.0" encoding="utf-8"?>
<w:webSettings xmlns:r="http://schemas.openxmlformats.org/officeDocument/2006/relationships" xmlns:w="http://schemas.openxmlformats.org/wordprocessingml/2006/main">
  <w:divs>
    <w:div w:id="56100328">
      <w:bodyDiv w:val="1"/>
      <w:marLeft w:val="0"/>
      <w:marRight w:val="0"/>
      <w:marTop w:val="0"/>
      <w:marBottom w:val="0"/>
      <w:divBdr>
        <w:top w:val="none" w:sz="0" w:space="0" w:color="auto"/>
        <w:left w:val="none" w:sz="0" w:space="0" w:color="auto"/>
        <w:bottom w:val="none" w:sz="0" w:space="0" w:color="auto"/>
        <w:right w:val="none" w:sz="0" w:space="0" w:color="auto"/>
      </w:divBdr>
    </w:div>
    <w:div w:id="102723833">
      <w:bodyDiv w:val="1"/>
      <w:marLeft w:val="0"/>
      <w:marRight w:val="0"/>
      <w:marTop w:val="0"/>
      <w:marBottom w:val="0"/>
      <w:divBdr>
        <w:top w:val="none" w:sz="0" w:space="0" w:color="auto"/>
        <w:left w:val="none" w:sz="0" w:space="0" w:color="auto"/>
        <w:bottom w:val="none" w:sz="0" w:space="0" w:color="auto"/>
        <w:right w:val="none" w:sz="0" w:space="0" w:color="auto"/>
      </w:divBdr>
    </w:div>
    <w:div w:id="115418732">
      <w:bodyDiv w:val="1"/>
      <w:marLeft w:val="0"/>
      <w:marRight w:val="0"/>
      <w:marTop w:val="0"/>
      <w:marBottom w:val="0"/>
      <w:divBdr>
        <w:top w:val="none" w:sz="0" w:space="0" w:color="auto"/>
        <w:left w:val="none" w:sz="0" w:space="0" w:color="auto"/>
        <w:bottom w:val="none" w:sz="0" w:space="0" w:color="auto"/>
        <w:right w:val="none" w:sz="0" w:space="0" w:color="auto"/>
      </w:divBdr>
    </w:div>
    <w:div w:id="211430488">
      <w:bodyDiv w:val="1"/>
      <w:marLeft w:val="0"/>
      <w:marRight w:val="0"/>
      <w:marTop w:val="0"/>
      <w:marBottom w:val="0"/>
      <w:divBdr>
        <w:top w:val="none" w:sz="0" w:space="0" w:color="auto"/>
        <w:left w:val="none" w:sz="0" w:space="0" w:color="auto"/>
        <w:bottom w:val="none" w:sz="0" w:space="0" w:color="auto"/>
        <w:right w:val="none" w:sz="0" w:space="0" w:color="auto"/>
      </w:divBdr>
    </w:div>
    <w:div w:id="211616334">
      <w:bodyDiv w:val="1"/>
      <w:marLeft w:val="0"/>
      <w:marRight w:val="0"/>
      <w:marTop w:val="0"/>
      <w:marBottom w:val="0"/>
      <w:divBdr>
        <w:top w:val="none" w:sz="0" w:space="0" w:color="auto"/>
        <w:left w:val="none" w:sz="0" w:space="0" w:color="auto"/>
        <w:bottom w:val="none" w:sz="0" w:space="0" w:color="auto"/>
        <w:right w:val="none" w:sz="0" w:space="0" w:color="auto"/>
      </w:divBdr>
    </w:div>
    <w:div w:id="220867272">
      <w:bodyDiv w:val="1"/>
      <w:marLeft w:val="0"/>
      <w:marRight w:val="0"/>
      <w:marTop w:val="0"/>
      <w:marBottom w:val="0"/>
      <w:divBdr>
        <w:top w:val="none" w:sz="0" w:space="0" w:color="auto"/>
        <w:left w:val="none" w:sz="0" w:space="0" w:color="auto"/>
        <w:bottom w:val="none" w:sz="0" w:space="0" w:color="auto"/>
        <w:right w:val="none" w:sz="0" w:space="0" w:color="auto"/>
      </w:divBdr>
    </w:div>
    <w:div w:id="332494364">
      <w:bodyDiv w:val="1"/>
      <w:marLeft w:val="0"/>
      <w:marRight w:val="0"/>
      <w:marTop w:val="0"/>
      <w:marBottom w:val="0"/>
      <w:divBdr>
        <w:top w:val="none" w:sz="0" w:space="0" w:color="auto"/>
        <w:left w:val="none" w:sz="0" w:space="0" w:color="auto"/>
        <w:bottom w:val="none" w:sz="0" w:space="0" w:color="auto"/>
        <w:right w:val="none" w:sz="0" w:space="0" w:color="auto"/>
      </w:divBdr>
    </w:div>
    <w:div w:id="371921447">
      <w:bodyDiv w:val="1"/>
      <w:marLeft w:val="0"/>
      <w:marRight w:val="0"/>
      <w:marTop w:val="0"/>
      <w:marBottom w:val="0"/>
      <w:divBdr>
        <w:top w:val="none" w:sz="0" w:space="0" w:color="auto"/>
        <w:left w:val="none" w:sz="0" w:space="0" w:color="auto"/>
        <w:bottom w:val="none" w:sz="0" w:space="0" w:color="auto"/>
        <w:right w:val="none" w:sz="0" w:space="0" w:color="auto"/>
      </w:divBdr>
    </w:div>
    <w:div w:id="421799600">
      <w:bodyDiv w:val="1"/>
      <w:marLeft w:val="0"/>
      <w:marRight w:val="0"/>
      <w:marTop w:val="0"/>
      <w:marBottom w:val="0"/>
      <w:divBdr>
        <w:top w:val="none" w:sz="0" w:space="0" w:color="auto"/>
        <w:left w:val="none" w:sz="0" w:space="0" w:color="auto"/>
        <w:bottom w:val="none" w:sz="0" w:space="0" w:color="auto"/>
        <w:right w:val="none" w:sz="0" w:space="0" w:color="auto"/>
      </w:divBdr>
    </w:div>
    <w:div w:id="433669117">
      <w:bodyDiv w:val="1"/>
      <w:marLeft w:val="0"/>
      <w:marRight w:val="0"/>
      <w:marTop w:val="0"/>
      <w:marBottom w:val="0"/>
      <w:divBdr>
        <w:top w:val="none" w:sz="0" w:space="0" w:color="auto"/>
        <w:left w:val="none" w:sz="0" w:space="0" w:color="auto"/>
        <w:bottom w:val="none" w:sz="0" w:space="0" w:color="auto"/>
        <w:right w:val="none" w:sz="0" w:space="0" w:color="auto"/>
      </w:divBdr>
    </w:div>
    <w:div w:id="465781878">
      <w:bodyDiv w:val="1"/>
      <w:marLeft w:val="0"/>
      <w:marRight w:val="0"/>
      <w:marTop w:val="0"/>
      <w:marBottom w:val="0"/>
      <w:divBdr>
        <w:top w:val="none" w:sz="0" w:space="0" w:color="auto"/>
        <w:left w:val="none" w:sz="0" w:space="0" w:color="auto"/>
        <w:bottom w:val="none" w:sz="0" w:space="0" w:color="auto"/>
        <w:right w:val="none" w:sz="0" w:space="0" w:color="auto"/>
      </w:divBdr>
    </w:div>
    <w:div w:id="538471680">
      <w:bodyDiv w:val="1"/>
      <w:marLeft w:val="0"/>
      <w:marRight w:val="0"/>
      <w:marTop w:val="0"/>
      <w:marBottom w:val="0"/>
      <w:divBdr>
        <w:top w:val="none" w:sz="0" w:space="0" w:color="auto"/>
        <w:left w:val="none" w:sz="0" w:space="0" w:color="auto"/>
        <w:bottom w:val="none" w:sz="0" w:space="0" w:color="auto"/>
        <w:right w:val="none" w:sz="0" w:space="0" w:color="auto"/>
      </w:divBdr>
    </w:div>
    <w:div w:id="615985304">
      <w:bodyDiv w:val="1"/>
      <w:marLeft w:val="0"/>
      <w:marRight w:val="0"/>
      <w:marTop w:val="0"/>
      <w:marBottom w:val="0"/>
      <w:divBdr>
        <w:top w:val="none" w:sz="0" w:space="0" w:color="auto"/>
        <w:left w:val="none" w:sz="0" w:space="0" w:color="auto"/>
        <w:bottom w:val="none" w:sz="0" w:space="0" w:color="auto"/>
        <w:right w:val="none" w:sz="0" w:space="0" w:color="auto"/>
      </w:divBdr>
    </w:div>
    <w:div w:id="649137472">
      <w:bodyDiv w:val="1"/>
      <w:marLeft w:val="0"/>
      <w:marRight w:val="0"/>
      <w:marTop w:val="0"/>
      <w:marBottom w:val="0"/>
      <w:divBdr>
        <w:top w:val="none" w:sz="0" w:space="0" w:color="auto"/>
        <w:left w:val="none" w:sz="0" w:space="0" w:color="auto"/>
        <w:bottom w:val="none" w:sz="0" w:space="0" w:color="auto"/>
        <w:right w:val="none" w:sz="0" w:space="0" w:color="auto"/>
      </w:divBdr>
    </w:div>
    <w:div w:id="779645312">
      <w:bodyDiv w:val="1"/>
      <w:marLeft w:val="0"/>
      <w:marRight w:val="0"/>
      <w:marTop w:val="0"/>
      <w:marBottom w:val="0"/>
      <w:divBdr>
        <w:top w:val="none" w:sz="0" w:space="0" w:color="auto"/>
        <w:left w:val="none" w:sz="0" w:space="0" w:color="auto"/>
        <w:bottom w:val="none" w:sz="0" w:space="0" w:color="auto"/>
        <w:right w:val="none" w:sz="0" w:space="0" w:color="auto"/>
      </w:divBdr>
    </w:div>
    <w:div w:id="795442238">
      <w:bodyDiv w:val="1"/>
      <w:marLeft w:val="0"/>
      <w:marRight w:val="0"/>
      <w:marTop w:val="0"/>
      <w:marBottom w:val="0"/>
      <w:divBdr>
        <w:top w:val="none" w:sz="0" w:space="0" w:color="auto"/>
        <w:left w:val="none" w:sz="0" w:space="0" w:color="auto"/>
        <w:bottom w:val="none" w:sz="0" w:space="0" w:color="auto"/>
        <w:right w:val="none" w:sz="0" w:space="0" w:color="auto"/>
      </w:divBdr>
    </w:div>
    <w:div w:id="809059727">
      <w:bodyDiv w:val="1"/>
      <w:marLeft w:val="0"/>
      <w:marRight w:val="0"/>
      <w:marTop w:val="0"/>
      <w:marBottom w:val="0"/>
      <w:divBdr>
        <w:top w:val="none" w:sz="0" w:space="0" w:color="auto"/>
        <w:left w:val="none" w:sz="0" w:space="0" w:color="auto"/>
        <w:bottom w:val="none" w:sz="0" w:space="0" w:color="auto"/>
        <w:right w:val="none" w:sz="0" w:space="0" w:color="auto"/>
      </w:divBdr>
    </w:div>
    <w:div w:id="858280531">
      <w:bodyDiv w:val="1"/>
      <w:marLeft w:val="0"/>
      <w:marRight w:val="0"/>
      <w:marTop w:val="0"/>
      <w:marBottom w:val="0"/>
      <w:divBdr>
        <w:top w:val="none" w:sz="0" w:space="0" w:color="auto"/>
        <w:left w:val="none" w:sz="0" w:space="0" w:color="auto"/>
        <w:bottom w:val="none" w:sz="0" w:space="0" w:color="auto"/>
        <w:right w:val="none" w:sz="0" w:space="0" w:color="auto"/>
      </w:divBdr>
    </w:div>
    <w:div w:id="889805253">
      <w:bodyDiv w:val="1"/>
      <w:marLeft w:val="0"/>
      <w:marRight w:val="0"/>
      <w:marTop w:val="0"/>
      <w:marBottom w:val="0"/>
      <w:divBdr>
        <w:top w:val="none" w:sz="0" w:space="0" w:color="auto"/>
        <w:left w:val="none" w:sz="0" w:space="0" w:color="auto"/>
        <w:bottom w:val="none" w:sz="0" w:space="0" w:color="auto"/>
        <w:right w:val="none" w:sz="0" w:space="0" w:color="auto"/>
      </w:divBdr>
    </w:div>
    <w:div w:id="909651369">
      <w:bodyDiv w:val="1"/>
      <w:marLeft w:val="0"/>
      <w:marRight w:val="0"/>
      <w:marTop w:val="0"/>
      <w:marBottom w:val="0"/>
      <w:divBdr>
        <w:top w:val="none" w:sz="0" w:space="0" w:color="auto"/>
        <w:left w:val="none" w:sz="0" w:space="0" w:color="auto"/>
        <w:bottom w:val="none" w:sz="0" w:space="0" w:color="auto"/>
        <w:right w:val="none" w:sz="0" w:space="0" w:color="auto"/>
      </w:divBdr>
    </w:div>
    <w:div w:id="926694666">
      <w:bodyDiv w:val="1"/>
      <w:marLeft w:val="0"/>
      <w:marRight w:val="0"/>
      <w:marTop w:val="0"/>
      <w:marBottom w:val="0"/>
      <w:divBdr>
        <w:top w:val="none" w:sz="0" w:space="0" w:color="auto"/>
        <w:left w:val="none" w:sz="0" w:space="0" w:color="auto"/>
        <w:bottom w:val="none" w:sz="0" w:space="0" w:color="auto"/>
        <w:right w:val="none" w:sz="0" w:space="0" w:color="auto"/>
      </w:divBdr>
    </w:div>
    <w:div w:id="1022122578">
      <w:bodyDiv w:val="1"/>
      <w:marLeft w:val="0"/>
      <w:marRight w:val="0"/>
      <w:marTop w:val="0"/>
      <w:marBottom w:val="0"/>
      <w:divBdr>
        <w:top w:val="none" w:sz="0" w:space="0" w:color="auto"/>
        <w:left w:val="none" w:sz="0" w:space="0" w:color="auto"/>
        <w:bottom w:val="none" w:sz="0" w:space="0" w:color="auto"/>
        <w:right w:val="none" w:sz="0" w:space="0" w:color="auto"/>
      </w:divBdr>
    </w:div>
    <w:div w:id="1041321525">
      <w:bodyDiv w:val="1"/>
      <w:marLeft w:val="0"/>
      <w:marRight w:val="0"/>
      <w:marTop w:val="0"/>
      <w:marBottom w:val="0"/>
      <w:divBdr>
        <w:top w:val="none" w:sz="0" w:space="0" w:color="auto"/>
        <w:left w:val="none" w:sz="0" w:space="0" w:color="auto"/>
        <w:bottom w:val="none" w:sz="0" w:space="0" w:color="auto"/>
        <w:right w:val="none" w:sz="0" w:space="0" w:color="auto"/>
      </w:divBdr>
    </w:div>
    <w:div w:id="1157068221">
      <w:bodyDiv w:val="1"/>
      <w:marLeft w:val="0"/>
      <w:marRight w:val="0"/>
      <w:marTop w:val="0"/>
      <w:marBottom w:val="0"/>
      <w:divBdr>
        <w:top w:val="none" w:sz="0" w:space="0" w:color="auto"/>
        <w:left w:val="none" w:sz="0" w:space="0" w:color="auto"/>
        <w:bottom w:val="none" w:sz="0" w:space="0" w:color="auto"/>
        <w:right w:val="none" w:sz="0" w:space="0" w:color="auto"/>
      </w:divBdr>
    </w:div>
    <w:div w:id="1210651569">
      <w:bodyDiv w:val="1"/>
      <w:marLeft w:val="0"/>
      <w:marRight w:val="0"/>
      <w:marTop w:val="0"/>
      <w:marBottom w:val="0"/>
      <w:divBdr>
        <w:top w:val="none" w:sz="0" w:space="0" w:color="auto"/>
        <w:left w:val="none" w:sz="0" w:space="0" w:color="auto"/>
        <w:bottom w:val="none" w:sz="0" w:space="0" w:color="auto"/>
        <w:right w:val="none" w:sz="0" w:space="0" w:color="auto"/>
      </w:divBdr>
    </w:div>
    <w:div w:id="1218587595">
      <w:bodyDiv w:val="1"/>
      <w:marLeft w:val="0"/>
      <w:marRight w:val="0"/>
      <w:marTop w:val="0"/>
      <w:marBottom w:val="0"/>
      <w:divBdr>
        <w:top w:val="none" w:sz="0" w:space="0" w:color="auto"/>
        <w:left w:val="none" w:sz="0" w:space="0" w:color="auto"/>
        <w:bottom w:val="none" w:sz="0" w:space="0" w:color="auto"/>
        <w:right w:val="none" w:sz="0" w:space="0" w:color="auto"/>
      </w:divBdr>
    </w:div>
    <w:div w:id="1298611499">
      <w:bodyDiv w:val="1"/>
      <w:marLeft w:val="0"/>
      <w:marRight w:val="0"/>
      <w:marTop w:val="0"/>
      <w:marBottom w:val="0"/>
      <w:divBdr>
        <w:top w:val="none" w:sz="0" w:space="0" w:color="auto"/>
        <w:left w:val="none" w:sz="0" w:space="0" w:color="auto"/>
        <w:bottom w:val="none" w:sz="0" w:space="0" w:color="auto"/>
        <w:right w:val="none" w:sz="0" w:space="0" w:color="auto"/>
      </w:divBdr>
    </w:div>
    <w:div w:id="1382172093">
      <w:bodyDiv w:val="1"/>
      <w:marLeft w:val="0"/>
      <w:marRight w:val="0"/>
      <w:marTop w:val="0"/>
      <w:marBottom w:val="0"/>
      <w:divBdr>
        <w:top w:val="none" w:sz="0" w:space="0" w:color="auto"/>
        <w:left w:val="none" w:sz="0" w:space="0" w:color="auto"/>
        <w:bottom w:val="none" w:sz="0" w:space="0" w:color="auto"/>
        <w:right w:val="none" w:sz="0" w:space="0" w:color="auto"/>
      </w:divBdr>
    </w:div>
    <w:div w:id="1604190831">
      <w:bodyDiv w:val="1"/>
      <w:marLeft w:val="0"/>
      <w:marRight w:val="0"/>
      <w:marTop w:val="0"/>
      <w:marBottom w:val="0"/>
      <w:divBdr>
        <w:top w:val="none" w:sz="0" w:space="0" w:color="auto"/>
        <w:left w:val="none" w:sz="0" w:space="0" w:color="auto"/>
        <w:bottom w:val="none" w:sz="0" w:space="0" w:color="auto"/>
        <w:right w:val="none" w:sz="0" w:space="0" w:color="auto"/>
      </w:divBdr>
    </w:div>
    <w:div w:id="1617058893">
      <w:bodyDiv w:val="1"/>
      <w:marLeft w:val="0"/>
      <w:marRight w:val="0"/>
      <w:marTop w:val="0"/>
      <w:marBottom w:val="0"/>
      <w:divBdr>
        <w:top w:val="none" w:sz="0" w:space="0" w:color="auto"/>
        <w:left w:val="none" w:sz="0" w:space="0" w:color="auto"/>
        <w:bottom w:val="none" w:sz="0" w:space="0" w:color="auto"/>
        <w:right w:val="none" w:sz="0" w:space="0" w:color="auto"/>
      </w:divBdr>
    </w:div>
    <w:div w:id="1643149594">
      <w:bodyDiv w:val="1"/>
      <w:marLeft w:val="0"/>
      <w:marRight w:val="0"/>
      <w:marTop w:val="0"/>
      <w:marBottom w:val="0"/>
      <w:divBdr>
        <w:top w:val="none" w:sz="0" w:space="0" w:color="auto"/>
        <w:left w:val="none" w:sz="0" w:space="0" w:color="auto"/>
        <w:bottom w:val="none" w:sz="0" w:space="0" w:color="auto"/>
        <w:right w:val="none" w:sz="0" w:space="0" w:color="auto"/>
      </w:divBdr>
    </w:div>
    <w:div w:id="1660186294">
      <w:bodyDiv w:val="1"/>
      <w:marLeft w:val="0"/>
      <w:marRight w:val="0"/>
      <w:marTop w:val="0"/>
      <w:marBottom w:val="0"/>
      <w:divBdr>
        <w:top w:val="none" w:sz="0" w:space="0" w:color="auto"/>
        <w:left w:val="none" w:sz="0" w:space="0" w:color="auto"/>
        <w:bottom w:val="none" w:sz="0" w:space="0" w:color="auto"/>
        <w:right w:val="none" w:sz="0" w:space="0" w:color="auto"/>
      </w:divBdr>
    </w:div>
    <w:div w:id="1672181295">
      <w:bodyDiv w:val="1"/>
      <w:marLeft w:val="0"/>
      <w:marRight w:val="0"/>
      <w:marTop w:val="0"/>
      <w:marBottom w:val="0"/>
      <w:divBdr>
        <w:top w:val="none" w:sz="0" w:space="0" w:color="auto"/>
        <w:left w:val="none" w:sz="0" w:space="0" w:color="auto"/>
        <w:bottom w:val="none" w:sz="0" w:space="0" w:color="auto"/>
        <w:right w:val="none" w:sz="0" w:space="0" w:color="auto"/>
      </w:divBdr>
    </w:div>
    <w:div w:id="1698921956">
      <w:bodyDiv w:val="1"/>
      <w:marLeft w:val="0"/>
      <w:marRight w:val="0"/>
      <w:marTop w:val="0"/>
      <w:marBottom w:val="0"/>
      <w:divBdr>
        <w:top w:val="none" w:sz="0" w:space="0" w:color="auto"/>
        <w:left w:val="none" w:sz="0" w:space="0" w:color="auto"/>
        <w:bottom w:val="none" w:sz="0" w:space="0" w:color="auto"/>
        <w:right w:val="none" w:sz="0" w:space="0" w:color="auto"/>
      </w:divBdr>
    </w:div>
    <w:div w:id="1747414231">
      <w:bodyDiv w:val="1"/>
      <w:marLeft w:val="0"/>
      <w:marRight w:val="0"/>
      <w:marTop w:val="0"/>
      <w:marBottom w:val="0"/>
      <w:divBdr>
        <w:top w:val="none" w:sz="0" w:space="0" w:color="auto"/>
        <w:left w:val="none" w:sz="0" w:space="0" w:color="auto"/>
        <w:bottom w:val="none" w:sz="0" w:space="0" w:color="auto"/>
        <w:right w:val="none" w:sz="0" w:space="0" w:color="auto"/>
      </w:divBdr>
    </w:div>
    <w:div w:id="1822036236">
      <w:bodyDiv w:val="1"/>
      <w:marLeft w:val="0"/>
      <w:marRight w:val="0"/>
      <w:marTop w:val="0"/>
      <w:marBottom w:val="0"/>
      <w:divBdr>
        <w:top w:val="none" w:sz="0" w:space="0" w:color="auto"/>
        <w:left w:val="none" w:sz="0" w:space="0" w:color="auto"/>
        <w:bottom w:val="none" w:sz="0" w:space="0" w:color="auto"/>
        <w:right w:val="none" w:sz="0" w:space="0" w:color="auto"/>
      </w:divBdr>
    </w:div>
    <w:div w:id="1827472998">
      <w:bodyDiv w:val="1"/>
      <w:marLeft w:val="0"/>
      <w:marRight w:val="0"/>
      <w:marTop w:val="0"/>
      <w:marBottom w:val="0"/>
      <w:divBdr>
        <w:top w:val="none" w:sz="0" w:space="0" w:color="auto"/>
        <w:left w:val="none" w:sz="0" w:space="0" w:color="auto"/>
        <w:bottom w:val="none" w:sz="0" w:space="0" w:color="auto"/>
        <w:right w:val="none" w:sz="0" w:space="0" w:color="auto"/>
      </w:divBdr>
    </w:div>
    <w:div w:id="1853909810">
      <w:bodyDiv w:val="1"/>
      <w:marLeft w:val="0"/>
      <w:marRight w:val="0"/>
      <w:marTop w:val="0"/>
      <w:marBottom w:val="0"/>
      <w:divBdr>
        <w:top w:val="none" w:sz="0" w:space="0" w:color="auto"/>
        <w:left w:val="none" w:sz="0" w:space="0" w:color="auto"/>
        <w:bottom w:val="none" w:sz="0" w:space="0" w:color="auto"/>
        <w:right w:val="none" w:sz="0" w:space="0" w:color="auto"/>
      </w:divBdr>
    </w:div>
    <w:div w:id="1869878345">
      <w:bodyDiv w:val="1"/>
      <w:marLeft w:val="0"/>
      <w:marRight w:val="0"/>
      <w:marTop w:val="0"/>
      <w:marBottom w:val="0"/>
      <w:divBdr>
        <w:top w:val="none" w:sz="0" w:space="0" w:color="auto"/>
        <w:left w:val="none" w:sz="0" w:space="0" w:color="auto"/>
        <w:bottom w:val="none" w:sz="0" w:space="0" w:color="auto"/>
        <w:right w:val="none" w:sz="0" w:space="0" w:color="auto"/>
      </w:divBdr>
    </w:div>
    <w:div w:id="1882399161">
      <w:bodyDiv w:val="1"/>
      <w:marLeft w:val="0"/>
      <w:marRight w:val="0"/>
      <w:marTop w:val="0"/>
      <w:marBottom w:val="0"/>
      <w:divBdr>
        <w:top w:val="none" w:sz="0" w:space="0" w:color="auto"/>
        <w:left w:val="none" w:sz="0" w:space="0" w:color="auto"/>
        <w:bottom w:val="none" w:sz="0" w:space="0" w:color="auto"/>
        <w:right w:val="none" w:sz="0" w:space="0" w:color="auto"/>
      </w:divBdr>
    </w:div>
    <w:div w:id="1895457728">
      <w:bodyDiv w:val="1"/>
      <w:marLeft w:val="0"/>
      <w:marRight w:val="0"/>
      <w:marTop w:val="0"/>
      <w:marBottom w:val="0"/>
      <w:divBdr>
        <w:top w:val="none" w:sz="0" w:space="0" w:color="auto"/>
        <w:left w:val="none" w:sz="0" w:space="0" w:color="auto"/>
        <w:bottom w:val="none" w:sz="0" w:space="0" w:color="auto"/>
        <w:right w:val="none" w:sz="0" w:space="0" w:color="auto"/>
      </w:divBdr>
    </w:div>
    <w:div w:id="2107649207">
      <w:bodyDiv w:val="1"/>
      <w:marLeft w:val="0"/>
      <w:marRight w:val="0"/>
      <w:marTop w:val="0"/>
      <w:marBottom w:val="0"/>
      <w:divBdr>
        <w:top w:val="none" w:sz="0" w:space="0" w:color="auto"/>
        <w:left w:val="none" w:sz="0" w:space="0" w:color="auto"/>
        <w:bottom w:val="none" w:sz="0" w:space="0" w:color="auto"/>
        <w:right w:val="none" w:sz="0" w:space="0" w:color="auto"/>
      </w:divBdr>
    </w:div>
    <w:div w:id="213806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671" Type="http://schemas.openxmlformats.org/officeDocument/2006/relationships/oleObject" Target="embeddings/oleObject338.bin"/><Relationship Id="rId769" Type="http://schemas.openxmlformats.org/officeDocument/2006/relationships/oleObject" Target="embeddings/oleObject391.bin"/><Relationship Id="rId976" Type="http://schemas.openxmlformats.org/officeDocument/2006/relationships/oleObject" Target="embeddings/oleObject540.bin"/><Relationship Id="rId1399" Type="http://schemas.openxmlformats.org/officeDocument/2006/relationships/image" Target="media/image651.wmf"/><Relationship Id="rId21" Type="http://schemas.openxmlformats.org/officeDocument/2006/relationships/image" Target="media/image5.wmf"/><Relationship Id="rId324" Type="http://schemas.openxmlformats.org/officeDocument/2006/relationships/image" Target="media/image156.wmf"/><Relationship Id="rId531" Type="http://schemas.openxmlformats.org/officeDocument/2006/relationships/image" Target="media/image261.png"/><Relationship Id="rId629" Type="http://schemas.openxmlformats.org/officeDocument/2006/relationships/image" Target="media/image313.wmf"/><Relationship Id="rId1161" Type="http://schemas.openxmlformats.org/officeDocument/2006/relationships/oleObject" Target="embeddings/oleObject616.bin"/><Relationship Id="rId1259" Type="http://schemas.openxmlformats.org/officeDocument/2006/relationships/image" Target="media/image584.wmf"/><Relationship Id="rId170" Type="http://schemas.openxmlformats.org/officeDocument/2006/relationships/oleObject" Target="embeddings/oleObject80.bin"/><Relationship Id="rId836" Type="http://schemas.openxmlformats.org/officeDocument/2006/relationships/image" Target="media/image405.wmf"/><Relationship Id="rId1021" Type="http://schemas.openxmlformats.org/officeDocument/2006/relationships/image" Target="media/image456.wmf"/><Relationship Id="rId1119" Type="http://schemas.openxmlformats.org/officeDocument/2006/relationships/image" Target="media/image501.wmf"/><Relationship Id="rId268" Type="http://schemas.openxmlformats.org/officeDocument/2006/relationships/image" Target="media/image129.wmf"/><Relationship Id="rId475" Type="http://schemas.openxmlformats.org/officeDocument/2006/relationships/oleObject" Target="embeddings/oleObject239.bin"/><Relationship Id="rId682" Type="http://schemas.openxmlformats.org/officeDocument/2006/relationships/image" Target="media/image338.wmf"/><Relationship Id="rId903" Type="http://schemas.openxmlformats.org/officeDocument/2006/relationships/oleObject" Target="embeddings/oleObject484.bin"/><Relationship Id="rId1326" Type="http://schemas.openxmlformats.org/officeDocument/2006/relationships/oleObject" Target="embeddings/oleObject689.bin"/><Relationship Id="rId32" Type="http://schemas.openxmlformats.org/officeDocument/2006/relationships/oleObject" Target="embeddings/oleObject10.bin"/><Relationship Id="rId128" Type="http://schemas.openxmlformats.org/officeDocument/2006/relationships/oleObject" Target="embeddings/oleObject59.bin"/><Relationship Id="rId335" Type="http://schemas.openxmlformats.org/officeDocument/2006/relationships/oleObject" Target="embeddings/oleObject167.bin"/><Relationship Id="rId542" Type="http://schemas.openxmlformats.org/officeDocument/2006/relationships/oleObject" Target="embeddings/oleObject275.bin"/><Relationship Id="rId987" Type="http://schemas.openxmlformats.org/officeDocument/2006/relationships/image" Target="media/image440.wmf"/><Relationship Id="rId1172" Type="http://schemas.openxmlformats.org/officeDocument/2006/relationships/image" Target="media/image524.wmf"/><Relationship Id="rId181" Type="http://schemas.openxmlformats.org/officeDocument/2006/relationships/image" Target="media/image86.wmf"/><Relationship Id="rId402" Type="http://schemas.openxmlformats.org/officeDocument/2006/relationships/oleObject" Target="embeddings/oleObject202.bin"/><Relationship Id="rId847" Type="http://schemas.openxmlformats.org/officeDocument/2006/relationships/oleObject" Target="embeddings/oleObject438.bin"/><Relationship Id="rId1032" Type="http://schemas.openxmlformats.org/officeDocument/2006/relationships/oleObject" Target="embeddings/oleObject570.bin"/><Relationship Id="rId279" Type="http://schemas.openxmlformats.org/officeDocument/2006/relationships/image" Target="media/image134.wmf"/><Relationship Id="rId486" Type="http://schemas.openxmlformats.org/officeDocument/2006/relationships/oleObject" Target="embeddings/oleObject247.bin"/><Relationship Id="rId693" Type="http://schemas.openxmlformats.org/officeDocument/2006/relationships/oleObject" Target="embeddings/oleObject349.bin"/><Relationship Id="rId707" Type="http://schemas.openxmlformats.org/officeDocument/2006/relationships/oleObject" Target="embeddings/oleObject356.bin"/><Relationship Id="rId914" Type="http://schemas.openxmlformats.org/officeDocument/2006/relationships/oleObject" Target="embeddings/oleObject495.bin"/><Relationship Id="rId1337" Type="http://schemas.openxmlformats.org/officeDocument/2006/relationships/image" Target="media/image617.png"/><Relationship Id="rId43" Type="http://schemas.openxmlformats.org/officeDocument/2006/relationships/image" Target="media/image16.wmf"/><Relationship Id="rId139" Type="http://schemas.openxmlformats.org/officeDocument/2006/relationships/image" Target="media/image65.wmf"/><Relationship Id="rId346" Type="http://schemas.openxmlformats.org/officeDocument/2006/relationships/image" Target="media/image166.wmf"/><Relationship Id="rId553" Type="http://schemas.openxmlformats.org/officeDocument/2006/relationships/image" Target="media/image275.wmf"/><Relationship Id="rId760" Type="http://schemas.openxmlformats.org/officeDocument/2006/relationships/image" Target="media/image377.wmf"/><Relationship Id="rId998" Type="http://schemas.openxmlformats.org/officeDocument/2006/relationships/oleObject" Target="embeddings/oleObject552.bin"/><Relationship Id="rId1183" Type="http://schemas.openxmlformats.org/officeDocument/2006/relationships/oleObject" Target="embeddings/oleObject627.bin"/><Relationship Id="rId1390" Type="http://schemas.openxmlformats.org/officeDocument/2006/relationships/image" Target="media/image647.wmf"/><Relationship Id="rId1404" Type="http://schemas.openxmlformats.org/officeDocument/2006/relationships/oleObject" Target="embeddings/oleObject724.bin"/><Relationship Id="rId192" Type="http://schemas.openxmlformats.org/officeDocument/2006/relationships/oleObject" Target="embeddings/oleObject91.bin"/><Relationship Id="rId206" Type="http://schemas.openxmlformats.org/officeDocument/2006/relationships/oleObject" Target="embeddings/oleObject98.bin"/><Relationship Id="rId413" Type="http://schemas.openxmlformats.org/officeDocument/2006/relationships/image" Target="media/image198.wmf"/><Relationship Id="rId858" Type="http://schemas.openxmlformats.org/officeDocument/2006/relationships/oleObject" Target="embeddings/oleObject445.bin"/><Relationship Id="rId1043" Type="http://schemas.openxmlformats.org/officeDocument/2006/relationships/chart" Target="charts/chart7.xml"/><Relationship Id="rId497" Type="http://schemas.openxmlformats.org/officeDocument/2006/relationships/image" Target="media/image244.wmf"/><Relationship Id="rId620" Type="http://schemas.openxmlformats.org/officeDocument/2006/relationships/oleObject" Target="embeddings/oleObject313.bin"/><Relationship Id="rId718" Type="http://schemas.openxmlformats.org/officeDocument/2006/relationships/image" Target="media/image356.wmf"/><Relationship Id="rId925" Type="http://schemas.openxmlformats.org/officeDocument/2006/relationships/oleObject" Target="embeddings/oleObject503.bin"/><Relationship Id="rId1250" Type="http://schemas.openxmlformats.org/officeDocument/2006/relationships/image" Target="media/image579.wmf"/><Relationship Id="rId1348" Type="http://schemas.openxmlformats.org/officeDocument/2006/relationships/image" Target="media/image628.png"/><Relationship Id="rId357" Type="http://schemas.openxmlformats.org/officeDocument/2006/relationships/image" Target="media/image171.wmf"/><Relationship Id="rId1110" Type="http://schemas.openxmlformats.org/officeDocument/2006/relationships/image" Target="media/image492.png"/><Relationship Id="rId1194" Type="http://schemas.openxmlformats.org/officeDocument/2006/relationships/image" Target="media/image535.wmf"/><Relationship Id="rId1208" Type="http://schemas.openxmlformats.org/officeDocument/2006/relationships/image" Target="media/image542.wmf"/><Relationship Id="rId54" Type="http://schemas.openxmlformats.org/officeDocument/2006/relationships/oleObject" Target="embeddings/oleObject21.bin"/><Relationship Id="rId217" Type="http://schemas.openxmlformats.org/officeDocument/2006/relationships/image" Target="media/image104.wmf"/><Relationship Id="rId564" Type="http://schemas.openxmlformats.org/officeDocument/2006/relationships/oleObject" Target="embeddings/oleObject285.bin"/><Relationship Id="rId771" Type="http://schemas.openxmlformats.org/officeDocument/2006/relationships/oleObject" Target="embeddings/oleObject393.bin"/><Relationship Id="rId869" Type="http://schemas.openxmlformats.org/officeDocument/2006/relationships/oleObject" Target="embeddings/oleObject452.bin"/><Relationship Id="rId424" Type="http://schemas.openxmlformats.org/officeDocument/2006/relationships/oleObject" Target="embeddings/oleObject213.bin"/><Relationship Id="rId631" Type="http://schemas.openxmlformats.org/officeDocument/2006/relationships/image" Target="media/image314.wmf"/><Relationship Id="rId729" Type="http://schemas.openxmlformats.org/officeDocument/2006/relationships/oleObject" Target="embeddings/oleObject367.bin"/><Relationship Id="rId1054" Type="http://schemas.openxmlformats.org/officeDocument/2006/relationships/chart" Target="charts/chart18.xml"/><Relationship Id="rId1261" Type="http://schemas.openxmlformats.org/officeDocument/2006/relationships/image" Target="media/image585.wmf"/><Relationship Id="rId1359" Type="http://schemas.openxmlformats.org/officeDocument/2006/relationships/image" Target="media/image639.wmf"/><Relationship Id="rId270" Type="http://schemas.openxmlformats.org/officeDocument/2006/relationships/oleObject" Target="embeddings/oleObject133.bin"/><Relationship Id="rId936" Type="http://schemas.openxmlformats.org/officeDocument/2006/relationships/oleObject" Target="embeddings/oleObject514.bin"/><Relationship Id="rId1121" Type="http://schemas.openxmlformats.org/officeDocument/2006/relationships/image" Target="media/image503.wmf"/><Relationship Id="rId1219" Type="http://schemas.openxmlformats.org/officeDocument/2006/relationships/image" Target="media/image548.wmf"/><Relationship Id="rId65" Type="http://schemas.openxmlformats.org/officeDocument/2006/relationships/image" Target="media/image28.wmf"/><Relationship Id="rId130" Type="http://schemas.openxmlformats.org/officeDocument/2006/relationships/oleObject" Target="embeddings/oleObject60.bin"/><Relationship Id="rId368" Type="http://schemas.openxmlformats.org/officeDocument/2006/relationships/image" Target="media/image176.wmf"/><Relationship Id="rId575" Type="http://schemas.openxmlformats.org/officeDocument/2006/relationships/image" Target="media/image286.wmf"/><Relationship Id="rId782" Type="http://schemas.openxmlformats.org/officeDocument/2006/relationships/image" Target="media/image378.wmf"/><Relationship Id="rId228" Type="http://schemas.openxmlformats.org/officeDocument/2006/relationships/oleObject" Target="embeddings/oleObject109.bin"/><Relationship Id="rId435" Type="http://schemas.openxmlformats.org/officeDocument/2006/relationships/image" Target="media/image209.wmf"/><Relationship Id="rId642" Type="http://schemas.openxmlformats.org/officeDocument/2006/relationships/oleObject" Target="embeddings/oleObject324.bin"/><Relationship Id="rId1065" Type="http://schemas.openxmlformats.org/officeDocument/2006/relationships/image" Target="media/image465.wmf"/><Relationship Id="rId1272" Type="http://schemas.openxmlformats.org/officeDocument/2006/relationships/oleObject" Target="embeddings/oleObject660.bin"/><Relationship Id="rId281" Type="http://schemas.openxmlformats.org/officeDocument/2006/relationships/image" Target="media/image135.wmf"/><Relationship Id="rId502" Type="http://schemas.openxmlformats.org/officeDocument/2006/relationships/oleObject" Target="embeddings/oleObject255.bin"/><Relationship Id="rId947" Type="http://schemas.openxmlformats.org/officeDocument/2006/relationships/image" Target="media/image423.wmf"/><Relationship Id="rId1132" Type="http://schemas.openxmlformats.org/officeDocument/2006/relationships/image" Target="media/image512.wmf"/><Relationship Id="rId76" Type="http://schemas.openxmlformats.org/officeDocument/2006/relationships/oleObject" Target="embeddings/oleObject33.bin"/><Relationship Id="rId141" Type="http://schemas.openxmlformats.org/officeDocument/2006/relationships/image" Target="media/image66.wmf"/><Relationship Id="rId379" Type="http://schemas.openxmlformats.org/officeDocument/2006/relationships/image" Target="media/image181.wmf"/><Relationship Id="rId586" Type="http://schemas.openxmlformats.org/officeDocument/2006/relationships/oleObject" Target="embeddings/oleObject296.bin"/><Relationship Id="rId793" Type="http://schemas.openxmlformats.org/officeDocument/2006/relationships/oleObject" Target="embeddings/oleObject409.bin"/><Relationship Id="rId807" Type="http://schemas.openxmlformats.org/officeDocument/2006/relationships/oleObject" Target="embeddings/oleObject416.bin"/><Relationship Id="rId7" Type="http://schemas.openxmlformats.org/officeDocument/2006/relationships/endnotes" Target="endnotes.xml"/><Relationship Id="rId239" Type="http://schemas.openxmlformats.org/officeDocument/2006/relationships/oleObject" Target="embeddings/oleObject115.bin"/><Relationship Id="rId446" Type="http://schemas.openxmlformats.org/officeDocument/2006/relationships/image" Target="media/image214.wmf"/><Relationship Id="rId653" Type="http://schemas.openxmlformats.org/officeDocument/2006/relationships/image" Target="media/image325.wmf"/><Relationship Id="rId1076" Type="http://schemas.openxmlformats.org/officeDocument/2006/relationships/oleObject" Target="embeddings/oleObject579.bin"/><Relationship Id="rId1283" Type="http://schemas.openxmlformats.org/officeDocument/2006/relationships/image" Target="media/image589.wmf"/><Relationship Id="rId292" Type="http://schemas.openxmlformats.org/officeDocument/2006/relationships/image" Target="media/image140.wmf"/><Relationship Id="rId306" Type="http://schemas.openxmlformats.org/officeDocument/2006/relationships/image" Target="media/image147.wmf"/><Relationship Id="rId860" Type="http://schemas.openxmlformats.org/officeDocument/2006/relationships/oleObject" Target="embeddings/oleObject446.bin"/><Relationship Id="rId958" Type="http://schemas.openxmlformats.org/officeDocument/2006/relationships/oleObject" Target="embeddings/oleObject530.bin"/><Relationship Id="rId1143" Type="http://schemas.openxmlformats.org/officeDocument/2006/relationships/oleObject" Target="embeddings/oleObject604.bin"/><Relationship Id="rId87" Type="http://schemas.openxmlformats.org/officeDocument/2006/relationships/image" Target="media/image39.wmf"/><Relationship Id="rId513" Type="http://schemas.openxmlformats.org/officeDocument/2006/relationships/image" Target="media/image252.wmf"/><Relationship Id="rId597" Type="http://schemas.openxmlformats.org/officeDocument/2006/relationships/image" Target="media/image297.wmf"/><Relationship Id="rId720" Type="http://schemas.openxmlformats.org/officeDocument/2006/relationships/image" Target="media/image357.wmf"/><Relationship Id="rId818" Type="http://schemas.openxmlformats.org/officeDocument/2006/relationships/image" Target="media/image396.wmf"/><Relationship Id="rId1350" Type="http://schemas.openxmlformats.org/officeDocument/2006/relationships/image" Target="media/image630.wmf"/><Relationship Id="rId152" Type="http://schemas.openxmlformats.org/officeDocument/2006/relationships/oleObject" Target="embeddings/oleObject71.bin"/><Relationship Id="rId457" Type="http://schemas.openxmlformats.org/officeDocument/2006/relationships/image" Target="media/image220.png"/><Relationship Id="rId1003" Type="http://schemas.openxmlformats.org/officeDocument/2006/relationships/image" Target="media/image448.wmf"/><Relationship Id="rId1087" Type="http://schemas.openxmlformats.org/officeDocument/2006/relationships/image" Target="media/image476.wmf"/><Relationship Id="rId1210" Type="http://schemas.openxmlformats.org/officeDocument/2006/relationships/image" Target="media/image543.wmf"/><Relationship Id="rId1294" Type="http://schemas.openxmlformats.org/officeDocument/2006/relationships/oleObject" Target="embeddings/oleObject673.bin"/><Relationship Id="rId1308" Type="http://schemas.openxmlformats.org/officeDocument/2006/relationships/oleObject" Target="embeddings/oleObject680.bin"/><Relationship Id="rId664" Type="http://schemas.openxmlformats.org/officeDocument/2006/relationships/image" Target="media/image329.wmf"/><Relationship Id="rId871" Type="http://schemas.openxmlformats.org/officeDocument/2006/relationships/image" Target="media/image417.wmf"/><Relationship Id="rId969" Type="http://schemas.openxmlformats.org/officeDocument/2006/relationships/oleObject" Target="embeddings/oleObject536.bin"/><Relationship Id="rId14" Type="http://schemas.openxmlformats.org/officeDocument/2006/relationships/oleObject" Target="embeddings/oleObject1.bin"/><Relationship Id="rId317" Type="http://schemas.openxmlformats.org/officeDocument/2006/relationships/oleObject" Target="embeddings/oleObject157.bin"/><Relationship Id="rId524" Type="http://schemas.openxmlformats.org/officeDocument/2006/relationships/oleObject" Target="embeddings/oleObject266.bin"/><Relationship Id="rId731" Type="http://schemas.openxmlformats.org/officeDocument/2006/relationships/oleObject" Target="embeddings/oleObject368.bin"/><Relationship Id="rId1154" Type="http://schemas.openxmlformats.org/officeDocument/2006/relationships/image" Target="media/image515.wmf"/><Relationship Id="rId1361" Type="http://schemas.openxmlformats.org/officeDocument/2006/relationships/image" Target="media/image641.wmf"/><Relationship Id="rId98" Type="http://schemas.openxmlformats.org/officeDocument/2006/relationships/oleObject" Target="embeddings/oleObject44.bin"/><Relationship Id="rId163" Type="http://schemas.openxmlformats.org/officeDocument/2006/relationships/image" Target="media/image77.wmf"/><Relationship Id="rId370" Type="http://schemas.openxmlformats.org/officeDocument/2006/relationships/image" Target="media/image177.wmf"/><Relationship Id="rId829" Type="http://schemas.openxmlformats.org/officeDocument/2006/relationships/oleObject" Target="embeddings/oleObject427.bin"/><Relationship Id="rId1014" Type="http://schemas.openxmlformats.org/officeDocument/2006/relationships/oleObject" Target="embeddings/oleObject561.bin"/><Relationship Id="rId1221" Type="http://schemas.openxmlformats.org/officeDocument/2006/relationships/image" Target="media/image550.png"/><Relationship Id="rId230" Type="http://schemas.openxmlformats.org/officeDocument/2006/relationships/oleObject" Target="embeddings/oleObject110.bin"/><Relationship Id="rId468" Type="http://schemas.openxmlformats.org/officeDocument/2006/relationships/image" Target="media/image225.wmf"/><Relationship Id="rId675" Type="http://schemas.openxmlformats.org/officeDocument/2006/relationships/oleObject" Target="embeddings/oleObject340.bin"/><Relationship Id="rId882" Type="http://schemas.openxmlformats.org/officeDocument/2006/relationships/oleObject" Target="embeddings/oleObject463.bin"/><Relationship Id="rId1098" Type="http://schemas.openxmlformats.org/officeDocument/2006/relationships/oleObject" Target="embeddings/oleObject590.bin"/><Relationship Id="rId1319" Type="http://schemas.openxmlformats.org/officeDocument/2006/relationships/image" Target="media/image607.wmf"/><Relationship Id="rId25" Type="http://schemas.openxmlformats.org/officeDocument/2006/relationships/image" Target="media/image7.wmf"/><Relationship Id="rId328" Type="http://schemas.openxmlformats.org/officeDocument/2006/relationships/image" Target="media/image158.wmf"/><Relationship Id="rId535" Type="http://schemas.openxmlformats.org/officeDocument/2006/relationships/image" Target="media/image264.wmf"/><Relationship Id="rId742" Type="http://schemas.openxmlformats.org/officeDocument/2006/relationships/image" Target="media/image368.wmf"/><Relationship Id="rId1165" Type="http://schemas.openxmlformats.org/officeDocument/2006/relationships/oleObject" Target="embeddings/oleObject618.bin"/><Relationship Id="rId1372" Type="http://schemas.openxmlformats.org/officeDocument/2006/relationships/oleObject" Target="embeddings/oleObject700.bin"/><Relationship Id="rId174" Type="http://schemas.openxmlformats.org/officeDocument/2006/relationships/oleObject" Target="embeddings/oleObject82.bin"/><Relationship Id="rId381" Type="http://schemas.openxmlformats.org/officeDocument/2006/relationships/image" Target="media/image182.wmf"/><Relationship Id="rId602" Type="http://schemas.openxmlformats.org/officeDocument/2006/relationships/oleObject" Target="embeddings/oleObject304.bin"/><Relationship Id="rId1025" Type="http://schemas.openxmlformats.org/officeDocument/2006/relationships/image" Target="media/image458.wmf"/><Relationship Id="rId1232" Type="http://schemas.openxmlformats.org/officeDocument/2006/relationships/image" Target="media/image561.png"/><Relationship Id="rId241" Type="http://schemas.openxmlformats.org/officeDocument/2006/relationships/image" Target="media/image115.wmf"/><Relationship Id="rId479" Type="http://schemas.openxmlformats.org/officeDocument/2006/relationships/oleObject" Target="embeddings/oleObject244.bin"/><Relationship Id="rId686" Type="http://schemas.openxmlformats.org/officeDocument/2006/relationships/image" Target="media/image340.wmf"/><Relationship Id="rId893" Type="http://schemas.openxmlformats.org/officeDocument/2006/relationships/oleObject" Target="embeddings/oleObject474.bin"/><Relationship Id="rId907" Type="http://schemas.openxmlformats.org/officeDocument/2006/relationships/oleObject" Target="embeddings/oleObject488.bin"/><Relationship Id="rId36" Type="http://schemas.openxmlformats.org/officeDocument/2006/relationships/oleObject" Target="embeddings/oleObject12.bin"/><Relationship Id="rId339" Type="http://schemas.openxmlformats.org/officeDocument/2006/relationships/oleObject" Target="embeddings/oleObject169.bin"/><Relationship Id="rId546" Type="http://schemas.openxmlformats.org/officeDocument/2006/relationships/image" Target="media/image271.wmf"/><Relationship Id="rId753" Type="http://schemas.openxmlformats.org/officeDocument/2006/relationships/oleObject" Target="embeddings/oleObject379.bin"/><Relationship Id="rId1176" Type="http://schemas.openxmlformats.org/officeDocument/2006/relationships/image" Target="media/image526.wmf"/><Relationship Id="rId1383" Type="http://schemas.openxmlformats.org/officeDocument/2006/relationships/oleObject" Target="embeddings/oleObject710.bin"/><Relationship Id="rId101" Type="http://schemas.openxmlformats.org/officeDocument/2006/relationships/image" Target="media/image46.wmf"/><Relationship Id="rId185" Type="http://schemas.openxmlformats.org/officeDocument/2006/relationships/image" Target="media/image88.wmf"/><Relationship Id="rId406" Type="http://schemas.openxmlformats.org/officeDocument/2006/relationships/oleObject" Target="embeddings/oleObject204.bin"/><Relationship Id="rId960" Type="http://schemas.openxmlformats.org/officeDocument/2006/relationships/oleObject" Target="embeddings/oleObject531.bin"/><Relationship Id="rId1036" Type="http://schemas.openxmlformats.org/officeDocument/2006/relationships/oleObject" Target="embeddings/oleObject572.bin"/><Relationship Id="rId1243" Type="http://schemas.openxmlformats.org/officeDocument/2006/relationships/image" Target="media/image572.wmf"/><Relationship Id="rId392" Type="http://schemas.openxmlformats.org/officeDocument/2006/relationships/oleObject" Target="embeddings/oleObject197.bin"/><Relationship Id="rId613" Type="http://schemas.openxmlformats.org/officeDocument/2006/relationships/image" Target="media/image305.wmf"/><Relationship Id="rId697" Type="http://schemas.openxmlformats.org/officeDocument/2006/relationships/oleObject" Target="embeddings/oleObject351.bin"/><Relationship Id="rId820" Type="http://schemas.openxmlformats.org/officeDocument/2006/relationships/image" Target="media/image397.wmf"/><Relationship Id="rId918" Type="http://schemas.openxmlformats.org/officeDocument/2006/relationships/oleObject" Target="embeddings/oleObject498.bin"/><Relationship Id="rId252" Type="http://schemas.openxmlformats.org/officeDocument/2006/relationships/oleObject" Target="embeddings/oleObject122.bin"/><Relationship Id="rId1103" Type="http://schemas.openxmlformats.org/officeDocument/2006/relationships/image" Target="media/image485.wmf"/><Relationship Id="rId1187" Type="http://schemas.openxmlformats.org/officeDocument/2006/relationships/oleObject" Target="embeddings/oleObject629.bin"/><Relationship Id="rId1310" Type="http://schemas.openxmlformats.org/officeDocument/2006/relationships/oleObject" Target="embeddings/oleObject681.bin"/><Relationship Id="rId1408" Type="http://schemas.microsoft.com/office/2007/relationships/stylesWithEffects" Target="stylesWithEffects.xml"/><Relationship Id="rId47" Type="http://schemas.openxmlformats.org/officeDocument/2006/relationships/image" Target="media/image18.wmf"/><Relationship Id="rId112" Type="http://schemas.openxmlformats.org/officeDocument/2006/relationships/oleObject" Target="embeddings/oleObject51.bin"/><Relationship Id="rId557" Type="http://schemas.openxmlformats.org/officeDocument/2006/relationships/image" Target="media/image277.wmf"/><Relationship Id="rId764" Type="http://schemas.openxmlformats.org/officeDocument/2006/relationships/oleObject" Target="embeddings/oleObject386.bin"/><Relationship Id="rId971" Type="http://schemas.openxmlformats.org/officeDocument/2006/relationships/oleObject" Target="embeddings/oleObject537.bin"/><Relationship Id="rId1394" Type="http://schemas.openxmlformats.org/officeDocument/2006/relationships/oleObject" Target="embeddings/oleObject719.bin"/><Relationship Id="rId196" Type="http://schemas.openxmlformats.org/officeDocument/2006/relationships/oleObject" Target="embeddings/oleObject93.bin"/><Relationship Id="rId417" Type="http://schemas.openxmlformats.org/officeDocument/2006/relationships/image" Target="media/image200.wmf"/><Relationship Id="rId624" Type="http://schemas.openxmlformats.org/officeDocument/2006/relationships/oleObject" Target="embeddings/oleObject315.bin"/><Relationship Id="rId831" Type="http://schemas.openxmlformats.org/officeDocument/2006/relationships/oleObject" Target="embeddings/oleObject428.bin"/><Relationship Id="rId1047" Type="http://schemas.openxmlformats.org/officeDocument/2006/relationships/chart" Target="charts/chart11.xml"/><Relationship Id="rId1254" Type="http://schemas.openxmlformats.org/officeDocument/2006/relationships/oleObject" Target="embeddings/oleObject646.bin"/><Relationship Id="rId263" Type="http://schemas.openxmlformats.org/officeDocument/2006/relationships/oleObject" Target="embeddings/oleObject128.bin"/><Relationship Id="rId470" Type="http://schemas.openxmlformats.org/officeDocument/2006/relationships/image" Target="media/image226.wmf"/><Relationship Id="rId929" Type="http://schemas.openxmlformats.org/officeDocument/2006/relationships/oleObject" Target="embeddings/oleObject507.bin"/><Relationship Id="rId1114" Type="http://schemas.openxmlformats.org/officeDocument/2006/relationships/image" Target="media/image496.wmf"/><Relationship Id="rId1321" Type="http://schemas.openxmlformats.org/officeDocument/2006/relationships/image" Target="media/image608.wmf"/><Relationship Id="rId58" Type="http://schemas.openxmlformats.org/officeDocument/2006/relationships/oleObject" Target="embeddings/oleObject24.bin"/><Relationship Id="rId123" Type="http://schemas.openxmlformats.org/officeDocument/2006/relationships/image" Target="media/image57.wmf"/><Relationship Id="rId330" Type="http://schemas.openxmlformats.org/officeDocument/2006/relationships/image" Target="media/image159.wmf"/><Relationship Id="rId568" Type="http://schemas.openxmlformats.org/officeDocument/2006/relationships/oleObject" Target="embeddings/oleObject287.bin"/><Relationship Id="rId775" Type="http://schemas.openxmlformats.org/officeDocument/2006/relationships/oleObject" Target="embeddings/oleObject397.bin"/><Relationship Id="rId982" Type="http://schemas.openxmlformats.org/officeDocument/2006/relationships/image" Target="media/image438.wmf"/><Relationship Id="rId1198" Type="http://schemas.openxmlformats.org/officeDocument/2006/relationships/image" Target="media/image537.wmf"/><Relationship Id="rId428" Type="http://schemas.openxmlformats.org/officeDocument/2006/relationships/oleObject" Target="embeddings/oleObject215.bin"/><Relationship Id="rId635" Type="http://schemas.openxmlformats.org/officeDocument/2006/relationships/image" Target="media/image316.wmf"/><Relationship Id="rId842" Type="http://schemas.openxmlformats.org/officeDocument/2006/relationships/oleObject" Target="embeddings/oleObject434.bin"/><Relationship Id="rId1058" Type="http://schemas.openxmlformats.org/officeDocument/2006/relationships/chart" Target="charts/chart22.xml"/><Relationship Id="rId1265" Type="http://schemas.openxmlformats.org/officeDocument/2006/relationships/oleObject" Target="embeddings/oleObject653.bin"/><Relationship Id="rId274" Type="http://schemas.openxmlformats.org/officeDocument/2006/relationships/oleObject" Target="embeddings/oleObject135.bin"/><Relationship Id="rId481" Type="http://schemas.openxmlformats.org/officeDocument/2006/relationships/image" Target="media/image236.wmf"/><Relationship Id="rId702" Type="http://schemas.openxmlformats.org/officeDocument/2006/relationships/image" Target="media/image348.wmf"/><Relationship Id="rId1125" Type="http://schemas.openxmlformats.org/officeDocument/2006/relationships/image" Target="media/image507.wmf"/><Relationship Id="rId1332" Type="http://schemas.openxmlformats.org/officeDocument/2006/relationships/oleObject" Target="embeddings/oleObject692.bin"/><Relationship Id="rId69" Type="http://schemas.openxmlformats.org/officeDocument/2006/relationships/image" Target="media/image30.wmf"/><Relationship Id="rId134" Type="http://schemas.openxmlformats.org/officeDocument/2006/relationships/oleObject" Target="embeddings/oleObject62.bin"/><Relationship Id="rId579" Type="http://schemas.openxmlformats.org/officeDocument/2006/relationships/image" Target="media/image288.wmf"/><Relationship Id="rId786" Type="http://schemas.openxmlformats.org/officeDocument/2006/relationships/image" Target="media/image380.wmf"/><Relationship Id="rId993" Type="http://schemas.openxmlformats.org/officeDocument/2006/relationships/image" Target="media/image443.wmf"/><Relationship Id="rId341" Type="http://schemas.openxmlformats.org/officeDocument/2006/relationships/oleObject" Target="embeddings/oleObject170.bin"/><Relationship Id="rId439" Type="http://schemas.openxmlformats.org/officeDocument/2006/relationships/image" Target="media/image211.wmf"/><Relationship Id="rId646" Type="http://schemas.openxmlformats.org/officeDocument/2006/relationships/oleObject" Target="embeddings/oleObject326.bin"/><Relationship Id="rId1069" Type="http://schemas.openxmlformats.org/officeDocument/2006/relationships/image" Target="media/image467.wmf"/><Relationship Id="rId1276" Type="http://schemas.openxmlformats.org/officeDocument/2006/relationships/oleObject" Target="embeddings/oleObject664.bin"/><Relationship Id="rId201" Type="http://schemas.openxmlformats.org/officeDocument/2006/relationships/image" Target="media/image96.wmf"/><Relationship Id="rId285" Type="http://schemas.openxmlformats.org/officeDocument/2006/relationships/image" Target="media/image137.wmf"/><Relationship Id="rId506" Type="http://schemas.openxmlformats.org/officeDocument/2006/relationships/oleObject" Target="embeddings/oleObject257.bin"/><Relationship Id="rId853" Type="http://schemas.openxmlformats.org/officeDocument/2006/relationships/oleObject" Target="embeddings/oleObject442.bin"/><Relationship Id="rId1136" Type="http://schemas.openxmlformats.org/officeDocument/2006/relationships/oleObject" Target="embeddings/oleObject597.bin"/><Relationship Id="rId492" Type="http://schemas.openxmlformats.org/officeDocument/2006/relationships/oleObject" Target="embeddings/oleObject250.bin"/><Relationship Id="rId713" Type="http://schemas.openxmlformats.org/officeDocument/2006/relationships/oleObject" Target="embeddings/oleObject359.bin"/><Relationship Id="rId797" Type="http://schemas.openxmlformats.org/officeDocument/2006/relationships/oleObject" Target="embeddings/oleObject411.bin"/><Relationship Id="rId920" Type="http://schemas.openxmlformats.org/officeDocument/2006/relationships/oleObject" Target="embeddings/oleObject499.bin"/><Relationship Id="rId1343" Type="http://schemas.openxmlformats.org/officeDocument/2006/relationships/image" Target="media/image623.wmf"/><Relationship Id="rId145" Type="http://schemas.openxmlformats.org/officeDocument/2006/relationships/image" Target="media/image68.wmf"/><Relationship Id="rId352" Type="http://schemas.openxmlformats.org/officeDocument/2006/relationships/oleObject" Target="embeddings/oleObject176.bin"/><Relationship Id="rId1203" Type="http://schemas.openxmlformats.org/officeDocument/2006/relationships/oleObject" Target="embeddings/oleObject637.bin"/><Relationship Id="rId1287" Type="http://schemas.openxmlformats.org/officeDocument/2006/relationships/image" Target="media/image591.wmf"/><Relationship Id="rId212" Type="http://schemas.openxmlformats.org/officeDocument/2006/relationships/oleObject" Target="embeddings/oleObject101.bin"/><Relationship Id="rId657" Type="http://schemas.openxmlformats.org/officeDocument/2006/relationships/oleObject" Target="embeddings/oleObject332.bin"/><Relationship Id="rId864" Type="http://schemas.openxmlformats.org/officeDocument/2006/relationships/oleObject" Target="embeddings/oleObject448.bin"/><Relationship Id="rId296" Type="http://schemas.openxmlformats.org/officeDocument/2006/relationships/image" Target="media/image142.wmf"/><Relationship Id="rId517" Type="http://schemas.openxmlformats.org/officeDocument/2006/relationships/image" Target="media/image254.wmf"/><Relationship Id="rId724" Type="http://schemas.openxmlformats.org/officeDocument/2006/relationships/image" Target="media/image359.wmf"/><Relationship Id="rId931" Type="http://schemas.openxmlformats.org/officeDocument/2006/relationships/oleObject" Target="embeddings/oleObject509.bin"/><Relationship Id="rId1147" Type="http://schemas.openxmlformats.org/officeDocument/2006/relationships/oleObject" Target="embeddings/oleObject608.bin"/><Relationship Id="rId1354" Type="http://schemas.openxmlformats.org/officeDocument/2006/relationships/image" Target="media/image634.wmf"/><Relationship Id="rId60" Type="http://schemas.openxmlformats.org/officeDocument/2006/relationships/oleObject" Target="embeddings/oleObject25.bin"/><Relationship Id="rId156" Type="http://schemas.openxmlformats.org/officeDocument/2006/relationships/oleObject" Target="embeddings/oleObject73.bin"/><Relationship Id="rId363" Type="http://schemas.openxmlformats.org/officeDocument/2006/relationships/oleObject" Target="embeddings/oleObject182.bin"/><Relationship Id="rId570" Type="http://schemas.openxmlformats.org/officeDocument/2006/relationships/oleObject" Target="embeddings/oleObject288.bin"/><Relationship Id="rId1007" Type="http://schemas.openxmlformats.org/officeDocument/2006/relationships/image" Target="media/image450.wmf"/><Relationship Id="rId1214" Type="http://schemas.openxmlformats.org/officeDocument/2006/relationships/image" Target="media/image545.wmf"/><Relationship Id="rId223" Type="http://schemas.openxmlformats.org/officeDocument/2006/relationships/image" Target="media/image107.wmf"/><Relationship Id="rId430" Type="http://schemas.openxmlformats.org/officeDocument/2006/relationships/oleObject" Target="embeddings/oleObject216.bin"/><Relationship Id="rId668" Type="http://schemas.openxmlformats.org/officeDocument/2006/relationships/image" Target="media/image331.wmf"/><Relationship Id="rId875" Type="http://schemas.openxmlformats.org/officeDocument/2006/relationships/oleObject" Target="embeddings/oleObject456.bin"/><Relationship Id="rId1060" Type="http://schemas.openxmlformats.org/officeDocument/2006/relationships/chart" Target="charts/chart24.xml"/><Relationship Id="rId1298" Type="http://schemas.openxmlformats.org/officeDocument/2006/relationships/oleObject" Target="embeddings/oleObject675.bin"/><Relationship Id="rId18" Type="http://schemas.openxmlformats.org/officeDocument/2006/relationships/oleObject" Target="embeddings/oleObject3.bin"/><Relationship Id="rId528" Type="http://schemas.openxmlformats.org/officeDocument/2006/relationships/oleObject" Target="embeddings/oleObject268.bin"/><Relationship Id="rId735" Type="http://schemas.openxmlformats.org/officeDocument/2006/relationships/oleObject" Target="embeddings/oleObject370.bin"/><Relationship Id="rId942" Type="http://schemas.openxmlformats.org/officeDocument/2006/relationships/oleObject" Target="embeddings/oleObject520.bin"/><Relationship Id="rId1158" Type="http://schemas.openxmlformats.org/officeDocument/2006/relationships/image" Target="media/image517.wmf"/><Relationship Id="rId1365" Type="http://schemas.openxmlformats.org/officeDocument/2006/relationships/image" Target="media/image644.wmf"/><Relationship Id="rId167" Type="http://schemas.openxmlformats.org/officeDocument/2006/relationships/image" Target="media/image79.wmf"/><Relationship Id="rId374" Type="http://schemas.openxmlformats.org/officeDocument/2006/relationships/oleObject" Target="embeddings/oleObject188.bin"/><Relationship Id="rId581" Type="http://schemas.openxmlformats.org/officeDocument/2006/relationships/image" Target="media/image289.wmf"/><Relationship Id="rId1018" Type="http://schemas.openxmlformats.org/officeDocument/2006/relationships/oleObject" Target="embeddings/oleObject563.bin"/><Relationship Id="rId1225" Type="http://schemas.openxmlformats.org/officeDocument/2006/relationships/image" Target="media/image554.png"/><Relationship Id="rId71" Type="http://schemas.openxmlformats.org/officeDocument/2006/relationships/image" Target="media/image31.wmf"/><Relationship Id="rId234" Type="http://schemas.openxmlformats.org/officeDocument/2006/relationships/oleObject" Target="embeddings/oleObject112.bin"/><Relationship Id="rId679" Type="http://schemas.openxmlformats.org/officeDocument/2006/relationships/oleObject" Target="embeddings/oleObject342.bin"/><Relationship Id="rId802" Type="http://schemas.openxmlformats.org/officeDocument/2006/relationships/image" Target="media/image388.wmf"/><Relationship Id="rId886" Type="http://schemas.openxmlformats.org/officeDocument/2006/relationships/oleObject" Target="embeddings/oleObject467.bin"/><Relationship Id="rId2" Type="http://schemas.openxmlformats.org/officeDocument/2006/relationships/numbering" Target="numbering.xml"/><Relationship Id="rId29" Type="http://schemas.openxmlformats.org/officeDocument/2006/relationships/image" Target="media/image9.wmf"/><Relationship Id="rId441" Type="http://schemas.openxmlformats.org/officeDocument/2006/relationships/image" Target="media/image212.wmf"/><Relationship Id="rId539" Type="http://schemas.openxmlformats.org/officeDocument/2006/relationships/image" Target="media/image266.wmf"/><Relationship Id="rId746" Type="http://schemas.openxmlformats.org/officeDocument/2006/relationships/image" Target="media/image370.wmf"/><Relationship Id="rId1071" Type="http://schemas.openxmlformats.org/officeDocument/2006/relationships/image" Target="media/image468.wmf"/><Relationship Id="rId1169" Type="http://schemas.openxmlformats.org/officeDocument/2006/relationships/oleObject" Target="embeddings/oleObject620.bin"/><Relationship Id="rId1376" Type="http://schemas.openxmlformats.org/officeDocument/2006/relationships/oleObject" Target="embeddings/oleObject703.bin"/><Relationship Id="rId178" Type="http://schemas.openxmlformats.org/officeDocument/2006/relationships/oleObject" Target="embeddings/oleObject84.bin"/><Relationship Id="rId301" Type="http://schemas.openxmlformats.org/officeDocument/2006/relationships/oleObject" Target="embeddings/oleObject149.bin"/><Relationship Id="rId953" Type="http://schemas.openxmlformats.org/officeDocument/2006/relationships/oleObject" Target="embeddings/oleObject527.bin"/><Relationship Id="rId1029" Type="http://schemas.openxmlformats.org/officeDocument/2006/relationships/image" Target="media/image460.wmf"/><Relationship Id="rId1236" Type="http://schemas.openxmlformats.org/officeDocument/2006/relationships/image" Target="media/image565.wmf"/><Relationship Id="rId82" Type="http://schemas.openxmlformats.org/officeDocument/2006/relationships/oleObject" Target="embeddings/oleObject36.bin"/><Relationship Id="rId385" Type="http://schemas.openxmlformats.org/officeDocument/2006/relationships/image" Target="media/image184.wmf"/><Relationship Id="rId592" Type="http://schemas.openxmlformats.org/officeDocument/2006/relationships/oleObject" Target="embeddings/oleObject299.bin"/><Relationship Id="rId606" Type="http://schemas.openxmlformats.org/officeDocument/2006/relationships/oleObject" Target="embeddings/oleObject306.bin"/><Relationship Id="rId813" Type="http://schemas.openxmlformats.org/officeDocument/2006/relationships/oleObject" Target="embeddings/oleObject419.bin"/><Relationship Id="rId245" Type="http://schemas.openxmlformats.org/officeDocument/2006/relationships/image" Target="media/image117.wmf"/><Relationship Id="rId452" Type="http://schemas.openxmlformats.org/officeDocument/2006/relationships/image" Target="media/image217.wmf"/><Relationship Id="rId897" Type="http://schemas.openxmlformats.org/officeDocument/2006/relationships/oleObject" Target="embeddings/oleObject478.bin"/><Relationship Id="rId1082" Type="http://schemas.openxmlformats.org/officeDocument/2006/relationships/oleObject" Target="embeddings/oleObject582.bin"/><Relationship Id="rId1303" Type="http://schemas.openxmlformats.org/officeDocument/2006/relationships/image" Target="media/image599.wmf"/><Relationship Id="rId105" Type="http://schemas.openxmlformats.org/officeDocument/2006/relationships/image" Target="media/image48.wmf"/><Relationship Id="rId312" Type="http://schemas.openxmlformats.org/officeDocument/2006/relationships/image" Target="media/image150.wmf"/><Relationship Id="rId757" Type="http://schemas.openxmlformats.org/officeDocument/2006/relationships/oleObject" Target="embeddings/oleObject381.bin"/><Relationship Id="rId964" Type="http://schemas.openxmlformats.org/officeDocument/2006/relationships/oleObject" Target="embeddings/oleObject533.bin"/><Relationship Id="rId1387" Type="http://schemas.openxmlformats.org/officeDocument/2006/relationships/oleObject" Target="embeddings/oleObject714.bin"/><Relationship Id="rId93" Type="http://schemas.openxmlformats.org/officeDocument/2006/relationships/image" Target="media/image42.wmf"/><Relationship Id="rId189" Type="http://schemas.openxmlformats.org/officeDocument/2006/relationships/image" Target="media/image90.wmf"/><Relationship Id="rId396" Type="http://schemas.openxmlformats.org/officeDocument/2006/relationships/oleObject" Target="embeddings/oleObject199.bin"/><Relationship Id="rId617" Type="http://schemas.openxmlformats.org/officeDocument/2006/relationships/image" Target="media/image307.wmf"/><Relationship Id="rId824" Type="http://schemas.openxmlformats.org/officeDocument/2006/relationships/image" Target="media/image399.wmf"/><Relationship Id="rId1247" Type="http://schemas.openxmlformats.org/officeDocument/2006/relationships/image" Target="media/image576.wmf"/><Relationship Id="rId256" Type="http://schemas.openxmlformats.org/officeDocument/2006/relationships/image" Target="media/image122.wmf"/><Relationship Id="rId463" Type="http://schemas.openxmlformats.org/officeDocument/2006/relationships/oleObject" Target="embeddings/oleObject232.bin"/><Relationship Id="rId670" Type="http://schemas.openxmlformats.org/officeDocument/2006/relationships/image" Target="media/image332.wmf"/><Relationship Id="rId1093" Type="http://schemas.openxmlformats.org/officeDocument/2006/relationships/image" Target="media/image479.wmf"/><Relationship Id="rId1107" Type="http://schemas.openxmlformats.org/officeDocument/2006/relationships/image" Target="media/image489.png"/><Relationship Id="rId1314" Type="http://schemas.openxmlformats.org/officeDocument/2006/relationships/oleObject" Target="embeddings/oleObject683.bin"/><Relationship Id="rId116" Type="http://schemas.openxmlformats.org/officeDocument/2006/relationships/oleObject" Target="embeddings/oleObject53.bin"/><Relationship Id="rId323" Type="http://schemas.openxmlformats.org/officeDocument/2006/relationships/oleObject" Target="embeddings/oleObject160.bin"/><Relationship Id="rId530" Type="http://schemas.openxmlformats.org/officeDocument/2006/relationships/oleObject" Target="embeddings/oleObject269.bin"/><Relationship Id="rId768" Type="http://schemas.openxmlformats.org/officeDocument/2006/relationships/oleObject" Target="embeddings/oleObject390.bin"/><Relationship Id="rId975" Type="http://schemas.openxmlformats.org/officeDocument/2006/relationships/image" Target="media/image435.wmf"/><Relationship Id="rId1160" Type="http://schemas.openxmlformats.org/officeDocument/2006/relationships/image" Target="media/image518.wmf"/><Relationship Id="rId1398" Type="http://schemas.openxmlformats.org/officeDocument/2006/relationships/oleObject" Target="embeddings/oleObject721.bin"/><Relationship Id="rId20" Type="http://schemas.openxmlformats.org/officeDocument/2006/relationships/oleObject" Target="embeddings/oleObject4.bin"/><Relationship Id="rId628" Type="http://schemas.openxmlformats.org/officeDocument/2006/relationships/oleObject" Target="embeddings/oleObject317.bin"/><Relationship Id="rId835" Type="http://schemas.openxmlformats.org/officeDocument/2006/relationships/oleObject" Target="embeddings/oleObject430.bin"/><Relationship Id="rId1258" Type="http://schemas.openxmlformats.org/officeDocument/2006/relationships/oleObject" Target="embeddings/oleObject648.bin"/><Relationship Id="rId267" Type="http://schemas.openxmlformats.org/officeDocument/2006/relationships/oleObject" Target="embeddings/oleObject131.bin"/><Relationship Id="rId474" Type="http://schemas.openxmlformats.org/officeDocument/2006/relationships/image" Target="media/image228.wmf"/><Relationship Id="rId1020" Type="http://schemas.openxmlformats.org/officeDocument/2006/relationships/oleObject" Target="embeddings/oleObject564.bin"/><Relationship Id="rId1118" Type="http://schemas.openxmlformats.org/officeDocument/2006/relationships/image" Target="media/image500.wmf"/><Relationship Id="rId1325" Type="http://schemas.openxmlformats.org/officeDocument/2006/relationships/image" Target="media/image610.wmf"/><Relationship Id="rId127" Type="http://schemas.openxmlformats.org/officeDocument/2006/relationships/image" Target="media/image59.wmf"/><Relationship Id="rId681" Type="http://schemas.openxmlformats.org/officeDocument/2006/relationships/oleObject" Target="embeddings/oleObject343.bin"/><Relationship Id="rId779" Type="http://schemas.openxmlformats.org/officeDocument/2006/relationships/oleObject" Target="embeddings/oleObject401.bin"/><Relationship Id="rId902" Type="http://schemas.openxmlformats.org/officeDocument/2006/relationships/oleObject" Target="embeddings/oleObject483.bin"/><Relationship Id="rId986" Type="http://schemas.openxmlformats.org/officeDocument/2006/relationships/oleObject" Target="embeddings/oleObject546.bin"/><Relationship Id="rId31" Type="http://schemas.openxmlformats.org/officeDocument/2006/relationships/image" Target="media/image10.wmf"/><Relationship Id="rId334" Type="http://schemas.openxmlformats.org/officeDocument/2006/relationships/image" Target="media/image160.wmf"/><Relationship Id="rId541" Type="http://schemas.openxmlformats.org/officeDocument/2006/relationships/image" Target="media/image268.wmf"/><Relationship Id="rId639" Type="http://schemas.openxmlformats.org/officeDocument/2006/relationships/image" Target="media/image318.wmf"/><Relationship Id="rId1171" Type="http://schemas.openxmlformats.org/officeDocument/2006/relationships/oleObject" Target="embeddings/oleObject621.bin"/><Relationship Id="rId1269" Type="http://schemas.openxmlformats.org/officeDocument/2006/relationships/oleObject" Target="embeddings/oleObject657.bin"/><Relationship Id="rId180" Type="http://schemas.openxmlformats.org/officeDocument/2006/relationships/oleObject" Target="embeddings/oleObject85.bin"/><Relationship Id="rId278" Type="http://schemas.openxmlformats.org/officeDocument/2006/relationships/oleObject" Target="embeddings/oleObject137.bin"/><Relationship Id="rId401" Type="http://schemas.openxmlformats.org/officeDocument/2006/relationships/image" Target="media/image192.wmf"/><Relationship Id="rId846" Type="http://schemas.openxmlformats.org/officeDocument/2006/relationships/oleObject" Target="embeddings/oleObject437.bin"/><Relationship Id="rId1031" Type="http://schemas.openxmlformats.org/officeDocument/2006/relationships/image" Target="media/image461.wmf"/><Relationship Id="rId1129" Type="http://schemas.openxmlformats.org/officeDocument/2006/relationships/oleObject" Target="embeddings/oleObject592.bin"/><Relationship Id="rId485" Type="http://schemas.openxmlformats.org/officeDocument/2006/relationships/image" Target="media/image238.wmf"/><Relationship Id="rId692" Type="http://schemas.openxmlformats.org/officeDocument/2006/relationships/image" Target="media/image343.wmf"/><Relationship Id="rId706" Type="http://schemas.openxmlformats.org/officeDocument/2006/relationships/image" Target="media/image350.wmf"/><Relationship Id="rId913" Type="http://schemas.openxmlformats.org/officeDocument/2006/relationships/oleObject" Target="embeddings/oleObject494.bin"/><Relationship Id="rId1336" Type="http://schemas.openxmlformats.org/officeDocument/2006/relationships/image" Target="media/image616.png"/><Relationship Id="rId42" Type="http://schemas.openxmlformats.org/officeDocument/2006/relationships/oleObject" Target="embeddings/oleObject15.bin"/><Relationship Id="rId138" Type="http://schemas.openxmlformats.org/officeDocument/2006/relationships/oleObject" Target="embeddings/oleObject64.bin"/><Relationship Id="rId345" Type="http://schemas.openxmlformats.org/officeDocument/2006/relationships/oleObject" Target="embeddings/oleObject172.bin"/><Relationship Id="rId552" Type="http://schemas.openxmlformats.org/officeDocument/2006/relationships/oleObject" Target="embeddings/oleObject279.bin"/><Relationship Id="rId997" Type="http://schemas.openxmlformats.org/officeDocument/2006/relationships/image" Target="media/image445.wmf"/><Relationship Id="rId1182" Type="http://schemas.openxmlformats.org/officeDocument/2006/relationships/image" Target="media/image529.wmf"/><Relationship Id="rId1403" Type="http://schemas.openxmlformats.org/officeDocument/2006/relationships/image" Target="media/image653.wmf"/><Relationship Id="rId191" Type="http://schemas.openxmlformats.org/officeDocument/2006/relationships/image" Target="media/image91.wmf"/><Relationship Id="rId205" Type="http://schemas.openxmlformats.org/officeDocument/2006/relationships/image" Target="media/image98.wmf"/><Relationship Id="rId412" Type="http://schemas.openxmlformats.org/officeDocument/2006/relationships/oleObject" Target="embeddings/oleObject207.bin"/><Relationship Id="rId857" Type="http://schemas.openxmlformats.org/officeDocument/2006/relationships/image" Target="media/image412.wmf"/><Relationship Id="rId1042" Type="http://schemas.openxmlformats.org/officeDocument/2006/relationships/chart" Target="charts/chart6.xml"/><Relationship Id="rId289" Type="http://schemas.openxmlformats.org/officeDocument/2006/relationships/oleObject" Target="embeddings/oleObject143.bin"/><Relationship Id="rId496" Type="http://schemas.openxmlformats.org/officeDocument/2006/relationships/oleObject" Target="embeddings/oleObject252.bin"/><Relationship Id="rId717" Type="http://schemas.openxmlformats.org/officeDocument/2006/relationships/oleObject" Target="embeddings/oleObject361.bin"/><Relationship Id="rId924" Type="http://schemas.openxmlformats.org/officeDocument/2006/relationships/oleObject" Target="embeddings/oleObject502.bin"/><Relationship Id="rId1347" Type="http://schemas.openxmlformats.org/officeDocument/2006/relationships/image" Target="media/image627.wmf"/><Relationship Id="rId53" Type="http://schemas.openxmlformats.org/officeDocument/2006/relationships/image" Target="media/image21.wmf"/><Relationship Id="rId149" Type="http://schemas.openxmlformats.org/officeDocument/2006/relationships/image" Target="media/image70.wmf"/><Relationship Id="rId356" Type="http://schemas.openxmlformats.org/officeDocument/2006/relationships/oleObject" Target="embeddings/oleObject178.bin"/><Relationship Id="rId563" Type="http://schemas.openxmlformats.org/officeDocument/2006/relationships/image" Target="media/image280.wmf"/><Relationship Id="rId770" Type="http://schemas.openxmlformats.org/officeDocument/2006/relationships/oleObject" Target="embeddings/oleObject392.bin"/><Relationship Id="rId1193" Type="http://schemas.openxmlformats.org/officeDocument/2006/relationships/oleObject" Target="embeddings/oleObject632.bin"/><Relationship Id="rId1207" Type="http://schemas.openxmlformats.org/officeDocument/2006/relationships/oleObject" Target="embeddings/oleObject639.bin"/><Relationship Id="rId216" Type="http://schemas.openxmlformats.org/officeDocument/2006/relationships/oleObject" Target="embeddings/oleObject103.bin"/><Relationship Id="rId423" Type="http://schemas.openxmlformats.org/officeDocument/2006/relationships/image" Target="media/image203.wmf"/><Relationship Id="rId868" Type="http://schemas.openxmlformats.org/officeDocument/2006/relationships/oleObject" Target="embeddings/oleObject451.bin"/><Relationship Id="rId1053" Type="http://schemas.openxmlformats.org/officeDocument/2006/relationships/chart" Target="charts/chart17.xml"/><Relationship Id="rId1260" Type="http://schemas.openxmlformats.org/officeDocument/2006/relationships/oleObject" Target="embeddings/oleObject649.bin"/><Relationship Id="rId630" Type="http://schemas.openxmlformats.org/officeDocument/2006/relationships/oleObject" Target="embeddings/oleObject318.bin"/><Relationship Id="rId728" Type="http://schemas.openxmlformats.org/officeDocument/2006/relationships/image" Target="media/image361.wmf"/><Relationship Id="rId935" Type="http://schemas.openxmlformats.org/officeDocument/2006/relationships/oleObject" Target="embeddings/oleObject513.bin"/><Relationship Id="rId1358" Type="http://schemas.openxmlformats.org/officeDocument/2006/relationships/image" Target="media/image638.wmf"/><Relationship Id="rId64" Type="http://schemas.openxmlformats.org/officeDocument/2006/relationships/oleObject" Target="embeddings/oleObject27.bin"/><Relationship Id="rId367" Type="http://schemas.openxmlformats.org/officeDocument/2006/relationships/oleObject" Target="embeddings/oleObject184.bin"/><Relationship Id="rId574" Type="http://schemas.openxmlformats.org/officeDocument/2006/relationships/oleObject" Target="embeddings/oleObject290.bin"/><Relationship Id="rId1120" Type="http://schemas.openxmlformats.org/officeDocument/2006/relationships/image" Target="media/image502.wmf"/><Relationship Id="rId1218" Type="http://schemas.openxmlformats.org/officeDocument/2006/relationships/image" Target="media/image547.wmf"/><Relationship Id="rId227" Type="http://schemas.openxmlformats.org/officeDocument/2006/relationships/image" Target="media/image109.wmf"/><Relationship Id="rId781" Type="http://schemas.openxmlformats.org/officeDocument/2006/relationships/oleObject" Target="embeddings/oleObject403.bin"/><Relationship Id="rId879" Type="http://schemas.openxmlformats.org/officeDocument/2006/relationships/oleObject" Target="embeddings/oleObject460.bin"/><Relationship Id="rId434" Type="http://schemas.openxmlformats.org/officeDocument/2006/relationships/oleObject" Target="embeddings/oleObject218.bin"/><Relationship Id="rId641" Type="http://schemas.openxmlformats.org/officeDocument/2006/relationships/image" Target="media/image319.wmf"/><Relationship Id="rId739" Type="http://schemas.openxmlformats.org/officeDocument/2006/relationships/oleObject" Target="embeddings/oleObject372.bin"/><Relationship Id="rId1064" Type="http://schemas.openxmlformats.org/officeDocument/2006/relationships/oleObject" Target="embeddings/oleObject573.bin"/><Relationship Id="rId1271" Type="http://schemas.openxmlformats.org/officeDocument/2006/relationships/oleObject" Target="embeddings/oleObject659.bin"/><Relationship Id="rId1369" Type="http://schemas.openxmlformats.org/officeDocument/2006/relationships/oleObject" Target="embeddings/oleObject697.bin"/><Relationship Id="rId280" Type="http://schemas.openxmlformats.org/officeDocument/2006/relationships/oleObject" Target="embeddings/oleObject138.bin"/><Relationship Id="rId501" Type="http://schemas.openxmlformats.org/officeDocument/2006/relationships/image" Target="media/image246.wmf"/><Relationship Id="rId946" Type="http://schemas.openxmlformats.org/officeDocument/2006/relationships/oleObject" Target="embeddings/oleObject523.bin"/><Relationship Id="rId1131" Type="http://schemas.openxmlformats.org/officeDocument/2006/relationships/oleObject" Target="embeddings/oleObject593.bin"/><Relationship Id="rId1229" Type="http://schemas.openxmlformats.org/officeDocument/2006/relationships/image" Target="media/image558.png"/><Relationship Id="rId75" Type="http://schemas.openxmlformats.org/officeDocument/2006/relationships/image" Target="media/image33.wmf"/><Relationship Id="rId140" Type="http://schemas.openxmlformats.org/officeDocument/2006/relationships/oleObject" Target="embeddings/oleObject65.bin"/><Relationship Id="rId378" Type="http://schemas.openxmlformats.org/officeDocument/2006/relationships/oleObject" Target="embeddings/oleObject190.bin"/><Relationship Id="rId585" Type="http://schemas.openxmlformats.org/officeDocument/2006/relationships/image" Target="media/image291.wmf"/><Relationship Id="rId792" Type="http://schemas.openxmlformats.org/officeDocument/2006/relationships/image" Target="media/image383.wmf"/><Relationship Id="rId806" Type="http://schemas.openxmlformats.org/officeDocument/2006/relationships/image" Target="media/image390.wmf"/><Relationship Id="rId6" Type="http://schemas.openxmlformats.org/officeDocument/2006/relationships/footnotes" Target="footnotes.xml"/><Relationship Id="rId238" Type="http://schemas.openxmlformats.org/officeDocument/2006/relationships/oleObject" Target="embeddings/oleObject114.bin"/><Relationship Id="rId445" Type="http://schemas.openxmlformats.org/officeDocument/2006/relationships/oleObject" Target="embeddings/oleObject224.bin"/><Relationship Id="rId652" Type="http://schemas.openxmlformats.org/officeDocument/2006/relationships/oleObject" Target="embeddings/oleObject329.bin"/><Relationship Id="rId1075" Type="http://schemas.openxmlformats.org/officeDocument/2006/relationships/image" Target="media/image470.wmf"/><Relationship Id="rId1282" Type="http://schemas.openxmlformats.org/officeDocument/2006/relationships/oleObject" Target="embeddings/oleObject667.bin"/><Relationship Id="rId291" Type="http://schemas.openxmlformats.org/officeDocument/2006/relationships/oleObject" Target="embeddings/oleObject144.bin"/><Relationship Id="rId305" Type="http://schemas.openxmlformats.org/officeDocument/2006/relationships/oleObject" Target="embeddings/oleObject151.bin"/><Relationship Id="rId512" Type="http://schemas.openxmlformats.org/officeDocument/2006/relationships/oleObject" Target="embeddings/oleObject260.bin"/><Relationship Id="rId957" Type="http://schemas.openxmlformats.org/officeDocument/2006/relationships/oleObject" Target="embeddings/oleObject529.bin"/><Relationship Id="rId1142" Type="http://schemas.openxmlformats.org/officeDocument/2006/relationships/oleObject" Target="embeddings/oleObject603.bin"/><Relationship Id="rId86" Type="http://schemas.openxmlformats.org/officeDocument/2006/relationships/oleObject" Target="embeddings/oleObject38.bin"/><Relationship Id="rId151" Type="http://schemas.openxmlformats.org/officeDocument/2006/relationships/image" Target="media/image71.wmf"/><Relationship Id="rId389" Type="http://schemas.openxmlformats.org/officeDocument/2006/relationships/image" Target="media/image186.wmf"/><Relationship Id="rId596" Type="http://schemas.openxmlformats.org/officeDocument/2006/relationships/oleObject" Target="embeddings/oleObject301.bin"/><Relationship Id="rId817" Type="http://schemas.openxmlformats.org/officeDocument/2006/relationships/oleObject" Target="embeddings/oleObject421.bin"/><Relationship Id="rId1002" Type="http://schemas.openxmlformats.org/officeDocument/2006/relationships/oleObject" Target="embeddings/oleObject554.bin"/><Relationship Id="rId249" Type="http://schemas.openxmlformats.org/officeDocument/2006/relationships/image" Target="media/image119.wmf"/><Relationship Id="rId456" Type="http://schemas.openxmlformats.org/officeDocument/2006/relationships/oleObject" Target="embeddings/oleObject229.bin"/><Relationship Id="rId663" Type="http://schemas.openxmlformats.org/officeDocument/2006/relationships/oleObject" Target="embeddings/oleObject334.bin"/><Relationship Id="rId870" Type="http://schemas.openxmlformats.org/officeDocument/2006/relationships/oleObject" Target="embeddings/oleObject453.bin"/><Relationship Id="rId1086" Type="http://schemas.openxmlformats.org/officeDocument/2006/relationships/oleObject" Target="embeddings/oleObject584.bin"/><Relationship Id="rId1293" Type="http://schemas.openxmlformats.org/officeDocument/2006/relationships/image" Target="media/image594.wmf"/><Relationship Id="rId1307" Type="http://schemas.openxmlformats.org/officeDocument/2006/relationships/image" Target="media/image601.wmf"/><Relationship Id="rId13" Type="http://schemas.openxmlformats.org/officeDocument/2006/relationships/image" Target="media/image1.wmf"/><Relationship Id="rId109" Type="http://schemas.openxmlformats.org/officeDocument/2006/relationships/image" Target="media/image50.wmf"/><Relationship Id="rId316" Type="http://schemas.openxmlformats.org/officeDocument/2006/relationships/image" Target="media/image152.wmf"/><Relationship Id="rId523" Type="http://schemas.openxmlformats.org/officeDocument/2006/relationships/image" Target="media/image257.wmf"/><Relationship Id="rId968" Type="http://schemas.openxmlformats.org/officeDocument/2006/relationships/image" Target="media/image432.wmf"/><Relationship Id="rId1153" Type="http://schemas.openxmlformats.org/officeDocument/2006/relationships/oleObject" Target="embeddings/oleObject612.bin"/><Relationship Id="rId97" Type="http://schemas.openxmlformats.org/officeDocument/2006/relationships/image" Target="media/image44.wmf"/><Relationship Id="rId730" Type="http://schemas.openxmlformats.org/officeDocument/2006/relationships/image" Target="media/image362.wmf"/><Relationship Id="rId828" Type="http://schemas.openxmlformats.org/officeDocument/2006/relationships/image" Target="media/image401.wmf"/><Relationship Id="rId1013" Type="http://schemas.openxmlformats.org/officeDocument/2006/relationships/oleObject" Target="embeddings/oleObject560.bin"/><Relationship Id="rId1360" Type="http://schemas.openxmlformats.org/officeDocument/2006/relationships/image" Target="media/image640.wmf"/><Relationship Id="rId162" Type="http://schemas.openxmlformats.org/officeDocument/2006/relationships/oleObject" Target="embeddings/oleObject76.bin"/><Relationship Id="rId467" Type="http://schemas.openxmlformats.org/officeDocument/2006/relationships/oleObject" Target="embeddings/oleObject235.bin"/><Relationship Id="rId1097" Type="http://schemas.openxmlformats.org/officeDocument/2006/relationships/image" Target="media/image481.wmf"/><Relationship Id="rId1220" Type="http://schemas.openxmlformats.org/officeDocument/2006/relationships/image" Target="media/image549.png"/><Relationship Id="rId1318" Type="http://schemas.openxmlformats.org/officeDocument/2006/relationships/oleObject" Target="embeddings/oleObject685.bin"/><Relationship Id="rId674" Type="http://schemas.openxmlformats.org/officeDocument/2006/relationships/image" Target="media/image334.wmf"/><Relationship Id="rId881" Type="http://schemas.openxmlformats.org/officeDocument/2006/relationships/oleObject" Target="embeddings/oleObject462.bin"/><Relationship Id="rId979" Type="http://schemas.openxmlformats.org/officeDocument/2006/relationships/oleObject" Target="embeddings/oleObject542.bin"/><Relationship Id="rId24" Type="http://schemas.openxmlformats.org/officeDocument/2006/relationships/oleObject" Target="embeddings/oleObject6.bin"/><Relationship Id="rId327" Type="http://schemas.openxmlformats.org/officeDocument/2006/relationships/oleObject" Target="embeddings/oleObject162.bin"/><Relationship Id="rId534" Type="http://schemas.openxmlformats.org/officeDocument/2006/relationships/image" Target="media/image263.png"/><Relationship Id="rId741" Type="http://schemas.openxmlformats.org/officeDocument/2006/relationships/oleObject" Target="embeddings/oleObject373.bin"/><Relationship Id="rId839" Type="http://schemas.openxmlformats.org/officeDocument/2006/relationships/oleObject" Target="embeddings/oleObject432.bin"/><Relationship Id="rId1164" Type="http://schemas.openxmlformats.org/officeDocument/2006/relationships/image" Target="media/image520.wmf"/><Relationship Id="rId1371" Type="http://schemas.openxmlformats.org/officeDocument/2006/relationships/oleObject" Target="embeddings/oleObject699.bin"/><Relationship Id="rId173" Type="http://schemas.openxmlformats.org/officeDocument/2006/relationships/image" Target="media/image82.wmf"/><Relationship Id="rId380" Type="http://schemas.openxmlformats.org/officeDocument/2006/relationships/oleObject" Target="embeddings/oleObject191.bin"/><Relationship Id="rId601" Type="http://schemas.openxmlformats.org/officeDocument/2006/relationships/image" Target="media/image299.wmf"/><Relationship Id="rId1024" Type="http://schemas.openxmlformats.org/officeDocument/2006/relationships/oleObject" Target="embeddings/oleObject566.bin"/><Relationship Id="rId1231" Type="http://schemas.openxmlformats.org/officeDocument/2006/relationships/image" Target="media/image560.png"/><Relationship Id="rId240" Type="http://schemas.openxmlformats.org/officeDocument/2006/relationships/oleObject" Target="embeddings/oleObject116.bin"/><Relationship Id="rId478" Type="http://schemas.openxmlformats.org/officeDocument/2006/relationships/image" Target="media/image234.wmf"/><Relationship Id="rId685" Type="http://schemas.openxmlformats.org/officeDocument/2006/relationships/oleObject" Target="embeddings/oleObject345.bin"/><Relationship Id="rId892" Type="http://schemas.openxmlformats.org/officeDocument/2006/relationships/oleObject" Target="embeddings/oleObject473.bin"/><Relationship Id="rId906" Type="http://schemas.openxmlformats.org/officeDocument/2006/relationships/oleObject" Target="embeddings/oleObject487.bin"/><Relationship Id="rId1329" Type="http://schemas.openxmlformats.org/officeDocument/2006/relationships/image" Target="media/image612.wmf"/><Relationship Id="rId35" Type="http://schemas.openxmlformats.org/officeDocument/2006/relationships/image" Target="media/image12.wmf"/><Relationship Id="rId100" Type="http://schemas.openxmlformats.org/officeDocument/2006/relationships/oleObject" Target="embeddings/oleObject45.bin"/><Relationship Id="rId338" Type="http://schemas.openxmlformats.org/officeDocument/2006/relationships/image" Target="media/image162.wmf"/><Relationship Id="rId545" Type="http://schemas.openxmlformats.org/officeDocument/2006/relationships/image" Target="media/image270.png"/><Relationship Id="rId752" Type="http://schemas.openxmlformats.org/officeDocument/2006/relationships/image" Target="media/image373.wmf"/><Relationship Id="rId1175" Type="http://schemas.openxmlformats.org/officeDocument/2006/relationships/oleObject" Target="embeddings/oleObject623.bin"/><Relationship Id="rId1382" Type="http://schemas.openxmlformats.org/officeDocument/2006/relationships/oleObject" Target="embeddings/oleObject709.bin"/><Relationship Id="rId184" Type="http://schemas.openxmlformats.org/officeDocument/2006/relationships/oleObject" Target="embeddings/oleObject87.bin"/><Relationship Id="rId391" Type="http://schemas.openxmlformats.org/officeDocument/2006/relationships/image" Target="media/image187.wmf"/><Relationship Id="rId405" Type="http://schemas.openxmlformats.org/officeDocument/2006/relationships/image" Target="media/image194.wmf"/><Relationship Id="rId612" Type="http://schemas.openxmlformats.org/officeDocument/2006/relationships/oleObject" Target="embeddings/oleObject309.bin"/><Relationship Id="rId1035" Type="http://schemas.openxmlformats.org/officeDocument/2006/relationships/image" Target="media/image463.wmf"/><Relationship Id="rId1242" Type="http://schemas.openxmlformats.org/officeDocument/2006/relationships/image" Target="media/image571.wmf"/><Relationship Id="rId251" Type="http://schemas.openxmlformats.org/officeDocument/2006/relationships/image" Target="media/image120.wmf"/><Relationship Id="rId489" Type="http://schemas.openxmlformats.org/officeDocument/2006/relationships/image" Target="media/image240.wmf"/><Relationship Id="rId696" Type="http://schemas.openxmlformats.org/officeDocument/2006/relationships/image" Target="media/image345.wmf"/><Relationship Id="rId917" Type="http://schemas.openxmlformats.org/officeDocument/2006/relationships/image" Target="media/image419.wmf"/><Relationship Id="rId1102" Type="http://schemas.openxmlformats.org/officeDocument/2006/relationships/image" Target="media/image484.wmf"/><Relationship Id="rId46" Type="http://schemas.openxmlformats.org/officeDocument/2006/relationships/oleObject" Target="embeddings/oleObject17.bin"/><Relationship Id="rId349" Type="http://schemas.openxmlformats.org/officeDocument/2006/relationships/oleObject" Target="embeddings/oleObject174.bin"/><Relationship Id="rId556" Type="http://schemas.openxmlformats.org/officeDocument/2006/relationships/oleObject" Target="embeddings/oleObject281.bin"/><Relationship Id="rId763" Type="http://schemas.openxmlformats.org/officeDocument/2006/relationships/oleObject" Target="embeddings/oleObject385.bin"/><Relationship Id="rId1186" Type="http://schemas.openxmlformats.org/officeDocument/2006/relationships/image" Target="media/image531.wmf"/><Relationship Id="rId1393" Type="http://schemas.openxmlformats.org/officeDocument/2006/relationships/image" Target="media/image648.wmf"/><Relationship Id="rId1407" Type="http://schemas.openxmlformats.org/officeDocument/2006/relationships/theme" Target="theme/theme1.xml"/><Relationship Id="rId111" Type="http://schemas.openxmlformats.org/officeDocument/2006/relationships/image" Target="media/image51.wmf"/><Relationship Id="rId195" Type="http://schemas.openxmlformats.org/officeDocument/2006/relationships/image" Target="media/image93.wmf"/><Relationship Id="rId209" Type="http://schemas.openxmlformats.org/officeDocument/2006/relationships/image" Target="media/image100.wmf"/><Relationship Id="rId416" Type="http://schemas.openxmlformats.org/officeDocument/2006/relationships/oleObject" Target="embeddings/oleObject209.bin"/><Relationship Id="rId970" Type="http://schemas.openxmlformats.org/officeDocument/2006/relationships/image" Target="media/image433.wmf"/><Relationship Id="rId1046" Type="http://schemas.openxmlformats.org/officeDocument/2006/relationships/chart" Target="charts/chart10.xml"/><Relationship Id="rId1253" Type="http://schemas.openxmlformats.org/officeDocument/2006/relationships/image" Target="media/image581.wmf"/><Relationship Id="rId623" Type="http://schemas.openxmlformats.org/officeDocument/2006/relationships/image" Target="media/image310.wmf"/><Relationship Id="rId830" Type="http://schemas.openxmlformats.org/officeDocument/2006/relationships/image" Target="media/image402.wmf"/><Relationship Id="rId928" Type="http://schemas.openxmlformats.org/officeDocument/2006/relationships/oleObject" Target="embeddings/oleObject506.bin"/><Relationship Id="rId57" Type="http://schemas.openxmlformats.org/officeDocument/2006/relationships/image" Target="media/image24.wmf"/><Relationship Id="rId262" Type="http://schemas.openxmlformats.org/officeDocument/2006/relationships/image" Target="media/image125.wmf"/><Relationship Id="rId567" Type="http://schemas.openxmlformats.org/officeDocument/2006/relationships/image" Target="media/image282.wmf"/><Relationship Id="rId1113" Type="http://schemas.openxmlformats.org/officeDocument/2006/relationships/image" Target="media/image495.wmf"/><Relationship Id="rId1197" Type="http://schemas.openxmlformats.org/officeDocument/2006/relationships/oleObject" Target="embeddings/oleObject634.bin"/><Relationship Id="rId1320" Type="http://schemas.openxmlformats.org/officeDocument/2006/relationships/oleObject" Target="embeddings/oleObject686.bin"/><Relationship Id="rId122" Type="http://schemas.openxmlformats.org/officeDocument/2006/relationships/oleObject" Target="embeddings/oleObject56.bin"/><Relationship Id="rId774" Type="http://schemas.openxmlformats.org/officeDocument/2006/relationships/oleObject" Target="embeddings/oleObject396.bin"/><Relationship Id="rId981" Type="http://schemas.openxmlformats.org/officeDocument/2006/relationships/oleObject" Target="embeddings/oleObject543.bin"/><Relationship Id="rId1057" Type="http://schemas.openxmlformats.org/officeDocument/2006/relationships/chart" Target="charts/chart21.xml"/><Relationship Id="rId427" Type="http://schemas.openxmlformats.org/officeDocument/2006/relationships/image" Target="media/image205.wmf"/><Relationship Id="rId634" Type="http://schemas.openxmlformats.org/officeDocument/2006/relationships/oleObject" Target="embeddings/oleObject320.bin"/><Relationship Id="rId841" Type="http://schemas.openxmlformats.org/officeDocument/2006/relationships/oleObject" Target="embeddings/oleObject433.bin"/><Relationship Id="rId1264" Type="http://schemas.openxmlformats.org/officeDocument/2006/relationships/oleObject" Target="embeddings/oleObject652.bin"/><Relationship Id="rId273" Type="http://schemas.openxmlformats.org/officeDocument/2006/relationships/image" Target="media/image131.wmf"/><Relationship Id="rId480" Type="http://schemas.openxmlformats.org/officeDocument/2006/relationships/image" Target="media/image235.png"/><Relationship Id="rId701" Type="http://schemas.openxmlformats.org/officeDocument/2006/relationships/oleObject" Target="embeddings/oleObject353.bin"/><Relationship Id="rId939" Type="http://schemas.openxmlformats.org/officeDocument/2006/relationships/oleObject" Target="embeddings/oleObject517.bin"/><Relationship Id="rId1124" Type="http://schemas.openxmlformats.org/officeDocument/2006/relationships/image" Target="media/image506.wmf"/><Relationship Id="rId1331" Type="http://schemas.openxmlformats.org/officeDocument/2006/relationships/image" Target="media/image613.wmf"/><Relationship Id="rId68" Type="http://schemas.openxmlformats.org/officeDocument/2006/relationships/oleObject" Target="embeddings/oleObject29.bin"/><Relationship Id="rId133" Type="http://schemas.openxmlformats.org/officeDocument/2006/relationships/image" Target="media/image62.wmf"/><Relationship Id="rId340" Type="http://schemas.openxmlformats.org/officeDocument/2006/relationships/image" Target="media/image163.wmf"/><Relationship Id="rId578" Type="http://schemas.openxmlformats.org/officeDocument/2006/relationships/oleObject" Target="embeddings/oleObject292.bin"/><Relationship Id="rId785" Type="http://schemas.openxmlformats.org/officeDocument/2006/relationships/oleObject" Target="embeddings/oleObject405.bin"/><Relationship Id="rId992" Type="http://schemas.openxmlformats.org/officeDocument/2006/relationships/oleObject" Target="embeddings/oleObject549.bin"/><Relationship Id="rId200" Type="http://schemas.openxmlformats.org/officeDocument/2006/relationships/oleObject" Target="embeddings/oleObject95.bin"/><Relationship Id="rId438" Type="http://schemas.openxmlformats.org/officeDocument/2006/relationships/oleObject" Target="embeddings/oleObject220.bin"/><Relationship Id="rId645" Type="http://schemas.openxmlformats.org/officeDocument/2006/relationships/image" Target="media/image321.wmf"/><Relationship Id="rId852" Type="http://schemas.openxmlformats.org/officeDocument/2006/relationships/oleObject" Target="embeddings/oleObject441.bin"/><Relationship Id="rId1068" Type="http://schemas.openxmlformats.org/officeDocument/2006/relationships/oleObject" Target="embeddings/oleObject575.bin"/><Relationship Id="rId1275" Type="http://schemas.openxmlformats.org/officeDocument/2006/relationships/oleObject" Target="embeddings/oleObject663.bin"/><Relationship Id="rId284" Type="http://schemas.openxmlformats.org/officeDocument/2006/relationships/oleObject" Target="embeddings/oleObject140.bin"/><Relationship Id="rId491" Type="http://schemas.openxmlformats.org/officeDocument/2006/relationships/image" Target="media/image241.wmf"/><Relationship Id="rId505" Type="http://schemas.openxmlformats.org/officeDocument/2006/relationships/image" Target="media/image248.wmf"/><Relationship Id="rId712" Type="http://schemas.openxmlformats.org/officeDocument/2006/relationships/image" Target="media/image353.wmf"/><Relationship Id="rId1135" Type="http://schemas.openxmlformats.org/officeDocument/2006/relationships/oleObject" Target="embeddings/oleObject596.bin"/><Relationship Id="rId1342" Type="http://schemas.openxmlformats.org/officeDocument/2006/relationships/image" Target="media/image622.wmf"/><Relationship Id="rId79" Type="http://schemas.openxmlformats.org/officeDocument/2006/relationships/image" Target="media/image35.wmf"/><Relationship Id="rId144" Type="http://schemas.openxmlformats.org/officeDocument/2006/relationships/oleObject" Target="embeddings/oleObject67.bin"/><Relationship Id="rId589" Type="http://schemas.openxmlformats.org/officeDocument/2006/relationships/image" Target="media/image293.wmf"/><Relationship Id="rId796" Type="http://schemas.openxmlformats.org/officeDocument/2006/relationships/image" Target="media/image385.wmf"/><Relationship Id="rId1202" Type="http://schemas.openxmlformats.org/officeDocument/2006/relationships/image" Target="media/image539.wmf"/><Relationship Id="rId351" Type="http://schemas.openxmlformats.org/officeDocument/2006/relationships/oleObject" Target="embeddings/oleObject175.bin"/><Relationship Id="rId449" Type="http://schemas.openxmlformats.org/officeDocument/2006/relationships/oleObject" Target="embeddings/oleObject226.bin"/><Relationship Id="rId656" Type="http://schemas.openxmlformats.org/officeDocument/2006/relationships/oleObject" Target="embeddings/oleObject331.bin"/><Relationship Id="rId863" Type="http://schemas.openxmlformats.org/officeDocument/2006/relationships/image" Target="media/image415.wmf"/><Relationship Id="rId1079" Type="http://schemas.openxmlformats.org/officeDocument/2006/relationships/image" Target="media/image472.wmf"/><Relationship Id="rId1286" Type="http://schemas.openxmlformats.org/officeDocument/2006/relationships/oleObject" Target="embeddings/oleObject669.bin"/><Relationship Id="rId211" Type="http://schemas.openxmlformats.org/officeDocument/2006/relationships/image" Target="media/image101.wmf"/><Relationship Id="rId295" Type="http://schemas.openxmlformats.org/officeDocument/2006/relationships/oleObject" Target="embeddings/oleObject146.bin"/><Relationship Id="rId309" Type="http://schemas.openxmlformats.org/officeDocument/2006/relationships/oleObject" Target="embeddings/oleObject153.bin"/><Relationship Id="rId516" Type="http://schemas.openxmlformats.org/officeDocument/2006/relationships/oleObject" Target="embeddings/oleObject262.bin"/><Relationship Id="rId1146" Type="http://schemas.openxmlformats.org/officeDocument/2006/relationships/oleObject" Target="embeddings/oleObject607.bin"/><Relationship Id="rId723" Type="http://schemas.openxmlformats.org/officeDocument/2006/relationships/oleObject" Target="embeddings/oleObject364.bin"/><Relationship Id="rId930" Type="http://schemas.openxmlformats.org/officeDocument/2006/relationships/oleObject" Target="embeddings/oleObject508.bin"/><Relationship Id="rId1006" Type="http://schemas.openxmlformats.org/officeDocument/2006/relationships/oleObject" Target="embeddings/oleObject556.bin"/><Relationship Id="rId1353" Type="http://schemas.openxmlformats.org/officeDocument/2006/relationships/image" Target="media/image633.wmf"/><Relationship Id="rId155" Type="http://schemas.openxmlformats.org/officeDocument/2006/relationships/image" Target="media/image73.wmf"/><Relationship Id="rId362" Type="http://schemas.openxmlformats.org/officeDocument/2006/relationships/image" Target="media/image173.wmf"/><Relationship Id="rId1213" Type="http://schemas.openxmlformats.org/officeDocument/2006/relationships/oleObject" Target="embeddings/oleObject642.bin"/><Relationship Id="rId1297" Type="http://schemas.openxmlformats.org/officeDocument/2006/relationships/image" Target="media/image596.wmf"/><Relationship Id="rId222" Type="http://schemas.openxmlformats.org/officeDocument/2006/relationships/oleObject" Target="embeddings/oleObject106.bin"/><Relationship Id="rId667" Type="http://schemas.openxmlformats.org/officeDocument/2006/relationships/oleObject" Target="embeddings/oleObject336.bin"/><Relationship Id="rId874" Type="http://schemas.openxmlformats.org/officeDocument/2006/relationships/oleObject" Target="embeddings/oleObject455.bin"/><Relationship Id="rId17" Type="http://schemas.openxmlformats.org/officeDocument/2006/relationships/image" Target="media/image3.wmf"/><Relationship Id="rId527" Type="http://schemas.openxmlformats.org/officeDocument/2006/relationships/image" Target="media/image259.wmf"/><Relationship Id="rId734" Type="http://schemas.openxmlformats.org/officeDocument/2006/relationships/image" Target="media/image364.wmf"/><Relationship Id="rId941" Type="http://schemas.openxmlformats.org/officeDocument/2006/relationships/oleObject" Target="embeddings/oleObject519.bin"/><Relationship Id="rId1157" Type="http://schemas.openxmlformats.org/officeDocument/2006/relationships/oleObject" Target="embeddings/oleObject614.bin"/><Relationship Id="rId1364" Type="http://schemas.openxmlformats.org/officeDocument/2006/relationships/oleObject" Target="embeddings/oleObject694.bin"/><Relationship Id="rId70" Type="http://schemas.openxmlformats.org/officeDocument/2006/relationships/oleObject" Target="embeddings/oleObject30.bin"/><Relationship Id="rId166" Type="http://schemas.openxmlformats.org/officeDocument/2006/relationships/oleObject" Target="embeddings/oleObject78.bin"/><Relationship Id="rId331" Type="http://schemas.openxmlformats.org/officeDocument/2006/relationships/oleObject" Target="embeddings/oleObject164.bin"/><Relationship Id="rId373" Type="http://schemas.openxmlformats.org/officeDocument/2006/relationships/oleObject" Target="embeddings/oleObject187.bin"/><Relationship Id="rId429" Type="http://schemas.openxmlformats.org/officeDocument/2006/relationships/image" Target="media/image206.wmf"/><Relationship Id="rId580" Type="http://schemas.openxmlformats.org/officeDocument/2006/relationships/oleObject" Target="embeddings/oleObject293.bin"/><Relationship Id="rId636" Type="http://schemas.openxmlformats.org/officeDocument/2006/relationships/oleObject" Target="embeddings/oleObject321.bin"/><Relationship Id="rId801" Type="http://schemas.openxmlformats.org/officeDocument/2006/relationships/oleObject" Target="embeddings/oleObject413.bin"/><Relationship Id="rId1017" Type="http://schemas.openxmlformats.org/officeDocument/2006/relationships/image" Target="media/image454.wmf"/><Relationship Id="rId1059" Type="http://schemas.openxmlformats.org/officeDocument/2006/relationships/chart" Target="charts/chart23.xml"/><Relationship Id="rId1224" Type="http://schemas.openxmlformats.org/officeDocument/2006/relationships/image" Target="media/image553.png"/><Relationship Id="rId1266" Type="http://schemas.openxmlformats.org/officeDocument/2006/relationships/oleObject" Target="embeddings/oleObject654.bin"/><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21.bin"/><Relationship Id="rId678" Type="http://schemas.openxmlformats.org/officeDocument/2006/relationships/image" Target="media/image336.wmf"/><Relationship Id="rId843" Type="http://schemas.openxmlformats.org/officeDocument/2006/relationships/oleObject" Target="embeddings/oleObject435.bin"/><Relationship Id="rId885" Type="http://schemas.openxmlformats.org/officeDocument/2006/relationships/oleObject" Target="embeddings/oleObject466.bin"/><Relationship Id="rId1070" Type="http://schemas.openxmlformats.org/officeDocument/2006/relationships/oleObject" Target="embeddings/oleObject576.bin"/><Relationship Id="rId1126" Type="http://schemas.openxmlformats.org/officeDocument/2006/relationships/image" Target="media/image508.wmf"/><Relationship Id="rId28" Type="http://schemas.openxmlformats.org/officeDocument/2006/relationships/oleObject" Target="embeddings/oleObject8.bin"/><Relationship Id="rId275" Type="http://schemas.openxmlformats.org/officeDocument/2006/relationships/image" Target="media/image132.wmf"/><Relationship Id="rId300" Type="http://schemas.openxmlformats.org/officeDocument/2006/relationships/image" Target="media/image144.wmf"/><Relationship Id="rId482" Type="http://schemas.openxmlformats.org/officeDocument/2006/relationships/oleObject" Target="embeddings/oleObject245.bin"/><Relationship Id="rId538" Type="http://schemas.openxmlformats.org/officeDocument/2006/relationships/oleObject" Target="embeddings/oleObject272.bin"/><Relationship Id="rId703" Type="http://schemas.openxmlformats.org/officeDocument/2006/relationships/oleObject" Target="embeddings/oleObject354.bin"/><Relationship Id="rId745" Type="http://schemas.openxmlformats.org/officeDocument/2006/relationships/oleObject" Target="embeddings/oleObject375.bin"/><Relationship Id="rId910" Type="http://schemas.openxmlformats.org/officeDocument/2006/relationships/oleObject" Target="embeddings/oleObject491.bin"/><Relationship Id="rId952" Type="http://schemas.openxmlformats.org/officeDocument/2006/relationships/image" Target="media/image425.wmf"/><Relationship Id="rId1168" Type="http://schemas.openxmlformats.org/officeDocument/2006/relationships/image" Target="media/image522.wmf"/><Relationship Id="rId1333" Type="http://schemas.openxmlformats.org/officeDocument/2006/relationships/image" Target="media/image614.wmf"/><Relationship Id="rId1375" Type="http://schemas.openxmlformats.org/officeDocument/2006/relationships/image" Target="media/image646.wmf"/><Relationship Id="rId81" Type="http://schemas.openxmlformats.org/officeDocument/2006/relationships/image" Target="media/image36.wmf"/><Relationship Id="rId135" Type="http://schemas.openxmlformats.org/officeDocument/2006/relationships/image" Target="media/image63.wmf"/><Relationship Id="rId177" Type="http://schemas.openxmlformats.org/officeDocument/2006/relationships/image" Target="media/image84.wmf"/><Relationship Id="rId342" Type="http://schemas.openxmlformats.org/officeDocument/2006/relationships/image" Target="media/image164.wmf"/><Relationship Id="rId384" Type="http://schemas.openxmlformats.org/officeDocument/2006/relationships/oleObject" Target="embeddings/oleObject193.bin"/><Relationship Id="rId591" Type="http://schemas.openxmlformats.org/officeDocument/2006/relationships/image" Target="media/image294.wmf"/><Relationship Id="rId605" Type="http://schemas.openxmlformats.org/officeDocument/2006/relationships/image" Target="media/image301.wmf"/><Relationship Id="rId787" Type="http://schemas.openxmlformats.org/officeDocument/2006/relationships/oleObject" Target="embeddings/oleObject406.bin"/><Relationship Id="rId812" Type="http://schemas.openxmlformats.org/officeDocument/2006/relationships/image" Target="media/image393.wmf"/><Relationship Id="rId994" Type="http://schemas.openxmlformats.org/officeDocument/2006/relationships/oleObject" Target="embeddings/oleObject550.bin"/><Relationship Id="rId1028" Type="http://schemas.openxmlformats.org/officeDocument/2006/relationships/oleObject" Target="embeddings/oleObject568.bin"/><Relationship Id="rId1235" Type="http://schemas.openxmlformats.org/officeDocument/2006/relationships/image" Target="media/image564.wmf"/><Relationship Id="rId1400" Type="http://schemas.openxmlformats.org/officeDocument/2006/relationships/oleObject" Target="embeddings/oleObject722.bin"/><Relationship Id="rId202" Type="http://schemas.openxmlformats.org/officeDocument/2006/relationships/oleObject" Target="embeddings/oleObject96.bin"/><Relationship Id="rId244" Type="http://schemas.openxmlformats.org/officeDocument/2006/relationships/oleObject" Target="embeddings/oleObject118.bin"/><Relationship Id="rId647" Type="http://schemas.openxmlformats.org/officeDocument/2006/relationships/image" Target="media/image322.wmf"/><Relationship Id="rId689" Type="http://schemas.openxmlformats.org/officeDocument/2006/relationships/oleObject" Target="embeddings/oleObject347.bin"/><Relationship Id="rId854" Type="http://schemas.openxmlformats.org/officeDocument/2006/relationships/oleObject" Target="embeddings/oleObject443.bin"/><Relationship Id="rId896" Type="http://schemas.openxmlformats.org/officeDocument/2006/relationships/oleObject" Target="embeddings/oleObject477.bin"/><Relationship Id="rId1081" Type="http://schemas.openxmlformats.org/officeDocument/2006/relationships/image" Target="media/image473.wmf"/><Relationship Id="rId1277" Type="http://schemas.openxmlformats.org/officeDocument/2006/relationships/image" Target="media/image586.wmf"/><Relationship Id="rId1302" Type="http://schemas.openxmlformats.org/officeDocument/2006/relationships/oleObject" Target="embeddings/oleObject677.bin"/><Relationship Id="rId39" Type="http://schemas.openxmlformats.org/officeDocument/2006/relationships/image" Target="media/image14.wmf"/><Relationship Id="rId286" Type="http://schemas.openxmlformats.org/officeDocument/2006/relationships/oleObject" Target="embeddings/oleObject141.bin"/><Relationship Id="rId451" Type="http://schemas.openxmlformats.org/officeDocument/2006/relationships/oleObject" Target="embeddings/oleObject227.bin"/><Relationship Id="rId493" Type="http://schemas.openxmlformats.org/officeDocument/2006/relationships/image" Target="media/image242.wmf"/><Relationship Id="rId507" Type="http://schemas.openxmlformats.org/officeDocument/2006/relationships/image" Target="media/image249.wmf"/><Relationship Id="rId549" Type="http://schemas.openxmlformats.org/officeDocument/2006/relationships/oleObject" Target="embeddings/oleObject278.bin"/><Relationship Id="rId714" Type="http://schemas.openxmlformats.org/officeDocument/2006/relationships/image" Target="media/image354.wmf"/><Relationship Id="rId756" Type="http://schemas.openxmlformats.org/officeDocument/2006/relationships/image" Target="media/image375.wmf"/><Relationship Id="rId921" Type="http://schemas.openxmlformats.org/officeDocument/2006/relationships/image" Target="media/image421.wmf"/><Relationship Id="rId1137" Type="http://schemas.openxmlformats.org/officeDocument/2006/relationships/oleObject" Target="embeddings/oleObject598.bin"/><Relationship Id="rId1179" Type="http://schemas.openxmlformats.org/officeDocument/2006/relationships/oleObject" Target="embeddings/oleObject625.bin"/><Relationship Id="rId1344" Type="http://schemas.openxmlformats.org/officeDocument/2006/relationships/image" Target="media/image624.wmf"/><Relationship Id="rId1386" Type="http://schemas.openxmlformats.org/officeDocument/2006/relationships/oleObject" Target="embeddings/oleObject713.bin"/><Relationship Id="rId50" Type="http://schemas.openxmlformats.org/officeDocument/2006/relationships/oleObject" Target="embeddings/oleObject19.bin"/><Relationship Id="rId104" Type="http://schemas.openxmlformats.org/officeDocument/2006/relationships/oleObject" Target="embeddings/oleObject47.bin"/><Relationship Id="rId146" Type="http://schemas.openxmlformats.org/officeDocument/2006/relationships/oleObject" Target="embeddings/oleObject68.bin"/><Relationship Id="rId188" Type="http://schemas.openxmlformats.org/officeDocument/2006/relationships/oleObject" Target="embeddings/oleObject89.bin"/><Relationship Id="rId311" Type="http://schemas.openxmlformats.org/officeDocument/2006/relationships/oleObject" Target="embeddings/oleObject154.bin"/><Relationship Id="rId353" Type="http://schemas.openxmlformats.org/officeDocument/2006/relationships/image" Target="media/image169.wmf"/><Relationship Id="rId395" Type="http://schemas.openxmlformats.org/officeDocument/2006/relationships/image" Target="media/image189.wmf"/><Relationship Id="rId409" Type="http://schemas.openxmlformats.org/officeDocument/2006/relationships/image" Target="media/image196.wmf"/><Relationship Id="rId560" Type="http://schemas.openxmlformats.org/officeDocument/2006/relationships/oleObject" Target="embeddings/oleObject283.bin"/><Relationship Id="rId798" Type="http://schemas.openxmlformats.org/officeDocument/2006/relationships/image" Target="media/image386.wmf"/><Relationship Id="rId963" Type="http://schemas.openxmlformats.org/officeDocument/2006/relationships/image" Target="media/image430.wmf"/><Relationship Id="rId1039" Type="http://schemas.openxmlformats.org/officeDocument/2006/relationships/chart" Target="charts/chart3.xml"/><Relationship Id="rId1190" Type="http://schemas.openxmlformats.org/officeDocument/2006/relationships/image" Target="media/image533.wmf"/><Relationship Id="rId1204" Type="http://schemas.openxmlformats.org/officeDocument/2006/relationships/image" Target="media/image540.wmf"/><Relationship Id="rId1246" Type="http://schemas.openxmlformats.org/officeDocument/2006/relationships/image" Target="media/image575.png"/><Relationship Id="rId92" Type="http://schemas.openxmlformats.org/officeDocument/2006/relationships/oleObject" Target="embeddings/oleObject41.bin"/><Relationship Id="rId213" Type="http://schemas.openxmlformats.org/officeDocument/2006/relationships/image" Target="media/image102.wmf"/><Relationship Id="rId420" Type="http://schemas.openxmlformats.org/officeDocument/2006/relationships/oleObject" Target="embeddings/oleObject211.bin"/><Relationship Id="rId616" Type="http://schemas.openxmlformats.org/officeDocument/2006/relationships/oleObject" Target="embeddings/oleObject311.bin"/><Relationship Id="rId658" Type="http://schemas.openxmlformats.org/officeDocument/2006/relationships/image" Target="media/image327.wmf"/><Relationship Id="rId823" Type="http://schemas.openxmlformats.org/officeDocument/2006/relationships/oleObject" Target="embeddings/oleObject424.bin"/><Relationship Id="rId865" Type="http://schemas.openxmlformats.org/officeDocument/2006/relationships/oleObject" Target="embeddings/oleObject449.bin"/><Relationship Id="rId1050" Type="http://schemas.openxmlformats.org/officeDocument/2006/relationships/chart" Target="charts/chart14.xml"/><Relationship Id="rId1288" Type="http://schemas.openxmlformats.org/officeDocument/2006/relationships/oleObject" Target="embeddings/oleObject670.bin"/><Relationship Id="rId255" Type="http://schemas.openxmlformats.org/officeDocument/2006/relationships/oleObject" Target="embeddings/oleObject124.bin"/><Relationship Id="rId297" Type="http://schemas.openxmlformats.org/officeDocument/2006/relationships/oleObject" Target="embeddings/oleObject147.bin"/><Relationship Id="rId462" Type="http://schemas.openxmlformats.org/officeDocument/2006/relationships/image" Target="media/image223.wmf"/><Relationship Id="rId518" Type="http://schemas.openxmlformats.org/officeDocument/2006/relationships/oleObject" Target="embeddings/oleObject263.bin"/><Relationship Id="rId725" Type="http://schemas.openxmlformats.org/officeDocument/2006/relationships/oleObject" Target="embeddings/oleObject365.bin"/><Relationship Id="rId932" Type="http://schemas.openxmlformats.org/officeDocument/2006/relationships/oleObject" Target="embeddings/oleObject510.bin"/><Relationship Id="rId1092" Type="http://schemas.openxmlformats.org/officeDocument/2006/relationships/oleObject" Target="embeddings/oleObject587.bin"/><Relationship Id="rId1106" Type="http://schemas.openxmlformats.org/officeDocument/2006/relationships/image" Target="media/image488.png"/><Relationship Id="rId1148" Type="http://schemas.openxmlformats.org/officeDocument/2006/relationships/oleObject" Target="embeddings/oleObject609.bin"/><Relationship Id="rId1313" Type="http://schemas.openxmlformats.org/officeDocument/2006/relationships/image" Target="media/image604.wmf"/><Relationship Id="rId1355" Type="http://schemas.openxmlformats.org/officeDocument/2006/relationships/image" Target="media/image635.png"/><Relationship Id="rId1397" Type="http://schemas.openxmlformats.org/officeDocument/2006/relationships/image" Target="media/image650.wmf"/><Relationship Id="rId115" Type="http://schemas.openxmlformats.org/officeDocument/2006/relationships/image" Target="media/image53.wmf"/><Relationship Id="rId157" Type="http://schemas.openxmlformats.org/officeDocument/2006/relationships/image" Target="media/image74.wmf"/><Relationship Id="rId322" Type="http://schemas.openxmlformats.org/officeDocument/2006/relationships/image" Target="media/image155.wmf"/><Relationship Id="rId364" Type="http://schemas.openxmlformats.org/officeDocument/2006/relationships/image" Target="media/image174.wmf"/><Relationship Id="rId767" Type="http://schemas.openxmlformats.org/officeDocument/2006/relationships/oleObject" Target="embeddings/oleObject389.bin"/><Relationship Id="rId974" Type="http://schemas.openxmlformats.org/officeDocument/2006/relationships/oleObject" Target="embeddings/oleObject539.bin"/><Relationship Id="rId1008" Type="http://schemas.openxmlformats.org/officeDocument/2006/relationships/oleObject" Target="embeddings/oleObject557.bin"/><Relationship Id="rId1215" Type="http://schemas.openxmlformats.org/officeDocument/2006/relationships/oleObject" Target="embeddings/oleObject643.bin"/><Relationship Id="rId61" Type="http://schemas.openxmlformats.org/officeDocument/2006/relationships/image" Target="media/image26.wmf"/><Relationship Id="rId199" Type="http://schemas.openxmlformats.org/officeDocument/2006/relationships/image" Target="media/image95.wmf"/><Relationship Id="rId571" Type="http://schemas.openxmlformats.org/officeDocument/2006/relationships/image" Target="media/image284.wmf"/><Relationship Id="rId627" Type="http://schemas.openxmlformats.org/officeDocument/2006/relationships/image" Target="media/image312.wmf"/><Relationship Id="rId669" Type="http://schemas.openxmlformats.org/officeDocument/2006/relationships/oleObject" Target="embeddings/oleObject337.bin"/><Relationship Id="rId834" Type="http://schemas.openxmlformats.org/officeDocument/2006/relationships/image" Target="media/image404.wmf"/><Relationship Id="rId876" Type="http://schemas.openxmlformats.org/officeDocument/2006/relationships/oleObject" Target="embeddings/oleObject457.bin"/><Relationship Id="rId1257" Type="http://schemas.openxmlformats.org/officeDocument/2006/relationships/image" Target="media/image583.wmf"/><Relationship Id="rId1299" Type="http://schemas.openxmlformats.org/officeDocument/2006/relationships/image" Target="media/image597.wmf"/><Relationship Id="rId19" Type="http://schemas.openxmlformats.org/officeDocument/2006/relationships/image" Target="media/image4.wmf"/><Relationship Id="rId224" Type="http://schemas.openxmlformats.org/officeDocument/2006/relationships/oleObject" Target="embeddings/oleObject107.bin"/><Relationship Id="rId266" Type="http://schemas.openxmlformats.org/officeDocument/2006/relationships/image" Target="media/image128.wmf"/><Relationship Id="rId431" Type="http://schemas.openxmlformats.org/officeDocument/2006/relationships/image" Target="media/image207.wmf"/><Relationship Id="rId473" Type="http://schemas.openxmlformats.org/officeDocument/2006/relationships/oleObject" Target="embeddings/oleObject238.bin"/><Relationship Id="rId529" Type="http://schemas.openxmlformats.org/officeDocument/2006/relationships/image" Target="media/image260.wmf"/><Relationship Id="rId680" Type="http://schemas.openxmlformats.org/officeDocument/2006/relationships/image" Target="media/image337.wmf"/><Relationship Id="rId736" Type="http://schemas.openxmlformats.org/officeDocument/2006/relationships/image" Target="media/image365.wmf"/><Relationship Id="rId901" Type="http://schemas.openxmlformats.org/officeDocument/2006/relationships/oleObject" Target="embeddings/oleObject482.bin"/><Relationship Id="rId1061" Type="http://schemas.openxmlformats.org/officeDocument/2006/relationships/chart" Target="charts/chart25.xml"/><Relationship Id="rId1117" Type="http://schemas.openxmlformats.org/officeDocument/2006/relationships/image" Target="media/image499.wmf"/><Relationship Id="rId1159" Type="http://schemas.openxmlformats.org/officeDocument/2006/relationships/oleObject" Target="embeddings/oleObject615.bin"/><Relationship Id="rId1324" Type="http://schemas.openxmlformats.org/officeDocument/2006/relationships/oleObject" Target="embeddings/oleObject688.bin"/><Relationship Id="rId1366" Type="http://schemas.openxmlformats.org/officeDocument/2006/relationships/oleObject" Target="embeddings/oleObject695.bin"/><Relationship Id="rId30" Type="http://schemas.openxmlformats.org/officeDocument/2006/relationships/oleObject" Target="embeddings/oleObject9.bin"/><Relationship Id="rId126" Type="http://schemas.openxmlformats.org/officeDocument/2006/relationships/oleObject" Target="embeddings/oleObject58.bin"/><Relationship Id="rId168" Type="http://schemas.openxmlformats.org/officeDocument/2006/relationships/oleObject" Target="embeddings/oleObject79.bin"/><Relationship Id="rId333" Type="http://schemas.openxmlformats.org/officeDocument/2006/relationships/oleObject" Target="embeddings/oleObject166.bin"/><Relationship Id="rId540" Type="http://schemas.openxmlformats.org/officeDocument/2006/relationships/oleObject" Target="embeddings/oleObject273.bin"/><Relationship Id="rId778" Type="http://schemas.openxmlformats.org/officeDocument/2006/relationships/oleObject" Target="embeddings/oleObject400.bin"/><Relationship Id="rId943" Type="http://schemas.openxmlformats.org/officeDocument/2006/relationships/oleObject" Target="embeddings/oleObject521.bin"/><Relationship Id="rId985" Type="http://schemas.openxmlformats.org/officeDocument/2006/relationships/image" Target="media/image439.wmf"/><Relationship Id="rId1019" Type="http://schemas.openxmlformats.org/officeDocument/2006/relationships/image" Target="media/image455.wmf"/><Relationship Id="rId1170" Type="http://schemas.openxmlformats.org/officeDocument/2006/relationships/image" Target="media/image523.wmf"/><Relationship Id="rId72" Type="http://schemas.openxmlformats.org/officeDocument/2006/relationships/oleObject" Target="embeddings/oleObject31.bin"/><Relationship Id="rId375" Type="http://schemas.openxmlformats.org/officeDocument/2006/relationships/image" Target="media/image179.wmf"/><Relationship Id="rId582" Type="http://schemas.openxmlformats.org/officeDocument/2006/relationships/oleObject" Target="embeddings/oleObject294.bin"/><Relationship Id="rId638" Type="http://schemas.openxmlformats.org/officeDocument/2006/relationships/oleObject" Target="embeddings/oleObject322.bin"/><Relationship Id="rId803" Type="http://schemas.openxmlformats.org/officeDocument/2006/relationships/oleObject" Target="embeddings/oleObject414.bin"/><Relationship Id="rId845" Type="http://schemas.openxmlformats.org/officeDocument/2006/relationships/oleObject" Target="embeddings/oleObject436.bin"/><Relationship Id="rId1030" Type="http://schemas.openxmlformats.org/officeDocument/2006/relationships/oleObject" Target="embeddings/oleObject569.bin"/><Relationship Id="rId1226" Type="http://schemas.openxmlformats.org/officeDocument/2006/relationships/image" Target="media/image555.wmf"/><Relationship Id="rId1268" Type="http://schemas.openxmlformats.org/officeDocument/2006/relationships/oleObject" Target="embeddings/oleObject656.bin"/><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image" Target="media/image133.wmf"/><Relationship Id="rId400" Type="http://schemas.openxmlformats.org/officeDocument/2006/relationships/oleObject" Target="embeddings/oleObject201.bin"/><Relationship Id="rId442" Type="http://schemas.openxmlformats.org/officeDocument/2006/relationships/oleObject" Target="embeddings/oleObject222.bin"/><Relationship Id="rId484" Type="http://schemas.openxmlformats.org/officeDocument/2006/relationships/oleObject" Target="embeddings/oleObject246.bin"/><Relationship Id="rId705" Type="http://schemas.openxmlformats.org/officeDocument/2006/relationships/oleObject" Target="embeddings/oleObject355.bin"/><Relationship Id="rId887" Type="http://schemas.openxmlformats.org/officeDocument/2006/relationships/oleObject" Target="embeddings/oleObject468.bin"/><Relationship Id="rId1072" Type="http://schemas.openxmlformats.org/officeDocument/2006/relationships/oleObject" Target="embeddings/oleObject577.bin"/><Relationship Id="rId1128" Type="http://schemas.openxmlformats.org/officeDocument/2006/relationships/image" Target="media/image510.wmf"/><Relationship Id="rId1335" Type="http://schemas.openxmlformats.org/officeDocument/2006/relationships/image" Target="media/image615.png"/><Relationship Id="rId137" Type="http://schemas.openxmlformats.org/officeDocument/2006/relationships/image" Target="media/image64.wmf"/><Relationship Id="rId302" Type="http://schemas.openxmlformats.org/officeDocument/2006/relationships/image" Target="media/image145.wmf"/><Relationship Id="rId344" Type="http://schemas.openxmlformats.org/officeDocument/2006/relationships/image" Target="media/image165.wmf"/><Relationship Id="rId691" Type="http://schemas.openxmlformats.org/officeDocument/2006/relationships/oleObject" Target="embeddings/oleObject348.bin"/><Relationship Id="rId747" Type="http://schemas.openxmlformats.org/officeDocument/2006/relationships/oleObject" Target="embeddings/oleObject376.bin"/><Relationship Id="rId789" Type="http://schemas.openxmlformats.org/officeDocument/2006/relationships/oleObject" Target="embeddings/oleObject407.bin"/><Relationship Id="rId912" Type="http://schemas.openxmlformats.org/officeDocument/2006/relationships/oleObject" Target="embeddings/oleObject493.bin"/><Relationship Id="rId954" Type="http://schemas.openxmlformats.org/officeDocument/2006/relationships/image" Target="media/image426.wmf"/><Relationship Id="rId996" Type="http://schemas.openxmlformats.org/officeDocument/2006/relationships/oleObject" Target="embeddings/oleObject551.bin"/><Relationship Id="rId1377" Type="http://schemas.openxmlformats.org/officeDocument/2006/relationships/oleObject" Target="embeddings/oleObject704.bin"/><Relationship Id="rId41" Type="http://schemas.openxmlformats.org/officeDocument/2006/relationships/image" Target="media/image15.wmf"/><Relationship Id="rId83" Type="http://schemas.openxmlformats.org/officeDocument/2006/relationships/image" Target="media/image37.wmf"/><Relationship Id="rId179" Type="http://schemas.openxmlformats.org/officeDocument/2006/relationships/image" Target="media/image85.wmf"/><Relationship Id="rId386" Type="http://schemas.openxmlformats.org/officeDocument/2006/relationships/oleObject" Target="embeddings/oleObject194.bin"/><Relationship Id="rId551" Type="http://schemas.openxmlformats.org/officeDocument/2006/relationships/image" Target="media/image274.wmf"/><Relationship Id="rId593" Type="http://schemas.openxmlformats.org/officeDocument/2006/relationships/image" Target="media/image295.wmf"/><Relationship Id="rId607" Type="http://schemas.openxmlformats.org/officeDocument/2006/relationships/image" Target="media/image302.wmf"/><Relationship Id="rId649" Type="http://schemas.openxmlformats.org/officeDocument/2006/relationships/image" Target="media/image323.wmf"/><Relationship Id="rId814" Type="http://schemas.openxmlformats.org/officeDocument/2006/relationships/image" Target="media/image394.wmf"/><Relationship Id="rId856" Type="http://schemas.openxmlformats.org/officeDocument/2006/relationships/oleObject" Target="embeddings/oleObject444.bin"/><Relationship Id="rId1181" Type="http://schemas.openxmlformats.org/officeDocument/2006/relationships/oleObject" Target="embeddings/oleObject626.bin"/><Relationship Id="rId1237" Type="http://schemas.openxmlformats.org/officeDocument/2006/relationships/image" Target="media/image566.wmf"/><Relationship Id="rId1279" Type="http://schemas.openxmlformats.org/officeDocument/2006/relationships/image" Target="media/image587.wmf"/><Relationship Id="rId1402" Type="http://schemas.openxmlformats.org/officeDocument/2006/relationships/oleObject" Target="embeddings/oleObject723.bin"/><Relationship Id="rId190" Type="http://schemas.openxmlformats.org/officeDocument/2006/relationships/oleObject" Target="embeddings/oleObject90.bin"/><Relationship Id="rId204" Type="http://schemas.openxmlformats.org/officeDocument/2006/relationships/oleObject" Target="embeddings/oleObject97.bin"/><Relationship Id="rId246" Type="http://schemas.openxmlformats.org/officeDocument/2006/relationships/oleObject" Target="embeddings/oleObject119.bin"/><Relationship Id="rId288" Type="http://schemas.openxmlformats.org/officeDocument/2006/relationships/oleObject" Target="embeddings/oleObject142.bin"/><Relationship Id="rId411" Type="http://schemas.openxmlformats.org/officeDocument/2006/relationships/image" Target="media/image197.wmf"/><Relationship Id="rId453" Type="http://schemas.openxmlformats.org/officeDocument/2006/relationships/oleObject" Target="embeddings/oleObject228.bin"/><Relationship Id="rId509" Type="http://schemas.openxmlformats.org/officeDocument/2006/relationships/image" Target="media/image250.wmf"/><Relationship Id="rId660" Type="http://schemas.openxmlformats.org/officeDocument/2006/relationships/hyperlink" Target="http://apps.isiknowledge.com/full_record.do?product=WOS&amp;search_mode=GeneralSearch&amp;qid=1&amp;SID=2FfggpOOBMG7h6PD@4D&amp;page=1&amp;doc=1&amp;cacheurlFromRightClick=no" TargetMode="External"/><Relationship Id="rId898" Type="http://schemas.openxmlformats.org/officeDocument/2006/relationships/oleObject" Target="embeddings/oleObject479.bin"/><Relationship Id="rId1041" Type="http://schemas.openxmlformats.org/officeDocument/2006/relationships/chart" Target="charts/chart5.xml"/><Relationship Id="rId1083" Type="http://schemas.openxmlformats.org/officeDocument/2006/relationships/image" Target="media/image474.wmf"/><Relationship Id="rId1139" Type="http://schemas.openxmlformats.org/officeDocument/2006/relationships/oleObject" Target="embeddings/oleObject600.bin"/><Relationship Id="rId1290" Type="http://schemas.openxmlformats.org/officeDocument/2006/relationships/oleObject" Target="embeddings/oleObject671.bin"/><Relationship Id="rId1304" Type="http://schemas.openxmlformats.org/officeDocument/2006/relationships/oleObject" Target="embeddings/oleObject678.bin"/><Relationship Id="rId1346" Type="http://schemas.openxmlformats.org/officeDocument/2006/relationships/image" Target="media/image626.wmf"/><Relationship Id="rId106" Type="http://schemas.openxmlformats.org/officeDocument/2006/relationships/oleObject" Target="embeddings/oleObject48.bin"/><Relationship Id="rId313" Type="http://schemas.openxmlformats.org/officeDocument/2006/relationships/oleObject" Target="embeddings/oleObject155.bin"/><Relationship Id="rId495" Type="http://schemas.openxmlformats.org/officeDocument/2006/relationships/image" Target="media/image243.wmf"/><Relationship Id="rId716" Type="http://schemas.openxmlformats.org/officeDocument/2006/relationships/image" Target="media/image355.wmf"/><Relationship Id="rId758" Type="http://schemas.openxmlformats.org/officeDocument/2006/relationships/image" Target="media/image376.wmf"/><Relationship Id="rId923" Type="http://schemas.openxmlformats.org/officeDocument/2006/relationships/oleObject" Target="embeddings/oleObject501.bin"/><Relationship Id="rId965" Type="http://schemas.openxmlformats.org/officeDocument/2006/relationships/image" Target="media/image431.wmf"/><Relationship Id="rId1150" Type="http://schemas.openxmlformats.org/officeDocument/2006/relationships/image" Target="media/image513.wmf"/><Relationship Id="rId1388" Type="http://schemas.openxmlformats.org/officeDocument/2006/relationships/oleObject" Target="embeddings/oleObject715.bin"/><Relationship Id="rId10" Type="http://schemas.openxmlformats.org/officeDocument/2006/relationships/footer" Target="footer1.xml"/><Relationship Id="rId52" Type="http://schemas.openxmlformats.org/officeDocument/2006/relationships/oleObject" Target="embeddings/oleObject20.bin"/><Relationship Id="rId94" Type="http://schemas.openxmlformats.org/officeDocument/2006/relationships/oleObject" Target="embeddings/oleObject42.bin"/><Relationship Id="rId148" Type="http://schemas.openxmlformats.org/officeDocument/2006/relationships/oleObject" Target="embeddings/oleObject69.bin"/><Relationship Id="rId355" Type="http://schemas.openxmlformats.org/officeDocument/2006/relationships/image" Target="media/image170.wmf"/><Relationship Id="rId397" Type="http://schemas.openxmlformats.org/officeDocument/2006/relationships/image" Target="media/image190.wmf"/><Relationship Id="rId520" Type="http://schemas.openxmlformats.org/officeDocument/2006/relationships/oleObject" Target="embeddings/oleObject264.bin"/><Relationship Id="rId562" Type="http://schemas.openxmlformats.org/officeDocument/2006/relationships/oleObject" Target="embeddings/oleObject284.bin"/><Relationship Id="rId618" Type="http://schemas.openxmlformats.org/officeDocument/2006/relationships/oleObject" Target="embeddings/oleObject312.bin"/><Relationship Id="rId825" Type="http://schemas.openxmlformats.org/officeDocument/2006/relationships/oleObject" Target="embeddings/oleObject425.bin"/><Relationship Id="rId1192" Type="http://schemas.openxmlformats.org/officeDocument/2006/relationships/image" Target="media/image534.wmf"/><Relationship Id="rId1206" Type="http://schemas.openxmlformats.org/officeDocument/2006/relationships/image" Target="media/image541.wmf"/><Relationship Id="rId1248" Type="http://schemas.openxmlformats.org/officeDocument/2006/relationships/image" Target="media/image577.wmf"/><Relationship Id="rId215" Type="http://schemas.openxmlformats.org/officeDocument/2006/relationships/image" Target="media/image103.wmf"/><Relationship Id="rId257" Type="http://schemas.openxmlformats.org/officeDocument/2006/relationships/oleObject" Target="embeddings/oleObject125.bin"/><Relationship Id="rId422" Type="http://schemas.openxmlformats.org/officeDocument/2006/relationships/oleObject" Target="embeddings/oleObject212.bin"/><Relationship Id="rId464" Type="http://schemas.openxmlformats.org/officeDocument/2006/relationships/oleObject" Target="embeddings/oleObject233.bin"/><Relationship Id="rId867" Type="http://schemas.openxmlformats.org/officeDocument/2006/relationships/image" Target="media/image416.wmf"/><Relationship Id="rId1010" Type="http://schemas.openxmlformats.org/officeDocument/2006/relationships/oleObject" Target="embeddings/oleObject558.bin"/><Relationship Id="rId1052" Type="http://schemas.openxmlformats.org/officeDocument/2006/relationships/chart" Target="charts/chart16.xml"/><Relationship Id="rId1094" Type="http://schemas.openxmlformats.org/officeDocument/2006/relationships/oleObject" Target="embeddings/oleObject588.bin"/><Relationship Id="rId1108" Type="http://schemas.openxmlformats.org/officeDocument/2006/relationships/image" Target="media/image490.wmf"/><Relationship Id="rId1315" Type="http://schemas.openxmlformats.org/officeDocument/2006/relationships/image" Target="media/image605.wmf"/><Relationship Id="rId299" Type="http://schemas.openxmlformats.org/officeDocument/2006/relationships/oleObject" Target="embeddings/oleObject148.bin"/><Relationship Id="rId727" Type="http://schemas.openxmlformats.org/officeDocument/2006/relationships/oleObject" Target="embeddings/oleObject366.bin"/><Relationship Id="rId934" Type="http://schemas.openxmlformats.org/officeDocument/2006/relationships/oleObject" Target="embeddings/oleObject512.bin"/><Relationship Id="rId1357" Type="http://schemas.openxmlformats.org/officeDocument/2006/relationships/image" Target="media/image637.wmf"/><Relationship Id="rId63" Type="http://schemas.openxmlformats.org/officeDocument/2006/relationships/image" Target="media/image27.wmf"/><Relationship Id="rId159" Type="http://schemas.openxmlformats.org/officeDocument/2006/relationships/image" Target="media/image75.wmf"/><Relationship Id="rId366" Type="http://schemas.openxmlformats.org/officeDocument/2006/relationships/image" Target="media/image175.wmf"/><Relationship Id="rId573" Type="http://schemas.openxmlformats.org/officeDocument/2006/relationships/image" Target="media/image285.wmf"/><Relationship Id="rId780" Type="http://schemas.openxmlformats.org/officeDocument/2006/relationships/oleObject" Target="embeddings/oleObject402.bin"/><Relationship Id="rId1217" Type="http://schemas.openxmlformats.org/officeDocument/2006/relationships/oleObject" Target="embeddings/oleObject644.bin"/><Relationship Id="rId226" Type="http://schemas.openxmlformats.org/officeDocument/2006/relationships/oleObject" Target="embeddings/oleObject108.bin"/><Relationship Id="rId433" Type="http://schemas.openxmlformats.org/officeDocument/2006/relationships/image" Target="media/image208.wmf"/><Relationship Id="rId878" Type="http://schemas.openxmlformats.org/officeDocument/2006/relationships/oleObject" Target="embeddings/oleObject459.bin"/><Relationship Id="rId1063" Type="http://schemas.openxmlformats.org/officeDocument/2006/relationships/image" Target="media/image464.wmf"/><Relationship Id="rId1270" Type="http://schemas.openxmlformats.org/officeDocument/2006/relationships/oleObject" Target="embeddings/oleObject658.bin"/><Relationship Id="rId640" Type="http://schemas.openxmlformats.org/officeDocument/2006/relationships/oleObject" Target="embeddings/oleObject323.bin"/><Relationship Id="rId738" Type="http://schemas.openxmlformats.org/officeDocument/2006/relationships/image" Target="media/image366.wmf"/><Relationship Id="rId945" Type="http://schemas.openxmlformats.org/officeDocument/2006/relationships/image" Target="media/image422.wmf"/><Relationship Id="rId1368" Type="http://schemas.openxmlformats.org/officeDocument/2006/relationships/oleObject" Target="embeddings/oleObject696.bin"/><Relationship Id="rId74" Type="http://schemas.openxmlformats.org/officeDocument/2006/relationships/oleObject" Target="embeddings/oleObject32.bin"/><Relationship Id="rId377" Type="http://schemas.openxmlformats.org/officeDocument/2006/relationships/image" Target="media/image180.wmf"/><Relationship Id="rId500" Type="http://schemas.openxmlformats.org/officeDocument/2006/relationships/oleObject" Target="embeddings/oleObject254.bin"/><Relationship Id="rId584" Type="http://schemas.openxmlformats.org/officeDocument/2006/relationships/oleObject" Target="embeddings/oleObject295.bin"/><Relationship Id="rId805" Type="http://schemas.openxmlformats.org/officeDocument/2006/relationships/oleObject" Target="embeddings/oleObject415.bin"/><Relationship Id="rId1130" Type="http://schemas.openxmlformats.org/officeDocument/2006/relationships/image" Target="media/image511.wmf"/><Relationship Id="rId1228" Type="http://schemas.openxmlformats.org/officeDocument/2006/relationships/image" Target="media/image557.wmf"/><Relationship Id="rId5" Type="http://schemas.openxmlformats.org/officeDocument/2006/relationships/webSettings" Target="webSettings.xml"/><Relationship Id="rId237" Type="http://schemas.openxmlformats.org/officeDocument/2006/relationships/image" Target="media/image114.wmf"/><Relationship Id="rId791" Type="http://schemas.openxmlformats.org/officeDocument/2006/relationships/oleObject" Target="embeddings/oleObject408.bin"/><Relationship Id="rId889" Type="http://schemas.openxmlformats.org/officeDocument/2006/relationships/oleObject" Target="embeddings/oleObject470.bin"/><Relationship Id="rId1074" Type="http://schemas.openxmlformats.org/officeDocument/2006/relationships/oleObject" Target="embeddings/oleObject578.bin"/><Relationship Id="rId444" Type="http://schemas.openxmlformats.org/officeDocument/2006/relationships/image" Target="media/image213.wmf"/><Relationship Id="rId651" Type="http://schemas.openxmlformats.org/officeDocument/2006/relationships/image" Target="media/image324.wmf"/><Relationship Id="rId749" Type="http://schemas.openxmlformats.org/officeDocument/2006/relationships/oleObject" Target="embeddings/oleObject377.bin"/><Relationship Id="rId1281" Type="http://schemas.openxmlformats.org/officeDocument/2006/relationships/image" Target="media/image588.wmf"/><Relationship Id="rId1379" Type="http://schemas.openxmlformats.org/officeDocument/2006/relationships/oleObject" Target="embeddings/oleObject706.bin"/><Relationship Id="rId290" Type="http://schemas.openxmlformats.org/officeDocument/2006/relationships/image" Target="media/image139.wmf"/><Relationship Id="rId304" Type="http://schemas.openxmlformats.org/officeDocument/2006/relationships/image" Target="media/image146.wmf"/><Relationship Id="rId388" Type="http://schemas.openxmlformats.org/officeDocument/2006/relationships/oleObject" Target="embeddings/oleObject195.bin"/><Relationship Id="rId511" Type="http://schemas.openxmlformats.org/officeDocument/2006/relationships/image" Target="media/image251.wmf"/><Relationship Id="rId609" Type="http://schemas.openxmlformats.org/officeDocument/2006/relationships/image" Target="media/image303.wmf"/><Relationship Id="rId956" Type="http://schemas.openxmlformats.org/officeDocument/2006/relationships/image" Target="media/image427.wmf"/><Relationship Id="rId1141" Type="http://schemas.openxmlformats.org/officeDocument/2006/relationships/oleObject" Target="embeddings/oleObject602.bin"/><Relationship Id="rId1239" Type="http://schemas.openxmlformats.org/officeDocument/2006/relationships/image" Target="media/image568.wmf"/><Relationship Id="rId85" Type="http://schemas.openxmlformats.org/officeDocument/2006/relationships/image" Target="media/image38.wmf"/><Relationship Id="rId150" Type="http://schemas.openxmlformats.org/officeDocument/2006/relationships/oleObject" Target="embeddings/oleObject70.bin"/><Relationship Id="rId595" Type="http://schemas.openxmlformats.org/officeDocument/2006/relationships/image" Target="media/image296.wmf"/><Relationship Id="rId816" Type="http://schemas.openxmlformats.org/officeDocument/2006/relationships/image" Target="media/image395.wmf"/><Relationship Id="rId1001" Type="http://schemas.openxmlformats.org/officeDocument/2006/relationships/image" Target="media/image447.wmf"/><Relationship Id="rId248" Type="http://schemas.openxmlformats.org/officeDocument/2006/relationships/oleObject" Target="embeddings/oleObject120.bin"/><Relationship Id="rId455" Type="http://schemas.openxmlformats.org/officeDocument/2006/relationships/image" Target="media/image219.wmf"/><Relationship Id="rId662" Type="http://schemas.openxmlformats.org/officeDocument/2006/relationships/image" Target="media/image328.wmf"/><Relationship Id="rId1085" Type="http://schemas.openxmlformats.org/officeDocument/2006/relationships/image" Target="media/image475.wmf"/><Relationship Id="rId1292" Type="http://schemas.openxmlformats.org/officeDocument/2006/relationships/oleObject" Target="embeddings/oleObject672.bin"/><Relationship Id="rId1306" Type="http://schemas.openxmlformats.org/officeDocument/2006/relationships/oleObject" Target="embeddings/oleObject679.bin"/><Relationship Id="rId12" Type="http://schemas.openxmlformats.org/officeDocument/2006/relationships/footer" Target="footer3.xml"/><Relationship Id="rId108" Type="http://schemas.openxmlformats.org/officeDocument/2006/relationships/oleObject" Target="embeddings/oleObject49.bin"/><Relationship Id="rId315" Type="http://schemas.openxmlformats.org/officeDocument/2006/relationships/oleObject" Target="embeddings/oleObject156.bin"/><Relationship Id="rId522" Type="http://schemas.openxmlformats.org/officeDocument/2006/relationships/oleObject" Target="embeddings/oleObject265.bin"/><Relationship Id="rId967" Type="http://schemas.openxmlformats.org/officeDocument/2006/relationships/oleObject" Target="embeddings/oleObject535.bin"/><Relationship Id="rId1152" Type="http://schemas.openxmlformats.org/officeDocument/2006/relationships/image" Target="media/image514.wmf"/><Relationship Id="rId96" Type="http://schemas.openxmlformats.org/officeDocument/2006/relationships/oleObject" Target="embeddings/oleObject43.bin"/><Relationship Id="rId161" Type="http://schemas.openxmlformats.org/officeDocument/2006/relationships/image" Target="media/image76.wmf"/><Relationship Id="rId399" Type="http://schemas.openxmlformats.org/officeDocument/2006/relationships/image" Target="media/image191.wmf"/><Relationship Id="rId827" Type="http://schemas.openxmlformats.org/officeDocument/2006/relationships/oleObject" Target="embeddings/oleObject426.bin"/><Relationship Id="rId1012" Type="http://schemas.openxmlformats.org/officeDocument/2006/relationships/oleObject" Target="embeddings/oleObject559.bin"/><Relationship Id="rId259" Type="http://schemas.openxmlformats.org/officeDocument/2006/relationships/oleObject" Target="embeddings/oleObject126.bin"/><Relationship Id="rId466" Type="http://schemas.openxmlformats.org/officeDocument/2006/relationships/oleObject" Target="embeddings/oleObject234.bin"/><Relationship Id="rId673" Type="http://schemas.openxmlformats.org/officeDocument/2006/relationships/oleObject" Target="embeddings/oleObject339.bin"/><Relationship Id="rId880" Type="http://schemas.openxmlformats.org/officeDocument/2006/relationships/oleObject" Target="embeddings/oleObject461.bin"/><Relationship Id="rId1096" Type="http://schemas.openxmlformats.org/officeDocument/2006/relationships/oleObject" Target="embeddings/oleObject589.bin"/><Relationship Id="rId1317" Type="http://schemas.openxmlformats.org/officeDocument/2006/relationships/image" Target="media/image606.wmf"/><Relationship Id="rId23" Type="http://schemas.openxmlformats.org/officeDocument/2006/relationships/image" Target="media/image6.wmf"/><Relationship Id="rId119" Type="http://schemas.openxmlformats.org/officeDocument/2006/relationships/image" Target="media/image55.wmf"/><Relationship Id="rId326" Type="http://schemas.openxmlformats.org/officeDocument/2006/relationships/image" Target="media/image157.wmf"/><Relationship Id="rId533" Type="http://schemas.openxmlformats.org/officeDocument/2006/relationships/oleObject" Target="embeddings/oleObject270.bin"/><Relationship Id="rId978" Type="http://schemas.openxmlformats.org/officeDocument/2006/relationships/image" Target="media/image436.wmf"/><Relationship Id="rId1163" Type="http://schemas.openxmlformats.org/officeDocument/2006/relationships/oleObject" Target="embeddings/oleObject617.bin"/><Relationship Id="rId1370" Type="http://schemas.openxmlformats.org/officeDocument/2006/relationships/oleObject" Target="embeddings/oleObject698.bin"/><Relationship Id="rId740" Type="http://schemas.openxmlformats.org/officeDocument/2006/relationships/image" Target="media/image367.wmf"/><Relationship Id="rId838" Type="http://schemas.openxmlformats.org/officeDocument/2006/relationships/image" Target="media/image406.wmf"/><Relationship Id="rId1023" Type="http://schemas.openxmlformats.org/officeDocument/2006/relationships/image" Target="media/image457.wmf"/><Relationship Id="rId172" Type="http://schemas.openxmlformats.org/officeDocument/2006/relationships/oleObject" Target="embeddings/oleObject81.bin"/><Relationship Id="rId477" Type="http://schemas.openxmlformats.org/officeDocument/2006/relationships/oleObject" Target="embeddings/oleObject243.bin"/><Relationship Id="rId600" Type="http://schemas.openxmlformats.org/officeDocument/2006/relationships/oleObject" Target="embeddings/oleObject303.bin"/><Relationship Id="rId684" Type="http://schemas.openxmlformats.org/officeDocument/2006/relationships/image" Target="media/image339.wmf"/><Relationship Id="rId1230" Type="http://schemas.openxmlformats.org/officeDocument/2006/relationships/image" Target="media/image559.png"/><Relationship Id="rId1328" Type="http://schemas.openxmlformats.org/officeDocument/2006/relationships/oleObject" Target="embeddings/oleObject690.bin"/><Relationship Id="rId337" Type="http://schemas.openxmlformats.org/officeDocument/2006/relationships/oleObject" Target="embeddings/oleObject168.bin"/><Relationship Id="rId891" Type="http://schemas.openxmlformats.org/officeDocument/2006/relationships/oleObject" Target="embeddings/oleObject472.bin"/><Relationship Id="rId905" Type="http://schemas.openxmlformats.org/officeDocument/2006/relationships/oleObject" Target="embeddings/oleObject486.bin"/><Relationship Id="rId989" Type="http://schemas.openxmlformats.org/officeDocument/2006/relationships/image" Target="media/image441.wmf"/><Relationship Id="rId34" Type="http://schemas.openxmlformats.org/officeDocument/2006/relationships/oleObject" Target="embeddings/oleObject11.bin"/><Relationship Id="rId544" Type="http://schemas.openxmlformats.org/officeDocument/2006/relationships/oleObject" Target="embeddings/oleObject276.bin"/><Relationship Id="rId751" Type="http://schemas.openxmlformats.org/officeDocument/2006/relationships/oleObject" Target="embeddings/oleObject378.bin"/><Relationship Id="rId849" Type="http://schemas.openxmlformats.org/officeDocument/2006/relationships/oleObject" Target="embeddings/oleObject439.bin"/><Relationship Id="rId1174" Type="http://schemas.openxmlformats.org/officeDocument/2006/relationships/image" Target="media/image525.wmf"/><Relationship Id="rId1381" Type="http://schemas.openxmlformats.org/officeDocument/2006/relationships/oleObject" Target="embeddings/oleObject708.bin"/><Relationship Id="rId183" Type="http://schemas.openxmlformats.org/officeDocument/2006/relationships/image" Target="media/image87.wmf"/><Relationship Id="rId390" Type="http://schemas.openxmlformats.org/officeDocument/2006/relationships/oleObject" Target="embeddings/oleObject196.bin"/><Relationship Id="rId404" Type="http://schemas.openxmlformats.org/officeDocument/2006/relationships/oleObject" Target="embeddings/oleObject203.bin"/><Relationship Id="rId611" Type="http://schemas.openxmlformats.org/officeDocument/2006/relationships/image" Target="media/image304.wmf"/><Relationship Id="rId1034" Type="http://schemas.openxmlformats.org/officeDocument/2006/relationships/oleObject" Target="embeddings/oleObject571.bin"/><Relationship Id="rId1241" Type="http://schemas.openxmlformats.org/officeDocument/2006/relationships/image" Target="media/image570.wmf"/><Relationship Id="rId1339" Type="http://schemas.openxmlformats.org/officeDocument/2006/relationships/image" Target="media/image619.png"/><Relationship Id="rId250" Type="http://schemas.openxmlformats.org/officeDocument/2006/relationships/oleObject" Target="embeddings/oleObject121.bin"/><Relationship Id="rId488" Type="http://schemas.openxmlformats.org/officeDocument/2006/relationships/oleObject" Target="embeddings/oleObject248.bin"/><Relationship Id="rId695" Type="http://schemas.openxmlformats.org/officeDocument/2006/relationships/oleObject" Target="embeddings/oleObject350.bin"/><Relationship Id="rId709" Type="http://schemas.openxmlformats.org/officeDocument/2006/relationships/oleObject" Target="embeddings/oleObject357.bin"/><Relationship Id="rId916" Type="http://schemas.openxmlformats.org/officeDocument/2006/relationships/oleObject" Target="embeddings/oleObject497.bin"/><Relationship Id="rId1101" Type="http://schemas.openxmlformats.org/officeDocument/2006/relationships/image" Target="media/image483.wmf"/><Relationship Id="rId45" Type="http://schemas.openxmlformats.org/officeDocument/2006/relationships/image" Target="media/image17.wmf"/><Relationship Id="rId110" Type="http://schemas.openxmlformats.org/officeDocument/2006/relationships/oleObject" Target="embeddings/oleObject50.bin"/><Relationship Id="rId348" Type="http://schemas.openxmlformats.org/officeDocument/2006/relationships/image" Target="media/image167.wmf"/><Relationship Id="rId555" Type="http://schemas.openxmlformats.org/officeDocument/2006/relationships/image" Target="media/image276.wmf"/><Relationship Id="rId762" Type="http://schemas.openxmlformats.org/officeDocument/2006/relationships/oleObject" Target="embeddings/oleObject384.bin"/><Relationship Id="rId1185" Type="http://schemas.openxmlformats.org/officeDocument/2006/relationships/oleObject" Target="embeddings/oleObject628.bin"/><Relationship Id="rId1392" Type="http://schemas.openxmlformats.org/officeDocument/2006/relationships/oleObject" Target="embeddings/oleObject718.bin"/><Relationship Id="rId1406" Type="http://schemas.openxmlformats.org/officeDocument/2006/relationships/fontTable" Target="fontTable.xml"/><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image" Target="media/image199.wmf"/><Relationship Id="rId622" Type="http://schemas.openxmlformats.org/officeDocument/2006/relationships/oleObject" Target="embeddings/oleObject314.bin"/><Relationship Id="rId1045" Type="http://schemas.openxmlformats.org/officeDocument/2006/relationships/chart" Target="charts/chart9.xml"/><Relationship Id="rId1252" Type="http://schemas.openxmlformats.org/officeDocument/2006/relationships/oleObject" Target="embeddings/oleObject645.bin"/><Relationship Id="rId261" Type="http://schemas.openxmlformats.org/officeDocument/2006/relationships/oleObject" Target="embeddings/oleObject127.bin"/><Relationship Id="rId499" Type="http://schemas.openxmlformats.org/officeDocument/2006/relationships/image" Target="media/image245.wmf"/><Relationship Id="rId927" Type="http://schemas.openxmlformats.org/officeDocument/2006/relationships/oleObject" Target="embeddings/oleObject505.bin"/><Relationship Id="rId1112" Type="http://schemas.openxmlformats.org/officeDocument/2006/relationships/image" Target="media/image494.png"/><Relationship Id="rId56" Type="http://schemas.openxmlformats.org/officeDocument/2006/relationships/oleObject" Target="embeddings/oleObject22.bin"/><Relationship Id="rId359" Type="http://schemas.openxmlformats.org/officeDocument/2006/relationships/image" Target="media/image172.wmf"/><Relationship Id="rId566" Type="http://schemas.openxmlformats.org/officeDocument/2006/relationships/oleObject" Target="embeddings/oleObject286.bin"/><Relationship Id="rId773" Type="http://schemas.openxmlformats.org/officeDocument/2006/relationships/oleObject" Target="embeddings/oleObject395.bin"/><Relationship Id="rId1196" Type="http://schemas.openxmlformats.org/officeDocument/2006/relationships/image" Target="media/image536.wmf"/><Relationship Id="rId121" Type="http://schemas.openxmlformats.org/officeDocument/2006/relationships/image" Target="media/image56.wmf"/><Relationship Id="rId219" Type="http://schemas.openxmlformats.org/officeDocument/2006/relationships/image" Target="media/image105.wmf"/><Relationship Id="rId426" Type="http://schemas.openxmlformats.org/officeDocument/2006/relationships/oleObject" Target="embeddings/oleObject214.bin"/><Relationship Id="rId633" Type="http://schemas.openxmlformats.org/officeDocument/2006/relationships/image" Target="media/image315.wmf"/><Relationship Id="rId980" Type="http://schemas.openxmlformats.org/officeDocument/2006/relationships/image" Target="media/image437.wmf"/><Relationship Id="rId1056" Type="http://schemas.openxmlformats.org/officeDocument/2006/relationships/chart" Target="charts/chart20.xml"/><Relationship Id="rId1263" Type="http://schemas.openxmlformats.org/officeDocument/2006/relationships/oleObject" Target="embeddings/oleObject651.bin"/><Relationship Id="rId840" Type="http://schemas.openxmlformats.org/officeDocument/2006/relationships/image" Target="media/image407.wmf"/><Relationship Id="rId938" Type="http://schemas.openxmlformats.org/officeDocument/2006/relationships/oleObject" Target="embeddings/oleObject516.bin"/><Relationship Id="rId67" Type="http://schemas.openxmlformats.org/officeDocument/2006/relationships/image" Target="media/image29.wmf"/><Relationship Id="rId272" Type="http://schemas.openxmlformats.org/officeDocument/2006/relationships/oleObject" Target="embeddings/oleObject134.bin"/><Relationship Id="rId577" Type="http://schemas.openxmlformats.org/officeDocument/2006/relationships/image" Target="media/image287.wmf"/><Relationship Id="rId700" Type="http://schemas.openxmlformats.org/officeDocument/2006/relationships/image" Target="media/image347.wmf"/><Relationship Id="rId1123" Type="http://schemas.openxmlformats.org/officeDocument/2006/relationships/image" Target="media/image505.wmf"/><Relationship Id="rId1330" Type="http://schemas.openxmlformats.org/officeDocument/2006/relationships/oleObject" Target="embeddings/oleObject691.bin"/><Relationship Id="rId132" Type="http://schemas.openxmlformats.org/officeDocument/2006/relationships/oleObject" Target="embeddings/oleObject61.bin"/><Relationship Id="rId784" Type="http://schemas.openxmlformats.org/officeDocument/2006/relationships/image" Target="media/image379.wmf"/><Relationship Id="rId991" Type="http://schemas.openxmlformats.org/officeDocument/2006/relationships/image" Target="media/image442.wmf"/><Relationship Id="rId1067" Type="http://schemas.openxmlformats.org/officeDocument/2006/relationships/image" Target="media/image466.wmf"/><Relationship Id="rId437" Type="http://schemas.openxmlformats.org/officeDocument/2006/relationships/image" Target="media/image210.wmf"/><Relationship Id="rId644" Type="http://schemas.openxmlformats.org/officeDocument/2006/relationships/oleObject" Target="embeddings/oleObject325.bin"/><Relationship Id="rId851" Type="http://schemas.openxmlformats.org/officeDocument/2006/relationships/image" Target="media/image410.wmf"/><Relationship Id="rId1274" Type="http://schemas.openxmlformats.org/officeDocument/2006/relationships/oleObject" Target="embeddings/oleObject662.bin"/><Relationship Id="rId283" Type="http://schemas.openxmlformats.org/officeDocument/2006/relationships/image" Target="media/image136.wmf"/><Relationship Id="rId490" Type="http://schemas.openxmlformats.org/officeDocument/2006/relationships/oleObject" Target="embeddings/oleObject249.bin"/><Relationship Id="rId504" Type="http://schemas.openxmlformats.org/officeDocument/2006/relationships/oleObject" Target="embeddings/oleObject256.bin"/><Relationship Id="rId711" Type="http://schemas.openxmlformats.org/officeDocument/2006/relationships/oleObject" Target="embeddings/oleObject358.bin"/><Relationship Id="rId949" Type="http://schemas.openxmlformats.org/officeDocument/2006/relationships/oleObject" Target="embeddings/oleObject525.bin"/><Relationship Id="rId1134" Type="http://schemas.openxmlformats.org/officeDocument/2006/relationships/oleObject" Target="embeddings/oleObject595.bin"/><Relationship Id="rId1341" Type="http://schemas.openxmlformats.org/officeDocument/2006/relationships/image" Target="media/image621.wmf"/><Relationship Id="rId78" Type="http://schemas.openxmlformats.org/officeDocument/2006/relationships/oleObject" Target="embeddings/oleObject34.bin"/><Relationship Id="rId143" Type="http://schemas.openxmlformats.org/officeDocument/2006/relationships/image" Target="media/image67.wmf"/><Relationship Id="rId350" Type="http://schemas.openxmlformats.org/officeDocument/2006/relationships/image" Target="media/image168.wmf"/><Relationship Id="rId588" Type="http://schemas.openxmlformats.org/officeDocument/2006/relationships/oleObject" Target="embeddings/oleObject297.bin"/><Relationship Id="rId795" Type="http://schemas.openxmlformats.org/officeDocument/2006/relationships/oleObject" Target="embeddings/oleObject410.bin"/><Relationship Id="rId809" Type="http://schemas.openxmlformats.org/officeDocument/2006/relationships/oleObject" Target="embeddings/oleObject417.bin"/><Relationship Id="rId1201" Type="http://schemas.openxmlformats.org/officeDocument/2006/relationships/oleObject" Target="embeddings/oleObject636.bin"/><Relationship Id="rId9" Type="http://schemas.openxmlformats.org/officeDocument/2006/relationships/header" Target="header2.xml"/><Relationship Id="rId210" Type="http://schemas.openxmlformats.org/officeDocument/2006/relationships/oleObject" Target="embeddings/oleObject100.bin"/><Relationship Id="rId448" Type="http://schemas.openxmlformats.org/officeDocument/2006/relationships/image" Target="media/image215.wmf"/><Relationship Id="rId655" Type="http://schemas.openxmlformats.org/officeDocument/2006/relationships/image" Target="media/image326.wmf"/><Relationship Id="rId862" Type="http://schemas.openxmlformats.org/officeDocument/2006/relationships/oleObject" Target="embeddings/oleObject447.bin"/><Relationship Id="rId1078" Type="http://schemas.openxmlformats.org/officeDocument/2006/relationships/oleObject" Target="embeddings/oleObject580.bin"/><Relationship Id="rId1285" Type="http://schemas.openxmlformats.org/officeDocument/2006/relationships/image" Target="media/image590.wmf"/><Relationship Id="rId294" Type="http://schemas.openxmlformats.org/officeDocument/2006/relationships/image" Target="media/image141.wmf"/><Relationship Id="rId308" Type="http://schemas.openxmlformats.org/officeDocument/2006/relationships/image" Target="media/image148.wmf"/><Relationship Id="rId515" Type="http://schemas.openxmlformats.org/officeDocument/2006/relationships/image" Target="media/image253.wmf"/><Relationship Id="rId722" Type="http://schemas.openxmlformats.org/officeDocument/2006/relationships/image" Target="media/image358.wmf"/><Relationship Id="rId1145" Type="http://schemas.openxmlformats.org/officeDocument/2006/relationships/oleObject" Target="embeddings/oleObject606.bin"/><Relationship Id="rId1352" Type="http://schemas.openxmlformats.org/officeDocument/2006/relationships/image" Target="media/image632.wmf"/><Relationship Id="rId89" Type="http://schemas.openxmlformats.org/officeDocument/2006/relationships/image" Target="media/image40.wmf"/><Relationship Id="rId154" Type="http://schemas.openxmlformats.org/officeDocument/2006/relationships/oleObject" Target="embeddings/oleObject72.bin"/><Relationship Id="rId361" Type="http://schemas.openxmlformats.org/officeDocument/2006/relationships/oleObject" Target="embeddings/oleObject181.bin"/><Relationship Id="rId599" Type="http://schemas.openxmlformats.org/officeDocument/2006/relationships/image" Target="media/image298.wmf"/><Relationship Id="rId1005" Type="http://schemas.openxmlformats.org/officeDocument/2006/relationships/image" Target="media/image449.wmf"/><Relationship Id="rId1212" Type="http://schemas.openxmlformats.org/officeDocument/2006/relationships/image" Target="media/image544.wmf"/><Relationship Id="rId459" Type="http://schemas.openxmlformats.org/officeDocument/2006/relationships/oleObject" Target="embeddings/oleObject230.bin"/><Relationship Id="rId666" Type="http://schemas.openxmlformats.org/officeDocument/2006/relationships/image" Target="media/image330.wmf"/><Relationship Id="rId873" Type="http://schemas.openxmlformats.org/officeDocument/2006/relationships/image" Target="media/image418.wmf"/><Relationship Id="rId1089" Type="http://schemas.openxmlformats.org/officeDocument/2006/relationships/image" Target="media/image477.wmf"/><Relationship Id="rId1296" Type="http://schemas.openxmlformats.org/officeDocument/2006/relationships/oleObject" Target="embeddings/oleObject674.bin"/><Relationship Id="rId16" Type="http://schemas.openxmlformats.org/officeDocument/2006/relationships/oleObject" Target="embeddings/oleObject2.bin"/><Relationship Id="rId221" Type="http://schemas.openxmlformats.org/officeDocument/2006/relationships/image" Target="media/image106.wmf"/><Relationship Id="rId319" Type="http://schemas.openxmlformats.org/officeDocument/2006/relationships/oleObject" Target="embeddings/oleObject158.bin"/><Relationship Id="rId526" Type="http://schemas.openxmlformats.org/officeDocument/2006/relationships/oleObject" Target="embeddings/oleObject267.bin"/><Relationship Id="rId1156" Type="http://schemas.openxmlformats.org/officeDocument/2006/relationships/image" Target="media/image516.wmf"/><Relationship Id="rId1363" Type="http://schemas.openxmlformats.org/officeDocument/2006/relationships/image" Target="media/image643.wmf"/><Relationship Id="rId733" Type="http://schemas.openxmlformats.org/officeDocument/2006/relationships/oleObject" Target="embeddings/oleObject369.bin"/><Relationship Id="rId940" Type="http://schemas.openxmlformats.org/officeDocument/2006/relationships/oleObject" Target="embeddings/oleObject518.bin"/><Relationship Id="rId1016" Type="http://schemas.openxmlformats.org/officeDocument/2006/relationships/oleObject" Target="embeddings/oleObject562.bin"/><Relationship Id="rId165" Type="http://schemas.openxmlformats.org/officeDocument/2006/relationships/image" Target="media/image78.wmf"/><Relationship Id="rId372" Type="http://schemas.openxmlformats.org/officeDocument/2006/relationships/image" Target="media/image178.wmf"/><Relationship Id="rId677" Type="http://schemas.openxmlformats.org/officeDocument/2006/relationships/oleObject" Target="embeddings/oleObject341.bin"/><Relationship Id="rId800" Type="http://schemas.openxmlformats.org/officeDocument/2006/relationships/image" Target="media/image387.wmf"/><Relationship Id="rId1223" Type="http://schemas.openxmlformats.org/officeDocument/2006/relationships/image" Target="media/image552.png"/><Relationship Id="rId232" Type="http://schemas.openxmlformats.org/officeDocument/2006/relationships/oleObject" Target="embeddings/oleObject111.bin"/><Relationship Id="rId884" Type="http://schemas.openxmlformats.org/officeDocument/2006/relationships/oleObject" Target="embeddings/oleObject465.bin"/><Relationship Id="rId27" Type="http://schemas.openxmlformats.org/officeDocument/2006/relationships/image" Target="media/image8.wmf"/><Relationship Id="rId537" Type="http://schemas.openxmlformats.org/officeDocument/2006/relationships/image" Target="media/image265.wmf"/><Relationship Id="rId744" Type="http://schemas.openxmlformats.org/officeDocument/2006/relationships/image" Target="media/image369.wmf"/><Relationship Id="rId951" Type="http://schemas.openxmlformats.org/officeDocument/2006/relationships/oleObject" Target="embeddings/oleObject526.bin"/><Relationship Id="rId1167" Type="http://schemas.openxmlformats.org/officeDocument/2006/relationships/oleObject" Target="embeddings/oleObject619.bin"/><Relationship Id="rId1374" Type="http://schemas.openxmlformats.org/officeDocument/2006/relationships/oleObject" Target="embeddings/oleObject702.bin"/><Relationship Id="rId80" Type="http://schemas.openxmlformats.org/officeDocument/2006/relationships/oleObject" Target="embeddings/oleObject35.bin"/><Relationship Id="rId176" Type="http://schemas.openxmlformats.org/officeDocument/2006/relationships/oleObject" Target="embeddings/oleObject83.bin"/><Relationship Id="rId383" Type="http://schemas.openxmlformats.org/officeDocument/2006/relationships/image" Target="media/image183.wmf"/><Relationship Id="rId590" Type="http://schemas.openxmlformats.org/officeDocument/2006/relationships/oleObject" Target="embeddings/oleObject298.bin"/><Relationship Id="rId604" Type="http://schemas.openxmlformats.org/officeDocument/2006/relationships/oleObject" Target="embeddings/oleObject305.bin"/><Relationship Id="rId811" Type="http://schemas.openxmlformats.org/officeDocument/2006/relationships/oleObject" Target="embeddings/oleObject418.bin"/><Relationship Id="rId1027" Type="http://schemas.openxmlformats.org/officeDocument/2006/relationships/image" Target="media/image459.wmf"/><Relationship Id="rId1234" Type="http://schemas.openxmlformats.org/officeDocument/2006/relationships/image" Target="media/image563.png"/><Relationship Id="rId243" Type="http://schemas.openxmlformats.org/officeDocument/2006/relationships/image" Target="media/image116.wmf"/><Relationship Id="rId450" Type="http://schemas.openxmlformats.org/officeDocument/2006/relationships/image" Target="media/image216.wmf"/><Relationship Id="rId688" Type="http://schemas.openxmlformats.org/officeDocument/2006/relationships/image" Target="media/image341.wmf"/><Relationship Id="rId895" Type="http://schemas.openxmlformats.org/officeDocument/2006/relationships/oleObject" Target="embeddings/oleObject476.bin"/><Relationship Id="rId909" Type="http://schemas.openxmlformats.org/officeDocument/2006/relationships/oleObject" Target="embeddings/oleObject490.bin"/><Relationship Id="rId1080" Type="http://schemas.openxmlformats.org/officeDocument/2006/relationships/oleObject" Target="embeddings/oleObject581.bin"/><Relationship Id="rId1301" Type="http://schemas.openxmlformats.org/officeDocument/2006/relationships/image" Target="media/image598.wmf"/><Relationship Id="rId38" Type="http://schemas.openxmlformats.org/officeDocument/2006/relationships/oleObject" Target="embeddings/oleObject13.bin"/><Relationship Id="rId103" Type="http://schemas.openxmlformats.org/officeDocument/2006/relationships/image" Target="media/image47.wmf"/><Relationship Id="rId310" Type="http://schemas.openxmlformats.org/officeDocument/2006/relationships/image" Target="media/image149.wmf"/><Relationship Id="rId548" Type="http://schemas.openxmlformats.org/officeDocument/2006/relationships/image" Target="media/image272.wmf"/><Relationship Id="rId755" Type="http://schemas.openxmlformats.org/officeDocument/2006/relationships/oleObject" Target="embeddings/oleObject380.bin"/><Relationship Id="rId962" Type="http://schemas.openxmlformats.org/officeDocument/2006/relationships/oleObject" Target="embeddings/oleObject532.bin"/><Relationship Id="rId1178" Type="http://schemas.openxmlformats.org/officeDocument/2006/relationships/image" Target="media/image527.wmf"/><Relationship Id="rId1385" Type="http://schemas.openxmlformats.org/officeDocument/2006/relationships/oleObject" Target="embeddings/oleObject712.bin"/><Relationship Id="rId91" Type="http://schemas.openxmlformats.org/officeDocument/2006/relationships/image" Target="media/image41.wmf"/><Relationship Id="rId187" Type="http://schemas.openxmlformats.org/officeDocument/2006/relationships/image" Target="media/image89.wmf"/><Relationship Id="rId394" Type="http://schemas.openxmlformats.org/officeDocument/2006/relationships/oleObject" Target="embeddings/oleObject198.bin"/><Relationship Id="rId408" Type="http://schemas.openxmlformats.org/officeDocument/2006/relationships/oleObject" Target="embeddings/oleObject205.bin"/><Relationship Id="rId615" Type="http://schemas.openxmlformats.org/officeDocument/2006/relationships/image" Target="media/image306.wmf"/><Relationship Id="rId822" Type="http://schemas.openxmlformats.org/officeDocument/2006/relationships/image" Target="media/image398.wmf"/><Relationship Id="rId1038" Type="http://schemas.openxmlformats.org/officeDocument/2006/relationships/chart" Target="charts/chart2.xml"/><Relationship Id="rId1245" Type="http://schemas.openxmlformats.org/officeDocument/2006/relationships/image" Target="media/image574.wmf"/><Relationship Id="rId254" Type="http://schemas.openxmlformats.org/officeDocument/2006/relationships/oleObject" Target="embeddings/oleObject123.bin"/><Relationship Id="rId699" Type="http://schemas.openxmlformats.org/officeDocument/2006/relationships/oleObject" Target="embeddings/oleObject352.bin"/><Relationship Id="rId1091" Type="http://schemas.openxmlformats.org/officeDocument/2006/relationships/image" Target="media/image478.wmf"/><Relationship Id="rId1105" Type="http://schemas.openxmlformats.org/officeDocument/2006/relationships/image" Target="media/image487.png"/><Relationship Id="rId1312" Type="http://schemas.openxmlformats.org/officeDocument/2006/relationships/oleObject" Target="embeddings/oleObject682.bin"/><Relationship Id="rId49" Type="http://schemas.openxmlformats.org/officeDocument/2006/relationships/image" Target="media/image19.wmf"/><Relationship Id="rId114" Type="http://schemas.openxmlformats.org/officeDocument/2006/relationships/oleObject" Target="embeddings/oleObject52.bin"/><Relationship Id="rId461" Type="http://schemas.openxmlformats.org/officeDocument/2006/relationships/oleObject" Target="embeddings/oleObject231.bin"/><Relationship Id="rId559" Type="http://schemas.openxmlformats.org/officeDocument/2006/relationships/image" Target="media/image278.wmf"/><Relationship Id="rId766" Type="http://schemas.openxmlformats.org/officeDocument/2006/relationships/oleObject" Target="embeddings/oleObject388.bin"/><Relationship Id="rId1189" Type="http://schemas.openxmlformats.org/officeDocument/2006/relationships/oleObject" Target="embeddings/oleObject630.bin"/><Relationship Id="rId1396" Type="http://schemas.openxmlformats.org/officeDocument/2006/relationships/oleObject" Target="embeddings/oleObject720.bin"/><Relationship Id="rId198" Type="http://schemas.openxmlformats.org/officeDocument/2006/relationships/oleObject" Target="embeddings/oleObject94.bin"/><Relationship Id="rId321" Type="http://schemas.openxmlformats.org/officeDocument/2006/relationships/oleObject" Target="embeddings/oleObject159.bin"/><Relationship Id="rId419" Type="http://schemas.openxmlformats.org/officeDocument/2006/relationships/image" Target="media/image201.wmf"/><Relationship Id="rId626" Type="http://schemas.openxmlformats.org/officeDocument/2006/relationships/oleObject" Target="embeddings/oleObject316.bin"/><Relationship Id="rId973" Type="http://schemas.openxmlformats.org/officeDocument/2006/relationships/oleObject" Target="embeddings/oleObject538.bin"/><Relationship Id="rId1049" Type="http://schemas.openxmlformats.org/officeDocument/2006/relationships/chart" Target="charts/chart13.xml"/><Relationship Id="rId1256" Type="http://schemas.openxmlformats.org/officeDocument/2006/relationships/oleObject" Target="embeddings/oleObject647.bin"/><Relationship Id="rId833" Type="http://schemas.openxmlformats.org/officeDocument/2006/relationships/oleObject" Target="embeddings/oleObject429.bin"/><Relationship Id="rId1116" Type="http://schemas.openxmlformats.org/officeDocument/2006/relationships/image" Target="media/image498.wmf"/><Relationship Id="rId265" Type="http://schemas.openxmlformats.org/officeDocument/2006/relationships/oleObject" Target="embeddings/oleObject129.bin"/><Relationship Id="rId472" Type="http://schemas.openxmlformats.org/officeDocument/2006/relationships/image" Target="media/image227.wmf"/><Relationship Id="rId900" Type="http://schemas.openxmlformats.org/officeDocument/2006/relationships/oleObject" Target="embeddings/oleObject481.bin"/><Relationship Id="rId1323" Type="http://schemas.openxmlformats.org/officeDocument/2006/relationships/image" Target="media/image609.wmf"/><Relationship Id="rId125" Type="http://schemas.openxmlformats.org/officeDocument/2006/relationships/image" Target="media/image58.wmf"/><Relationship Id="rId332" Type="http://schemas.openxmlformats.org/officeDocument/2006/relationships/oleObject" Target="embeddings/oleObject165.bin"/><Relationship Id="rId777" Type="http://schemas.openxmlformats.org/officeDocument/2006/relationships/oleObject" Target="embeddings/oleObject399.bin"/><Relationship Id="rId984" Type="http://schemas.openxmlformats.org/officeDocument/2006/relationships/oleObject" Target="embeddings/oleObject545.bin"/><Relationship Id="rId637" Type="http://schemas.openxmlformats.org/officeDocument/2006/relationships/image" Target="media/image317.wmf"/><Relationship Id="rId844" Type="http://schemas.openxmlformats.org/officeDocument/2006/relationships/image" Target="media/image408.wmf"/><Relationship Id="rId1267" Type="http://schemas.openxmlformats.org/officeDocument/2006/relationships/oleObject" Target="embeddings/oleObject655.bin"/><Relationship Id="rId276" Type="http://schemas.openxmlformats.org/officeDocument/2006/relationships/oleObject" Target="embeddings/oleObject136.bin"/><Relationship Id="rId483" Type="http://schemas.openxmlformats.org/officeDocument/2006/relationships/image" Target="media/image237.wmf"/><Relationship Id="rId690" Type="http://schemas.openxmlformats.org/officeDocument/2006/relationships/image" Target="media/image342.wmf"/><Relationship Id="rId704" Type="http://schemas.openxmlformats.org/officeDocument/2006/relationships/image" Target="media/image349.wmf"/><Relationship Id="rId911" Type="http://schemas.openxmlformats.org/officeDocument/2006/relationships/oleObject" Target="embeddings/oleObject492.bin"/><Relationship Id="rId1127" Type="http://schemas.openxmlformats.org/officeDocument/2006/relationships/image" Target="media/image509.wmf"/><Relationship Id="rId1334" Type="http://schemas.openxmlformats.org/officeDocument/2006/relationships/oleObject" Target="embeddings/oleObject693.bin"/><Relationship Id="rId40" Type="http://schemas.openxmlformats.org/officeDocument/2006/relationships/oleObject" Target="embeddings/oleObject14.bin"/><Relationship Id="rId136" Type="http://schemas.openxmlformats.org/officeDocument/2006/relationships/oleObject" Target="embeddings/oleObject63.bin"/><Relationship Id="rId343" Type="http://schemas.openxmlformats.org/officeDocument/2006/relationships/oleObject" Target="embeddings/oleObject171.bin"/><Relationship Id="rId550" Type="http://schemas.openxmlformats.org/officeDocument/2006/relationships/image" Target="media/image273.png"/><Relationship Id="rId788" Type="http://schemas.openxmlformats.org/officeDocument/2006/relationships/image" Target="media/image381.wmf"/><Relationship Id="rId995" Type="http://schemas.openxmlformats.org/officeDocument/2006/relationships/image" Target="media/image444.wmf"/><Relationship Id="rId1180" Type="http://schemas.openxmlformats.org/officeDocument/2006/relationships/image" Target="media/image528.wmf"/><Relationship Id="rId1401" Type="http://schemas.openxmlformats.org/officeDocument/2006/relationships/image" Target="media/image652.wmf"/><Relationship Id="rId203" Type="http://schemas.openxmlformats.org/officeDocument/2006/relationships/image" Target="media/image97.wmf"/><Relationship Id="rId648" Type="http://schemas.openxmlformats.org/officeDocument/2006/relationships/oleObject" Target="embeddings/oleObject327.bin"/><Relationship Id="rId855" Type="http://schemas.openxmlformats.org/officeDocument/2006/relationships/image" Target="media/image411.wmf"/><Relationship Id="rId1040" Type="http://schemas.openxmlformats.org/officeDocument/2006/relationships/chart" Target="charts/chart4.xml"/><Relationship Id="rId1278" Type="http://schemas.openxmlformats.org/officeDocument/2006/relationships/oleObject" Target="embeddings/oleObject665.bin"/><Relationship Id="rId287" Type="http://schemas.openxmlformats.org/officeDocument/2006/relationships/image" Target="media/image138.wmf"/><Relationship Id="rId410" Type="http://schemas.openxmlformats.org/officeDocument/2006/relationships/oleObject" Target="embeddings/oleObject206.bin"/><Relationship Id="rId494" Type="http://schemas.openxmlformats.org/officeDocument/2006/relationships/oleObject" Target="embeddings/oleObject251.bin"/><Relationship Id="rId508" Type="http://schemas.openxmlformats.org/officeDocument/2006/relationships/oleObject" Target="embeddings/oleObject258.bin"/><Relationship Id="rId715" Type="http://schemas.openxmlformats.org/officeDocument/2006/relationships/oleObject" Target="embeddings/oleObject360.bin"/><Relationship Id="rId922" Type="http://schemas.openxmlformats.org/officeDocument/2006/relationships/oleObject" Target="embeddings/oleObject500.bin"/><Relationship Id="rId1138" Type="http://schemas.openxmlformats.org/officeDocument/2006/relationships/oleObject" Target="embeddings/oleObject599.bin"/><Relationship Id="rId1345" Type="http://schemas.openxmlformats.org/officeDocument/2006/relationships/image" Target="media/image625.wmf"/><Relationship Id="rId147" Type="http://schemas.openxmlformats.org/officeDocument/2006/relationships/image" Target="media/image69.wmf"/><Relationship Id="rId354" Type="http://schemas.openxmlformats.org/officeDocument/2006/relationships/oleObject" Target="embeddings/oleObject177.bin"/><Relationship Id="rId799" Type="http://schemas.openxmlformats.org/officeDocument/2006/relationships/oleObject" Target="embeddings/oleObject412.bin"/><Relationship Id="rId1191" Type="http://schemas.openxmlformats.org/officeDocument/2006/relationships/oleObject" Target="embeddings/oleObject631.bin"/><Relationship Id="rId1205" Type="http://schemas.openxmlformats.org/officeDocument/2006/relationships/oleObject" Target="embeddings/oleObject638.bin"/><Relationship Id="rId51" Type="http://schemas.openxmlformats.org/officeDocument/2006/relationships/image" Target="media/image20.wmf"/><Relationship Id="rId561" Type="http://schemas.openxmlformats.org/officeDocument/2006/relationships/image" Target="media/image279.wmf"/><Relationship Id="rId659" Type="http://schemas.openxmlformats.org/officeDocument/2006/relationships/oleObject" Target="embeddings/oleObject333.bin"/><Relationship Id="rId866" Type="http://schemas.openxmlformats.org/officeDocument/2006/relationships/oleObject" Target="embeddings/oleObject450.bin"/><Relationship Id="rId1289" Type="http://schemas.openxmlformats.org/officeDocument/2006/relationships/image" Target="media/image592.wmf"/><Relationship Id="rId214" Type="http://schemas.openxmlformats.org/officeDocument/2006/relationships/oleObject" Target="embeddings/oleObject102.bin"/><Relationship Id="rId298" Type="http://schemas.openxmlformats.org/officeDocument/2006/relationships/image" Target="media/image143.wmf"/><Relationship Id="rId421" Type="http://schemas.openxmlformats.org/officeDocument/2006/relationships/image" Target="media/image202.wmf"/><Relationship Id="rId519" Type="http://schemas.openxmlformats.org/officeDocument/2006/relationships/image" Target="media/image255.wmf"/><Relationship Id="rId1051" Type="http://schemas.openxmlformats.org/officeDocument/2006/relationships/chart" Target="charts/chart15.xml"/><Relationship Id="rId1149" Type="http://schemas.openxmlformats.org/officeDocument/2006/relationships/oleObject" Target="embeddings/oleObject610.bin"/><Relationship Id="rId1356" Type="http://schemas.openxmlformats.org/officeDocument/2006/relationships/image" Target="media/image636.wmf"/><Relationship Id="rId158" Type="http://schemas.openxmlformats.org/officeDocument/2006/relationships/oleObject" Target="embeddings/oleObject74.bin"/><Relationship Id="rId726" Type="http://schemas.openxmlformats.org/officeDocument/2006/relationships/image" Target="media/image360.wmf"/><Relationship Id="rId933" Type="http://schemas.openxmlformats.org/officeDocument/2006/relationships/oleObject" Target="embeddings/oleObject511.bin"/><Relationship Id="rId1009" Type="http://schemas.openxmlformats.org/officeDocument/2006/relationships/image" Target="media/image451.wmf"/><Relationship Id="rId62" Type="http://schemas.openxmlformats.org/officeDocument/2006/relationships/oleObject" Target="embeddings/oleObject26.bin"/><Relationship Id="rId365" Type="http://schemas.openxmlformats.org/officeDocument/2006/relationships/oleObject" Target="embeddings/oleObject183.bin"/><Relationship Id="rId572" Type="http://schemas.openxmlformats.org/officeDocument/2006/relationships/oleObject" Target="embeddings/oleObject289.bin"/><Relationship Id="rId1216" Type="http://schemas.openxmlformats.org/officeDocument/2006/relationships/image" Target="media/image546.wmf"/><Relationship Id="rId225" Type="http://schemas.openxmlformats.org/officeDocument/2006/relationships/image" Target="media/image108.wmf"/><Relationship Id="rId432" Type="http://schemas.openxmlformats.org/officeDocument/2006/relationships/oleObject" Target="embeddings/oleObject217.bin"/><Relationship Id="rId877" Type="http://schemas.openxmlformats.org/officeDocument/2006/relationships/oleObject" Target="embeddings/oleObject458.bin"/><Relationship Id="rId1062" Type="http://schemas.openxmlformats.org/officeDocument/2006/relationships/chart" Target="charts/chart26.xml"/><Relationship Id="rId737" Type="http://schemas.openxmlformats.org/officeDocument/2006/relationships/oleObject" Target="embeddings/oleObject371.bin"/><Relationship Id="rId944" Type="http://schemas.openxmlformats.org/officeDocument/2006/relationships/oleObject" Target="embeddings/oleObject522.bin"/><Relationship Id="rId1367" Type="http://schemas.openxmlformats.org/officeDocument/2006/relationships/image" Target="media/image645.wmf"/><Relationship Id="rId73" Type="http://schemas.openxmlformats.org/officeDocument/2006/relationships/image" Target="media/image32.wmf"/><Relationship Id="rId169" Type="http://schemas.openxmlformats.org/officeDocument/2006/relationships/image" Target="media/image80.wmf"/><Relationship Id="rId376" Type="http://schemas.openxmlformats.org/officeDocument/2006/relationships/oleObject" Target="embeddings/oleObject189.bin"/><Relationship Id="rId583" Type="http://schemas.openxmlformats.org/officeDocument/2006/relationships/image" Target="media/image290.wmf"/><Relationship Id="rId790" Type="http://schemas.openxmlformats.org/officeDocument/2006/relationships/image" Target="media/image382.wmf"/><Relationship Id="rId804" Type="http://schemas.openxmlformats.org/officeDocument/2006/relationships/image" Target="media/image389.wmf"/><Relationship Id="rId1227" Type="http://schemas.openxmlformats.org/officeDocument/2006/relationships/image" Target="media/image556.wmf"/><Relationship Id="rId4" Type="http://schemas.openxmlformats.org/officeDocument/2006/relationships/settings" Target="settings.xml"/><Relationship Id="rId236" Type="http://schemas.openxmlformats.org/officeDocument/2006/relationships/oleObject" Target="embeddings/oleObject113.bin"/><Relationship Id="rId443" Type="http://schemas.openxmlformats.org/officeDocument/2006/relationships/oleObject" Target="embeddings/oleObject223.bin"/><Relationship Id="rId650" Type="http://schemas.openxmlformats.org/officeDocument/2006/relationships/oleObject" Target="embeddings/oleObject328.bin"/><Relationship Id="rId888" Type="http://schemas.openxmlformats.org/officeDocument/2006/relationships/oleObject" Target="embeddings/oleObject469.bin"/><Relationship Id="rId1073" Type="http://schemas.openxmlformats.org/officeDocument/2006/relationships/image" Target="media/image469.wmf"/><Relationship Id="rId1280" Type="http://schemas.openxmlformats.org/officeDocument/2006/relationships/oleObject" Target="embeddings/oleObject666.bin"/><Relationship Id="rId303" Type="http://schemas.openxmlformats.org/officeDocument/2006/relationships/oleObject" Target="embeddings/oleObject150.bin"/><Relationship Id="rId748" Type="http://schemas.openxmlformats.org/officeDocument/2006/relationships/image" Target="media/image371.wmf"/><Relationship Id="rId955" Type="http://schemas.openxmlformats.org/officeDocument/2006/relationships/oleObject" Target="embeddings/oleObject528.bin"/><Relationship Id="rId1140" Type="http://schemas.openxmlformats.org/officeDocument/2006/relationships/oleObject" Target="embeddings/oleObject601.bin"/><Relationship Id="rId1378" Type="http://schemas.openxmlformats.org/officeDocument/2006/relationships/oleObject" Target="embeddings/oleObject705.bin"/><Relationship Id="rId84" Type="http://schemas.openxmlformats.org/officeDocument/2006/relationships/oleObject" Target="embeddings/oleObject37.bin"/><Relationship Id="rId387" Type="http://schemas.openxmlformats.org/officeDocument/2006/relationships/image" Target="media/image185.wmf"/><Relationship Id="rId510" Type="http://schemas.openxmlformats.org/officeDocument/2006/relationships/oleObject" Target="embeddings/oleObject259.bin"/><Relationship Id="rId594" Type="http://schemas.openxmlformats.org/officeDocument/2006/relationships/oleObject" Target="embeddings/oleObject300.bin"/><Relationship Id="rId608" Type="http://schemas.openxmlformats.org/officeDocument/2006/relationships/oleObject" Target="embeddings/oleObject307.bin"/><Relationship Id="rId815" Type="http://schemas.openxmlformats.org/officeDocument/2006/relationships/oleObject" Target="embeddings/oleObject420.bin"/><Relationship Id="rId1238" Type="http://schemas.openxmlformats.org/officeDocument/2006/relationships/image" Target="media/image567.wmf"/><Relationship Id="rId247" Type="http://schemas.openxmlformats.org/officeDocument/2006/relationships/image" Target="media/image118.wmf"/><Relationship Id="rId899" Type="http://schemas.openxmlformats.org/officeDocument/2006/relationships/oleObject" Target="embeddings/oleObject480.bin"/><Relationship Id="rId1000" Type="http://schemas.openxmlformats.org/officeDocument/2006/relationships/oleObject" Target="embeddings/oleObject553.bin"/><Relationship Id="rId1084" Type="http://schemas.openxmlformats.org/officeDocument/2006/relationships/oleObject" Target="embeddings/oleObject583.bin"/><Relationship Id="rId1305" Type="http://schemas.openxmlformats.org/officeDocument/2006/relationships/image" Target="media/image600.wmf"/><Relationship Id="rId107" Type="http://schemas.openxmlformats.org/officeDocument/2006/relationships/image" Target="media/image49.wmf"/><Relationship Id="rId454" Type="http://schemas.openxmlformats.org/officeDocument/2006/relationships/image" Target="media/image218.png"/><Relationship Id="rId661" Type="http://schemas.openxmlformats.org/officeDocument/2006/relationships/hyperlink" Target="http://www.cbpp.org/3-13-08sfp.htm" TargetMode="External"/><Relationship Id="rId759" Type="http://schemas.openxmlformats.org/officeDocument/2006/relationships/oleObject" Target="embeddings/oleObject382.bin"/><Relationship Id="rId966" Type="http://schemas.openxmlformats.org/officeDocument/2006/relationships/oleObject" Target="embeddings/oleObject534.bin"/><Relationship Id="rId1291" Type="http://schemas.openxmlformats.org/officeDocument/2006/relationships/image" Target="media/image593.wmf"/><Relationship Id="rId1389" Type="http://schemas.openxmlformats.org/officeDocument/2006/relationships/oleObject" Target="embeddings/oleObject716.bin"/><Relationship Id="rId11" Type="http://schemas.openxmlformats.org/officeDocument/2006/relationships/footer" Target="footer2.xml"/><Relationship Id="rId314" Type="http://schemas.openxmlformats.org/officeDocument/2006/relationships/image" Target="media/image151.wmf"/><Relationship Id="rId398" Type="http://schemas.openxmlformats.org/officeDocument/2006/relationships/oleObject" Target="embeddings/oleObject200.bin"/><Relationship Id="rId521" Type="http://schemas.openxmlformats.org/officeDocument/2006/relationships/image" Target="media/image256.wmf"/><Relationship Id="rId619" Type="http://schemas.openxmlformats.org/officeDocument/2006/relationships/image" Target="media/image308.wmf"/><Relationship Id="rId1151" Type="http://schemas.openxmlformats.org/officeDocument/2006/relationships/oleObject" Target="embeddings/oleObject611.bin"/><Relationship Id="rId1249" Type="http://schemas.openxmlformats.org/officeDocument/2006/relationships/image" Target="media/image578.wmf"/><Relationship Id="rId95" Type="http://schemas.openxmlformats.org/officeDocument/2006/relationships/image" Target="media/image43.wmf"/><Relationship Id="rId160" Type="http://schemas.openxmlformats.org/officeDocument/2006/relationships/oleObject" Target="embeddings/oleObject75.bin"/><Relationship Id="rId826" Type="http://schemas.openxmlformats.org/officeDocument/2006/relationships/image" Target="media/image400.wmf"/><Relationship Id="rId1011" Type="http://schemas.openxmlformats.org/officeDocument/2006/relationships/image" Target="media/image452.wmf"/><Relationship Id="rId1109" Type="http://schemas.openxmlformats.org/officeDocument/2006/relationships/image" Target="media/image491.wmf"/><Relationship Id="rId258" Type="http://schemas.openxmlformats.org/officeDocument/2006/relationships/image" Target="media/image123.wmf"/><Relationship Id="rId465" Type="http://schemas.openxmlformats.org/officeDocument/2006/relationships/image" Target="media/image224.wmf"/><Relationship Id="rId672" Type="http://schemas.openxmlformats.org/officeDocument/2006/relationships/image" Target="media/image333.wmf"/><Relationship Id="rId1095" Type="http://schemas.openxmlformats.org/officeDocument/2006/relationships/image" Target="media/image480.wmf"/><Relationship Id="rId1316" Type="http://schemas.openxmlformats.org/officeDocument/2006/relationships/oleObject" Target="embeddings/oleObject684.bin"/><Relationship Id="rId22" Type="http://schemas.openxmlformats.org/officeDocument/2006/relationships/oleObject" Target="embeddings/oleObject5.bin"/><Relationship Id="rId118" Type="http://schemas.openxmlformats.org/officeDocument/2006/relationships/oleObject" Target="embeddings/oleObject54.bin"/><Relationship Id="rId325" Type="http://schemas.openxmlformats.org/officeDocument/2006/relationships/oleObject" Target="embeddings/oleObject161.bin"/><Relationship Id="rId532" Type="http://schemas.openxmlformats.org/officeDocument/2006/relationships/image" Target="media/image262.wmf"/><Relationship Id="rId977" Type="http://schemas.openxmlformats.org/officeDocument/2006/relationships/oleObject" Target="embeddings/oleObject541.bin"/><Relationship Id="rId1162" Type="http://schemas.openxmlformats.org/officeDocument/2006/relationships/image" Target="media/image519.wmf"/><Relationship Id="rId171" Type="http://schemas.openxmlformats.org/officeDocument/2006/relationships/image" Target="media/image81.wmf"/><Relationship Id="rId837" Type="http://schemas.openxmlformats.org/officeDocument/2006/relationships/oleObject" Target="embeddings/oleObject431.bin"/><Relationship Id="rId1022" Type="http://schemas.openxmlformats.org/officeDocument/2006/relationships/oleObject" Target="embeddings/oleObject565.bin"/><Relationship Id="rId269" Type="http://schemas.openxmlformats.org/officeDocument/2006/relationships/oleObject" Target="embeddings/oleObject132.bin"/><Relationship Id="rId476" Type="http://schemas.openxmlformats.org/officeDocument/2006/relationships/image" Target="media/image233.wmf"/><Relationship Id="rId683" Type="http://schemas.openxmlformats.org/officeDocument/2006/relationships/oleObject" Target="embeddings/oleObject344.bin"/><Relationship Id="rId890" Type="http://schemas.openxmlformats.org/officeDocument/2006/relationships/oleObject" Target="embeddings/oleObject471.bin"/><Relationship Id="rId904" Type="http://schemas.openxmlformats.org/officeDocument/2006/relationships/oleObject" Target="embeddings/oleObject485.bin"/><Relationship Id="rId1327" Type="http://schemas.openxmlformats.org/officeDocument/2006/relationships/image" Target="media/image611.wmf"/><Relationship Id="rId33" Type="http://schemas.openxmlformats.org/officeDocument/2006/relationships/image" Target="media/image11.wmf"/><Relationship Id="rId129" Type="http://schemas.openxmlformats.org/officeDocument/2006/relationships/image" Target="media/image60.wmf"/><Relationship Id="rId336" Type="http://schemas.openxmlformats.org/officeDocument/2006/relationships/image" Target="media/image161.wmf"/><Relationship Id="rId543" Type="http://schemas.openxmlformats.org/officeDocument/2006/relationships/image" Target="media/image269.wmf"/><Relationship Id="rId988" Type="http://schemas.openxmlformats.org/officeDocument/2006/relationships/oleObject" Target="embeddings/oleObject547.bin"/><Relationship Id="rId1173" Type="http://schemas.openxmlformats.org/officeDocument/2006/relationships/oleObject" Target="embeddings/oleObject622.bin"/><Relationship Id="rId1380" Type="http://schemas.openxmlformats.org/officeDocument/2006/relationships/oleObject" Target="embeddings/oleObject707.bin"/><Relationship Id="rId182" Type="http://schemas.openxmlformats.org/officeDocument/2006/relationships/oleObject" Target="embeddings/oleObject86.bin"/><Relationship Id="rId403" Type="http://schemas.openxmlformats.org/officeDocument/2006/relationships/image" Target="media/image193.wmf"/><Relationship Id="rId750" Type="http://schemas.openxmlformats.org/officeDocument/2006/relationships/image" Target="media/image372.wmf"/><Relationship Id="rId848" Type="http://schemas.openxmlformats.org/officeDocument/2006/relationships/image" Target="media/image409.wmf"/><Relationship Id="rId1033" Type="http://schemas.openxmlformats.org/officeDocument/2006/relationships/image" Target="media/image462.wmf"/><Relationship Id="rId487" Type="http://schemas.openxmlformats.org/officeDocument/2006/relationships/image" Target="media/image239.wmf"/><Relationship Id="rId610" Type="http://schemas.openxmlformats.org/officeDocument/2006/relationships/oleObject" Target="embeddings/oleObject308.bin"/><Relationship Id="rId694" Type="http://schemas.openxmlformats.org/officeDocument/2006/relationships/image" Target="media/image344.wmf"/><Relationship Id="rId708" Type="http://schemas.openxmlformats.org/officeDocument/2006/relationships/image" Target="media/image351.wmf"/><Relationship Id="rId915" Type="http://schemas.openxmlformats.org/officeDocument/2006/relationships/oleObject" Target="embeddings/oleObject496.bin"/><Relationship Id="rId1240" Type="http://schemas.openxmlformats.org/officeDocument/2006/relationships/image" Target="media/image569.wmf"/><Relationship Id="rId1338" Type="http://schemas.openxmlformats.org/officeDocument/2006/relationships/image" Target="media/image618.wmf"/><Relationship Id="rId347" Type="http://schemas.openxmlformats.org/officeDocument/2006/relationships/oleObject" Target="embeddings/oleObject173.bin"/><Relationship Id="rId999" Type="http://schemas.openxmlformats.org/officeDocument/2006/relationships/image" Target="media/image446.wmf"/><Relationship Id="rId1100" Type="http://schemas.openxmlformats.org/officeDocument/2006/relationships/oleObject" Target="embeddings/oleObject591.bin"/><Relationship Id="rId1184" Type="http://schemas.openxmlformats.org/officeDocument/2006/relationships/image" Target="media/image530.wmf"/><Relationship Id="rId1405" Type="http://schemas.openxmlformats.org/officeDocument/2006/relationships/footer" Target="footer4.xml"/><Relationship Id="rId44" Type="http://schemas.openxmlformats.org/officeDocument/2006/relationships/oleObject" Target="embeddings/oleObject16.bin"/><Relationship Id="rId554" Type="http://schemas.openxmlformats.org/officeDocument/2006/relationships/oleObject" Target="embeddings/oleObject280.bin"/><Relationship Id="rId761" Type="http://schemas.openxmlformats.org/officeDocument/2006/relationships/oleObject" Target="embeddings/oleObject383.bin"/><Relationship Id="rId859" Type="http://schemas.openxmlformats.org/officeDocument/2006/relationships/image" Target="media/image413.wmf"/><Relationship Id="rId1391" Type="http://schemas.openxmlformats.org/officeDocument/2006/relationships/oleObject" Target="embeddings/oleObject717.bin"/><Relationship Id="rId193" Type="http://schemas.openxmlformats.org/officeDocument/2006/relationships/image" Target="media/image92.wmf"/><Relationship Id="rId207" Type="http://schemas.openxmlformats.org/officeDocument/2006/relationships/image" Target="media/image99.wmf"/><Relationship Id="rId414" Type="http://schemas.openxmlformats.org/officeDocument/2006/relationships/oleObject" Target="embeddings/oleObject208.bin"/><Relationship Id="rId498" Type="http://schemas.openxmlformats.org/officeDocument/2006/relationships/oleObject" Target="embeddings/oleObject253.bin"/><Relationship Id="rId621" Type="http://schemas.openxmlformats.org/officeDocument/2006/relationships/image" Target="media/image309.wmf"/><Relationship Id="rId1044" Type="http://schemas.openxmlformats.org/officeDocument/2006/relationships/chart" Target="charts/chart8.xml"/><Relationship Id="rId1251" Type="http://schemas.openxmlformats.org/officeDocument/2006/relationships/image" Target="media/image580.wmf"/><Relationship Id="rId1349" Type="http://schemas.openxmlformats.org/officeDocument/2006/relationships/image" Target="media/image629.wmf"/><Relationship Id="rId260" Type="http://schemas.openxmlformats.org/officeDocument/2006/relationships/image" Target="media/image124.wmf"/><Relationship Id="rId719" Type="http://schemas.openxmlformats.org/officeDocument/2006/relationships/oleObject" Target="embeddings/oleObject362.bin"/><Relationship Id="rId926" Type="http://schemas.openxmlformats.org/officeDocument/2006/relationships/oleObject" Target="embeddings/oleObject504.bin"/><Relationship Id="rId1111" Type="http://schemas.openxmlformats.org/officeDocument/2006/relationships/image" Target="media/image493.png"/><Relationship Id="rId55" Type="http://schemas.openxmlformats.org/officeDocument/2006/relationships/image" Target="media/image22.wmf"/><Relationship Id="rId120" Type="http://schemas.openxmlformats.org/officeDocument/2006/relationships/oleObject" Target="embeddings/oleObject55.bin"/><Relationship Id="rId358" Type="http://schemas.openxmlformats.org/officeDocument/2006/relationships/oleObject" Target="embeddings/oleObject179.bin"/><Relationship Id="rId565" Type="http://schemas.openxmlformats.org/officeDocument/2006/relationships/image" Target="media/image281.wmf"/><Relationship Id="rId772" Type="http://schemas.openxmlformats.org/officeDocument/2006/relationships/oleObject" Target="embeddings/oleObject394.bin"/><Relationship Id="rId1195" Type="http://schemas.openxmlformats.org/officeDocument/2006/relationships/oleObject" Target="embeddings/oleObject633.bin"/><Relationship Id="rId1209" Type="http://schemas.openxmlformats.org/officeDocument/2006/relationships/oleObject" Target="embeddings/oleObject640.bin"/><Relationship Id="rId218" Type="http://schemas.openxmlformats.org/officeDocument/2006/relationships/oleObject" Target="embeddings/oleObject104.bin"/><Relationship Id="rId425" Type="http://schemas.openxmlformats.org/officeDocument/2006/relationships/image" Target="media/image204.wmf"/><Relationship Id="rId632" Type="http://schemas.openxmlformats.org/officeDocument/2006/relationships/oleObject" Target="embeddings/oleObject319.bin"/><Relationship Id="rId1055" Type="http://schemas.openxmlformats.org/officeDocument/2006/relationships/chart" Target="charts/chart19.xml"/><Relationship Id="rId1262" Type="http://schemas.openxmlformats.org/officeDocument/2006/relationships/oleObject" Target="embeddings/oleObject650.bin"/><Relationship Id="rId271" Type="http://schemas.openxmlformats.org/officeDocument/2006/relationships/image" Target="media/image130.wmf"/><Relationship Id="rId937" Type="http://schemas.openxmlformats.org/officeDocument/2006/relationships/oleObject" Target="embeddings/oleObject515.bin"/><Relationship Id="rId1122" Type="http://schemas.openxmlformats.org/officeDocument/2006/relationships/image" Target="media/image504.wmf"/><Relationship Id="rId66" Type="http://schemas.openxmlformats.org/officeDocument/2006/relationships/oleObject" Target="embeddings/oleObject28.bin"/><Relationship Id="rId131" Type="http://schemas.openxmlformats.org/officeDocument/2006/relationships/image" Target="media/image61.wmf"/><Relationship Id="rId369" Type="http://schemas.openxmlformats.org/officeDocument/2006/relationships/oleObject" Target="embeddings/oleObject185.bin"/><Relationship Id="rId576" Type="http://schemas.openxmlformats.org/officeDocument/2006/relationships/oleObject" Target="embeddings/oleObject291.bin"/><Relationship Id="rId783" Type="http://schemas.openxmlformats.org/officeDocument/2006/relationships/oleObject" Target="embeddings/oleObject404.bin"/><Relationship Id="rId990" Type="http://schemas.openxmlformats.org/officeDocument/2006/relationships/oleObject" Target="embeddings/oleObject548.bin"/><Relationship Id="rId229" Type="http://schemas.openxmlformats.org/officeDocument/2006/relationships/image" Target="media/image110.wmf"/><Relationship Id="rId436" Type="http://schemas.openxmlformats.org/officeDocument/2006/relationships/oleObject" Target="embeddings/oleObject219.bin"/><Relationship Id="rId643" Type="http://schemas.openxmlformats.org/officeDocument/2006/relationships/image" Target="media/image320.wmf"/><Relationship Id="rId1066" Type="http://schemas.openxmlformats.org/officeDocument/2006/relationships/oleObject" Target="embeddings/oleObject574.bin"/><Relationship Id="rId1273" Type="http://schemas.openxmlformats.org/officeDocument/2006/relationships/oleObject" Target="embeddings/oleObject661.bin"/><Relationship Id="rId850" Type="http://schemas.openxmlformats.org/officeDocument/2006/relationships/oleObject" Target="embeddings/oleObject440.bin"/><Relationship Id="rId948" Type="http://schemas.openxmlformats.org/officeDocument/2006/relationships/oleObject" Target="embeddings/oleObject524.bin"/><Relationship Id="rId1133" Type="http://schemas.openxmlformats.org/officeDocument/2006/relationships/oleObject" Target="embeddings/oleObject594.bin"/><Relationship Id="rId77" Type="http://schemas.openxmlformats.org/officeDocument/2006/relationships/image" Target="media/image34.wmf"/><Relationship Id="rId282" Type="http://schemas.openxmlformats.org/officeDocument/2006/relationships/oleObject" Target="embeddings/oleObject139.bin"/><Relationship Id="rId503" Type="http://schemas.openxmlformats.org/officeDocument/2006/relationships/image" Target="media/image247.wmf"/><Relationship Id="rId587" Type="http://schemas.openxmlformats.org/officeDocument/2006/relationships/image" Target="media/image292.wmf"/><Relationship Id="rId710" Type="http://schemas.openxmlformats.org/officeDocument/2006/relationships/image" Target="media/image352.wmf"/><Relationship Id="rId808" Type="http://schemas.openxmlformats.org/officeDocument/2006/relationships/image" Target="media/image391.wmf"/><Relationship Id="rId1340" Type="http://schemas.openxmlformats.org/officeDocument/2006/relationships/image" Target="media/image620.wmf"/><Relationship Id="rId8" Type="http://schemas.openxmlformats.org/officeDocument/2006/relationships/header" Target="header1.xml"/><Relationship Id="rId142" Type="http://schemas.openxmlformats.org/officeDocument/2006/relationships/oleObject" Target="embeddings/oleObject66.bin"/><Relationship Id="rId447" Type="http://schemas.openxmlformats.org/officeDocument/2006/relationships/oleObject" Target="embeddings/oleObject225.bin"/><Relationship Id="rId794" Type="http://schemas.openxmlformats.org/officeDocument/2006/relationships/image" Target="media/image384.wmf"/><Relationship Id="rId1077" Type="http://schemas.openxmlformats.org/officeDocument/2006/relationships/image" Target="media/image471.wmf"/><Relationship Id="rId1200" Type="http://schemas.openxmlformats.org/officeDocument/2006/relationships/image" Target="media/image538.wmf"/><Relationship Id="rId654" Type="http://schemas.openxmlformats.org/officeDocument/2006/relationships/oleObject" Target="embeddings/oleObject330.bin"/><Relationship Id="rId861" Type="http://schemas.openxmlformats.org/officeDocument/2006/relationships/image" Target="media/image414.wmf"/><Relationship Id="rId959" Type="http://schemas.openxmlformats.org/officeDocument/2006/relationships/image" Target="media/image428.wmf"/><Relationship Id="rId1284" Type="http://schemas.openxmlformats.org/officeDocument/2006/relationships/oleObject" Target="embeddings/oleObject668.bin"/><Relationship Id="rId293" Type="http://schemas.openxmlformats.org/officeDocument/2006/relationships/oleObject" Target="embeddings/oleObject145.bin"/><Relationship Id="rId307" Type="http://schemas.openxmlformats.org/officeDocument/2006/relationships/oleObject" Target="embeddings/oleObject152.bin"/><Relationship Id="rId514" Type="http://schemas.openxmlformats.org/officeDocument/2006/relationships/oleObject" Target="embeddings/oleObject261.bin"/><Relationship Id="rId721" Type="http://schemas.openxmlformats.org/officeDocument/2006/relationships/oleObject" Target="embeddings/oleObject363.bin"/><Relationship Id="rId1144" Type="http://schemas.openxmlformats.org/officeDocument/2006/relationships/oleObject" Target="embeddings/oleObject605.bin"/><Relationship Id="rId1351" Type="http://schemas.openxmlformats.org/officeDocument/2006/relationships/image" Target="media/image631.wmf"/><Relationship Id="rId88" Type="http://schemas.openxmlformats.org/officeDocument/2006/relationships/oleObject" Target="embeddings/oleObject39.bin"/><Relationship Id="rId153" Type="http://schemas.openxmlformats.org/officeDocument/2006/relationships/image" Target="media/image72.wmf"/><Relationship Id="rId360" Type="http://schemas.openxmlformats.org/officeDocument/2006/relationships/oleObject" Target="embeddings/oleObject180.bin"/><Relationship Id="rId598" Type="http://schemas.openxmlformats.org/officeDocument/2006/relationships/oleObject" Target="embeddings/oleObject302.bin"/><Relationship Id="rId819" Type="http://schemas.openxmlformats.org/officeDocument/2006/relationships/oleObject" Target="embeddings/oleObject422.bin"/><Relationship Id="rId1004" Type="http://schemas.openxmlformats.org/officeDocument/2006/relationships/oleObject" Target="embeddings/oleObject555.bin"/><Relationship Id="rId1211" Type="http://schemas.openxmlformats.org/officeDocument/2006/relationships/oleObject" Target="embeddings/oleObject641.bin"/><Relationship Id="rId220" Type="http://schemas.openxmlformats.org/officeDocument/2006/relationships/oleObject" Target="embeddings/oleObject105.bin"/><Relationship Id="rId458" Type="http://schemas.openxmlformats.org/officeDocument/2006/relationships/image" Target="media/image221.wmf"/><Relationship Id="rId665" Type="http://schemas.openxmlformats.org/officeDocument/2006/relationships/oleObject" Target="embeddings/oleObject335.bin"/><Relationship Id="rId872" Type="http://schemas.openxmlformats.org/officeDocument/2006/relationships/oleObject" Target="embeddings/oleObject454.bin"/><Relationship Id="rId1088" Type="http://schemas.openxmlformats.org/officeDocument/2006/relationships/oleObject" Target="embeddings/oleObject585.bin"/><Relationship Id="rId1295" Type="http://schemas.openxmlformats.org/officeDocument/2006/relationships/image" Target="media/image595.wmf"/><Relationship Id="rId1309" Type="http://schemas.openxmlformats.org/officeDocument/2006/relationships/image" Target="media/image602.wmf"/><Relationship Id="rId15" Type="http://schemas.openxmlformats.org/officeDocument/2006/relationships/image" Target="media/image2.wmf"/><Relationship Id="rId318" Type="http://schemas.openxmlformats.org/officeDocument/2006/relationships/image" Target="media/image153.wmf"/><Relationship Id="rId525" Type="http://schemas.openxmlformats.org/officeDocument/2006/relationships/image" Target="media/image258.wmf"/><Relationship Id="rId732" Type="http://schemas.openxmlformats.org/officeDocument/2006/relationships/image" Target="media/image363.wmf"/><Relationship Id="rId1155" Type="http://schemas.openxmlformats.org/officeDocument/2006/relationships/oleObject" Target="embeddings/oleObject613.bin"/><Relationship Id="rId1362" Type="http://schemas.openxmlformats.org/officeDocument/2006/relationships/image" Target="media/image642.png"/><Relationship Id="rId99" Type="http://schemas.openxmlformats.org/officeDocument/2006/relationships/image" Target="media/image45.wmf"/><Relationship Id="rId164" Type="http://schemas.openxmlformats.org/officeDocument/2006/relationships/oleObject" Target="embeddings/oleObject77.bin"/><Relationship Id="rId371" Type="http://schemas.openxmlformats.org/officeDocument/2006/relationships/oleObject" Target="embeddings/oleObject186.bin"/><Relationship Id="rId1015" Type="http://schemas.openxmlformats.org/officeDocument/2006/relationships/image" Target="media/image453.wmf"/><Relationship Id="rId1222" Type="http://schemas.openxmlformats.org/officeDocument/2006/relationships/image" Target="media/image551.png"/><Relationship Id="rId469" Type="http://schemas.openxmlformats.org/officeDocument/2006/relationships/oleObject" Target="embeddings/oleObject236.bin"/><Relationship Id="rId676" Type="http://schemas.openxmlformats.org/officeDocument/2006/relationships/image" Target="media/image335.wmf"/><Relationship Id="rId883" Type="http://schemas.openxmlformats.org/officeDocument/2006/relationships/oleObject" Target="embeddings/oleObject464.bin"/><Relationship Id="rId1099" Type="http://schemas.openxmlformats.org/officeDocument/2006/relationships/image" Target="media/image482.wmf"/><Relationship Id="rId26" Type="http://schemas.openxmlformats.org/officeDocument/2006/relationships/oleObject" Target="embeddings/oleObject7.bin"/><Relationship Id="rId231" Type="http://schemas.openxmlformats.org/officeDocument/2006/relationships/image" Target="media/image111.wmf"/><Relationship Id="rId329" Type="http://schemas.openxmlformats.org/officeDocument/2006/relationships/oleObject" Target="embeddings/oleObject163.bin"/><Relationship Id="rId536" Type="http://schemas.openxmlformats.org/officeDocument/2006/relationships/oleObject" Target="embeddings/oleObject271.bin"/><Relationship Id="rId1166" Type="http://schemas.openxmlformats.org/officeDocument/2006/relationships/image" Target="media/image521.wmf"/><Relationship Id="rId1373" Type="http://schemas.openxmlformats.org/officeDocument/2006/relationships/oleObject" Target="embeddings/oleObject701.bin"/><Relationship Id="rId175" Type="http://schemas.openxmlformats.org/officeDocument/2006/relationships/image" Target="media/image83.wmf"/><Relationship Id="rId743" Type="http://schemas.openxmlformats.org/officeDocument/2006/relationships/oleObject" Target="embeddings/oleObject374.bin"/><Relationship Id="rId950" Type="http://schemas.openxmlformats.org/officeDocument/2006/relationships/image" Target="media/image424.wmf"/><Relationship Id="rId1026" Type="http://schemas.openxmlformats.org/officeDocument/2006/relationships/oleObject" Target="embeddings/oleObject567.bin"/><Relationship Id="rId382" Type="http://schemas.openxmlformats.org/officeDocument/2006/relationships/oleObject" Target="embeddings/oleObject192.bin"/><Relationship Id="rId603" Type="http://schemas.openxmlformats.org/officeDocument/2006/relationships/image" Target="media/image300.wmf"/><Relationship Id="rId687" Type="http://schemas.openxmlformats.org/officeDocument/2006/relationships/oleObject" Target="embeddings/oleObject346.bin"/><Relationship Id="rId810" Type="http://schemas.openxmlformats.org/officeDocument/2006/relationships/image" Target="media/image392.wmf"/><Relationship Id="rId908" Type="http://schemas.openxmlformats.org/officeDocument/2006/relationships/oleObject" Target="embeddings/oleObject489.bin"/><Relationship Id="rId1233" Type="http://schemas.openxmlformats.org/officeDocument/2006/relationships/image" Target="media/image562.png"/><Relationship Id="rId242" Type="http://schemas.openxmlformats.org/officeDocument/2006/relationships/oleObject" Target="embeddings/oleObject117.bin"/><Relationship Id="rId894" Type="http://schemas.openxmlformats.org/officeDocument/2006/relationships/oleObject" Target="embeddings/oleObject475.bin"/><Relationship Id="rId1177" Type="http://schemas.openxmlformats.org/officeDocument/2006/relationships/oleObject" Target="embeddings/oleObject624.bin"/><Relationship Id="rId1300" Type="http://schemas.openxmlformats.org/officeDocument/2006/relationships/oleObject" Target="embeddings/oleObject676.bin"/><Relationship Id="rId37" Type="http://schemas.openxmlformats.org/officeDocument/2006/relationships/image" Target="media/image13.wmf"/><Relationship Id="rId102" Type="http://schemas.openxmlformats.org/officeDocument/2006/relationships/oleObject" Target="embeddings/oleObject46.bin"/><Relationship Id="rId547" Type="http://schemas.openxmlformats.org/officeDocument/2006/relationships/oleObject" Target="embeddings/oleObject277.bin"/><Relationship Id="rId754" Type="http://schemas.openxmlformats.org/officeDocument/2006/relationships/image" Target="media/image374.wmf"/><Relationship Id="rId961" Type="http://schemas.openxmlformats.org/officeDocument/2006/relationships/image" Target="media/image429.wmf"/><Relationship Id="rId1384" Type="http://schemas.openxmlformats.org/officeDocument/2006/relationships/oleObject" Target="embeddings/oleObject711.bin"/><Relationship Id="rId90" Type="http://schemas.openxmlformats.org/officeDocument/2006/relationships/oleObject" Target="embeddings/oleObject40.bin"/><Relationship Id="rId186" Type="http://schemas.openxmlformats.org/officeDocument/2006/relationships/oleObject" Target="embeddings/oleObject88.bin"/><Relationship Id="rId393" Type="http://schemas.openxmlformats.org/officeDocument/2006/relationships/image" Target="media/image188.wmf"/><Relationship Id="rId407" Type="http://schemas.openxmlformats.org/officeDocument/2006/relationships/image" Target="media/image195.wmf"/><Relationship Id="rId614" Type="http://schemas.openxmlformats.org/officeDocument/2006/relationships/oleObject" Target="embeddings/oleObject310.bin"/><Relationship Id="rId821" Type="http://schemas.openxmlformats.org/officeDocument/2006/relationships/oleObject" Target="embeddings/oleObject423.bin"/><Relationship Id="rId1037" Type="http://schemas.openxmlformats.org/officeDocument/2006/relationships/chart" Target="charts/chart1.xml"/><Relationship Id="rId1244" Type="http://schemas.openxmlformats.org/officeDocument/2006/relationships/image" Target="media/image573.wmf"/><Relationship Id="rId253" Type="http://schemas.openxmlformats.org/officeDocument/2006/relationships/image" Target="media/image121.wmf"/><Relationship Id="rId460" Type="http://schemas.openxmlformats.org/officeDocument/2006/relationships/image" Target="media/image222.wmf"/><Relationship Id="rId698" Type="http://schemas.openxmlformats.org/officeDocument/2006/relationships/image" Target="media/image346.wmf"/><Relationship Id="rId919" Type="http://schemas.openxmlformats.org/officeDocument/2006/relationships/image" Target="media/image420.wmf"/><Relationship Id="rId1090" Type="http://schemas.openxmlformats.org/officeDocument/2006/relationships/oleObject" Target="embeddings/oleObject586.bin"/><Relationship Id="rId1104" Type="http://schemas.openxmlformats.org/officeDocument/2006/relationships/image" Target="media/image486.wmf"/><Relationship Id="rId1311" Type="http://schemas.openxmlformats.org/officeDocument/2006/relationships/image" Target="media/image603.wmf"/><Relationship Id="rId48" Type="http://schemas.openxmlformats.org/officeDocument/2006/relationships/oleObject" Target="embeddings/oleObject18.bin"/><Relationship Id="rId113" Type="http://schemas.openxmlformats.org/officeDocument/2006/relationships/image" Target="media/image52.wmf"/><Relationship Id="rId320" Type="http://schemas.openxmlformats.org/officeDocument/2006/relationships/image" Target="media/image154.wmf"/><Relationship Id="rId558" Type="http://schemas.openxmlformats.org/officeDocument/2006/relationships/oleObject" Target="embeddings/oleObject282.bin"/><Relationship Id="rId765" Type="http://schemas.openxmlformats.org/officeDocument/2006/relationships/oleObject" Target="embeddings/oleObject387.bin"/><Relationship Id="rId972" Type="http://schemas.openxmlformats.org/officeDocument/2006/relationships/image" Target="media/image434.wmf"/><Relationship Id="rId1188" Type="http://schemas.openxmlformats.org/officeDocument/2006/relationships/image" Target="media/image532.wmf"/><Relationship Id="rId1395" Type="http://schemas.openxmlformats.org/officeDocument/2006/relationships/image" Target="media/image649.wmf"/><Relationship Id="rId197" Type="http://schemas.openxmlformats.org/officeDocument/2006/relationships/image" Target="media/image94.wmf"/><Relationship Id="rId418" Type="http://schemas.openxmlformats.org/officeDocument/2006/relationships/oleObject" Target="embeddings/oleObject210.bin"/><Relationship Id="rId625" Type="http://schemas.openxmlformats.org/officeDocument/2006/relationships/image" Target="media/image311.wmf"/><Relationship Id="rId832" Type="http://schemas.openxmlformats.org/officeDocument/2006/relationships/image" Target="media/image403.wmf"/><Relationship Id="rId1048" Type="http://schemas.openxmlformats.org/officeDocument/2006/relationships/chart" Target="charts/chart12.xml"/><Relationship Id="rId1255" Type="http://schemas.openxmlformats.org/officeDocument/2006/relationships/image" Target="media/image582.wmf"/><Relationship Id="rId264" Type="http://schemas.openxmlformats.org/officeDocument/2006/relationships/image" Target="media/image126.wmf"/><Relationship Id="rId471" Type="http://schemas.openxmlformats.org/officeDocument/2006/relationships/oleObject" Target="embeddings/oleObject237.bin"/><Relationship Id="rId1115" Type="http://schemas.openxmlformats.org/officeDocument/2006/relationships/image" Target="media/image497.wmf"/><Relationship Id="rId1322" Type="http://schemas.openxmlformats.org/officeDocument/2006/relationships/oleObject" Target="embeddings/oleObject687.bin"/><Relationship Id="rId59" Type="http://schemas.openxmlformats.org/officeDocument/2006/relationships/image" Target="media/image25.wmf"/><Relationship Id="rId124" Type="http://schemas.openxmlformats.org/officeDocument/2006/relationships/oleObject" Target="embeddings/oleObject57.bin"/><Relationship Id="rId569" Type="http://schemas.openxmlformats.org/officeDocument/2006/relationships/image" Target="media/image283.wmf"/><Relationship Id="rId776" Type="http://schemas.openxmlformats.org/officeDocument/2006/relationships/oleObject" Target="embeddings/oleObject398.bin"/><Relationship Id="rId983" Type="http://schemas.openxmlformats.org/officeDocument/2006/relationships/oleObject" Target="embeddings/oleObject544.bin"/><Relationship Id="rId1199" Type="http://schemas.openxmlformats.org/officeDocument/2006/relationships/oleObject" Target="embeddings/oleObject635.bin"/></Relationships>
</file>

<file path=word/_rels/footnotes.xml.rels><?xml version="1.0" encoding="UTF-8" standalone="yes"?>
<Relationships xmlns="http://schemas.openxmlformats.org/package/2006/relationships"><Relationship Id="rId8" Type="http://schemas.openxmlformats.org/officeDocument/2006/relationships/oleObject" Target="embeddings/oleObject241.bin"/><Relationship Id="rId13" Type="http://schemas.openxmlformats.org/officeDocument/2006/relationships/oleObject" Target="embeddings/oleObject274.bin"/><Relationship Id="rId3" Type="http://schemas.openxmlformats.org/officeDocument/2006/relationships/image" Target="media/image127.wmf"/><Relationship Id="rId7" Type="http://schemas.openxmlformats.org/officeDocument/2006/relationships/image" Target="media/image230.wmf"/><Relationship Id="rId12" Type="http://schemas.openxmlformats.org/officeDocument/2006/relationships/image" Target="media/image267.wmf"/><Relationship Id="rId2" Type="http://schemas.openxmlformats.org/officeDocument/2006/relationships/oleObject" Target="embeddings/oleObject23.bin"/><Relationship Id="rId1" Type="http://schemas.openxmlformats.org/officeDocument/2006/relationships/image" Target="media/image23.wmf"/><Relationship Id="rId6" Type="http://schemas.openxmlformats.org/officeDocument/2006/relationships/oleObject" Target="embeddings/oleObject240.bin"/><Relationship Id="rId11" Type="http://schemas.openxmlformats.org/officeDocument/2006/relationships/oleObject" Target="embeddings/oleObject242.bin"/><Relationship Id="rId5" Type="http://schemas.openxmlformats.org/officeDocument/2006/relationships/image" Target="media/image229.wmf"/><Relationship Id="rId10" Type="http://schemas.openxmlformats.org/officeDocument/2006/relationships/image" Target="media/image232.wmf"/><Relationship Id="rId4" Type="http://schemas.openxmlformats.org/officeDocument/2006/relationships/oleObject" Target="embeddings/oleObject130.bin"/><Relationship Id="rId9" Type="http://schemas.openxmlformats.org/officeDocument/2006/relationships/image" Target="media/image23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alnadi\Desktop\SOE%20and%20durables\Canadian%20Data\RBC_ShortData_moments.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alnadi\Desktop\SOE%20and%20durables\Canadian%20Data\RBC_ShortData_moments.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aalnadi\Desktop\SOE%20and%20durables\Canadian%20Data\RBC_ShortData_moments.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aalnadi\Desktop\Dissertation\SOE%20and%20durables\Canadian%20Data\RBC_ShortData_moments.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aalnadi\Desktop\Dissertation\SOE%20and%20durables\Canadian%20Data\RBC_Figs_scenarios_12_9%20-%20Copy.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aalnadi\Desktop\Dissertation\SOE%20and%20durables\Canadian%20Data\RBC_Figs_scenarios_12_9%20-%20Copy.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aalnadi\Desktop\Dissertation\SOE%20and%20durables\Canadian%20Data\RBC_Figs_scenarios_12_9%20-%20Copy.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aalnadi\Desktop\Dissertation\SOE%20and%20durables\Canadian%20Data\RBC_Figs_scenarios_12_9%20-%20Copy.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aalnadi\Desktop\Dissertation\SOE%20and%20durables\Canadian%20Data\RBC_Figs_scenarios_12_9%20-%20Copy.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Users\aalnadi\Desktop\Dissertation\SOE%20and%20durables\Canadian%20Data\RBC_Figs_scenarios_12_9%20-%20Copy.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Users\aalnadi\Desktop\Dissertation\SOE%20and%20durables\Canadian%20Data\RBC_Figs_scenarios_12_9%20-%20Copy.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Users\aalnadi\Desktop\Dissertation\SOE%20and%20durables\Canadian%20Data\RBC_Figs_scenarios_12_9%20-%20Copy.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Users\aalnadi\Desktop\SOE%20and%20durables\New%20Folder\tot_moments_figures_modelsummery_11_21.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Users\aalnadi\Desktop\SOE%20and%20durables\New%20Folder\tot_moments_figures_modelsummery_11_21.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Users\aalnadi\Desktop\SOE%20and%20durables\New%20Folder\tot_moments_figures_modelsummery_11_21.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Users\aalnadi\Desktop\SOE%20and%20durables\tot_Data_Mom_figs\tot-mom-figs_11_23.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Users\aalnadi\Desktop\SOE%20and%20durables\tot_Data_Mom_figs\tot-mom-figs_11_23.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C:\Users\aalnadi\Desktop\SOE%20and%20durables\tot_Data_Mom_figs\tot-mom-figs_11_23.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C:\Users\aalnadi\Desktop\SOE%20and%20durables\tot_Data_Mom_figs\tot-mom-figs_11_23.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E:\ADissertation\raini_Day\RDF_model\Moments%20and%20IRFs_RDF.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oleObject" Target="file:///E:\ADissertation\raini_Day\RDF_model\Moments1%20and%20IRFs_RDF.xlsx"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22.xml"/><Relationship Id="rId1" Type="http://schemas.openxmlformats.org/officeDocument/2006/relationships/oleObject" Target="file:///E:\ADissertation\raini_Day\RDF_model\Moments%20and%20IRFs_RDF.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23.xml"/><Relationship Id="rId1" Type="http://schemas.openxmlformats.org/officeDocument/2006/relationships/oleObject" Target="file:///E:\ADissertation\raini_Day\RDF_model\Moments1%20and%20IRFs_RDF.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4.xml"/><Relationship Id="rId1" Type="http://schemas.openxmlformats.org/officeDocument/2006/relationships/oleObject" Target="file:///E:\ADissertation\raini_Day\RDF_model\Moments1%20and%20IRFs_RDF.xlsx" TargetMode="Externa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25.xml"/><Relationship Id="rId1" Type="http://schemas.openxmlformats.org/officeDocument/2006/relationships/oleObject" Target="file:///E:\ADissertation\raini_Day\RDF_model\Moments1%20and%20IRFs_RDF.xlsx" TargetMode="External"/></Relationships>
</file>

<file path=word/charts/_rels/chart26.xml.rels><?xml version="1.0" encoding="UTF-8" standalone="yes"?>
<Relationships xmlns="http://schemas.openxmlformats.org/package/2006/relationships"><Relationship Id="rId2" Type="http://schemas.openxmlformats.org/officeDocument/2006/relationships/chartUserShapes" Target="../drawings/drawing26.xml"/><Relationship Id="rId1" Type="http://schemas.openxmlformats.org/officeDocument/2006/relationships/oleObject" Target="file:///E:\ADissertation\raini_Day\RDF_model\Moments1%20and%20IRFs_RD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0739558145782997"/>
          <c:y val="2.5191530112789972E-2"/>
          <c:w val="0.80972926612520124"/>
          <c:h val="0.80780694423099997"/>
        </c:manualLayout>
      </c:layout>
      <c:lineChart>
        <c:grouping val="standard"/>
        <c:ser>
          <c:idx val="0"/>
          <c:order val="0"/>
          <c:tx>
            <c:strRef>
              <c:f>Charts!$R$1</c:f>
              <c:strCache>
                <c:ptCount val="1"/>
                <c:pt idx="0">
                  <c:v>d</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Charts!$R$2:$R$117</c:f>
              <c:numCache>
                <c:formatCode>General</c:formatCode>
                <c:ptCount val="116"/>
                <c:pt idx="0">
                  <c:v>10.062709932739876</c:v>
                </c:pt>
                <c:pt idx="1">
                  <c:v>8.0274380731567305</c:v>
                </c:pt>
                <c:pt idx="2">
                  <c:v>3.5178041198660597</c:v>
                </c:pt>
                <c:pt idx="3">
                  <c:v>3.0370521303627367</c:v>
                </c:pt>
                <c:pt idx="4">
                  <c:v>-4.5393723654299833</c:v>
                </c:pt>
                <c:pt idx="5">
                  <c:v>-5.9633387951731418</c:v>
                </c:pt>
                <c:pt idx="6">
                  <c:v>-8.0526702787961248</c:v>
                </c:pt>
                <c:pt idx="7">
                  <c:v>-8.2706635494808687</c:v>
                </c:pt>
                <c:pt idx="8">
                  <c:v>-6.3188759214885755</c:v>
                </c:pt>
                <c:pt idx="9">
                  <c:v>-4.9608849443588445</c:v>
                </c:pt>
                <c:pt idx="10">
                  <c:v>-3.2513860701811002</c:v>
                </c:pt>
                <c:pt idx="11">
                  <c:v>-2.7694292979556612</c:v>
                </c:pt>
                <c:pt idx="12">
                  <c:v>-0.86447721038570469</c:v>
                </c:pt>
                <c:pt idx="13">
                  <c:v>-0.76599869686658051</c:v>
                </c:pt>
                <c:pt idx="14">
                  <c:v>-1.7428786485355698</c:v>
                </c:pt>
                <c:pt idx="15">
                  <c:v>-0.82735720734525808</c:v>
                </c:pt>
                <c:pt idx="16">
                  <c:v>-0.76071001609218969</c:v>
                </c:pt>
                <c:pt idx="17">
                  <c:v>1.31067388068278</c:v>
                </c:pt>
                <c:pt idx="18">
                  <c:v>2.6199849821969412</c:v>
                </c:pt>
                <c:pt idx="19">
                  <c:v>3.8386375164931197</c:v>
                </c:pt>
                <c:pt idx="20">
                  <c:v>2.2360123209979901</c:v>
                </c:pt>
                <c:pt idx="21">
                  <c:v>1.43223318468984</c:v>
                </c:pt>
                <c:pt idx="22">
                  <c:v>2.9247952888480011</c:v>
                </c:pt>
                <c:pt idx="23">
                  <c:v>0.19511696900842454</c:v>
                </c:pt>
                <c:pt idx="24">
                  <c:v>0.49941536365383504</c:v>
                </c:pt>
                <c:pt idx="25">
                  <c:v>2.25609266316091</c:v>
                </c:pt>
                <c:pt idx="26">
                  <c:v>1.9692734233027864</c:v>
                </c:pt>
                <c:pt idx="27">
                  <c:v>3.1267466419407697</c:v>
                </c:pt>
                <c:pt idx="28">
                  <c:v>2.8419664210446967</c:v>
                </c:pt>
                <c:pt idx="29">
                  <c:v>3.1975411459349412</c:v>
                </c:pt>
                <c:pt idx="30">
                  <c:v>3.5728510729152068</c:v>
                </c:pt>
                <c:pt idx="31">
                  <c:v>4.1240667950770398</c:v>
                </c:pt>
                <c:pt idx="32">
                  <c:v>2.4296988735889267</c:v>
                </c:pt>
                <c:pt idx="33">
                  <c:v>5.3131146278728245</c:v>
                </c:pt>
                <c:pt idx="34">
                  <c:v>2.3224304155553077</c:v>
                </c:pt>
                <c:pt idx="35">
                  <c:v>2.2004724976200798</c:v>
                </c:pt>
                <c:pt idx="36">
                  <c:v>4.7185072160418775</c:v>
                </c:pt>
                <c:pt idx="37">
                  <c:v>1.5692827174852702</c:v>
                </c:pt>
                <c:pt idx="38">
                  <c:v>0.48105608160186858</c:v>
                </c:pt>
                <c:pt idx="39">
                  <c:v>-0.90707931365021377</c:v>
                </c:pt>
                <c:pt idx="40">
                  <c:v>-6.7020041503683485</c:v>
                </c:pt>
                <c:pt idx="41">
                  <c:v>-1.2098330860772786</c:v>
                </c:pt>
                <c:pt idx="42">
                  <c:v>-2.5050768257081177</c:v>
                </c:pt>
                <c:pt idx="43">
                  <c:v>-4.4135296285128724</c:v>
                </c:pt>
                <c:pt idx="44">
                  <c:v>-3.5827033807279896</c:v>
                </c:pt>
                <c:pt idx="45">
                  <c:v>-3.6197506125690304</c:v>
                </c:pt>
                <c:pt idx="46">
                  <c:v>-2.7453250646417002</c:v>
                </c:pt>
                <c:pt idx="47">
                  <c:v>-1.66160193341707</c:v>
                </c:pt>
                <c:pt idx="48">
                  <c:v>-2.0883790872007402</c:v>
                </c:pt>
                <c:pt idx="49">
                  <c:v>-1.8121882930891478</c:v>
                </c:pt>
                <c:pt idx="50">
                  <c:v>-1.5438435812489699</c:v>
                </c:pt>
                <c:pt idx="51">
                  <c:v>-2.2144178641649899</c:v>
                </c:pt>
                <c:pt idx="52">
                  <c:v>-0.57345815207998663</c:v>
                </c:pt>
                <c:pt idx="53">
                  <c:v>-0.23359364407333821</c:v>
                </c:pt>
                <c:pt idx="54">
                  <c:v>-0.26947512787708544</c:v>
                </c:pt>
                <c:pt idx="55">
                  <c:v>2.5225828048029202</c:v>
                </c:pt>
                <c:pt idx="56">
                  <c:v>0.25707288421676094</c:v>
                </c:pt>
                <c:pt idx="57">
                  <c:v>-0.3957037736365045</c:v>
                </c:pt>
                <c:pt idx="58">
                  <c:v>0.14790817668863801</c:v>
                </c:pt>
                <c:pt idx="59">
                  <c:v>-2.0816843045061302</c:v>
                </c:pt>
                <c:pt idx="60">
                  <c:v>-2.1345217995271279</c:v>
                </c:pt>
                <c:pt idx="61">
                  <c:v>-2.8910779379913301</c:v>
                </c:pt>
                <c:pt idx="62">
                  <c:v>-3.4101967733890999</c:v>
                </c:pt>
                <c:pt idx="63">
                  <c:v>-1.0747141355008001</c:v>
                </c:pt>
                <c:pt idx="64">
                  <c:v>4.2969218876542904E-2</c:v>
                </c:pt>
                <c:pt idx="65">
                  <c:v>0.71829672928167598</c:v>
                </c:pt>
                <c:pt idx="66">
                  <c:v>1.741753179489264</c:v>
                </c:pt>
                <c:pt idx="67">
                  <c:v>3.2835853178210939</c:v>
                </c:pt>
                <c:pt idx="68">
                  <c:v>-4.9333003139653629E-2</c:v>
                </c:pt>
                <c:pt idx="69">
                  <c:v>1.6428175283667212</c:v>
                </c:pt>
                <c:pt idx="70">
                  <c:v>0.97600995722832651</c:v>
                </c:pt>
                <c:pt idx="71">
                  <c:v>-0.77560483262154967</c:v>
                </c:pt>
                <c:pt idx="72">
                  <c:v>0.76544153652665614</c:v>
                </c:pt>
                <c:pt idx="73">
                  <c:v>0.22224449540076407</c:v>
                </c:pt>
                <c:pt idx="74">
                  <c:v>1.7091391737705999</c:v>
                </c:pt>
                <c:pt idx="75">
                  <c:v>1.2379095985942974</c:v>
                </c:pt>
                <c:pt idx="76">
                  <c:v>1.581911884848</c:v>
                </c:pt>
                <c:pt idx="77">
                  <c:v>1.0574320540074598</c:v>
                </c:pt>
                <c:pt idx="78">
                  <c:v>2.52327983262344</c:v>
                </c:pt>
                <c:pt idx="79">
                  <c:v>-0.89326044779072356</c:v>
                </c:pt>
                <c:pt idx="80">
                  <c:v>-1.4294305613838381E-2</c:v>
                </c:pt>
                <c:pt idx="81">
                  <c:v>7.7995528553387414E-2</c:v>
                </c:pt>
                <c:pt idx="82">
                  <c:v>-1.8829798419487804</c:v>
                </c:pt>
                <c:pt idx="83">
                  <c:v>1.2047989390165301</c:v>
                </c:pt>
                <c:pt idx="84">
                  <c:v>2.4744587899840567</c:v>
                </c:pt>
                <c:pt idx="85">
                  <c:v>1.8319232301532618</c:v>
                </c:pt>
                <c:pt idx="86">
                  <c:v>-0.10459485801952402</c:v>
                </c:pt>
                <c:pt idx="87">
                  <c:v>1.0587465559012801</c:v>
                </c:pt>
                <c:pt idx="88">
                  <c:v>0.41792407413938742</c:v>
                </c:pt>
                <c:pt idx="89">
                  <c:v>0.21089638231917929</c:v>
                </c:pt>
                <c:pt idx="90">
                  <c:v>0.64010356351914022</c:v>
                </c:pt>
                <c:pt idx="91">
                  <c:v>-3.0104618094206597</c:v>
                </c:pt>
                <c:pt idx="92">
                  <c:v>-1.2473657283889499</c:v>
                </c:pt>
                <c:pt idx="93">
                  <c:v>-1.7371078466421599</c:v>
                </c:pt>
                <c:pt idx="94">
                  <c:v>-1.62326691385832</c:v>
                </c:pt>
                <c:pt idx="95">
                  <c:v>-2.1873282873103581</c:v>
                </c:pt>
                <c:pt idx="96">
                  <c:v>-1.32636718244985</c:v>
                </c:pt>
                <c:pt idx="97">
                  <c:v>-1.2223441345492201</c:v>
                </c:pt>
                <c:pt idx="98">
                  <c:v>-2.0723620993883967</c:v>
                </c:pt>
                <c:pt idx="99">
                  <c:v>-2.7324532676669202</c:v>
                </c:pt>
                <c:pt idx="100">
                  <c:v>-0.63337060376973464</c:v>
                </c:pt>
                <c:pt idx="101">
                  <c:v>9.5838611210652513E-2</c:v>
                </c:pt>
                <c:pt idx="102">
                  <c:v>1.1482887528088022</c:v>
                </c:pt>
                <c:pt idx="103">
                  <c:v>0.75221699742709103</c:v>
                </c:pt>
                <c:pt idx="104">
                  <c:v>1.3311263409992298</c:v>
                </c:pt>
                <c:pt idx="105">
                  <c:v>2.7917723438337188</c:v>
                </c:pt>
                <c:pt idx="106">
                  <c:v>2.3170335122768999</c:v>
                </c:pt>
                <c:pt idx="107">
                  <c:v>3.2745588949607587</c:v>
                </c:pt>
                <c:pt idx="108">
                  <c:v>5.2715012945704114</c:v>
                </c:pt>
                <c:pt idx="109">
                  <c:v>4.258699314484983</c:v>
                </c:pt>
                <c:pt idx="110">
                  <c:v>3.2957566697724898</c:v>
                </c:pt>
                <c:pt idx="111">
                  <c:v>-0.28500131156903297</c:v>
                </c:pt>
                <c:pt idx="112">
                  <c:v>-3.7599540494605699</c:v>
                </c:pt>
                <c:pt idx="113">
                  <c:v>-4.25229593800207</c:v>
                </c:pt>
                <c:pt idx="114">
                  <c:v>-3.2415187000152601</c:v>
                </c:pt>
                <c:pt idx="115">
                  <c:v>-2.4995018733566399</c:v>
                </c:pt>
              </c:numCache>
            </c:numRef>
          </c:val>
        </c:ser>
        <c:ser>
          <c:idx val="1"/>
          <c:order val="1"/>
          <c:tx>
            <c:strRef>
              <c:f>Charts!$T$1</c:f>
              <c:strCache>
                <c:ptCount val="1"/>
                <c:pt idx="0">
                  <c:v>y</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Charts!$T$2:$T$117</c:f>
              <c:numCache>
                <c:formatCode>General</c:formatCode>
                <c:ptCount val="116"/>
                <c:pt idx="0">
                  <c:v>3.7098962158198705</c:v>
                </c:pt>
                <c:pt idx="1">
                  <c:v>4.0552283655113524</c:v>
                </c:pt>
                <c:pt idx="2">
                  <c:v>2.6872708300680004</c:v>
                </c:pt>
                <c:pt idx="3">
                  <c:v>1.45492740662636</c:v>
                </c:pt>
                <c:pt idx="4">
                  <c:v>-9.5226651944990706E-2</c:v>
                </c:pt>
                <c:pt idx="5">
                  <c:v>-1.6776684224081999</c:v>
                </c:pt>
                <c:pt idx="6">
                  <c:v>-3.2391954648636188</c:v>
                </c:pt>
                <c:pt idx="7">
                  <c:v>-4.89070479664964</c:v>
                </c:pt>
                <c:pt idx="8">
                  <c:v>-4.0087919379377706</c:v>
                </c:pt>
                <c:pt idx="9">
                  <c:v>-2.4558697184037377</c:v>
                </c:pt>
                <c:pt idx="10">
                  <c:v>-2.1983964727612202</c:v>
                </c:pt>
                <c:pt idx="11">
                  <c:v>-1.8310746171475369</c:v>
                </c:pt>
                <c:pt idx="12">
                  <c:v>-0.88010856990722641</c:v>
                </c:pt>
                <c:pt idx="13">
                  <c:v>-1.6911327746528284E-2</c:v>
                </c:pt>
                <c:pt idx="14">
                  <c:v>-0.50374481951861205</c:v>
                </c:pt>
                <c:pt idx="15">
                  <c:v>0.23860259550545501</c:v>
                </c:pt>
                <c:pt idx="16">
                  <c:v>0.76344239856602802</c:v>
                </c:pt>
                <c:pt idx="17">
                  <c:v>0.16002794428153819</c:v>
                </c:pt>
                <c:pt idx="18">
                  <c:v>0.76263443577246903</c:v>
                </c:pt>
                <c:pt idx="19">
                  <c:v>1.4982310586919598</c:v>
                </c:pt>
                <c:pt idx="20">
                  <c:v>0.31730935216957484</c:v>
                </c:pt>
                <c:pt idx="21">
                  <c:v>0.33354046092190998</c:v>
                </c:pt>
                <c:pt idx="22">
                  <c:v>-0.32540878867719392</c:v>
                </c:pt>
                <c:pt idx="23">
                  <c:v>-1.8100430330452641</c:v>
                </c:pt>
                <c:pt idx="24">
                  <c:v>-0.479642528105373</c:v>
                </c:pt>
                <c:pt idx="25">
                  <c:v>-0.11623325288515009</c:v>
                </c:pt>
                <c:pt idx="26">
                  <c:v>0.63846659016881802</c:v>
                </c:pt>
                <c:pt idx="27">
                  <c:v>1.1624004443927924</c:v>
                </c:pt>
                <c:pt idx="28">
                  <c:v>2.0598647115034998</c:v>
                </c:pt>
                <c:pt idx="29">
                  <c:v>2.5959882929411702</c:v>
                </c:pt>
                <c:pt idx="30">
                  <c:v>2.1654856747003799</c:v>
                </c:pt>
                <c:pt idx="31">
                  <c:v>2.2519048500934002</c:v>
                </c:pt>
                <c:pt idx="32">
                  <c:v>2.7619983838832187</c:v>
                </c:pt>
                <c:pt idx="33">
                  <c:v>2.6716614003044397</c:v>
                </c:pt>
                <c:pt idx="34">
                  <c:v>2.3331637746000702</c:v>
                </c:pt>
                <c:pt idx="35">
                  <c:v>1.9949895936392201</c:v>
                </c:pt>
                <c:pt idx="36">
                  <c:v>2.5189717169325587</c:v>
                </c:pt>
                <c:pt idx="37">
                  <c:v>1.7830941354935299</c:v>
                </c:pt>
                <c:pt idx="38">
                  <c:v>0.77433548301350741</c:v>
                </c:pt>
                <c:pt idx="39">
                  <c:v>-0.39437004065094222</c:v>
                </c:pt>
                <c:pt idx="40">
                  <c:v>-1.9823751953209601</c:v>
                </c:pt>
                <c:pt idx="41">
                  <c:v>-1.8865492595409699</c:v>
                </c:pt>
                <c:pt idx="42">
                  <c:v>-1.8373865273602501</c:v>
                </c:pt>
                <c:pt idx="43">
                  <c:v>-1.7336121995402543</c:v>
                </c:pt>
                <c:pt idx="44">
                  <c:v>-2.0471491102607997</c:v>
                </c:pt>
                <c:pt idx="45">
                  <c:v>-2.0869545860786998</c:v>
                </c:pt>
                <c:pt idx="46">
                  <c:v>-2.12455548535431</c:v>
                </c:pt>
                <c:pt idx="47">
                  <c:v>-2.2011113198338697</c:v>
                </c:pt>
                <c:pt idx="48">
                  <c:v>-1.8156927540834598</c:v>
                </c:pt>
                <c:pt idx="49">
                  <c:v>-1.5939127580946078</c:v>
                </c:pt>
                <c:pt idx="50">
                  <c:v>-1.4968634938838898</c:v>
                </c:pt>
                <c:pt idx="51">
                  <c:v>-1.2278229279996098</c:v>
                </c:pt>
                <c:pt idx="52">
                  <c:v>-0.22927548730020894</c:v>
                </c:pt>
                <c:pt idx="53">
                  <c:v>0.64587579068509504</c:v>
                </c:pt>
                <c:pt idx="54">
                  <c:v>1.3236021656061001</c:v>
                </c:pt>
                <c:pt idx="55">
                  <c:v>1.4564192247450001</c:v>
                </c:pt>
                <c:pt idx="56">
                  <c:v>1.7593643040325941</c:v>
                </c:pt>
                <c:pt idx="57">
                  <c:v>1.0278014773823572</c:v>
                </c:pt>
                <c:pt idx="58">
                  <c:v>0.21802921601921099</c:v>
                </c:pt>
                <c:pt idx="59">
                  <c:v>-0.21011438475790076</c:v>
                </c:pt>
                <c:pt idx="60">
                  <c:v>-0.83149549790721999</c:v>
                </c:pt>
                <c:pt idx="61">
                  <c:v>-1.2701929748979901</c:v>
                </c:pt>
                <c:pt idx="62">
                  <c:v>-1.0616029825115401</c:v>
                </c:pt>
                <c:pt idx="63">
                  <c:v>-1.0698438169214299</c:v>
                </c:pt>
                <c:pt idx="64">
                  <c:v>-0.94276927243498598</c:v>
                </c:pt>
                <c:pt idx="65">
                  <c:v>-0.74033849097485693</c:v>
                </c:pt>
                <c:pt idx="66">
                  <c:v>-0.45322638367100232</c:v>
                </c:pt>
                <c:pt idx="67">
                  <c:v>-0.65401115009269295</c:v>
                </c:pt>
                <c:pt idx="68">
                  <c:v>-0.27768872331982197</c:v>
                </c:pt>
                <c:pt idx="69">
                  <c:v>-0.98195727946546207</c:v>
                </c:pt>
                <c:pt idx="70">
                  <c:v>-0.93513843918700013</c:v>
                </c:pt>
                <c:pt idx="71">
                  <c:v>-0.35442109984309988</c:v>
                </c:pt>
                <c:pt idx="72">
                  <c:v>0.30303430273228632</c:v>
                </c:pt>
                <c:pt idx="73">
                  <c:v>0.48983384589078632</c:v>
                </c:pt>
                <c:pt idx="74">
                  <c:v>0.82928121054542892</c:v>
                </c:pt>
                <c:pt idx="75">
                  <c:v>1.4042579314554215</c:v>
                </c:pt>
                <c:pt idx="76">
                  <c:v>1.9071252426233052</c:v>
                </c:pt>
                <c:pt idx="77">
                  <c:v>2.0961807168447399</c:v>
                </c:pt>
                <c:pt idx="78">
                  <c:v>2.3492159736405767</c:v>
                </c:pt>
                <c:pt idx="79">
                  <c:v>1.6373635195819201</c:v>
                </c:pt>
                <c:pt idx="80">
                  <c:v>1.3045246012564558</c:v>
                </c:pt>
                <c:pt idx="81">
                  <c:v>0.56809211305406404</c:v>
                </c:pt>
                <c:pt idx="82">
                  <c:v>-0.50583037851321699</c:v>
                </c:pt>
                <c:pt idx="83">
                  <c:v>-0.55945936450303402</c:v>
                </c:pt>
                <c:pt idx="84">
                  <c:v>-1.9367191988273205E-2</c:v>
                </c:pt>
                <c:pt idx="85">
                  <c:v>-0.19877054593759919</c:v>
                </c:pt>
                <c:pt idx="86">
                  <c:v>-0.12835300682425588</c:v>
                </c:pt>
                <c:pt idx="87">
                  <c:v>-0.15819892353229145</c:v>
                </c:pt>
                <c:pt idx="88">
                  <c:v>-0.28590042431559931</c:v>
                </c:pt>
                <c:pt idx="89">
                  <c:v>-1.09047176310089</c:v>
                </c:pt>
                <c:pt idx="90">
                  <c:v>-1.50932750605079</c:v>
                </c:pt>
                <c:pt idx="91">
                  <c:v>-1.3459446744750598</c:v>
                </c:pt>
                <c:pt idx="92">
                  <c:v>-1.21439295999259</c:v>
                </c:pt>
                <c:pt idx="93">
                  <c:v>-0.66431383880249961</c:v>
                </c:pt>
                <c:pt idx="94">
                  <c:v>-0.28515679150178397</c:v>
                </c:pt>
                <c:pt idx="95">
                  <c:v>-0.29070410254075096</c:v>
                </c:pt>
                <c:pt idx="96">
                  <c:v>-0.43404583337309832</c:v>
                </c:pt>
                <c:pt idx="97">
                  <c:v>-0.254934355388237</c:v>
                </c:pt>
                <c:pt idx="98">
                  <c:v>0.12761423867253499</c:v>
                </c:pt>
                <c:pt idx="99">
                  <c:v>0.48882819003799705</c:v>
                </c:pt>
                <c:pt idx="100">
                  <c:v>1.0753829810381501</c:v>
                </c:pt>
                <c:pt idx="101">
                  <c:v>0.92431857638608561</c:v>
                </c:pt>
                <c:pt idx="102">
                  <c:v>0.53315682643084705</c:v>
                </c:pt>
                <c:pt idx="103">
                  <c:v>0.5063368824114175</c:v>
                </c:pt>
                <c:pt idx="104">
                  <c:v>1.1280556725525401</c:v>
                </c:pt>
                <c:pt idx="105">
                  <c:v>1.8365926645245201</c:v>
                </c:pt>
                <c:pt idx="106">
                  <c:v>1.9730992912037866</c:v>
                </c:pt>
                <c:pt idx="107">
                  <c:v>1.8690961150522198</c:v>
                </c:pt>
                <c:pt idx="108">
                  <c:v>1.5354465114734599</c:v>
                </c:pt>
                <c:pt idx="109">
                  <c:v>1.4153766708008808</c:v>
                </c:pt>
                <c:pt idx="110">
                  <c:v>1.21889812929954</c:v>
                </c:pt>
                <c:pt idx="111">
                  <c:v>-3.2947187187028902E-2</c:v>
                </c:pt>
                <c:pt idx="112">
                  <c:v>-1.9053571641433553</c:v>
                </c:pt>
                <c:pt idx="113">
                  <c:v>-2.9259130950618877</c:v>
                </c:pt>
                <c:pt idx="114">
                  <c:v>-2.9166374252104768</c:v>
                </c:pt>
                <c:pt idx="115">
                  <c:v>-1.9501619041681901</c:v>
                </c:pt>
              </c:numCache>
            </c:numRef>
          </c:val>
        </c:ser>
        <c:dLbls/>
        <c:marker val="1"/>
        <c:axId val="135744128"/>
        <c:axId val="135762304"/>
      </c:lineChart>
      <c:catAx>
        <c:axId val="135744128"/>
        <c:scaling>
          <c:orientation val="minMax"/>
        </c:scaling>
        <c:axPos val="b"/>
        <c:minorTickMark val="out"/>
        <c:tickLblPos val="nextTo"/>
        <c:txPr>
          <a:bodyPr rot="1200000" vert="horz"/>
          <a:lstStyle/>
          <a:p>
            <a:pPr>
              <a:defRPr sz="800" b="0">
                <a:latin typeface="Book Antiqua" pitchFamily="18" charset="0"/>
              </a:defRPr>
            </a:pPr>
            <a:endParaRPr lang="en-US"/>
          </a:p>
        </c:txPr>
        <c:crossAx val="135762304"/>
        <c:crossesAt val="-10"/>
        <c:auto val="1"/>
        <c:lblAlgn val="ctr"/>
        <c:lblOffset val="100"/>
        <c:tickLblSkip val="12"/>
        <c:tickMarkSkip val="24"/>
      </c:catAx>
      <c:valAx>
        <c:axId val="135762304"/>
        <c:scaling>
          <c:orientation val="minMax"/>
          <c:max val="10"/>
          <c:min val="-10"/>
        </c:scaling>
        <c:axPos val="l"/>
        <c:numFmt formatCode="General" sourceLinked="1"/>
        <c:tickLblPos val="nextTo"/>
        <c:txPr>
          <a:bodyPr/>
          <a:lstStyle/>
          <a:p>
            <a:pPr>
              <a:defRPr sz="900">
                <a:latin typeface="Book Antiqua" pitchFamily="18" charset="0"/>
              </a:defRPr>
            </a:pPr>
            <a:endParaRPr lang="en-US"/>
          </a:p>
        </c:txPr>
        <c:crossAx val="135744128"/>
        <c:crosses val="autoZero"/>
        <c:crossBetween val="between"/>
      </c:valAx>
      <c:spPr>
        <a:ln w="6350">
          <a:noFill/>
        </a:ln>
      </c:spPr>
    </c:plotArea>
    <c:legend>
      <c:legendPos val="t"/>
      <c:legendEntry>
        <c:idx val="0"/>
        <c:txPr>
          <a:bodyPr/>
          <a:lstStyle/>
          <a:p>
            <a:pPr>
              <a:defRPr sz="1000" i="1">
                <a:latin typeface="Book Antiqua" pitchFamily="18" charset="0"/>
              </a:defRPr>
            </a:pPr>
            <a:endParaRPr lang="en-US"/>
          </a:p>
        </c:txPr>
      </c:legendEntry>
      <c:legendEntry>
        <c:idx val="1"/>
        <c:txPr>
          <a:bodyPr/>
          <a:lstStyle/>
          <a:p>
            <a:pPr>
              <a:defRPr sz="1000" i="1">
                <a:latin typeface="Book Antiqua" pitchFamily="18" charset="0"/>
              </a:defRPr>
            </a:pPr>
            <a:endParaRPr lang="en-US"/>
          </a:p>
        </c:txPr>
      </c:legendEntry>
      <c:layout>
        <c:manualLayout>
          <c:xMode val="edge"/>
          <c:yMode val="edge"/>
          <c:x val="0.72466871141367872"/>
          <c:y val="6.4444433168078324E-2"/>
          <c:w val="0.10494393756823069"/>
          <c:h val="0.20560818799506791"/>
        </c:manualLayout>
      </c:layout>
      <c:txPr>
        <a:bodyPr/>
        <a:lstStyle/>
        <a:p>
          <a:pPr>
            <a:defRPr sz="1000">
              <a:latin typeface="Book Antiqua" pitchFamily="18" charset="0"/>
            </a:defRPr>
          </a:pPr>
          <a:endParaRPr lang="en-US"/>
        </a:p>
      </c:txPr>
    </c:legend>
    <c:plotVisOnly val="1"/>
    <c:dispBlanksAs val="gap"/>
  </c:chart>
  <c:spPr>
    <a:ln>
      <a:noFill/>
    </a:ln>
  </c:sp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037169074338152"/>
          <c:y val="2.3448719853414592E-2"/>
          <c:w val="0.7632147064294148"/>
          <c:h val="0.77137164267146674"/>
        </c:manualLayout>
      </c:layout>
      <c:lineChart>
        <c:grouping val="standard"/>
        <c:ser>
          <c:idx val="0"/>
          <c:order val="0"/>
          <c:tx>
            <c:strRef>
              <c:f>Charts!$R$1</c:f>
              <c:strCache>
                <c:ptCount val="1"/>
                <c:pt idx="0">
                  <c:v>d</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Charts!$R$2:$R$117</c:f>
              <c:numCache>
                <c:formatCode>General</c:formatCode>
                <c:ptCount val="116"/>
                <c:pt idx="0">
                  <c:v>10.062709932739876</c:v>
                </c:pt>
                <c:pt idx="1">
                  <c:v>8.0274380731567305</c:v>
                </c:pt>
                <c:pt idx="2">
                  <c:v>3.5178041198660597</c:v>
                </c:pt>
                <c:pt idx="3">
                  <c:v>3.0370521303627367</c:v>
                </c:pt>
                <c:pt idx="4">
                  <c:v>-4.5393723654299833</c:v>
                </c:pt>
                <c:pt idx="5">
                  <c:v>-5.9633387951731418</c:v>
                </c:pt>
                <c:pt idx="6">
                  <c:v>-8.0526702787961248</c:v>
                </c:pt>
                <c:pt idx="7">
                  <c:v>-8.2706635494808687</c:v>
                </c:pt>
                <c:pt idx="8">
                  <c:v>-6.3188759214885755</c:v>
                </c:pt>
                <c:pt idx="9">
                  <c:v>-4.9608849443588445</c:v>
                </c:pt>
                <c:pt idx="10">
                  <c:v>-3.2513860701811002</c:v>
                </c:pt>
                <c:pt idx="11">
                  <c:v>-2.7694292979556612</c:v>
                </c:pt>
                <c:pt idx="12">
                  <c:v>-0.86447721038570469</c:v>
                </c:pt>
                <c:pt idx="13">
                  <c:v>-0.76599869686658051</c:v>
                </c:pt>
                <c:pt idx="14">
                  <c:v>-1.7428786485355698</c:v>
                </c:pt>
                <c:pt idx="15">
                  <c:v>-0.82735720734525808</c:v>
                </c:pt>
                <c:pt idx="16">
                  <c:v>-0.76071001609218969</c:v>
                </c:pt>
                <c:pt idx="17">
                  <c:v>1.31067388068278</c:v>
                </c:pt>
                <c:pt idx="18">
                  <c:v>2.6199849821969412</c:v>
                </c:pt>
                <c:pt idx="19">
                  <c:v>3.8386375164931197</c:v>
                </c:pt>
                <c:pt idx="20">
                  <c:v>2.2360123209979901</c:v>
                </c:pt>
                <c:pt idx="21">
                  <c:v>1.43223318468984</c:v>
                </c:pt>
                <c:pt idx="22">
                  <c:v>2.9247952888480011</c:v>
                </c:pt>
                <c:pt idx="23">
                  <c:v>0.19511696900842398</c:v>
                </c:pt>
                <c:pt idx="24">
                  <c:v>0.49941536365383504</c:v>
                </c:pt>
                <c:pt idx="25">
                  <c:v>2.25609266316091</c:v>
                </c:pt>
                <c:pt idx="26">
                  <c:v>1.9692734233027898</c:v>
                </c:pt>
                <c:pt idx="27">
                  <c:v>3.1267466419407697</c:v>
                </c:pt>
                <c:pt idx="28">
                  <c:v>2.8419664210446967</c:v>
                </c:pt>
                <c:pt idx="29">
                  <c:v>3.1975411459349412</c:v>
                </c:pt>
                <c:pt idx="30">
                  <c:v>3.5728510729152068</c:v>
                </c:pt>
                <c:pt idx="31">
                  <c:v>4.1240667950770398</c:v>
                </c:pt>
                <c:pt idx="32">
                  <c:v>2.4296988735889267</c:v>
                </c:pt>
                <c:pt idx="33">
                  <c:v>5.3131146278728245</c:v>
                </c:pt>
                <c:pt idx="34">
                  <c:v>2.3224304155553077</c:v>
                </c:pt>
                <c:pt idx="35">
                  <c:v>2.2004724976200798</c:v>
                </c:pt>
                <c:pt idx="36">
                  <c:v>4.7185072160418775</c:v>
                </c:pt>
                <c:pt idx="37">
                  <c:v>1.5692827174852702</c:v>
                </c:pt>
                <c:pt idx="38">
                  <c:v>0.48105608160186858</c:v>
                </c:pt>
                <c:pt idx="39">
                  <c:v>-0.90707931365021377</c:v>
                </c:pt>
                <c:pt idx="40">
                  <c:v>-6.7020041503683485</c:v>
                </c:pt>
                <c:pt idx="41">
                  <c:v>-1.2098330860772786</c:v>
                </c:pt>
                <c:pt idx="42">
                  <c:v>-2.5050768257081177</c:v>
                </c:pt>
                <c:pt idx="43">
                  <c:v>-4.4135296285128724</c:v>
                </c:pt>
                <c:pt idx="44">
                  <c:v>-3.5827033807279896</c:v>
                </c:pt>
                <c:pt idx="45">
                  <c:v>-3.6197506125690304</c:v>
                </c:pt>
                <c:pt idx="46">
                  <c:v>-2.7453250646417002</c:v>
                </c:pt>
                <c:pt idx="47">
                  <c:v>-1.66160193341707</c:v>
                </c:pt>
                <c:pt idx="48">
                  <c:v>-2.0883790872007402</c:v>
                </c:pt>
                <c:pt idx="49">
                  <c:v>-1.8121882930891478</c:v>
                </c:pt>
                <c:pt idx="50">
                  <c:v>-1.5438435812489699</c:v>
                </c:pt>
                <c:pt idx="51">
                  <c:v>-2.2144178641649899</c:v>
                </c:pt>
                <c:pt idx="52">
                  <c:v>-0.57345815207998663</c:v>
                </c:pt>
                <c:pt idx="53">
                  <c:v>-0.23359364407333821</c:v>
                </c:pt>
                <c:pt idx="54">
                  <c:v>-0.26947512787708544</c:v>
                </c:pt>
                <c:pt idx="55">
                  <c:v>2.5225828048029202</c:v>
                </c:pt>
                <c:pt idx="56">
                  <c:v>0.25707288421676094</c:v>
                </c:pt>
                <c:pt idx="57">
                  <c:v>-0.3957037736365045</c:v>
                </c:pt>
                <c:pt idx="58">
                  <c:v>0.14790817668863801</c:v>
                </c:pt>
                <c:pt idx="59">
                  <c:v>-2.0816843045061302</c:v>
                </c:pt>
                <c:pt idx="60">
                  <c:v>-2.1345217995271279</c:v>
                </c:pt>
                <c:pt idx="61">
                  <c:v>-2.8910779379913301</c:v>
                </c:pt>
                <c:pt idx="62">
                  <c:v>-3.4101967733890999</c:v>
                </c:pt>
                <c:pt idx="63">
                  <c:v>-1.0747141355008001</c:v>
                </c:pt>
                <c:pt idx="64">
                  <c:v>4.2969218876542904E-2</c:v>
                </c:pt>
                <c:pt idx="65">
                  <c:v>0.71829672928167598</c:v>
                </c:pt>
                <c:pt idx="66">
                  <c:v>1.74175317948926</c:v>
                </c:pt>
                <c:pt idx="67">
                  <c:v>3.2835853178210939</c:v>
                </c:pt>
                <c:pt idx="68">
                  <c:v>-4.9333003139652123E-2</c:v>
                </c:pt>
                <c:pt idx="69">
                  <c:v>1.6428175283667212</c:v>
                </c:pt>
                <c:pt idx="70">
                  <c:v>0.97600995722832773</c:v>
                </c:pt>
                <c:pt idx="71">
                  <c:v>-0.775604832621551</c:v>
                </c:pt>
                <c:pt idx="72">
                  <c:v>0.76544153652665614</c:v>
                </c:pt>
                <c:pt idx="73">
                  <c:v>0.22224449540075941</c:v>
                </c:pt>
                <c:pt idx="74">
                  <c:v>1.7091391737705999</c:v>
                </c:pt>
                <c:pt idx="75">
                  <c:v>1.2379095985942974</c:v>
                </c:pt>
                <c:pt idx="76">
                  <c:v>1.581911884848</c:v>
                </c:pt>
                <c:pt idx="77">
                  <c:v>1.0574320540074598</c:v>
                </c:pt>
                <c:pt idx="78">
                  <c:v>2.52327983262344</c:v>
                </c:pt>
                <c:pt idx="79">
                  <c:v>-0.89326044779072356</c:v>
                </c:pt>
                <c:pt idx="80">
                  <c:v>-1.4294305613838341E-2</c:v>
                </c:pt>
                <c:pt idx="81">
                  <c:v>7.7995528553387303E-2</c:v>
                </c:pt>
                <c:pt idx="82">
                  <c:v>-1.8829798419487804</c:v>
                </c:pt>
                <c:pt idx="83">
                  <c:v>1.2047989390165301</c:v>
                </c:pt>
                <c:pt idx="84">
                  <c:v>2.4744587899840567</c:v>
                </c:pt>
                <c:pt idx="85">
                  <c:v>1.8319232301532618</c:v>
                </c:pt>
                <c:pt idx="86">
                  <c:v>-0.10459485801952402</c:v>
                </c:pt>
                <c:pt idx="87">
                  <c:v>1.0587465559012801</c:v>
                </c:pt>
                <c:pt idx="88">
                  <c:v>0.41792407413938742</c:v>
                </c:pt>
                <c:pt idx="89">
                  <c:v>0.21089638231917929</c:v>
                </c:pt>
                <c:pt idx="90">
                  <c:v>0.64010356351914022</c:v>
                </c:pt>
                <c:pt idx="91">
                  <c:v>-3.0104618094206597</c:v>
                </c:pt>
                <c:pt idx="92">
                  <c:v>-1.2473657283889499</c:v>
                </c:pt>
                <c:pt idx="93">
                  <c:v>-1.7371078466421599</c:v>
                </c:pt>
                <c:pt idx="94">
                  <c:v>-1.62326691385832</c:v>
                </c:pt>
                <c:pt idx="95">
                  <c:v>-2.1873282873103581</c:v>
                </c:pt>
                <c:pt idx="96">
                  <c:v>-1.32636718244985</c:v>
                </c:pt>
                <c:pt idx="97">
                  <c:v>-1.2223441345492201</c:v>
                </c:pt>
                <c:pt idx="98">
                  <c:v>-2.0723620993883967</c:v>
                </c:pt>
                <c:pt idx="99">
                  <c:v>-2.7324532676669202</c:v>
                </c:pt>
                <c:pt idx="100">
                  <c:v>-0.63337060376973464</c:v>
                </c:pt>
                <c:pt idx="101">
                  <c:v>9.5838611210652444E-2</c:v>
                </c:pt>
                <c:pt idx="102">
                  <c:v>1.1482887528088022</c:v>
                </c:pt>
                <c:pt idx="103">
                  <c:v>0.75221699742709103</c:v>
                </c:pt>
                <c:pt idx="104">
                  <c:v>1.3311263409992298</c:v>
                </c:pt>
                <c:pt idx="105">
                  <c:v>2.7917723438337188</c:v>
                </c:pt>
                <c:pt idx="106">
                  <c:v>2.3170335122768999</c:v>
                </c:pt>
                <c:pt idx="107">
                  <c:v>3.2745588949607587</c:v>
                </c:pt>
                <c:pt idx="108">
                  <c:v>5.2715012945704114</c:v>
                </c:pt>
                <c:pt idx="109">
                  <c:v>4.258699314484983</c:v>
                </c:pt>
                <c:pt idx="110">
                  <c:v>3.2957566697724898</c:v>
                </c:pt>
                <c:pt idx="111">
                  <c:v>-0.28500131156903297</c:v>
                </c:pt>
                <c:pt idx="112">
                  <c:v>-3.7599540494605699</c:v>
                </c:pt>
                <c:pt idx="113">
                  <c:v>-4.25229593800207</c:v>
                </c:pt>
                <c:pt idx="114">
                  <c:v>-3.2415187000152601</c:v>
                </c:pt>
                <c:pt idx="115">
                  <c:v>-2.4995018733566399</c:v>
                </c:pt>
              </c:numCache>
            </c:numRef>
          </c:val>
        </c:ser>
        <c:ser>
          <c:idx val="1"/>
          <c:order val="1"/>
          <c:tx>
            <c:strRef>
              <c:f>Charts!$S$1</c:f>
              <c:strCache>
                <c:ptCount val="1"/>
                <c:pt idx="0">
                  <c:v>h</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Charts!$S$2:$S$117</c:f>
              <c:numCache>
                <c:formatCode>General</c:formatCode>
                <c:ptCount val="116"/>
                <c:pt idx="0">
                  <c:v>2.5629813778466612</c:v>
                </c:pt>
                <c:pt idx="1">
                  <c:v>3.1731580379742197</c:v>
                </c:pt>
                <c:pt idx="2">
                  <c:v>2.8496795347405177</c:v>
                </c:pt>
                <c:pt idx="3">
                  <c:v>1.9768140810105801</c:v>
                </c:pt>
                <c:pt idx="4">
                  <c:v>0.8748113399409615</c:v>
                </c:pt>
                <c:pt idx="5">
                  <c:v>-0.7476633341134119</c:v>
                </c:pt>
                <c:pt idx="6">
                  <c:v>-2.5425522438829402</c:v>
                </c:pt>
                <c:pt idx="7">
                  <c:v>-3.4975386025152502</c:v>
                </c:pt>
                <c:pt idx="8">
                  <c:v>-3.2100081280047377</c:v>
                </c:pt>
                <c:pt idx="9">
                  <c:v>-2.2533462767202499</c:v>
                </c:pt>
                <c:pt idx="10">
                  <c:v>-1.2171461499493199</c:v>
                </c:pt>
                <c:pt idx="11">
                  <c:v>-1.2219799075577698</c:v>
                </c:pt>
                <c:pt idx="12">
                  <c:v>-1.4054391930663128</c:v>
                </c:pt>
                <c:pt idx="13">
                  <c:v>-1.325833712554839</c:v>
                </c:pt>
                <c:pt idx="14">
                  <c:v>-0.90673977260591365</c:v>
                </c:pt>
                <c:pt idx="15">
                  <c:v>-1.1043666337331899</c:v>
                </c:pt>
                <c:pt idx="16">
                  <c:v>-0.67509724409220062</c:v>
                </c:pt>
                <c:pt idx="17">
                  <c:v>-0.37409692269125838</c:v>
                </c:pt>
                <c:pt idx="18">
                  <c:v>-0.12756075276225701</c:v>
                </c:pt>
                <c:pt idx="19">
                  <c:v>0.134573393039883</c:v>
                </c:pt>
                <c:pt idx="20">
                  <c:v>0.47755466752977177</c:v>
                </c:pt>
                <c:pt idx="21">
                  <c:v>0.60535031514969995</c:v>
                </c:pt>
                <c:pt idx="22">
                  <c:v>0.13457900867672701</c:v>
                </c:pt>
                <c:pt idx="23">
                  <c:v>-0.12632302306076987</c:v>
                </c:pt>
                <c:pt idx="24">
                  <c:v>-0.19047996311405388</c:v>
                </c:pt>
                <c:pt idx="25">
                  <c:v>0.32146045735459905</c:v>
                </c:pt>
                <c:pt idx="26">
                  <c:v>0.49016255716082924</c:v>
                </c:pt>
                <c:pt idx="27">
                  <c:v>1.1043004423331799</c:v>
                </c:pt>
                <c:pt idx="28">
                  <c:v>1.5014788673036099</c:v>
                </c:pt>
                <c:pt idx="29">
                  <c:v>1.4389547987270472</c:v>
                </c:pt>
                <c:pt idx="30">
                  <c:v>1.1887181789656642</c:v>
                </c:pt>
                <c:pt idx="31">
                  <c:v>1.2509720036329799</c:v>
                </c:pt>
                <c:pt idx="32">
                  <c:v>1.9532282194799382</c:v>
                </c:pt>
                <c:pt idx="33">
                  <c:v>1.7028982157555375</c:v>
                </c:pt>
                <c:pt idx="34">
                  <c:v>1.6506472140722701</c:v>
                </c:pt>
                <c:pt idx="35">
                  <c:v>1.6207653246575981</c:v>
                </c:pt>
                <c:pt idx="36">
                  <c:v>2.0702614032296967</c:v>
                </c:pt>
                <c:pt idx="37">
                  <c:v>1.9245699271802901</c:v>
                </c:pt>
                <c:pt idx="38">
                  <c:v>1.5192249605235899</c:v>
                </c:pt>
                <c:pt idx="39">
                  <c:v>0.47621461106857138</c:v>
                </c:pt>
                <c:pt idx="40">
                  <c:v>-0.46955692897601198</c:v>
                </c:pt>
                <c:pt idx="41">
                  <c:v>-0.27667180153267307</c:v>
                </c:pt>
                <c:pt idx="42">
                  <c:v>-0.40733897544404746</c:v>
                </c:pt>
                <c:pt idx="43">
                  <c:v>-0.71559129967655932</c:v>
                </c:pt>
                <c:pt idx="44">
                  <c:v>-1.10729053633616</c:v>
                </c:pt>
                <c:pt idx="45">
                  <c:v>-1.4714579029670101</c:v>
                </c:pt>
                <c:pt idx="46">
                  <c:v>-1.7435525605275601</c:v>
                </c:pt>
                <c:pt idx="47">
                  <c:v>-1.8424687087867542</c:v>
                </c:pt>
                <c:pt idx="48">
                  <c:v>-1.4324053271635302</c:v>
                </c:pt>
                <c:pt idx="49">
                  <c:v>-1.5463790521319098</c:v>
                </c:pt>
                <c:pt idx="50">
                  <c:v>-1.3115505668381471</c:v>
                </c:pt>
                <c:pt idx="51">
                  <c:v>-1.2936034675194354</c:v>
                </c:pt>
                <c:pt idx="52">
                  <c:v>-1.0573358313088081</c:v>
                </c:pt>
                <c:pt idx="53">
                  <c:v>-0.45852463317094805</c:v>
                </c:pt>
                <c:pt idx="54">
                  <c:v>0.22083368682439541</c:v>
                </c:pt>
                <c:pt idx="55">
                  <c:v>0.56562956650289553</c:v>
                </c:pt>
                <c:pt idx="56">
                  <c:v>0.74643832263712262</c:v>
                </c:pt>
                <c:pt idx="57">
                  <c:v>0.39241435352019932</c:v>
                </c:pt>
                <c:pt idx="58">
                  <c:v>0.20583213349435187</c:v>
                </c:pt>
                <c:pt idx="59">
                  <c:v>9.8220779291225066E-3</c:v>
                </c:pt>
                <c:pt idx="60">
                  <c:v>-3.0372042887538801E-2</c:v>
                </c:pt>
                <c:pt idx="61">
                  <c:v>-0.16322349746751341</c:v>
                </c:pt>
                <c:pt idx="62">
                  <c:v>-0.48424827179493507</c:v>
                </c:pt>
                <c:pt idx="63">
                  <c:v>-1.0013037371679112</c:v>
                </c:pt>
                <c:pt idx="64">
                  <c:v>-0.70942360971528706</c:v>
                </c:pt>
                <c:pt idx="65">
                  <c:v>-0.53155139072919999</c:v>
                </c:pt>
                <c:pt idx="66">
                  <c:v>2.7265308252923299E-2</c:v>
                </c:pt>
                <c:pt idx="67">
                  <c:v>-0.10008470468605422</c:v>
                </c:pt>
                <c:pt idx="68">
                  <c:v>-0.10391486228043002</c:v>
                </c:pt>
                <c:pt idx="69">
                  <c:v>-1.1148244325465101E-2</c:v>
                </c:pt>
                <c:pt idx="70">
                  <c:v>0.14968511617494698</c:v>
                </c:pt>
                <c:pt idx="71">
                  <c:v>0.20130355386846999</c:v>
                </c:pt>
                <c:pt idx="72">
                  <c:v>0.36182055020577064</c:v>
                </c:pt>
                <c:pt idx="73">
                  <c:v>0.40871177191502966</c:v>
                </c:pt>
                <c:pt idx="74">
                  <c:v>0.55808634788127365</c:v>
                </c:pt>
                <c:pt idx="75">
                  <c:v>0.60480316213160601</c:v>
                </c:pt>
                <c:pt idx="76">
                  <c:v>1.0010431947256</c:v>
                </c:pt>
                <c:pt idx="77">
                  <c:v>0.81015862374744807</c:v>
                </c:pt>
                <c:pt idx="78">
                  <c:v>0.50024857528461197</c:v>
                </c:pt>
                <c:pt idx="79">
                  <c:v>0.52024342628415265</c:v>
                </c:pt>
                <c:pt idx="80">
                  <c:v>0.18397129833438441</c:v>
                </c:pt>
                <c:pt idx="81">
                  <c:v>-6.6177739118256099E-2</c:v>
                </c:pt>
                <c:pt idx="82">
                  <c:v>-0.53611799868855703</c:v>
                </c:pt>
                <c:pt idx="83">
                  <c:v>-1.1179628319044199</c:v>
                </c:pt>
                <c:pt idx="84">
                  <c:v>-0.86692681654552151</c:v>
                </c:pt>
                <c:pt idx="85">
                  <c:v>-0.29449000362068728</c:v>
                </c:pt>
                <c:pt idx="86">
                  <c:v>0.12426768512155378</c:v>
                </c:pt>
                <c:pt idx="87">
                  <c:v>0.22443748418368917</c:v>
                </c:pt>
                <c:pt idx="88">
                  <c:v>0.49428666076647587</c:v>
                </c:pt>
                <c:pt idx="89">
                  <c:v>3.7820608641592202E-2</c:v>
                </c:pt>
                <c:pt idx="90">
                  <c:v>-0.116809707581567</c:v>
                </c:pt>
                <c:pt idx="91">
                  <c:v>0.10142713882626</c:v>
                </c:pt>
                <c:pt idx="92">
                  <c:v>7.964258066008871E-2</c:v>
                </c:pt>
                <c:pt idx="93">
                  <c:v>0.26138965875368597</c:v>
                </c:pt>
                <c:pt idx="94">
                  <c:v>2.61085373280956E-2</c:v>
                </c:pt>
                <c:pt idx="95">
                  <c:v>-0.19701998793300021</c:v>
                </c:pt>
                <c:pt idx="96">
                  <c:v>-0.34511343918124432</c:v>
                </c:pt>
                <c:pt idx="97">
                  <c:v>-0.33876630107550165</c:v>
                </c:pt>
                <c:pt idx="98">
                  <c:v>-0.26456376237371532</c:v>
                </c:pt>
                <c:pt idx="99">
                  <c:v>-0.28006888289724191</c:v>
                </c:pt>
                <c:pt idx="100">
                  <c:v>-0.31825137011526555</c:v>
                </c:pt>
                <c:pt idx="101">
                  <c:v>0.24505641155565541</c:v>
                </c:pt>
                <c:pt idx="102">
                  <c:v>4.5449104804795595E-2</c:v>
                </c:pt>
                <c:pt idx="103">
                  <c:v>1.8288092064722202E-2</c:v>
                </c:pt>
                <c:pt idx="104">
                  <c:v>0.61908265007811702</c:v>
                </c:pt>
                <c:pt idx="105">
                  <c:v>0.76025092552862694</c:v>
                </c:pt>
                <c:pt idx="106">
                  <c:v>0.91361463844513635</c:v>
                </c:pt>
                <c:pt idx="107">
                  <c:v>1.0731414520274052</c:v>
                </c:pt>
                <c:pt idx="108">
                  <c:v>1.3856810203265522</c:v>
                </c:pt>
                <c:pt idx="109">
                  <c:v>1.4087852839864499</c:v>
                </c:pt>
                <c:pt idx="110">
                  <c:v>1.0759532330140198</c:v>
                </c:pt>
                <c:pt idx="111">
                  <c:v>0.66350776661296951</c:v>
                </c:pt>
                <c:pt idx="112">
                  <c:v>-0.99483548678307465</c:v>
                </c:pt>
                <c:pt idx="113">
                  <c:v>-1.4791412910932678</c:v>
                </c:pt>
                <c:pt idx="114">
                  <c:v>-1.8012792380600458</c:v>
                </c:pt>
                <c:pt idx="115">
                  <c:v>-1.8171662561163398</c:v>
                </c:pt>
              </c:numCache>
            </c:numRef>
          </c:val>
        </c:ser>
        <c:ser>
          <c:idx val="4"/>
          <c:order val="2"/>
          <c:tx>
            <c:strRef>
              <c:f>Charts!$V$1</c:f>
              <c:strCache>
                <c:ptCount val="1"/>
                <c:pt idx="0">
                  <c:v>c</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Charts!$V$2:$V$117</c:f>
              <c:numCache>
                <c:formatCode>General</c:formatCode>
                <c:ptCount val="116"/>
                <c:pt idx="0">
                  <c:v>2.1904046918360001</c:v>
                </c:pt>
                <c:pt idx="1">
                  <c:v>1.8348922991442898</c:v>
                </c:pt>
                <c:pt idx="2">
                  <c:v>1.8501581035196157</c:v>
                </c:pt>
                <c:pt idx="3">
                  <c:v>1.1658952943434482</c:v>
                </c:pt>
                <c:pt idx="4">
                  <c:v>0.85818121218166465</c:v>
                </c:pt>
                <c:pt idx="5">
                  <c:v>-8.7441686958733389E-2</c:v>
                </c:pt>
                <c:pt idx="6">
                  <c:v>-0.75706051032611565</c:v>
                </c:pt>
                <c:pt idx="7">
                  <c:v>-2.1362054141144626</c:v>
                </c:pt>
                <c:pt idx="8">
                  <c:v>-1.52169259170023</c:v>
                </c:pt>
                <c:pt idx="9">
                  <c:v>-1.2436737080745315</c:v>
                </c:pt>
                <c:pt idx="10">
                  <c:v>-1.1669793703594658</c:v>
                </c:pt>
                <c:pt idx="11">
                  <c:v>-1.2688813896094298</c:v>
                </c:pt>
                <c:pt idx="12">
                  <c:v>-1.29218141477239</c:v>
                </c:pt>
                <c:pt idx="13">
                  <c:v>-0.89012754392620153</c:v>
                </c:pt>
                <c:pt idx="14">
                  <c:v>-1.3950352617666613</c:v>
                </c:pt>
                <c:pt idx="15">
                  <c:v>-0.60174082327353906</c:v>
                </c:pt>
                <c:pt idx="16">
                  <c:v>-0.26614248638843196</c:v>
                </c:pt>
                <c:pt idx="17">
                  <c:v>-0.82275342103663696</c:v>
                </c:pt>
                <c:pt idx="18">
                  <c:v>-1.507525809199E-2</c:v>
                </c:pt>
                <c:pt idx="19">
                  <c:v>-0.19941260753917694</c:v>
                </c:pt>
                <c:pt idx="20">
                  <c:v>-1.0423137573283698</c:v>
                </c:pt>
                <c:pt idx="21">
                  <c:v>-0.23614756253031999</c:v>
                </c:pt>
                <c:pt idx="22">
                  <c:v>4.3644467881875898E-2</c:v>
                </c:pt>
                <c:pt idx="23">
                  <c:v>-9.9741782838158599E-2</c:v>
                </c:pt>
                <c:pt idx="24">
                  <c:v>-0.31497730922985884</c:v>
                </c:pt>
                <c:pt idx="25">
                  <c:v>0.116957532783246</c:v>
                </c:pt>
                <c:pt idx="26">
                  <c:v>0.20649774809432309</c:v>
                </c:pt>
                <c:pt idx="27">
                  <c:v>0.18020574314015494</c:v>
                </c:pt>
                <c:pt idx="28">
                  <c:v>0.26802156326352378</c:v>
                </c:pt>
                <c:pt idx="29">
                  <c:v>1.2419672252205398</c:v>
                </c:pt>
                <c:pt idx="30">
                  <c:v>0.90196943228700277</c:v>
                </c:pt>
                <c:pt idx="31">
                  <c:v>1.11566105822415</c:v>
                </c:pt>
                <c:pt idx="32">
                  <c:v>2.0700420458980977</c:v>
                </c:pt>
                <c:pt idx="33">
                  <c:v>1.8610311500131298</c:v>
                </c:pt>
                <c:pt idx="34">
                  <c:v>1.54151394899564</c:v>
                </c:pt>
                <c:pt idx="35">
                  <c:v>1.6343115768021801</c:v>
                </c:pt>
                <c:pt idx="36">
                  <c:v>2.4432113211741302</c:v>
                </c:pt>
                <c:pt idx="37">
                  <c:v>1.2812968251145298</c:v>
                </c:pt>
                <c:pt idx="38">
                  <c:v>1.1257740245524099</c:v>
                </c:pt>
                <c:pt idx="39">
                  <c:v>0.49923974490138079</c:v>
                </c:pt>
                <c:pt idx="40">
                  <c:v>-1.0891616971912108</c:v>
                </c:pt>
                <c:pt idx="41">
                  <c:v>-0.94917520991994997</c:v>
                </c:pt>
                <c:pt idx="42">
                  <c:v>-1.1144105754156048</c:v>
                </c:pt>
                <c:pt idx="43">
                  <c:v>-0.19445824130635544</c:v>
                </c:pt>
                <c:pt idx="44">
                  <c:v>-0.47627604860718276</c:v>
                </c:pt>
                <c:pt idx="45">
                  <c:v>-0.49654570193259795</c:v>
                </c:pt>
                <c:pt idx="46">
                  <c:v>-0.6417922333679128</c:v>
                </c:pt>
                <c:pt idx="47">
                  <c:v>-1.1796336339328302</c:v>
                </c:pt>
                <c:pt idx="48">
                  <c:v>-0.72709997450231778</c:v>
                </c:pt>
                <c:pt idx="49">
                  <c:v>-0.78072625492833203</c:v>
                </c:pt>
                <c:pt idx="50">
                  <c:v>-0.60531513757737865</c:v>
                </c:pt>
                <c:pt idx="51">
                  <c:v>-0.75157813091060199</c:v>
                </c:pt>
                <c:pt idx="52">
                  <c:v>0.32699317857769788</c:v>
                </c:pt>
                <c:pt idx="53">
                  <c:v>-2.924845927712031E-2</c:v>
                </c:pt>
                <c:pt idx="54">
                  <c:v>-0.17495556537490101</c:v>
                </c:pt>
                <c:pt idx="55">
                  <c:v>-0.31743958032689917</c:v>
                </c:pt>
                <c:pt idx="56">
                  <c:v>-0.56587549751659505</c:v>
                </c:pt>
                <c:pt idx="57">
                  <c:v>-0.22182291058889797</c:v>
                </c:pt>
                <c:pt idx="58">
                  <c:v>-4.5537841003806513E-2</c:v>
                </c:pt>
                <c:pt idx="59">
                  <c:v>-0.43909717090109301</c:v>
                </c:pt>
                <c:pt idx="60">
                  <c:v>0.36073807872991631</c:v>
                </c:pt>
                <c:pt idx="61">
                  <c:v>-0.23767107736993887</c:v>
                </c:pt>
                <c:pt idx="62">
                  <c:v>-0.7814568857554216</c:v>
                </c:pt>
                <c:pt idx="63">
                  <c:v>-0.42876894856025438</c:v>
                </c:pt>
                <c:pt idx="64">
                  <c:v>0.39908834263597825</c:v>
                </c:pt>
                <c:pt idx="65">
                  <c:v>0.36172997684841796</c:v>
                </c:pt>
                <c:pt idx="66">
                  <c:v>0.47844441287399098</c:v>
                </c:pt>
                <c:pt idx="67">
                  <c:v>-0.15651577172288741</c:v>
                </c:pt>
                <c:pt idx="68">
                  <c:v>-4.0735827134597023E-2</c:v>
                </c:pt>
                <c:pt idx="69">
                  <c:v>3.6198518801278098E-2</c:v>
                </c:pt>
                <c:pt idx="70">
                  <c:v>-0.15516890185783894</c:v>
                </c:pt>
                <c:pt idx="71">
                  <c:v>-0.46637778112972883</c:v>
                </c:pt>
                <c:pt idx="72">
                  <c:v>-1.8523630468081403E-2</c:v>
                </c:pt>
                <c:pt idx="73">
                  <c:v>0.287449824785035</c:v>
                </c:pt>
                <c:pt idx="74">
                  <c:v>0.19012473655717299</c:v>
                </c:pt>
                <c:pt idx="75">
                  <c:v>0.3992857006350724</c:v>
                </c:pt>
                <c:pt idx="76">
                  <c:v>0.67751758484515456</c:v>
                </c:pt>
                <c:pt idx="77">
                  <c:v>0.86508450345128662</c:v>
                </c:pt>
                <c:pt idx="78">
                  <c:v>0.97334862222902363</c:v>
                </c:pt>
                <c:pt idx="79">
                  <c:v>1.13688962913567</c:v>
                </c:pt>
                <c:pt idx="80">
                  <c:v>0.89318426924283056</c:v>
                </c:pt>
                <c:pt idx="81">
                  <c:v>-8.4121268397661167E-2</c:v>
                </c:pt>
                <c:pt idx="82">
                  <c:v>-0.50883313490143856</c:v>
                </c:pt>
                <c:pt idx="83">
                  <c:v>-1.2377614055919235</c:v>
                </c:pt>
                <c:pt idx="84">
                  <c:v>-0.84295153508460263</c:v>
                </c:pt>
                <c:pt idx="85">
                  <c:v>-0.12933707711475487</c:v>
                </c:pt>
                <c:pt idx="86">
                  <c:v>-0.44175664070830623</c:v>
                </c:pt>
                <c:pt idx="87">
                  <c:v>-0.47897529922045257</c:v>
                </c:pt>
                <c:pt idx="88">
                  <c:v>-0.528692928103069</c:v>
                </c:pt>
                <c:pt idx="89">
                  <c:v>-0.36479614324811399</c:v>
                </c:pt>
                <c:pt idx="90">
                  <c:v>-0.41816602746749298</c:v>
                </c:pt>
                <c:pt idx="91">
                  <c:v>-0.29309066598275679</c:v>
                </c:pt>
                <c:pt idx="92">
                  <c:v>-1.0054290249961201E-2</c:v>
                </c:pt>
                <c:pt idx="93">
                  <c:v>-0.27189885005771697</c:v>
                </c:pt>
                <c:pt idx="94">
                  <c:v>-0.33522611126531066</c:v>
                </c:pt>
                <c:pt idx="95">
                  <c:v>-0.37153370294831201</c:v>
                </c:pt>
                <c:pt idx="96">
                  <c:v>5.3885562134503587E-2</c:v>
                </c:pt>
                <c:pt idx="97">
                  <c:v>4.9025179791683957E-2</c:v>
                </c:pt>
                <c:pt idx="98">
                  <c:v>-9.1205132643246228E-2</c:v>
                </c:pt>
                <c:pt idx="99">
                  <c:v>8.4186001424058104E-2</c:v>
                </c:pt>
                <c:pt idx="100">
                  <c:v>0.22606316179540994</c:v>
                </c:pt>
                <c:pt idx="101">
                  <c:v>6.2921512025049309E-2</c:v>
                </c:pt>
                <c:pt idx="102">
                  <c:v>0.12946632618877599</c:v>
                </c:pt>
                <c:pt idx="103">
                  <c:v>0.21581465241879999</c:v>
                </c:pt>
                <c:pt idx="104">
                  <c:v>0.31995802239388788</c:v>
                </c:pt>
                <c:pt idx="105">
                  <c:v>0.69101958363386762</c:v>
                </c:pt>
                <c:pt idx="106">
                  <c:v>1.0303165098953821</c:v>
                </c:pt>
                <c:pt idx="107">
                  <c:v>2.0477820876962602</c:v>
                </c:pt>
                <c:pt idx="108">
                  <c:v>1.4810792557338825</c:v>
                </c:pt>
                <c:pt idx="109">
                  <c:v>1.1770258889033201</c:v>
                </c:pt>
                <c:pt idx="110">
                  <c:v>0.56537988756435564</c:v>
                </c:pt>
                <c:pt idx="111">
                  <c:v>-0.57867808910288165</c:v>
                </c:pt>
                <c:pt idx="112">
                  <c:v>-0.91742554434919465</c:v>
                </c:pt>
                <c:pt idx="113">
                  <c:v>-1.13067490761694</c:v>
                </c:pt>
                <c:pt idx="114">
                  <c:v>-1.2018877173865399</c:v>
                </c:pt>
                <c:pt idx="115">
                  <c:v>-1.2708589403178701</c:v>
                </c:pt>
              </c:numCache>
            </c:numRef>
          </c:val>
        </c:ser>
        <c:ser>
          <c:idx val="5"/>
          <c:order val="3"/>
          <c:tx>
            <c:strRef>
              <c:f>Charts!$W$1</c:f>
              <c:strCache>
                <c:ptCount val="1"/>
                <c:pt idx="0">
                  <c:v>i</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Charts!$W$2:$W$117</c:f>
              <c:numCache>
                <c:formatCode>General</c:formatCode>
                <c:ptCount val="116"/>
                <c:pt idx="0">
                  <c:v>8.748724703211364</c:v>
                </c:pt>
                <c:pt idx="1">
                  <c:v>11.701272745595668</c:v>
                </c:pt>
                <c:pt idx="2">
                  <c:v>8.6876120350405408</c:v>
                </c:pt>
                <c:pt idx="3">
                  <c:v>6.4912011231400895</c:v>
                </c:pt>
                <c:pt idx="4">
                  <c:v>3.3190676039675187</c:v>
                </c:pt>
                <c:pt idx="5">
                  <c:v>-5.2340707291067465</c:v>
                </c:pt>
                <c:pt idx="6">
                  <c:v>-10.748207999962201</c:v>
                </c:pt>
                <c:pt idx="7">
                  <c:v>-7.4602117382736894</c:v>
                </c:pt>
                <c:pt idx="8">
                  <c:v>-6.85276674371576</c:v>
                </c:pt>
                <c:pt idx="9">
                  <c:v>-3.4817494836261709</c:v>
                </c:pt>
                <c:pt idx="10">
                  <c:v>-2.9450817461287002</c:v>
                </c:pt>
                <c:pt idx="11">
                  <c:v>-3.4523391259200977</c:v>
                </c:pt>
                <c:pt idx="12">
                  <c:v>-3.8324923416034578</c:v>
                </c:pt>
                <c:pt idx="13">
                  <c:v>-5.0820276998292595</c:v>
                </c:pt>
                <c:pt idx="14">
                  <c:v>-4.9568997995365534</c:v>
                </c:pt>
                <c:pt idx="15">
                  <c:v>-6.5842059723493707</c:v>
                </c:pt>
                <c:pt idx="16">
                  <c:v>-5.53754128751756</c:v>
                </c:pt>
                <c:pt idx="17">
                  <c:v>-2.2619806855582101</c:v>
                </c:pt>
                <c:pt idx="18">
                  <c:v>-3.1665843684616807E-2</c:v>
                </c:pt>
                <c:pt idx="19">
                  <c:v>8.6518398818569264E-2</c:v>
                </c:pt>
                <c:pt idx="20">
                  <c:v>0.3199372938191114</c:v>
                </c:pt>
                <c:pt idx="21">
                  <c:v>-1.7634658808189498</c:v>
                </c:pt>
                <c:pt idx="22">
                  <c:v>-3.5787518080351099</c:v>
                </c:pt>
                <c:pt idx="23">
                  <c:v>-4.4670106045987845</c:v>
                </c:pt>
                <c:pt idx="24">
                  <c:v>-2.9262474673943797</c:v>
                </c:pt>
                <c:pt idx="25">
                  <c:v>1.1792965883175899</c:v>
                </c:pt>
                <c:pt idx="26">
                  <c:v>5.1362323519457602</c:v>
                </c:pt>
                <c:pt idx="27">
                  <c:v>5.67312665253219</c:v>
                </c:pt>
                <c:pt idx="28">
                  <c:v>5.4974149738961655</c:v>
                </c:pt>
                <c:pt idx="29">
                  <c:v>5.8361657957039696</c:v>
                </c:pt>
                <c:pt idx="30">
                  <c:v>7.7135765132563705</c:v>
                </c:pt>
                <c:pt idx="31">
                  <c:v>6.68167191823823</c:v>
                </c:pt>
                <c:pt idx="32">
                  <c:v>9.7604614170093047</c:v>
                </c:pt>
                <c:pt idx="33">
                  <c:v>7.7182869709813975</c:v>
                </c:pt>
                <c:pt idx="34">
                  <c:v>6.9060709531820414</c:v>
                </c:pt>
                <c:pt idx="35">
                  <c:v>10.1391341072807</c:v>
                </c:pt>
                <c:pt idx="36">
                  <c:v>8.4941779826022987</c:v>
                </c:pt>
                <c:pt idx="37">
                  <c:v>5.6478605696551645</c:v>
                </c:pt>
                <c:pt idx="38">
                  <c:v>1.7456139977079204</c:v>
                </c:pt>
                <c:pt idx="39">
                  <c:v>-3.4423683168267187</c:v>
                </c:pt>
                <c:pt idx="40">
                  <c:v>-2.7229485662859401</c:v>
                </c:pt>
                <c:pt idx="41">
                  <c:v>-3.7143613628068612</c:v>
                </c:pt>
                <c:pt idx="42">
                  <c:v>-2.9554367756739799</c:v>
                </c:pt>
                <c:pt idx="43">
                  <c:v>-0.96109659832084304</c:v>
                </c:pt>
                <c:pt idx="44">
                  <c:v>-1.2004461761934599</c:v>
                </c:pt>
                <c:pt idx="45">
                  <c:v>-5.15660946936603</c:v>
                </c:pt>
                <c:pt idx="46">
                  <c:v>-2.0628176590498977</c:v>
                </c:pt>
                <c:pt idx="47">
                  <c:v>-6.3932653455397714</c:v>
                </c:pt>
                <c:pt idx="48">
                  <c:v>-8.5373240680926319</c:v>
                </c:pt>
                <c:pt idx="49">
                  <c:v>-5.9810312751229899</c:v>
                </c:pt>
                <c:pt idx="50">
                  <c:v>-3.7709907875047612</c:v>
                </c:pt>
                <c:pt idx="51">
                  <c:v>-1.9007902815626898</c:v>
                </c:pt>
                <c:pt idx="52">
                  <c:v>-0.88491036437790416</c:v>
                </c:pt>
                <c:pt idx="53">
                  <c:v>2.1355913508926645</c:v>
                </c:pt>
                <c:pt idx="54">
                  <c:v>1.3426904200722201</c:v>
                </c:pt>
                <c:pt idx="55">
                  <c:v>1.1394835543889301</c:v>
                </c:pt>
                <c:pt idx="56">
                  <c:v>-1.6407275164386401</c:v>
                </c:pt>
                <c:pt idx="57">
                  <c:v>-3.6688492399155987</c:v>
                </c:pt>
                <c:pt idx="58">
                  <c:v>-5.9832291088488372</c:v>
                </c:pt>
                <c:pt idx="59">
                  <c:v>-7.7154236852692524</c:v>
                </c:pt>
                <c:pt idx="60">
                  <c:v>-6.6252748130161745</c:v>
                </c:pt>
                <c:pt idx="61">
                  <c:v>-7.1664847961258245</c:v>
                </c:pt>
                <c:pt idx="62">
                  <c:v>-3.7353891418734002</c:v>
                </c:pt>
                <c:pt idx="63">
                  <c:v>0.57578839546118465</c:v>
                </c:pt>
                <c:pt idx="64">
                  <c:v>3.3409125798121102</c:v>
                </c:pt>
                <c:pt idx="65">
                  <c:v>5.4581632073690001</c:v>
                </c:pt>
                <c:pt idx="66">
                  <c:v>7.7736048039542034</c:v>
                </c:pt>
                <c:pt idx="67">
                  <c:v>6.7847895433889285</c:v>
                </c:pt>
                <c:pt idx="68">
                  <c:v>4.2062841964922324</c:v>
                </c:pt>
                <c:pt idx="69">
                  <c:v>2.7465147406182258</c:v>
                </c:pt>
                <c:pt idx="70">
                  <c:v>0.88349202549782258</c:v>
                </c:pt>
                <c:pt idx="71">
                  <c:v>0.75211512915114298</c:v>
                </c:pt>
                <c:pt idx="72">
                  <c:v>0.68877544708086846</c:v>
                </c:pt>
                <c:pt idx="73">
                  <c:v>2.4466068028337067</c:v>
                </c:pt>
                <c:pt idx="74">
                  <c:v>2.3526714353023177</c:v>
                </c:pt>
                <c:pt idx="75">
                  <c:v>3.5903367541267333</c:v>
                </c:pt>
                <c:pt idx="76">
                  <c:v>3.19663974929902</c:v>
                </c:pt>
                <c:pt idx="77">
                  <c:v>1.7976110503431098</c:v>
                </c:pt>
                <c:pt idx="78">
                  <c:v>1.5945209869382801</c:v>
                </c:pt>
                <c:pt idx="79">
                  <c:v>0.411924581857398</c:v>
                </c:pt>
                <c:pt idx="80">
                  <c:v>1.1552317822562899</c:v>
                </c:pt>
                <c:pt idx="81">
                  <c:v>1.0573704824283299</c:v>
                </c:pt>
                <c:pt idx="82">
                  <c:v>0.54389475680081845</c:v>
                </c:pt>
                <c:pt idx="83">
                  <c:v>-3.8846161767473602</c:v>
                </c:pt>
                <c:pt idx="84">
                  <c:v>-4.0730921345649032</c:v>
                </c:pt>
                <c:pt idx="85">
                  <c:v>-4.1071998478850542</c:v>
                </c:pt>
                <c:pt idx="86">
                  <c:v>-3.8126875653619101</c:v>
                </c:pt>
                <c:pt idx="87">
                  <c:v>-4.7609846357421075</c:v>
                </c:pt>
                <c:pt idx="88">
                  <c:v>-4.8081958780431755</c:v>
                </c:pt>
                <c:pt idx="89">
                  <c:v>-4.8795139958887424</c:v>
                </c:pt>
                <c:pt idx="90">
                  <c:v>-3.0394335704754001</c:v>
                </c:pt>
                <c:pt idx="91">
                  <c:v>-1.9933899867540501</c:v>
                </c:pt>
                <c:pt idx="92">
                  <c:v>-2.0245747836945402</c:v>
                </c:pt>
                <c:pt idx="93">
                  <c:v>-2.3376858315254267</c:v>
                </c:pt>
                <c:pt idx="94">
                  <c:v>-1.9900538412340951</c:v>
                </c:pt>
                <c:pt idx="95">
                  <c:v>-1.42037757016507</c:v>
                </c:pt>
                <c:pt idx="96">
                  <c:v>-0.24031469201091221</c:v>
                </c:pt>
                <c:pt idx="97">
                  <c:v>0.68732615551745357</c:v>
                </c:pt>
                <c:pt idx="98">
                  <c:v>2.2855695313930702</c:v>
                </c:pt>
                <c:pt idx="99">
                  <c:v>3.3377326157413698</c:v>
                </c:pt>
                <c:pt idx="100">
                  <c:v>4.7027261077296734</c:v>
                </c:pt>
                <c:pt idx="101">
                  <c:v>4.7616657236433442</c:v>
                </c:pt>
                <c:pt idx="102">
                  <c:v>4.3676228759469256</c:v>
                </c:pt>
                <c:pt idx="103">
                  <c:v>4.1434408360318455</c:v>
                </c:pt>
                <c:pt idx="104">
                  <c:v>4.3108261109907202</c:v>
                </c:pt>
                <c:pt idx="105">
                  <c:v>5.3262662573926498</c:v>
                </c:pt>
                <c:pt idx="106">
                  <c:v>6.2199191654883599</c:v>
                </c:pt>
                <c:pt idx="107">
                  <c:v>7.0797483091182034</c:v>
                </c:pt>
                <c:pt idx="108">
                  <c:v>6.8422180126431114</c:v>
                </c:pt>
                <c:pt idx="109">
                  <c:v>6.2506727577327199</c:v>
                </c:pt>
                <c:pt idx="110">
                  <c:v>6.1314505397985855</c:v>
                </c:pt>
                <c:pt idx="111">
                  <c:v>0.59633488377862887</c:v>
                </c:pt>
                <c:pt idx="112">
                  <c:v>-9.5307002419756905</c:v>
                </c:pt>
                <c:pt idx="113">
                  <c:v>-12.130519278415402</c:v>
                </c:pt>
                <c:pt idx="114">
                  <c:v>-9.4229143788414547</c:v>
                </c:pt>
                <c:pt idx="115">
                  <c:v>-8.6292116220029289</c:v>
                </c:pt>
              </c:numCache>
            </c:numRef>
          </c:val>
        </c:ser>
        <c:dLbls/>
        <c:marker val="1"/>
        <c:axId val="28225920"/>
        <c:axId val="28227456"/>
      </c:lineChart>
      <c:catAx>
        <c:axId val="28225920"/>
        <c:scaling>
          <c:orientation val="minMax"/>
        </c:scaling>
        <c:axPos val="b"/>
        <c:minorTickMark val="out"/>
        <c:tickLblPos val="nextTo"/>
        <c:txPr>
          <a:bodyPr rot="1200000" vert="horz"/>
          <a:lstStyle/>
          <a:p>
            <a:pPr>
              <a:defRPr sz="900" b="0">
                <a:latin typeface="Book Antiqua" pitchFamily="18" charset="0"/>
              </a:defRPr>
            </a:pPr>
            <a:endParaRPr lang="en-US"/>
          </a:p>
        </c:txPr>
        <c:crossAx val="28227456"/>
        <c:crossesAt val="-15"/>
        <c:auto val="1"/>
        <c:lblAlgn val="ctr"/>
        <c:lblOffset val="100"/>
        <c:tickLblSkip val="12"/>
        <c:tickMarkSkip val="24"/>
      </c:catAx>
      <c:valAx>
        <c:axId val="28227456"/>
        <c:scaling>
          <c:orientation val="minMax"/>
          <c:max val="15"/>
          <c:min val="-15"/>
        </c:scaling>
        <c:axPos val="l"/>
        <c:numFmt formatCode="General" sourceLinked="1"/>
        <c:tickLblPos val="nextTo"/>
        <c:txPr>
          <a:bodyPr/>
          <a:lstStyle/>
          <a:p>
            <a:pPr>
              <a:defRPr sz="900">
                <a:latin typeface="Book Antiqua" pitchFamily="18" charset="0"/>
              </a:defRPr>
            </a:pPr>
            <a:endParaRPr lang="en-US"/>
          </a:p>
        </c:txPr>
        <c:crossAx val="28225920"/>
        <c:crosses val="autoZero"/>
        <c:crossBetween val="between"/>
      </c:valAx>
      <c:spPr>
        <a:ln w="6350">
          <a:noFill/>
        </a:ln>
      </c:spPr>
    </c:plotArea>
    <c:legend>
      <c:legendPos val="t"/>
      <c:legendEntry>
        <c:idx val="0"/>
        <c:txPr>
          <a:bodyPr/>
          <a:lstStyle/>
          <a:p>
            <a:pPr>
              <a:defRPr sz="1000" i="1">
                <a:latin typeface="Book Antiqua" pitchFamily="18" charset="0"/>
              </a:defRPr>
            </a:pPr>
            <a:endParaRPr lang="en-US"/>
          </a:p>
        </c:txPr>
      </c:legendEntry>
      <c:legendEntry>
        <c:idx val="1"/>
        <c:txPr>
          <a:bodyPr/>
          <a:lstStyle/>
          <a:p>
            <a:pPr>
              <a:defRPr sz="1000" i="1">
                <a:latin typeface="Book Antiqua" pitchFamily="18" charset="0"/>
              </a:defRPr>
            </a:pPr>
            <a:endParaRPr lang="en-US"/>
          </a:p>
        </c:txPr>
      </c:legendEntry>
      <c:legendEntry>
        <c:idx val="2"/>
        <c:txPr>
          <a:bodyPr/>
          <a:lstStyle/>
          <a:p>
            <a:pPr>
              <a:defRPr sz="1000" i="1">
                <a:latin typeface="Book Antiqua" pitchFamily="18" charset="0"/>
              </a:defRPr>
            </a:pPr>
            <a:endParaRPr lang="en-US"/>
          </a:p>
        </c:txPr>
      </c:legendEntry>
      <c:legendEntry>
        <c:idx val="3"/>
        <c:txPr>
          <a:bodyPr/>
          <a:lstStyle/>
          <a:p>
            <a:pPr>
              <a:defRPr sz="1000" i="1">
                <a:latin typeface="Book Antiqua" pitchFamily="18" charset="0"/>
              </a:defRPr>
            </a:pPr>
            <a:endParaRPr lang="en-US"/>
          </a:p>
        </c:txPr>
      </c:legendEntry>
      <c:layout>
        <c:manualLayout>
          <c:xMode val="edge"/>
          <c:yMode val="edge"/>
          <c:x val="0.61411484415427164"/>
          <c:y val="0"/>
          <c:w val="0.23021489296101771"/>
          <c:h val="0.17875666396750051"/>
        </c:manualLayout>
      </c:layout>
      <c:txPr>
        <a:bodyPr/>
        <a:lstStyle/>
        <a:p>
          <a:pPr>
            <a:defRPr sz="1000">
              <a:latin typeface="Book Antiqua" pitchFamily="18" charset="0"/>
            </a:defRPr>
          </a:pPr>
          <a:endParaRPr lang="en-US"/>
        </a:p>
      </c:txPr>
    </c:legend>
    <c:plotVisOnly val="1"/>
    <c:dispBlanksAs val="gap"/>
  </c:chart>
  <c:spPr>
    <a:ln>
      <a:noFill/>
    </a:ln>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2387983587613052"/>
          <c:y val="2.8701666333278777E-2"/>
          <c:w val="0.79313131313131313"/>
          <c:h val="0.75117243902804465"/>
        </c:manualLayout>
      </c:layout>
      <c:lineChart>
        <c:grouping val="standard"/>
        <c:ser>
          <c:idx val="0"/>
          <c:order val="0"/>
          <c:tx>
            <c:strRef>
              <c:f>Charts!$R$1</c:f>
              <c:strCache>
                <c:ptCount val="1"/>
                <c:pt idx="0">
                  <c:v>d</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Charts!$R$2:$R$117</c:f>
              <c:numCache>
                <c:formatCode>General</c:formatCode>
                <c:ptCount val="116"/>
                <c:pt idx="0">
                  <c:v>10.062709932739876</c:v>
                </c:pt>
                <c:pt idx="1">
                  <c:v>8.0274380731567305</c:v>
                </c:pt>
                <c:pt idx="2">
                  <c:v>3.5178041198660597</c:v>
                </c:pt>
                <c:pt idx="3">
                  <c:v>3.0370521303627367</c:v>
                </c:pt>
                <c:pt idx="4">
                  <c:v>-4.5393723654299833</c:v>
                </c:pt>
                <c:pt idx="5">
                  <c:v>-5.9633387951731418</c:v>
                </c:pt>
                <c:pt idx="6">
                  <c:v>-8.0526702787961248</c:v>
                </c:pt>
                <c:pt idx="7">
                  <c:v>-8.2706635494808687</c:v>
                </c:pt>
                <c:pt idx="8">
                  <c:v>-6.3188759214885755</c:v>
                </c:pt>
                <c:pt idx="9">
                  <c:v>-4.9608849443588445</c:v>
                </c:pt>
                <c:pt idx="10">
                  <c:v>-3.2513860701811002</c:v>
                </c:pt>
                <c:pt idx="11">
                  <c:v>-2.7694292979556612</c:v>
                </c:pt>
                <c:pt idx="12">
                  <c:v>-0.86447721038570469</c:v>
                </c:pt>
                <c:pt idx="13">
                  <c:v>-0.76599869686658051</c:v>
                </c:pt>
                <c:pt idx="14">
                  <c:v>-1.7428786485355698</c:v>
                </c:pt>
                <c:pt idx="15">
                  <c:v>-0.82735720734525808</c:v>
                </c:pt>
                <c:pt idx="16">
                  <c:v>-0.76071001609218969</c:v>
                </c:pt>
                <c:pt idx="17">
                  <c:v>1.31067388068278</c:v>
                </c:pt>
                <c:pt idx="18">
                  <c:v>2.6199849821969412</c:v>
                </c:pt>
                <c:pt idx="19">
                  <c:v>3.8386375164931197</c:v>
                </c:pt>
                <c:pt idx="20">
                  <c:v>2.2360123209979901</c:v>
                </c:pt>
                <c:pt idx="21">
                  <c:v>1.43223318468984</c:v>
                </c:pt>
                <c:pt idx="22">
                  <c:v>2.9247952888480011</c:v>
                </c:pt>
                <c:pt idx="23">
                  <c:v>0.19511696900842398</c:v>
                </c:pt>
                <c:pt idx="24">
                  <c:v>0.49941536365383504</c:v>
                </c:pt>
                <c:pt idx="25">
                  <c:v>2.25609266316091</c:v>
                </c:pt>
                <c:pt idx="26">
                  <c:v>1.9692734233027898</c:v>
                </c:pt>
                <c:pt idx="27">
                  <c:v>3.1267466419407697</c:v>
                </c:pt>
                <c:pt idx="28">
                  <c:v>2.8419664210446967</c:v>
                </c:pt>
                <c:pt idx="29">
                  <c:v>3.1975411459349412</c:v>
                </c:pt>
                <c:pt idx="30">
                  <c:v>3.5728510729152068</c:v>
                </c:pt>
                <c:pt idx="31">
                  <c:v>4.1240667950770398</c:v>
                </c:pt>
                <c:pt idx="32">
                  <c:v>2.4296988735889267</c:v>
                </c:pt>
                <c:pt idx="33">
                  <c:v>5.3131146278728245</c:v>
                </c:pt>
                <c:pt idx="34">
                  <c:v>2.3224304155553077</c:v>
                </c:pt>
                <c:pt idx="35">
                  <c:v>2.2004724976200798</c:v>
                </c:pt>
                <c:pt idx="36">
                  <c:v>4.7185072160418775</c:v>
                </c:pt>
                <c:pt idx="37">
                  <c:v>1.5692827174852702</c:v>
                </c:pt>
                <c:pt idx="38">
                  <c:v>0.48105608160186858</c:v>
                </c:pt>
                <c:pt idx="39">
                  <c:v>-0.90707931365021377</c:v>
                </c:pt>
                <c:pt idx="40">
                  <c:v>-6.7020041503683485</c:v>
                </c:pt>
                <c:pt idx="41">
                  <c:v>-1.2098330860772786</c:v>
                </c:pt>
                <c:pt idx="42">
                  <c:v>-2.5050768257081177</c:v>
                </c:pt>
                <c:pt idx="43">
                  <c:v>-4.4135296285128724</c:v>
                </c:pt>
                <c:pt idx="44">
                  <c:v>-3.5827033807279896</c:v>
                </c:pt>
                <c:pt idx="45">
                  <c:v>-3.6197506125690304</c:v>
                </c:pt>
                <c:pt idx="46">
                  <c:v>-2.7453250646417002</c:v>
                </c:pt>
                <c:pt idx="47">
                  <c:v>-1.66160193341707</c:v>
                </c:pt>
                <c:pt idx="48">
                  <c:v>-2.0883790872007402</c:v>
                </c:pt>
                <c:pt idx="49">
                  <c:v>-1.8121882930891478</c:v>
                </c:pt>
                <c:pt idx="50">
                  <c:v>-1.5438435812489699</c:v>
                </c:pt>
                <c:pt idx="51">
                  <c:v>-2.2144178641649899</c:v>
                </c:pt>
                <c:pt idx="52">
                  <c:v>-0.57345815207998663</c:v>
                </c:pt>
                <c:pt idx="53">
                  <c:v>-0.23359364407333821</c:v>
                </c:pt>
                <c:pt idx="54">
                  <c:v>-0.26947512787708544</c:v>
                </c:pt>
                <c:pt idx="55">
                  <c:v>2.5225828048029202</c:v>
                </c:pt>
                <c:pt idx="56">
                  <c:v>0.25707288421676094</c:v>
                </c:pt>
                <c:pt idx="57">
                  <c:v>-0.3957037736365045</c:v>
                </c:pt>
                <c:pt idx="58">
                  <c:v>0.14790817668863801</c:v>
                </c:pt>
                <c:pt idx="59">
                  <c:v>-2.0816843045061302</c:v>
                </c:pt>
                <c:pt idx="60">
                  <c:v>-2.1345217995271279</c:v>
                </c:pt>
                <c:pt idx="61">
                  <c:v>-2.8910779379913301</c:v>
                </c:pt>
                <c:pt idx="62">
                  <c:v>-3.4101967733890999</c:v>
                </c:pt>
                <c:pt idx="63">
                  <c:v>-1.0747141355008001</c:v>
                </c:pt>
                <c:pt idx="64">
                  <c:v>4.2969218876542904E-2</c:v>
                </c:pt>
                <c:pt idx="65">
                  <c:v>0.71829672928167598</c:v>
                </c:pt>
                <c:pt idx="66">
                  <c:v>1.74175317948926</c:v>
                </c:pt>
                <c:pt idx="67">
                  <c:v>3.2835853178210939</c:v>
                </c:pt>
                <c:pt idx="68">
                  <c:v>-4.9333003139652123E-2</c:v>
                </c:pt>
                <c:pt idx="69">
                  <c:v>1.6428175283667212</c:v>
                </c:pt>
                <c:pt idx="70">
                  <c:v>0.97600995722832773</c:v>
                </c:pt>
                <c:pt idx="71">
                  <c:v>-0.775604832621551</c:v>
                </c:pt>
                <c:pt idx="72">
                  <c:v>0.76544153652665614</c:v>
                </c:pt>
                <c:pt idx="73">
                  <c:v>0.22224449540075941</c:v>
                </c:pt>
                <c:pt idx="74">
                  <c:v>1.7091391737705999</c:v>
                </c:pt>
                <c:pt idx="75">
                  <c:v>1.2379095985942974</c:v>
                </c:pt>
                <c:pt idx="76">
                  <c:v>1.581911884848</c:v>
                </c:pt>
                <c:pt idx="77">
                  <c:v>1.0574320540074598</c:v>
                </c:pt>
                <c:pt idx="78">
                  <c:v>2.52327983262344</c:v>
                </c:pt>
                <c:pt idx="79">
                  <c:v>-0.89326044779072356</c:v>
                </c:pt>
                <c:pt idx="80">
                  <c:v>-1.4294305613838341E-2</c:v>
                </c:pt>
                <c:pt idx="81">
                  <c:v>7.7995528553387303E-2</c:v>
                </c:pt>
                <c:pt idx="82">
                  <c:v>-1.8829798419487804</c:v>
                </c:pt>
                <c:pt idx="83">
                  <c:v>1.2047989390165301</c:v>
                </c:pt>
                <c:pt idx="84">
                  <c:v>2.4744587899840567</c:v>
                </c:pt>
                <c:pt idx="85">
                  <c:v>1.8319232301532618</c:v>
                </c:pt>
                <c:pt idx="86">
                  <c:v>-0.10459485801952402</c:v>
                </c:pt>
                <c:pt idx="87">
                  <c:v>1.0587465559012801</c:v>
                </c:pt>
                <c:pt idx="88">
                  <c:v>0.41792407413938742</c:v>
                </c:pt>
                <c:pt idx="89">
                  <c:v>0.21089638231917929</c:v>
                </c:pt>
                <c:pt idx="90">
                  <c:v>0.64010356351914022</c:v>
                </c:pt>
                <c:pt idx="91">
                  <c:v>-3.0104618094206597</c:v>
                </c:pt>
                <c:pt idx="92">
                  <c:v>-1.2473657283889499</c:v>
                </c:pt>
                <c:pt idx="93">
                  <c:v>-1.7371078466421599</c:v>
                </c:pt>
                <c:pt idx="94">
                  <c:v>-1.62326691385832</c:v>
                </c:pt>
                <c:pt idx="95">
                  <c:v>-2.1873282873103581</c:v>
                </c:pt>
                <c:pt idx="96">
                  <c:v>-1.32636718244985</c:v>
                </c:pt>
                <c:pt idx="97">
                  <c:v>-1.2223441345492201</c:v>
                </c:pt>
                <c:pt idx="98">
                  <c:v>-2.0723620993883967</c:v>
                </c:pt>
                <c:pt idx="99">
                  <c:v>-2.7324532676669202</c:v>
                </c:pt>
                <c:pt idx="100">
                  <c:v>-0.63337060376973464</c:v>
                </c:pt>
                <c:pt idx="101">
                  <c:v>9.5838611210652444E-2</c:v>
                </c:pt>
                <c:pt idx="102">
                  <c:v>1.1482887528088022</c:v>
                </c:pt>
                <c:pt idx="103">
                  <c:v>0.75221699742709103</c:v>
                </c:pt>
                <c:pt idx="104">
                  <c:v>1.3311263409992298</c:v>
                </c:pt>
                <c:pt idx="105">
                  <c:v>2.7917723438337188</c:v>
                </c:pt>
                <c:pt idx="106">
                  <c:v>2.3170335122768999</c:v>
                </c:pt>
                <c:pt idx="107">
                  <c:v>3.2745588949607587</c:v>
                </c:pt>
                <c:pt idx="108">
                  <c:v>5.2715012945704114</c:v>
                </c:pt>
                <c:pt idx="109">
                  <c:v>4.258699314484983</c:v>
                </c:pt>
                <c:pt idx="110">
                  <c:v>3.2957566697724898</c:v>
                </c:pt>
                <c:pt idx="111">
                  <c:v>-0.28500131156903297</c:v>
                </c:pt>
                <c:pt idx="112">
                  <c:v>-3.7599540494605699</c:v>
                </c:pt>
                <c:pt idx="113">
                  <c:v>-4.25229593800207</c:v>
                </c:pt>
                <c:pt idx="114">
                  <c:v>-3.2415187000152601</c:v>
                </c:pt>
                <c:pt idx="115">
                  <c:v>-2.4995018733566399</c:v>
                </c:pt>
              </c:numCache>
            </c:numRef>
          </c:val>
        </c:ser>
        <c:ser>
          <c:idx val="1"/>
          <c:order val="1"/>
          <c:tx>
            <c:strRef>
              <c:f>Charts!$X$1</c:f>
              <c:strCache>
                <c:ptCount val="1"/>
                <c:pt idx="0">
                  <c:v>tby</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Charts!$X$2:$X$117</c:f>
              <c:numCache>
                <c:formatCode>General</c:formatCode>
                <c:ptCount val="116"/>
                <c:pt idx="0">
                  <c:v>-1.1419341454690335</c:v>
                </c:pt>
                <c:pt idx="1">
                  <c:v>-2.1724702296111267</c:v>
                </c:pt>
                <c:pt idx="2">
                  <c:v>-1.7844075049123205</c:v>
                </c:pt>
                <c:pt idx="3">
                  <c:v>-1.0672471886380301</c:v>
                </c:pt>
                <c:pt idx="4">
                  <c:v>0.15545723663654445</c:v>
                </c:pt>
                <c:pt idx="5">
                  <c:v>1.5052596978292507</c:v>
                </c:pt>
                <c:pt idx="6">
                  <c:v>2.0697464410853601</c:v>
                </c:pt>
                <c:pt idx="7">
                  <c:v>1.0290573052384699</c:v>
                </c:pt>
                <c:pt idx="8">
                  <c:v>0.60825103759689692</c:v>
                </c:pt>
                <c:pt idx="9">
                  <c:v>1.1215087246529001</c:v>
                </c:pt>
                <c:pt idx="10">
                  <c:v>-0.35708400399951618</c:v>
                </c:pt>
                <c:pt idx="11">
                  <c:v>-0.54205886171930406</c:v>
                </c:pt>
                <c:pt idx="12">
                  <c:v>-0.199346884363055</c:v>
                </c:pt>
                <c:pt idx="13">
                  <c:v>0.36107117900133001</c:v>
                </c:pt>
                <c:pt idx="14">
                  <c:v>0.94512597110865093</c:v>
                </c:pt>
                <c:pt idx="15">
                  <c:v>1.51879686520683</c:v>
                </c:pt>
                <c:pt idx="16">
                  <c:v>0.96670163081186911</c:v>
                </c:pt>
                <c:pt idx="17">
                  <c:v>0.14939238939891741</c:v>
                </c:pt>
                <c:pt idx="18">
                  <c:v>-0.30604492607597888</c:v>
                </c:pt>
                <c:pt idx="19">
                  <c:v>3.2309347099752812E-2</c:v>
                </c:pt>
                <c:pt idx="20">
                  <c:v>-0.33632965028252937</c:v>
                </c:pt>
                <c:pt idx="21">
                  <c:v>0.21314462922669802</c:v>
                </c:pt>
                <c:pt idx="22">
                  <c:v>0.35034673910826214</c:v>
                </c:pt>
                <c:pt idx="23">
                  <c:v>0.232164117449733</c:v>
                </c:pt>
                <c:pt idx="24">
                  <c:v>0.93803163562685365</c:v>
                </c:pt>
                <c:pt idx="25">
                  <c:v>0.38545106244182398</c:v>
                </c:pt>
                <c:pt idx="26">
                  <c:v>0.37251169692470304</c:v>
                </c:pt>
                <c:pt idx="27">
                  <c:v>-0.74830406880862699</c:v>
                </c:pt>
                <c:pt idx="28">
                  <c:v>-0.19872796245270424</c:v>
                </c:pt>
                <c:pt idx="29">
                  <c:v>0.37696067834088343</c:v>
                </c:pt>
                <c:pt idx="30">
                  <c:v>-0.59152247910305056</c:v>
                </c:pt>
                <c:pt idx="31">
                  <c:v>-0.15730536788343763</c:v>
                </c:pt>
                <c:pt idx="32">
                  <c:v>-0.32480381954990573</c:v>
                </c:pt>
                <c:pt idx="33">
                  <c:v>-1.3863262497970699</c:v>
                </c:pt>
                <c:pt idx="34">
                  <c:v>-0.94339357193244056</c:v>
                </c:pt>
                <c:pt idx="35">
                  <c:v>-0.99513334535730569</c:v>
                </c:pt>
                <c:pt idx="36">
                  <c:v>-0.93141210849060785</c:v>
                </c:pt>
                <c:pt idx="37">
                  <c:v>-8.7542141410337559E-2</c:v>
                </c:pt>
                <c:pt idx="38">
                  <c:v>0.40672800837334638</c:v>
                </c:pt>
                <c:pt idx="39">
                  <c:v>0.20115390718857687</c:v>
                </c:pt>
                <c:pt idx="40">
                  <c:v>-0.47189918364171096</c:v>
                </c:pt>
                <c:pt idx="41">
                  <c:v>-0.12088642398658155</c:v>
                </c:pt>
                <c:pt idx="42">
                  <c:v>-0.49322663672529932</c:v>
                </c:pt>
                <c:pt idx="43">
                  <c:v>-0.97736629072217307</c:v>
                </c:pt>
                <c:pt idx="44">
                  <c:v>-0.80761198819353563</c:v>
                </c:pt>
                <c:pt idx="45">
                  <c:v>-0.46300417742402838</c:v>
                </c:pt>
                <c:pt idx="46">
                  <c:v>-0.75171694920564658</c:v>
                </c:pt>
                <c:pt idx="47">
                  <c:v>0.59862898328045999</c:v>
                </c:pt>
                <c:pt idx="48">
                  <c:v>0.32315272994644462</c:v>
                </c:pt>
                <c:pt idx="49">
                  <c:v>-7.6321842410168608E-2</c:v>
                </c:pt>
                <c:pt idx="50">
                  <c:v>-0.30212623744798101</c:v>
                </c:pt>
                <c:pt idx="51">
                  <c:v>-0.23673925767410539</c:v>
                </c:pt>
                <c:pt idx="52">
                  <c:v>-4.1455176697293775E-2</c:v>
                </c:pt>
                <c:pt idx="53">
                  <c:v>0.43833069390979296</c:v>
                </c:pt>
                <c:pt idx="54">
                  <c:v>1.1206736520597878</c:v>
                </c:pt>
                <c:pt idx="55">
                  <c:v>0.85531983898197095</c:v>
                </c:pt>
                <c:pt idx="56">
                  <c:v>1.7253075748727691</c:v>
                </c:pt>
                <c:pt idx="57">
                  <c:v>0.33771660502923145</c:v>
                </c:pt>
                <c:pt idx="58">
                  <c:v>0.23939525751433394</c:v>
                </c:pt>
                <c:pt idx="59">
                  <c:v>1.2959589875127899</c:v>
                </c:pt>
                <c:pt idx="60">
                  <c:v>0.46392692817337688</c:v>
                </c:pt>
                <c:pt idx="61">
                  <c:v>1.6937487382776699</c:v>
                </c:pt>
                <c:pt idx="62">
                  <c:v>1.0354437222771298</c:v>
                </c:pt>
                <c:pt idx="63">
                  <c:v>-0.60743750833816801</c:v>
                </c:pt>
                <c:pt idx="64">
                  <c:v>-0.87066409440463965</c:v>
                </c:pt>
                <c:pt idx="65">
                  <c:v>-1.5765945283158702</c:v>
                </c:pt>
                <c:pt idx="66">
                  <c:v>-2.1288073374065899</c:v>
                </c:pt>
                <c:pt idx="67">
                  <c:v>-2.07035317743123</c:v>
                </c:pt>
                <c:pt idx="68">
                  <c:v>-1.4067698995583438</c:v>
                </c:pt>
                <c:pt idx="69">
                  <c:v>-1.5012027842207301</c:v>
                </c:pt>
                <c:pt idx="70">
                  <c:v>0.108549319336274</c:v>
                </c:pt>
                <c:pt idx="71">
                  <c:v>0.20530381360730601</c:v>
                </c:pt>
                <c:pt idx="72">
                  <c:v>0.72974535776245564</c:v>
                </c:pt>
                <c:pt idx="73">
                  <c:v>-0.16470740391168801</c:v>
                </c:pt>
                <c:pt idx="74">
                  <c:v>9.5581182022858688E-2</c:v>
                </c:pt>
                <c:pt idx="75">
                  <c:v>-0.45328308886847202</c:v>
                </c:pt>
                <c:pt idx="76">
                  <c:v>-0.11336755925901902</c:v>
                </c:pt>
                <c:pt idx="77">
                  <c:v>0.156446530108443</c:v>
                </c:pt>
                <c:pt idx="78">
                  <c:v>3.1090093215620212E-2</c:v>
                </c:pt>
                <c:pt idx="79">
                  <c:v>0.58200036496292828</c:v>
                </c:pt>
                <c:pt idx="80">
                  <c:v>0.88742264894265488</c:v>
                </c:pt>
                <c:pt idx="81">
                  <c:v>0.48131539851881538</c:v>
                </c:pt>
                <c:pt idx="82">
                  <c:v>0.48132122789985993</c:v>
                </c:pt>
                <c:pt idx="83">
                  <c:v>1.7405149291701401</c:v>
                </c:pt>
                <c:pt idx="84">
                  <c:v>2.36500896864671</c:v>
                </c:pt>
                <c:pt idx="85">
                  <c:v>0.55519339081578301</c:v>
                </c:pt>
                <c:pt idx="86">
                  <c:v>1.1270982095581799</c:v>
                </c:pt>
                <c:pt idx="87">
                  <c:v>0.77590494288551026</c:v>
                </c:pt>
                <c:pt idx="88">
                  <c:v>3.0508724282618501E-3</c:v>
                </c:pt>
                <c:pt idx="89">
                  <c:v>-0.75604956077216701</c:v>
                </c:pt>
                <c:pt idx="90">
                  <c:v>-2.18064224697882E-2</c:v>
                </c:pt>
                <c:pt idx="91">
                  <c:v>-0.23726544744310651</c:v>
                </c:pt>
                <c:pt idx="92">
                  <c:v>-0.13949774145655014</c:v>
                </c:pt>
                <c:pt idx="93">
                  <c:v>0.91308018063007201</c:v>
                </c:pt>
                <c:pt idx="94">
                  <c:v>1.6781900453589921E-3</c:v>
                </c:pt>
                <c:pt idx="95">
                  <c:v>-0.45532541709498714</c:v>
                </c:pt>
                <c:pt idx="96">
                  <c:v>-0.822574393543964</c:v>
                </c:pt>
                <c:pt idx="97">
                  <c:v>-0.44402791366902744</c:v>
                </c:pt>
                <c:pt idx="98">
                  <c:v>-0.20333834284153768</c:v>
                </c:pt>
                <c:pt idx="99">
                  <c:v>0.14471697101312544</c:v>
                </c:pt>
                <c:pt idx="100">
                  <c:v>0.33247476643387719</c:v>
                </c:pt>
                <c:pt idx="101">
                  <c:v>-0.77384416614734164</c:v>
                </c:pt>
                <c:pt idx="102">
                  <c:v>-0.68746593302743197</c:v>
                </c:pt>
                <c:pt idx="103">
                  <c:v>0.35654581210041131</c:v>
                </c:pt>
                <c:pt idx="104">
                  <c:v>0.71106698175117256</c:v>
                </c:pt>
                <c:pt idx="105">
                  <c:v>0.70404574730727665</c:v>
                </c:pt>
                <c:pt idx="106">
                  <c:v>-1.0452313367124118</c:v>
                </c:pt>
                <c:pt idx="107">
                  <c:v>-1.9938950443813181</c:v>
                </c:pt>
                <c:pt idx="108">
                  <c:v>-1.2978257801869078</c:v>
                </c:pt>
                <c:pt idx="109">
                  <c:v>-1.6271773642145761</c:v>
                </c:pt>
                <c:pt idx="110">
                  <c:v>-1.2468851754366101</c:v>
                </c:pt>
                <c:pt idx="111">
                  <c:v>0.1536061930272298</c:v>
                </c:pt>
                <c:pt idx="112">
                  <c:v>2.2647735512918232</c:v>
                </c:pt>
                <c:pt idx="113">
                  <c:v>1.4205414056008998</c:v>
                </c:pt>
                <c:pt idx="114">
                  <c:v>-0.25281982127039898</c:v>
                </c:pt>
                <c:pt idx="115">
                  <c:v>0.51711485507389165</c:v>
                </c:pt>
              </c:numCache>
            </c:numRef>
          </c:val>
        </c:ser>
        <c:ser>
          <c:idx val="2"/>
          <c:order val="2"/>
          <c:tx>
            <c:strRef>
              <c:f>Charts!$Y$1</c:f>
              <c:strCache>
                <c:ptCount val="1"/>
                <c:pt idx="0">
                  <c:v>cay</c:v>
                </c:pt>
              </c:strCache>
            </c:strRef>
          </c:tx>
          <c:spPr>
            <a:ln w="12700"/>
          </c:spPr>
          <c:cat>
            <c:strRef>
              <c:f>Charts!$Q$2:$Q$117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Charts!$Y$2:$Y$117</c:f>
              <c:numCache>
                <c:formatCode>General</c:formatCode>
                <c:ptCount val="116"/>
                <c:pt idx="0">
                  <c:v>-0.73440181264191173</c:v>
                </c:pt>
                <c:pt idx="1">
                  <c:v>-0.597490836396665</c:v>
                </c:pt>
                <c:pt idx="2">
                  <c:v>-0.50593415901857663</c:v>
                </c:pt>
                <c:pt idx="3">
                  <c:v>-0.23080854760193498</c:v>
                </c:pt>
                <c:pt idx="4">
                  <c:v>3.461023960829071E-2</c:v>
                </c:pt>
                <c:pt idx="5">
                  <c:v>0.60269679970938905</c:v>
                </c:pt>
                <c:pt idx="6">
                  <c:v>0.88316119839889162</c:v>
                </c:pt>
                <c:pt idx="7">
                  <c:v>0.57445141587450965</c:v>
                </c:pt>
                <c:pt idx="8">
                  <c:v>-2.9607343415046852E-2</c:v>
                </c:pt>
                <c:pt idx="9">
                  <c:v>0.30509342284402302</c:v>
                </c:pt>
                <c:pt idx="10">
                  <c:v>3.0582801555137498E-2</c:v>
                </c:pt>
                <c:pt idx="11">
                  <c:v>0.12840777623244701</c:v>
                </c:pt>
                <c:pt idx="12">
                  <c:v>-0.23340100386087856</c:v>
                </c:pt>
                <c:pt idx="13">
                  <c:v>0.16055468567821302</c:v>
                </c:pt>
                <c:pt idx="14">
                  <c:v>0.27674064488014399</c:v>
                </c:pt>
                <c:pt idx="15">
                  <c:v>0.68215152709681803</c:v>
                </c:pt>
                <c:pt idx="16">
                  <c:v>9.6021922777088375E-2</c:v>
                </c:pt>
                <c:pt idx="17">
                  <c:v>1.8673776653391201E-3</c:v>
                </c:pt>
                <c:pt idx="18">
                  <c:v>-0.15784957619573728</c:v>
                </c:pt>
                <c:pt idx="19">
                  <c:v>0.14077862612550487</c:v>
                </c:pt>
                <c:pt idx="20">
                  <c:v>-0.43600459445419831</c:v>
                </c:pt>
                <c:pt idx="21">
                  <c:v>-0.30966480365943866</c:v>
                </c:pt>
                <c:pt idx="22">
                  <c:v>-0.15240106434317421</c:v>
                </c:pt>
                <c:pt idx="23">
                  <c:v>0.12309520114376619</c:v>
                </c:pt>
                <c:pt idx="24">
                  <c:v>-0.25192937888412908</c:v>
                </c:pt>
                <c:pt idx="25">
                  <c:v>-7.3175210613108999E-2</c:v>
                </c:pt>
                <c:pt idx="26">
                  <c:v>5.0489255632376585E-2</c:v>
                </c:pt>
                <c:pt idx="27">
                  <c:v>-9.8288195965487768E-2</c:v>
                </c:pt>
                <c:pt idx="28">
                  <c:v>-0.33083933700930451</c:v>
                </c:pt>
                <c:pt idx="29">
                  <c:v>6.0853791020869824E-2</c:v>
                </c:pt>
                <c:pt idx="30">
                  <c:v>0.10071072123051245</c:v>
                </c:pt>
                <c:pt idx="31">
                  <c:v>0.4253304531057755</c:v>
                </c:pt>
                <c:pt idx="32">
                  <c:v>-0.239890558068001</c:v>
                </c:pt>
                <c:pt idx="33">
                  <c:v>-0.34619148853860593</c:v>
                </c:pt>
                <c:pt idx="34">
                  <c:v>3.4849917044918841E-2</c:v>
                </c:pt>
                <c:pt idx="35">
                  <c:v>0.18773958371387714</c:v>
                </c:pt>
                <c:pt idx="36">
                  <c:v>-0.5035928446986</c:v>
                </c:pt>
                <c:pt idx="37">
                  <c:v>0.18542333840085828</c:v>
                </c:pt>
                <c:pt idx="38">
                  <c:v>0.34540308513348672</c:v>
                </c:pt>
                <c:pt idx="39">
                  <c:v>0.268024058034038</c:v>
                </c:pt>
                <c:pt idx="40">
                  <c:v>-0.2900138572909115</c:v>
                </c:pt>
                <c:pt idx="41">
                  <c:v>3.8571109728954812E-2</c:v>
                </c:pt>
                <c:pt idx="42">
                  <c:v>-1.9571311675313521E-2</c:v>
                </c:pt>
                <c:pt idx="43">
                  <c:v>0.18363480078381</c:v>
                </c:pt>
                <c:pt idx="44">
                  <c:v>-0.50345139853636456</c:v>
                </c:pt>
                <c:pt idx="45">
                  <c:v>-3.4951127029021492E-2</c:v>
                </c:pt>
                <c:pt idx="46">
                  <c:v>9.4488550367474028E-3</c:v>
                </c:pt>
                <c:pt idx="47">
                  <c:v>0.30810423184623631</c:v>
                </c:pt>
                <c:pt idx="48">
                  <c:v>-0.37321931794968394</c:v>
                </c:pt>
                <c:pt idx="49">
                  <c:v>-0.16320628084494651</c:v>
                </c:pt>
                <c:pt idx="50">
                  <c:v>-0.25135688125992073</c:v>
                </c:pt>
                <c:pt idx="51">
                  <c:v>-0.13905233968928221</c:v>
                </c:pt>
                <c:pt idx="52">
                  <c:v>-0.41566457857708738</c:v>
                </c:pt>
                <c:pt idx="53">
                  <c:v>-0.23546781265495303</c:v>
                </c:pt>
                <c:pt idx="54">
                  <c:v>0.23910243370704831</c:v>
                </c:pt>
                <c:pt idx="55">
                  <c:v>0.36802200352176606</c:v>
                </c:pt>
                <c:pt idx="56">
                  <c:v>-0.17268559921903587</c:v>
                </c:pt>
                <c:pt idx="57">
                  <c:v>-0.11833798427573999</c:v>
                </c:pt>
                <c:pt idx="58">
                  <c:v>0.44610996709073597</c:v>
                </c:pt>
                <c:pt idx="59">
                  <c:v>0.646447534859659</c:v>
                </c:pt>
                <c:pt idx="60">
                  <c:v>-6.6984219719137594E-2</c:v>
                </c:pt>
                <c:pt idx="61">
                  <c:v>0.60805293489489765</c:v>
                </c:pt>
                <c:pt idx="62">
                  <c:v>0.60915439537963301</c:v>
                </c:pt>
                <c:pt idx="63">
                  <c:v>0.32724762532863438</c:v>
                </c:pt>
                <c:pt idx="64">
                  <c:v>-0.16844313316165793</c:v>
                </c:pt>
                <c:pt idx="65">
                  <c:v>-0.20174786776059594</c:v>
                </c:pt>
                <c:pt idx="66">
                  <c:v>-0.25007868917937837</c:v>
                </c:pt>
                <c:pt idx="67">
                  <c:v>-0.24660861571173801</c:v>
                </c:pt>
                <c:pt idx="68">
                  <c:v>-0.65502646647084795</c:v>
                </c:pt>
                <c:pt idx="69">
                  <c:v>-0.42705603018482691</c:v>
                </c:pt>
                <c:pt idx="70">
                  <c:v>-6.8279040404453295E-3</c:v>
                </c:pt>
                <c:pt idx="71">
                  <c:v>-0.27501127520556817</c:v>
                </c:pt>
                <c:pt idx="72">
                  <c:v>-0.41023436340795238</c:v>
                </c:pt>
                <c:pt idx="73">
                  <c:v>-0.25497110632842501</c:v>
                </c:pt>
                <c:pt idx="74">
                  <c:v>0.23619655482932544</c:v>
                </c:pt>
                <c:pt idx="75">
                  <c:v>-8.0217164196916727E-2</c:v>
                </c:pt>
                <c:pt idx="76">
                  <c:v>4.5421829483859665E-2</c:v>
                </c:pt>
                <c:pt idx="77">
                  <c:v>0.1800940644902953</c:v>
                </c:pt>
                <c:pt idx="78">
                  <c:v>0.64923068079756696</c:v>
                </c:pt>
                <c:pt idx="79">
                  <c:v>0.47180055959061656</c:v>
                </c:pt>
                <c:pt idx="80">
                  <c:v>0.38486061287881057</c:v>
                </c:pt>
                <c:pt idx="81">
                  <c:v>0.15489137732178401</c:v>
                </c:pt>
                <c:pt idx="82">
                  <c:v>0.17288185169619599</c:v>
                </c:pt>
                <c:pt idx="83">
                  <c:v>-0.20729097233220395</c:v>
                </c:pt>
                <c:pt idx="84">
                  <c:v>-3.12921542549221E-2</c:v>
                </c:pt>
                <c:pt idx="85">
                  <c:v>-8.7561396705804248E-2</c:v>
                </c:pt>
                <c:pt idx="86">
                  <c:v>0.10036035527774398</c:v>
                </c:pt>
                <c:pt idx="87">
                  <c:v>-0.21043551746874797</c:v>
                </c:pt>
                <c:pt idx="88">
                  <c:v>-0.35067575933181488</c:v>
                </c:pt>
                <c:pt idx="89">
                  <c:v>-0.47769259249952101</c:v>
                </c:pt>
                <c:pt idx="90">
                  <c:v>7.0193033189576523E-2</c:v>
                </c:pt>
                <c:pt idx="91">
                  <c:v>-4.9351574232719922E-2</c:v>
                </c:pt>
                <c:pt idx="92">
                  <c:v>-0.14545657738036141</c:v>
                </c:pt>
                <c:pt idx="93">
                  <c:v>0.15872990586660701</c:v>
                </c:pt>
                <c:pt idx="94">
                  <c:v>0.25921536798896438</c:v>
                </c:pt>
                <c:pt idx="95">
                  <c:v>6.6772895276363889E-2</c:v>
                </c:pt>
                <c:pt idx="96">
                  <c:v>-0.44927183558654099</c:v>
                </c:pt>
                <c:pt idx="97">
                  <c:v>-0.213143780974656</c:v>
                </c:pt>
                <c:pt idx="98">
                  <c:v>0.27925319763435902</c:v>
                </c:pt>
                <c:pt idx="99">
                  <c:v>0.47443715362595296</c:v>
                </c:pt>
                <c:pt idx="100">
                  <c:v>-6.9678292862942998E-2</c:v>
                </c:pt>
                <c:pt idx="101">
                  <c:v>-7.4671744916417704E-2</c:v>
                </c:pt>
                <c:pt idx="102">
                  <c:v>0.14615784331448101</c:v>
                </c:pt>
                <c:pt idx="103">
                  <c:v>6.8878887519278495E-2</c:v>
                </c:pt>
                <c:pt idx="104">
                  <c:v>-0.15290114526457199</c:v>
                </c:pt>
                <c:pt idx="105">
                  <c:v>0.28838886269571268</c:v>
                </c:pt>
                <c:pt idx="106">
                  <c:v>0.17447399234858887</c:v>
                </c:pt>
                <c:pt idx="107">
                  <c:v>7.2206081603504793E-2</c:v>
                </c:pt>
                <c:pt idx="108">
                  <c:v>0.16087622212457187</c:v>
                </c:pt>
                <c:pt idx="109">
                  <c:v>0.48078157677493188</c:v>
                </c:pt>
                <c:pt idx="110">
                  <c:v>0.4889517607789064</c:v>
                </c:pt>
                <c:pt idx="111">
                  <c:v>-0.31610119912473228</c:v>
                </c:pt>
                <c:pt idx="112">
                  <c:v>-0.39272697104759047</c:v>
                </c:pt>
                <c:pt idx="113">
                  <c:v>-0.33161205985184589</c:v>
                </c:pt>
                <c:pt idx="114">
                  <c:v>-0.34936531604286214</c:v>
                </c:pt>
                <c:pt idx="115">
                  <c:v>-0.16710343258849258</c:v>
                </c:pt>
              </c:numCache>
            </c:numRef>
          </c:val>
        </c:ser>
        <c:dLbls/>
        <c:marker val="1"/>
        <c:axId val="142128640"/>
        <c:axId val="142130176"/>
      </c:lineChart>
      <c:catAx>
        <c:axId val="142128640"/>
        <c:scaling>
          <c:orientation val="minMax"/>
        </c:scaling>
        <c:axPos val="b"/>
        <c:minorTickMark val="out"/>
        <c:tickLblPos val="nextTo"/>
        <c:txPr>
          <a:bodyPr rot="1200000" vert="horz"/>
          <a:lstStyle/>
          <a:p>
            <a:pPr>
              <a:defRPr sz="900" b="0">
                <a:latin typeface="Book Antiqua" pitchFamily="18" charset="0"/>
              </a:defRPr>
            </a:pPr>
            <a:endParaRPr lang="en-US"/>
          </a:p>
        </c:txPr>
        <c:crossAx val="142130176"/>
        <c:crossesAt val="-15"/>
        <c:auto val="1"/>
        <c:lblAlgn val="ctr"/>
        <c:lblOffset val="100"/>
        <c:tickLblSkip val="12"/>
        <c:tickMarkSkip val="24"/>
      </c:catAx>
      <c:valAx>
        <c:axId val="142130176"/>
        <c:scaling>
          <c:orientation val="minMax"/>
          <c:max val="15"/>
          <c:min val="-15"/>
        </c:scaling>
        <c:axPos val="l"/>
        <c:numFmt formatCode="General" sourceLinked="1"/>
        <c:tickLblPos val="nextTo"/>
        <c:txPr>
          <a:bodyPr rot="0"/>
          <a:lstStyle/>
          <a:p>
            <a:pPr>
              <a:defRPr sz="900">
                <a:latin typeface="Book Antiqua" pitchFamily="18" charset="0"/>
              </a:defRPr>
            </a:pPr>
            <a:endParaRPr lang="en-US"/>
          </a:p>
        </c:txPr>
        <c:crossAx val="142128640"/>
        <c:crosses val="autoZero"/>
        <c:crossBetween val="between"/>
      </c:valAx>
      <c:spPr>
        <a:ln w="6350">
          <a:noFill/>
        </a:ln>
      </c:spPr>
    </c:plotArea>
    <c:legend>
      <c:legendPos val="t"/>
      <c:legendEntry>
        <c:idx val="0"/>
        <c:txPr>
          <a:bodyPr/>
          <a:lstStyle/>
          <a:p>
            <a:pPr>
              <a:defRPr sz="1000" i="1">
                <a:latin typeface="Times New Roman" pitchFamily="18" charset="0"/>
                <a:cs typeface="Times New Roman" pitchFamily="18" charset="0"/>
              </a:defRPr>
            </a:pPr>
            <a:endParaRPr lang="en-US"/>
          </a:p>
        </c:txPr>
      </c:legendEntry>
      <c:legendEntry>
        <c:idx val="1"/>
        <c:txPr>
          <a:bodyPr/>
          <a:lstStyle/>
          <a:p>
            <a:pPr>
              <a:defRPr sz="1000" i="1">
                <a:latin typeface="Times New Roman" pitchFamily="18" charset="0"/>
                <a:ea typeface="Tahoma" pitchFamily="34" charset="0"/>
                <a:cs typeface="Times New Roman" pitchFamily="18" charset="0"/>
              </a:defRPr>
            </a:pPr>
            <a:endParaRPr lang="en-US"/>
          </a:p>
        </c:txPr>
      </c:legendEntry>
      <c:legendEntry>
        <c:idx val="2"/>
        <c:txPr>
          <a:bodyPr/>
          <a:lstStyle/>
          <a:p>
            <a:pPr>
              <a:defRPr sz="1000" i="1">
                <a:latin typeface="Times New Roman" pitchFamily="18" charset="0"/>
                <a:cs typeface="Times New Roman" pitchFamily="18" charset="0"/>
              </a:defRPr>
            </a:pPr>
            <a:endParaRPr lang="en-US"/>
          </a:p>
        </c:txPr>
      </c:legendEntry>
      <c:layout>
        <c:manualLayout>
          <c:xMode val="edge"/>
          <c:yMode val="edge"/>
          <c:x val="0.6999393770429847"/>
          <c:y val="0.05"/>
          <c:w val="0.20607015423303537"/>
          <c:h val="0.16091207349081371"/>
        </c:manualLayout>
      </c:layout>
      <c:txPr>
        <a:bodyPr/>
        <a:lstStyle/>
        <a:p>
          <a:pPr>
            <a:defRPr sz="10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3496015830179209"/>
          <c:y val="7.5400822938908124E-2"/>
          <c:w val="0.7442044951653457"/>
          <c:h val="0.79274867838816099"/>
        </c:manualLayout>
      </c:layout>
      <c:scatterChart>
        <c:scatterStyle val="smoothMarker"/>
        <c:ser>
          <c:idx val="0"/>
          <c:order val="0"/>
          <c:tx>
            <c:strRef>
              <c:f>Data_shorts!$BP$8</c:f>
              <c:strCache>
                <c:ptCount val="1"/>
                <c:pt idx="0">
                  <c:v>Data</c:v>
                </c:pt>
              </c:strCache>
            </c:strRef>
          </c:tx>
          <c:spPr>
            <a:ln w="15875" cmpd="sng">
              <a:solidFill>
                <a:schemeClr val="tx1"/>
              </a:solidFill>
              <a:prstDash val="solid"/>
            </a:ln>
          </c:spPr>
          <c:marker>
            <c:symbol val="circle"/>
            <c:size val="5"/>
            <c:spPr>
              <a:solidFill>
                <a:schemeClr val="tx1"/>
              </a:solidFill>
              <a:ln w="6350">
                <a:solidFill>
                  <a:prstClr val="black"/>
                </a:solidFill>
              </a:ln>
            </c:spPr>
          </c:marker>
          <c:xVal>
            <c:numRef>
              <c:f>Data_shorts!$BO$9:$BO$19</c:f>
              <c:numCache>
                <c:formatCode>General</c:formatCode>
                <c:ptCount val="11"/>
                <c:pt idx="0">
                  <c:v>-5</c:v>
                </c:pt>
                <c:pt idx="1">
                  <c:v>-4</c:v>
                </c:pt>
                <c:pt idx="2">
                  <c:v>-3</c:v>
                </c:pt>
                <c:pt idx="3">
                  <c:v>-2</c:v>
                </c:pt>
                <c:pt idx="4">
                  <c:v>-1</c:v>
                </c:pt>
                <c:pt idx="5">
                  <c:v>0</c:v>
                </c:pt>
                <c:pt idx="6">
                  <c:v>1</c:v>
                </c:pt>
                <c:pt idx="7">
                  <c:v>2</c:v>
                </c:pt>
                <c:pt idx="8">
                  <c:v>3</c:v>
                </c:pt>
                <c:pt idx="9">
                  <c:v>4</c:v>
                </c:pt>
                <c:pt idx="10">
                  <c:v>5</c:v>
                </c:pt>
              </c:numCache>
            </c:numRef>
          </c:xVal>
          <c:yVal>
            <c:numRef>
              <c:f>Data_shorts!$BP$9:$BP$19</c:f>
              <c:numCache>
                <c:formatCode>General</c:formatCode>
                <c:ptCount val="11"/>
                <c:pt idx="0">
                  <c:v>1.7500000000000005E-2</c:v>
                </c:pt>
                <c:pt idx="1">
                  <c:v>0.18990000000000173</c:v>
                </c:pt>
                <c:pt idx="2">
                  <c:v>0.41460000000000002</c:v>
                </c:pt>
                <c:pt idx="3">
                  <c:v>0.61760000000000626</c:v>
                </c:pt>
                <c:pt idx="4">
                  <c:v>0.77640000000000065</c:v>
                </c:pt>
                <c:pt idx="5">
                  <c:v>0.825600000000005</c:v>
                </c:pt>
                <c:pt idx="6">
                  <c:v>0.67150000000000065</c:v>
                </c:pt>
                <c:pt idx="7">
                  <c:v>0.46950000000000008</c:v>
                </c:pt>
                <c:pt idx="8">
                  <c:v>0.2742</c:v>
                </c:pt>
                <c:pt idx="9">
                  <c:v>7.6999999999999999E-2</c:v>
                </c:pt>
                <c:pt idx="10">
                  <c:v>-4.7800000000000023E-2</c:v>
                </c:pt>
              </c:numCache>
            </c:numRef>
          </c:yVal>
          <c:smooth val="1"/>
        </c:ser>
        <c:ser>
          <c:idx val="1"/>
          <c:order val="1"/>
          <c:tx>
            <c:strRef>
              <c:f>Data_shorts!$BQ$8</c:f>
              <c:strCache>
                <c:ptCount val="1"/>
                <c:pt idx="0">
                  <c:v>Baseline Model</c:v>
                </c:pt>
              </c:strCache>
            </c:strRef>
          </c:tx>
          <c:spPr>
            <a:ln w="15875" cmpd="sng">
              <a:solidFill>
                <a:schemeClr val="tx1"/>
              </a:solidFill>
              <a:prstDash val="solid"/>
            </a:ln>
          </c:spPr>
          <c:marker>
            <c:symbol val="square"/>
            <c:size val="5"/>
            <c:spPr>
              <a:solidFill>
                <a:sysClr val="windowText" lastClr="000000"/>
              </a:solidFill>
              <a:ln w="6350" cmpd="sng">
                <a:solidFill>
                  <a:prstClr val="black"/>
                </a:solidFill>
              </a:ln>
            </c:spPr>
          </c:marker>
          <c:xVal>
            <c:numRef>
              <c:f>Data_shorts!$BO$9:$BO$19</c:f>
              <c:numCache>
                <c:formatCode>General</c:formatCode>
                <c:ptCount val="11"/>
                <c:pt idx="0">
                  <c:v>-5</c:v>
                </c:pt>
                <c:pt idx="1">
                  <c:v>-4</c:v>
                </c:pt>
                <c:pt idx="2">
                  <c:v>-3</c:v>
                </c:pt>
                <c:pt idx="3">
                  <c:v>-2</c:v>
                </c:pt>
                <c:pt idx="4">
                  <c:v>-1</c:v>
                </c:pt>
                <c:pt idx="5">
                  <c:v>0</c:v>
                </c:pt>
                <c:pt idx="6">
                  <c:v>1</c:v>
                </c:pt>
                <c:pt idx="7">
                  <c:v>2</c:v>
                </c:pt>
                <c:pt idx="8">
                  <c:v>3</c:v>
                </c:pt>
                <c:pt idx="9">
                  <c:v>4</c:v>
                </c:pt>
                <c:pt idx="10">
                  <c:v>5</c:v>
                </c:pt>
              </c:numCache>
            </c:numRef>
          </c:xVal>
          <c:yVal>
            <c:numRef>
              <c:f>Data_shorts!$BQ$9:$BQ$19</c:f>
              <c:numCache>
                <c:formatCode>General</c:formatCode>
                <c:ptCount val="11"/>
                <c:pt idx="0">
                  <c:v>0.28000000000000008</c:v>
                </c:pt>
                <c:pt idx="1">
                  <c:v>0.4</c:v>
                </c:pt>
                <c:pt idx="2">
                  <c:v>0.52</c:v>
                </c:pt>
                <c:pt idx="3">
                  <c:v>0.64000000000000545</c:v>
                </c:pt>
                <c:pt idx="4">
                  <c:v>0.74000000000000365</c:v>
                </c:pt>
                <c:pt idx="5">
                  <c:v>0.8</c:v>
                </c:pt>
                <c:pt idx="6">
                  <c:v>0.48000000000000032</c:v>
                </c:pt>
                <c:pt idx="7">
                  <c:v>0.21000000000000021</c:v>
                </c:pt>
                <c:pt idx="8">
                  <c:v>1.0000000000000005E-2</c:v>
                </c:pt>
                <c:pt idx="9">
                  <c:v>-0.14000000000000001</c:v>
                </c:pt>
                <c:pt idx="10">
                  <c:v>-0.25</c:v>
                </c:pt>
              </c:numCache>
            </c:numRef>
          </c:yVal>
          <c:smooth val="1"/>
        </c:ser>
        <c:ser>
          <c:idx val="2"/>
          <c:order val="2"/>
          <c:tx>
            <c:strRef>
              <c:f>Data_shorts!$BR$8</c:f>
              <c:strCache>
                <c:ptCount val="1"/>
                <c:pt idx="0">
                  <c:v>Model-without interest rate uncertainty</c:v>
                </c:pt>
              </c:strCache>
            </c:strRef>
          </c:tx>
          <c:spPr>
            <a:ln w="15875" cmpd="sng">
              <a:solidFill>
                <a:schemeClr val="tx1"/>
              </a:solidFill>
              <a:prstDash val="solid"/>
            </a:ln>
          </c:spPr>
          <c:marker>
            <c:symbol val="triangle"/>
            <c:size val="6"/>
            <c:spPr>
              <a:solidFill>
                <a:sysClr val="windowText" lastClr="000000"/>
              </a:solidFill>
              <a:ln w="6350" cmpd="sng">
                <a:solidFill>
                  <a:prstClr val="black"/>
                </a:solidFill>
              </a:ln>
            </c:spPr>
          </c:marker>
          <c:xVal>
            <c:numRef>
              <c:f>Data_shorts!$BO$9:$BO$19</c:f>
              <c:numCache>
                <c:formatCode>General</c:formatCode>
                <c:ptCount val="11"/>
                <c:pt idx="0">
                  <c:v>-5</c:v>
                </c:pt>
                <c:pt idx="1">
                  <c:v>-4</c:v>
                </c:pt>
                <c:pt idx="2">
                  <c:v>-3</c:v>
                </c:pt>
                <c:pt idx="3">
                  <c:v>-2</c:v>
                </c:pt>
                <c:pt idx="4">
                  <c:v>-1</c:v>
                </c:pt>
                <c:pt idx="5">
                  <c:v>0</c:v>
                </c:pt>
                <c:pt idx="6">
                  <c:v>1</c:v>
                </c:pt>
                <c:pt idx="7">
                  <c:v>2</c:v>
                </c:pt>
                <c:pt idx="8">
                  <c:v>3</c:v>
                </c:pt>
                <c:pt idx="9">
                  <c:v>4</c:v>
                </c:pt>
                <c:pt idx="10">
                  <c:v>5</c:v>
                </c:pt>
              </c:numCache>
            </c:numRef>
          </c:xVal>
          <c:yVal>
            <c:numRef>
              <c:f>Data_shorts!$BR$9:$BR$19</c:f>
              <c:numCache>
                <c:formatCode>General</c:formatCode>
                <c:ptCount val="11"/>
                <c:pt idx="0">
                  <c:v>-0.25</c:v>
                </c:pt>
                <c:pt idx="1">
                  <c:v>-0.14000000000000001</c:v>
                </c:pt>
                <c:pt idx="2">
                  <c:v>1.0000000000000005E-2</c:v>
                </c:pt>
                <c:pt idx="3">
                  <c:v>0.21000000000000021</c:v>
                </c:pt>
                <c:pt idx="4">
                  <c:v>0.48000000000000032</c:v>
                </c:pt>
                <c:pt idx="5">
                  <c:v>0.8</c:v>
                </c:pt>
                <c:pt idx="6">
                  <c:v>0.74000000000000365</c:v>
                </c:pt>
                <c:pt idx="7">
                  <c:v>0.64000000000000545</c:v>
                </c:pt>
                <c:pt idx="8">
                  <c:v>0.52</c:v>
                </c:pt>
                <c:pt idx="9">
                  <c:v>0.4</c:v>
                </c:pt>
                <c:pt idx="10">
                  <c:v>0.28000000000000008</c:v>
                </c:pt>
              </c:numCache>
            </c:numRef>
          </c:yVal>
          <c:smooth val="1"/>
        </c:ser>
        <c:dLbls/>
        <c:axId val="142256384"/>
        <c:axId val="142274560"/>
      </c:scatterChart>
      <c:valAx>
        <c:axId val="142256384"/>
        <c:scaling>
          <c:orientation val="minMax"/>
          <c:max val="5"/>
          <c:min val="-5"/>
        </c:scaling>
        <c:axPos val="b"/>
        <c:numFmt formatCode="General" sourceLinked="1"/>
        <c:tickLblPos val="nextTo"/>
        <c:txPr>
          <a:bodyPr/>
          <a:lstStyle/>
          <a:p>
            <a:pPr>
              <a:defRPr sz="800">
                <a:latin typeface="Times New Roman" pitchFamily="18" charset="0"/>
                <a:cs typeface="Times New Roman" pitchFamily="18" charset="0"/>
              </a:defRPr>
            </a:pPr>
            <a:endParaRPr lang="en-US"/>
          </a:p>
        </c:txPr>
        <c:crossAx val="142274560"/>
        <c:crossesAt val="0"/>
        <c:crossBetween val="midCat"/>
      </c:valAx>
      <c:valAx>
        <c:axId val="142274560"/>
        <c:scaling>
          <c:orientation val="minMax"/>
          <c:max val="1"/>
          <c:min val="-1"/>
        </c:scaling>
        <c:axPos val="l"/>
        <c:numFmt formatCode="0.0" sourceLinked="0"/>
        <c:majorTickMark val="cross"/>
        <c:tickLblPos val="nextTo"/>
        <c:txPr>
          <a:bodyPr/>
          <a:lstStyle/>
          <a:p>
            <a:pPr>
              <a:defRPr sz="800">
                <a:latin typeface="Times New Roman" pitchFamily="18" charset="0"/>
                <a:cs typeface="Times New Roman" pitchFamily="18" charset="0"/>
              </a:defRPr>
            </a:pPr>
            <a:endParaRPr lang="en-US"/>
          </a:p>
        </c:txPr>
        <c:crossAx val="142256384"/>
        <c:crosses val="autoZero"/>
        <c:crossBetween val="midCat"/>
        <c:majorUnit val="0.2"/>
      </c:valAx>
      <c:spPr>
        <a:noFill/>
        <a:ln w="254">
          <a:noFill/>
        </a:ln>
      </c:spPr>
    </c:plotArea>
    <c:legend>
      <c:legendPos val="r"/>
      <c:legendEntry>
        <c:idx val="0"/>
        <c:txPr>
          <a:bodyPr/>
          <a:lstStyle/>
          <a:p>
            <a:pPr>
              <a:defRPr sz="800">
                <a:latin typeface="Times New Roman" pitchFamily="18" charset="0"/>
                <a:cs typeface="Times New Roman" pitchFamily="18" charset="0"/>
              </a:defRPr>
            </a:pPr>
            <a:endParaRPr lang="en-US"/>
          </a:p>
        </c:txPr>
      </c:legendEntry>
      <c:legendEntry>
        <c:idx val="1"/>
        <c:txPr>
          <a:bodyPr/>
          <a:lstStyle/>
          <a:p>
            <a:pPr>
              <a:defRPr sz="800">
                <a:latin typeface="Times New Roman" pitchFamily="18" charset="0"/>
                <a:cs typeface="Times New Roman" pitchFamily="18" charset="0"/>
              </a:defRPr>
            </a:pPr>
            <a:endParaRPr lang="en-US"/>
          </a:p>
        </c:txPr>
      </c:legendEntry>
      <c:legendEntry>
        <c:idx val="2"/>
        <c:txPr>
          <a:bodyPr/>
          <a:lstStyle/>
          <a:p>
            <a:pPr>
              <a:defRPr sz="800">
                <a:latin typeface="Times New Roman" pitchFamily="18" charset="0"/>
                <a:cs typeface="Times New Roman" pitchFamily="18" charset="0"/>
              </a:defRPr>
            </a:pPr>
            <a:endParaRPr lang="en-US"/>
          </a:p>
        </c:txPr>
      </c:legendEntry>
      <c:layout>
        <c:manualLayout>
          <c:xMode val="edge"/>
          <c:yMode val="edge"/>
          <c:x val="0.65909726249168743"/>
          <c:y val="0.61075594160142255"/>
          <c:w val="0.25384258113019331"/>
          <c:h val="0.28521529456337524"/>
        </c:manualLayout>
      </c:layout>
      <c:txPr>
        <a:bodyPr/>
        <a:lstStyle/>
        <a:p>
          <a:pPr>
            <a:defRPr sz="8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9.7897445746111048E-2"/>
          <c:y val="1.6754916792738279E-2"/>
          <c:w val="0.87422798979395711"/>
          <c:h val="0.84191023741080206"/>
        </c:manualLayout>
      </c:layout>
      <c:lineChart>
        <c:grouping val="standard"/>
        <c:ser>
          <c:idx val="0"/>
          <c:order val="0"/>
          <c:tx>
            <c:strRef>
              <c:f>Sheet1!$A$7</c:f>
              <c:strCache>
                <c:ptCount val="1"/>
                <c:pt idx="0">
                  <c:v>c</c:v>
                </c:pt>
              </c:strCache>
            </c:strRef>
          </c:tx>
          <c:spPr>
            <a:ln w="12700">
              <a:solidFill>
                <a:schemeClr val="tx1"/>
              </a:solidFill>
              <a:prstDash val="solid"/>
            </a:ln>
          </c:spPr>
          <c:marker>
            <c:symbol val="diamond"/>
            <c:size val="3"/>
            <c:spPr>
              <a:solidFill>
                <a:schemeClr val="accent1"/>
              </a:solidFill>
              <a:ln w="6350"/>
            </c:spPr>
          </c:marker>
          <c:cat>
            <c:numRef>
              <c:f>Sheet1!$B$2:$CW$2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Sheet1!$B$7:$CW$7</c:f>
              <c:numCache>
                <c:formatCode>General</c:formatCode>
                <c:ptCount val="61"/>
                <c:pt idx="0">
                  <c:v>9.4151162590868073E-2</c:v>
                </c:pt>
                <c:pt idx="1">
                  <c:v>0.127281627325048</c:v>
                </c:pt>
                <c:pt idx="2">
                  <c:v>0.12900745042175699</c:v>
                </c:pt>
                <c:pt idx="3">
                  <c:v>0.11574774447266459</c:v>
                </c:pt>
                <c:pt idx="4">
                  <c:v>9.6388541740063213E-2</c:v>
                </c:pt>
                <c:pt idx="5">
                  <c:v>7.5567227918953594E-2</c:v>
                </c:pt>
                <c:pt idx="6">
                  <c:v>5.5563231031113526E-2</c:v>
                </c:pt>
                <c:pt idx="7">
                  <c:v>3.7376342007260192E-2</c:v>
                </c:pt>
                <c:pt idx="8">
                  <c:v>2.1334385047656799E-2</c:v>
                </c:pt>
                <c:pt idx="9">
                  <c:v>7.4302529678159914E-3</c:v>
                </c:pt>
                <c:pt idx="10">
                  <c:v>-4.4952114948407099E-3</c:v>
                </c:pt>
                <c:pt idx="11">
                  <c:v>-1.46570752017496E-2</c:v>
                </c:pt>
                <c:pt idx="12">
                  <c:v>-2.3278200101238399E-2</c:v>
                </c:pt>
                <c:pt idx="13">
                  <c:v>-3.0567137063000002E-2</c:v>
                </c:pt>
                <c:pt idx="14">
                  <c:v>-3.6709662973447098E-2</c:v>
                </c:pt>
                <c:pt idx="15">
                  <c:v>-4.1867131613771813E-2</c:v>
                </c:pt>
                <c:pt idx="16">
                  <c:v>-4.6177951491361877E-2</c:v>
                </c:pt>
                <c:pt idx="17">
                  <c:v>-4.9760264760617033E-2</c:v>
                </c:pt>
                <c:pt idx="18">
                  <c:v>-5.2714871144909158E-2</c:v>
                </c:pt>
                <c:pt idx="19">
                  <c:v>-5.5127962229753601E-2</c:v>
                </c:pt>
                <c:pt idx="20">
                  <c:v>-5.7073502360733101E-2</c:v>
                </c:pt>
                <c:pt idx="21">
                  <c:v>-5.8615225690330487E-2</c:v>
                </c:pt>
                <c:pt idx="22">
                  <c:v>-5.9808278599953496E-2</c:v>
                </c:pt>
                <c:pt idx="23">
                  <c:v>-6.0700558414223713E-2</c:v>
                </c:pt>
                <c:pt idx="24">
                  <c:v>-6.1333802515992297E-2</c:v>
                </c:pt>
                <c:pt idx="25">
                  <c:v>-6.1744477043729033E-2</c:v>
                </c:pt>
                <c:pt idx="26">
                  <c:v>-6.1964506624315401E-2</c:v>
                </c:pt>
                <c:pt idx="27">
                  <c:v>-6.2021878620661386E-2</c:v>
                </c:pt>
                <c:pt idx="28">
                  <c:v>-6.1941148249931695E-2</c:v>
                </c:pt>
                <c:pt idx="29">
                  <c:v>-6.1743865007188085E-2</c:v>
                </c:pt>
                <c:pt idx="30">
                  <c:v>-6.1448936111506113E-2</c:v>
                </c:pt>
                <c:pt idx="31">
                  <c:v>-6.1072939031289332E-2</c:v>
                </c:pt>
                <c:pt idx="32">
                  <c:v>-6.06303923536997E-2</c:v>
                </c:pt>
                <c:pt idx="33">
                  <c:v>-6.0133992156274033E-2</c:v>
                </c:pt>
                <c:pt idx="34">
                  <c:v>-5.9594819457953113E-2</c:v>
                </c:pt>
                <c:pt idx="35">
                  <c:v>-5.902252314272987E-2</c:v>
                </c:pt>
                <c:pt idx="36">
                  <c:v>-5.8425481860763823E-2</c:v>
                </c:pt>
                <c:pt idx="37">
                  <c:v>-5.781094774215649E-2</c:v>
                </c:pt>
                <c:pt idx="38">
                  <c:v>-5.7185174249767004E-2</c:v>
                </c:pt>
                <c:pt idx="39">
                  <c:v>-5.6553530107005333E-2</c:v>
                </c:pt>
                <c:pt idx="40">
                  <c:v>-5.5920600933009504E-2</c:v>
                </c:pt>
                <c:pt idx="41">
                  <c:v>-5.5290279978429502E-2</c:v>
                </c:pt>
                <c:pt idx="42">
                  <c:v>-5.4665849163540788E-2</c:v>
                </c:pt>
                <c:pt idx="43">
                  <c:v>-5.4050051464753002E-2</c:v>
                </c:pt>
                <c:pt idx="44">
                  <c:v>-5.3445155567028245E-2</c:v>
                </c:pt>
                <c:pt idx="45">
                  <c:v>-5.2853013592032004E-2</c:v>
                </c:pt>
                <c:pt idx="46">
                  <c:v>-5.2275112620376277E-2</c:v>
                </c:pt>
                <c:pt idx="47">
                  <c:v>-5.171262064776283E-2</c:v>
                </c:pt>
                <c:pt idx="48">
                  <c:v>-5.1166427546594513E-2</c:v>
                </c:pt>
                <c:pt idx="49">
                  <c:v>-5.0637181544955223E-2</c:v>
                </c:pt>
                <c:pt idx="50">
                  <c:v>-5.0125321682181201E-2</c:v>
                </c:pt>
                <c:pt idx="51">
                  <c:v>-4.9631106653598898E-2</c:v>
                </c:pt>
                <c:pt idx="52">
                  <c:v>-4.9154640415426533E-2</c:v>
                </c:pt>
                <c:pt idx="53">
                  <c:v>-4.8695894883678599E-2</c:v>
                </c:pt>
                <c:pt idx="54">
                  <c:v>-4.8254730027623823E-2</c:v>
                </c:pt>
                <c:pt idx="55">
                  <c:v>-4.7830911628416607E-2</c:v>
                </c:pt>
                <c:pt idx="56">
                  <c:v>-4.742412694663712E-2</c:v>
                </c:pt>
                <c:pt idx="57">
                  <c:v>-4.7033998518232034E-2</c:v>
                </c:pt>
                <c:pt idx="58">
                  <c:v>-4.6660096276494797E-2</c:v>
                </c:pt>
                <c:pt idx="59">
                  <c:v>-4.6301948178034777E-2</c:v>
                </c:pt>
                <c:pt idx="60">
                  <c:v>-4.5959049492890286E-2</c:v>
                </c:pt>
              </c:numCache>
            </c:numRef>
          </c:val>
        </c:ser>
        <c:ser>
          <c:idx val="1"/>
          <c:order val="1"/>
          <c:tx>
            <c:strRef>
              <c:f>Sheet1!$A$8</c:f>
              <c:strCache>
                <c:ptCount val="1"/>
                <c:pt idx="0">
                  <c:v>h</c:v>
                </c:pt>
              </c:strCache>
            </c:strRef>
          </c:tx>
          <c:spPr>
            <a:ln w="12700"/>
          </c:spPr>
          <c:marker>
            <c:symbol val="triangle"/>
            <c:size val="3"/>
          </c:marker>
          <c:cat>
            <c:numRef>
              <c:f>Sheet1!$B$2:$CW$2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Sheet1!$B$8:$CW$8</c:f>
              <c:numCache>
                <c:formatCode>General</c:formatCode>
                <c:ptCount val="61"/>
                <c:pt idx="0">
                  <c:v>0.2180451881001538</c:v>
                </c:pt>
                <c:pt idx="1">
                  <c:v>0.26820109664498876</c:v>
                </c:pt>
                <c:pt idx="2">
                  <c:v>0.242051687756206</c:v>
                </c:pt>
                <c:pt idx="3">
                  <c:v>0.18715706342411001</c:v>
                </c:pt>
                <c:pt idx="4">
                  <c:v>0.12691156934431597</c:v>
                </c:pt>
                <c:pt idx="5">
                  <c:v>7.1774245782866605E-2</c:v>
                </c:pt>
                <c:pt idx="6">
                  <c:v>2.5530262051856611E-2</c:v>
                </c:pt>
                <c:pt idx="7">
                  <c:v>-1.1284035285788649E-2</c:v>
                </c:pt>
                <c:pt idx="8">
                  <c:v>-3.9556759664838487E-2</c:v>
                </c:pt>
                <c:pt idx="9">
                  <c:v>-6.0666091789115133E-2</c:v>
                </c:pt>
                <c:pt idx="10">
                  <c:v>-7.603087189975842E-2</c:v>
                </c:pt>
                <c:pt idx="11">
                  <c:v>-8.6918137135024984E-2</c:v>
                </c:pt>
                <c:pt idx="12">
                  <c:v>-9.438118906332045E-2</c:v>
                </c:pt>
                <c:pt idx="13">
                  <c:v>-9.9259580376605525E-2</c:v>
                </c:pt>
                <c:pt idx="14">
                  <c:v>-0.10220488183392309</c:v>
                </c:pt>
                <c:pt idx="15">
                  <c:v>-0.10371403545172612</c:v>
                </c:pt>
                <c:pt idx="16">
                  <c:v>-0.10416179745956509</c:v>
                </c:pt>
                <c:pt idx="17">
                  <c:v>-0.103828850384411</c:v>
                </c:pt>
                <c:pt idx="18">
                  <c:v>-0.10292469383388222</c:v>
                </c:pt>
                <c:pt idx="19">
                  <c:v>-0.101605584398055</c:v>
                </c:pt>
                <c:pt idx="20">
                  <c:v>-9.9988244043496627E-2</c:v>
                </c:pt>
                <c:pt idx="21">
                  <c:v>-9.8160154303217895E-2</c:v>
                </c:pt>
                <c:pt idx="22">
                  <c:v>-9.6187193643561486E-2</c:v>
                </c:pt>
                <c:pt idx="23">
                  <c:v>-9.4119257305924589E-2</c:v>
                </c:pt>
                <c:pt idx="24">
                  <c:v>-9.1994371249351295E-2</c:v>
                </c:pt>
                <c:pt idx="25">
                  <c:v>-8.9841695909800068E-2</c:v>
                </c:pt>
                <c:pt idx="26">
                  <c:v>-8.7683718755760934E-2</c:v>
                </c:pt>
                <c:pt idx="27">
                  <c:v>-8.5537857768660255E-2</c:v>
                </c:pt>
                <c:pt idx="28">
                  <c:v>-8.3417638850933382E-2</c:v>
                </c:pt>
                <c:pt idx="29">
                  <c:v>-8.1333565680822228E-2</c:v>
                </c:pt>
                <c:pt idx="30">
                  <c:v>-7.9293767603579701E-2</c:v>
                </c:pt>
                <c:pt idx="31">
                  <c:v>-7.7304487066936073E-2</c:v>
                </c:pt>
                <c:pt idx="32">
                  <c:v>-7.5370450658894195E-2</c:v>
                </c:pt>
                <c:pt idx="33">
                  <c:v>-7.3495155251024596E-2</c:v>
                </c:pt>
                <c:pt idx="34">
                  <c:v>-7.1681091765594299E-2</c:v>
                </c:pt>
                <c:pt idx="35">
                  <c:v>-6.9929922680575102E-2</c:v>
                </c:pt>
                <c:pt idx="36">
                  <c:v>-6.8242624834108034E-2</c:v>
                </c:pt>
                <c:pt idx="37">
                  <c:v>-6.6619605859278119E-2</c:v>
                </c:pt>
                <c:pt idx="38">
                  <c:v>-6.5060800288529397E-2</c:v>
                </c:pt>
                <c:pt idx="39">
                  <c:v>-6.3565749740708805E-2</c:v>
                </c:pt>
                <c:pt idx="40">
                  <c:v>-6.2133670447491803E-2</c:v>
                </c:pt>
                <c:pt idx="41">
                  <c:v>-6.0763510551257033E-2</c:v>
                </c:pt>
                <c:pt idx="42">
                  <c:v>-5.9453999015662028E-2</c:v>
                </c:pt>
                <c:pt idx="43">
                  <c:v>-5.8203687564133334E-2</c:v>
                </c:pt>
                <c:pt idx="44">
                  <c:v>-5.7010986751932294E-2</c:v>
                </c:pt>
                <c:pt idx="45">
                  <c:v>-5.5874197050093923E-2</c:v>
                </c:pt>
                <c:pt idx="46">
                  <c:v>-5.4791535650734025E-2</c:v>
                </c:pt>
                <c:pt idx="47">
                  <c:v>-5.3761159575949957E-2</c:v>
                </c:pt>
                <c:pt idx="48">
                  <c:v>-5.2781185575273185E-2</c:v>
                </c:pt>
                <c:pt idx="49">
                  <c:v>-5.1849707220867298E-2</c:v>
                </c:pt>
                <c:pt idx="50">
                  <c:v>-5.0964809549792302E-2</c:v>
                </c:pt>
                <c:pt idx="51">
                  <c:v>-5.0124581554348534E-2</c:v>
                </c:pt>
                <c:pt idx="52">
                  <c:v>-4.9327126782004002E-2</c:v>
                </c:pt>
                <c:pt idx="53">
                  <c:v>-4.8570572273528886E-2</c:v>
                </c:pt>
                <c:pt idx="54">
                  <c:v>-4.7853076040202093E-2</c:v>
                </c:pt>
                <c:pt idx="55">
                  <c:v>-4.7172833257276933E-2</c:v>
                </c:pt>
                <c:pt idx="56">
                  <c:v>-4.6528081330444997E-2</c:v>
                </c:pt>
                <c:pt idx="57">
                  <c:v>-4.5917103974220733E-2</c:v>
                </c:pt>
                <c:pt idx="58">
                  <c:v>-4.5338234425582068E-2</c:v>
                </c:pt>
                <c:pt idx="59">
                  <c:v>-4.4789857902437433E-2</c:v>
                </c:pt>
                <c:pt idx="60">
                  <c:v>-4.4270413404315104E-2</c:v>
                </c:pt>
              </c:numCache>
            </c:numRef>
          </c:val>
        </c:ser>
        <c:ser>
          <c:idx val="2"/>
          <c:order val="2"/>
          <c:tx>
            <c:strRef>
              <c:f>Sheet1!$A$9</c:f>
              <c:strCache>
                <c:ptCount val="1"/>
                <c:pt idx="0">
                  <c:v>y</c:v>
                </c:pt>
              </c:strCache>
            </c:strRef>
          </c:tx>
          <c:spPr>
            <a:ln w="12700">
              <a:solidFill>
                <a:srgbClr val="00B050"/>
              </a:solidFill>
            </a:ln>
          </c:spPr>
          <c:marker>
            <c:symbol val="circle"/>
            <c:size val="3"/>
            <c:spPr>
              <a:solidFill>
                <a:schemeClr val="tx1"/>
              </a:solidFill>
              <a:ln w="6350"/>
            </c:spPr>
          </c:marker>
          <c:cat>
            <c:numRef>
              <c:f>Sheet1!$B$2:$CW$2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Sheet1!$B$9:$CW$9</c:f>
              <c:numCache>
                <c:formatCode>General</c:formatCode>
                <c:ptCount val="61"/>
                <c:pt idx="0">
                  <c:v>0.18847973886623512</c:v>
                </c:pt>
                <c:pt idx="1">
                  <c:v>0.225901177095576</c:v>
                </c:pt>
                <c:pt idx="2">
                  <c:v>0.19973792615579999</c:v>
                </c:pt>
                <c:pt idx="3">
                  <c:v>0.15016929943534352</c:v>
                </c:pt>
                <c:pt idx="4">
                  <c:v>9.6855101504823765E-2</c:v>
                </c:pt>
                <c:pt idx="5">
                  <c:v>4.8496191371123841E-2</c:v>
                </c:pt>
                <c:pt idx="6">
                  <c:v>8.1584165164282092E-3</c:v>
                </c:pt>
                <c:pt idx="7">
                  <c:v>-2.3819983116800312E-2</c:v>
                </c:pt>
                <c:pt idx="8">
                  <c:v>-4.8283406007463496E-2</c:v>
                </c:pt>
                <c:pt idx="9">
                  <c:v>-6.6470460717700297E-2</c:v>
                </c:pt>
                <c:pt idx="10">
                  <c:v>-7.9637090875176827E-2</c:v>
                </c:pt>
                <c:pt idx="11">
                  <c:v>-8.8897192069938707E-2</c:v>
                </c:pt>
                <c:pt idx="12">
                  <c:v>-9.5173285635107477E-2</c:v>
                </c:pt>
                <c:pt idx="13">
                  <c:v>-9.9199047227054027E-2</c:v>
                </c:pt>
                <c:pt idx="14">
                  <c:v>-0.10154311631987098</c:v>
                </c:pt>
                <c:pt idx="15">
                  <c:v>-0.10263885929840701</c:v>
                </c:pt>
                <c:pt idx="16">
                  <c:v>-0.10281298202629199</c:v>
                </c:pt>
                <c:pt idx="17">
                  <c:v>-0.102310179524675</c:v>
                </c:pt>
                <c:pt idx="18">
                  <c:v>-0.10131313991854</c:v>
                </c:pt>
                <c:pt idx="19">
                  <c:v>-9.9958188630443048E-2</c:v>
                </c:pt>
                <c:pt idx="20">
                  <c:v>-9.8347226073539643E-2</c:v>
                </c:pt>
                <c:pt idx="21">
                  <c:v>-9.6556684244434796E-2</c:v>
                </c:pt>
                <c:pt idx="22">
                  <c:v>-9.4644168306322371E-2</c:v>
                </c:pt>
                <c:pt idx="23">
                  <c:v>-9.2653342666649416E-2</c:v>
                </c:pt>
                <c:pt idx="24">
                  <c:v>-9.0617507979863246E-2</c:v>
                </c:pt>
                <c:pt idx="25">
                  <c:v>-8.8562213680538904E-2</c:v>
                </c:pt>
                <c:pt idx="26">
                  <c:v>-8.6507166050808243E-2</c:v>
                </c:pt>
                <c:pt idx="27">
                  <c:v>-8.4467624803223187E-2</c:v>
                </c:pt>
                <c:pt idx="28">
                  <c:v>-8.2455429693853388E-2</c:v>
                </c:pt>
                <c:pt idx="29">
                  <c:v>-8.047976001106108E-2</c:v>
                </c:pt>
                <c:pt idx="30">
                  <c:v>-7.85477011884681E-2</c:v>
                </c:pt>
                <c:pt idx="31">
                  <c:v>-7.6664671892197112E-2</c:v>
                </c:pt>
                <c:pt idx="32">
                  <c:v>-7.4834749797703021E-2</c:v>
                </c:pt>
                <c:pt idx="33">
                  <c:v>-7.3060923386240539E-2</c:v>
                </c:pt>
                <c:pt idx="34">
                  <c:v>-7.1345289303129403E-2</c:v>
                </c:pt>
                <c:pt idx="35">
                  <c:v>-6.9689209269521712E-2</c:v>
                </c:pt>
                <c:pt idx="36">
                  <c:v>-6.8093436593992723E-2</c:v>
                </c:pt>
                <c:pt idx="37">
                  <c:v>-6.6558219530058096E-2</c:v>
                </c:pt>
                <c:pt idx="38">
                  <c:v>-6.5083386739099899E-2</c:v>
                </c:pt>
                <c:pt idx="39">
                  <c:v>-6.3668418707726604E-2</c:v>
                </c:pt>
                <c:pt idx="40">
                  <c:v>-6.2312507965248544E-2</c:v>
                </c:pt>
                <c:pt idx="41">
                  <c:v>-6.1014610230825599E-2</c:v>
                </c:pt>
                <c:pt idx="42">
                  <c:v>-5.9773488106278444E-2</c:v>
                </c:pt>
                <c:pt idx="43">
                  <c:v>-5.8587748559786199E-2</c:v>
                </c:pt>
                <c:pt idx="44">
                  <c:v>-5.7455875175872445E-2</c:v>
                </c:pt>
                <c:pt idx="45">
                  <c:v>-5.6376255948585433E-2</c:v>
                </c:pt>
                <c:pt idx="46">
                  <c:v>-5.5347207247042854E-2</c:v>
                </c:pt>
                <c:pt idx="47">
                  <c:v>-5.4366994470934404E-2</c:v>
                </c:pt>
                <c:pt idx="48">
                  <c:v>-5.3433849828003734E-2</c:v>
                </c:pt>
                <c:pt idx="49">
                  <c:v>-5.2545987598788403E-2</c:v>
                </c:pt>
                <c:pt idx="50">
                  <c:v>-5.1701617200899004E-2</c:v>
                </c:pt>
                <c:pt idx="51">
                  <c:v>-5.0898954322365422E-2</c:v>
                </c:pt>
                <c:pt idx="52">
                  <c:v>-5.013623035842199E-2</c:v>
                </c:pt>
                <c:pt idx="53">
                  <c:v>-4.9411700356822318E-2</c:v>
                </c:pt>
                <c:pt idx="54">
                  <c:v>-4.8723649652029813E-2</c:v>
                </c:pt>
                <c:pt idx="55">
                  <c:v>-4.8070399347410413E-2</c:v>
                </c:pt>
                <c:pt idx="56">
                  <c:v>-4.7450310786278697E-2</c:v>
                </c:pt>
                <c:pt idx="57">
                  <c:v>-4.6861789136673403E-2</c:v>
                </c:pt>
                <c:pt idx="58">
                  <c:v>-4.6303286200734733E-2</c:v>
                </c:pt>
                <c:pt idx="59">
                  <c:v>-4.5773302547202299E-2</c:v>
                </c:pt>
                <c:pt idx="60">
                  <c:v>-4.5270389054610304E-2</c:v>
                </c:pt>
              </c:numCache>
            </c:numRef>
          </c:val>
        </c:ser>
        <c:ser>
          <c:idx val="4"/>
          <c:order val="3"/>
          <c:tx>
            <c:strRef>
              <c:f>Sheet1!$A$11</c:f>
              <c:strCache>
                <c:ptCount val="1"/>
                <c:pt idx="0">
                  <c:v>i       </c:v>
                </c:pt>
              </c:strCache>
            </c:strRef>
          </c:tx>
          <c:spPr>
            <a:ln w="12700">
              <a:solidFill>
                <a:schemeClr val="tx1"/>
              </a:solidFill>
            </a:ln>
          </c:spPr>
          <c:marker>
            <c:symbol val="star"/>
            <c:size val="4"/>
          </c:marker>
          <c:cat>
            <c:numRef>
              <c:f>Sheet1!$B$2:$CW$2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Sheet1!$B$11:$CW$11</c:f>
              <c:numCache>
                <c:formatCode>General</c:formatCode>
                <c:ptCount val="61"/>
                <c:pt idx="0">
                  <c:v>-1.9995607627306</c:v>
                </c:pt>
                <c:pt idx="1">
                  <c:v>-1.0866735236470575</c:v>
                </c:pt>
                <c:pt idx="2">
                  <c:v>-0.5810316711578345</c:v>
                </c:pt>
                <c:pt idx="3">
                  <c:v>-0.30618994950894546</c:v>
                </c:pt>
                <c:pt idx="4">
                  <c:v>-0.160471125085177</c:v>
                </c:pt>
                <c:pt idx="5">
                  <c:v>-8.5788472038351327E-2</c:v>
                </c:pt>
                <c:pt idx="6">
                  <c:v>-4.9319171862177914E-2</c:v>
                </c:pt>
                <c:pt idx="7">
                  <c:v>-3.2776278226680014E-2</c:v>
                </c:pt>
                <c:pt idx="8">
                  <c:v>-2.6160215794146711E-2</c:v>
                </c:pt>
                <c:pt idx="9">
                  <c:v>-2.4141671019399402E-2</c:v>
                </c:pt>
                <c:pt idx="10">
                  <c:v>-2.3983612702575628E-2</c:v>
                </c:pt>
                <c:pt idx="11">
                  <c:v>-2.4358892082090099E-2</c:v>
                </c:pt>
                <c:pt idx="12">
                  <c:v>-2.4685641555501452E-2</c:v>
                </c:pt>
                <c:pt idx="13">
                  <c:v>-2.47596856832684E-2</c:v>
                </c:pt>
                <c:pt idx="14">
                  <c:v>-2.4555623980299E-2</c:v>
                </c:pt>
                <c:pt idx="15">
                  <c:v>-2.4122475207487927E-2</c:v>
                </c:pt>
                <c:pt idx="16">
                  <c:v>-2.35314397604309E-2</c:v>
                </c:pt>
                <c:pt idx="17">
                  <c:v>-2.2851725243272402E-2</c:v>
                </c:pt>
                <c:pt idx="18">
                  <c:v>-2.2140985102895999E-2</c:v>
                </c:pt>
                <c:pt idx="19">
                  <c:v>-2.1442983787729183E-2</c:v>
                </c:pt>
                <c:pt idx="20">
                  <c:v>-2.0788531305038566E-2</c:v>
                </c:pt>
                <c:pt idx="21">
                  <c:v>-2.01976423304999E-2</c:v>
                </c:pt>
                <c:pt idx="22">
                  <c:v>-1.9681921298714055E-2</c:v>
                </c:pt>
                <c:pt idx="23">
                  <c:v>-1.9246732447187758E-2</c:v>
                </c:pt>
                <c:pt idx="24">
                  <c:v>-1.8892999586239599E-2</c:v>
                </c:pt>
                <c:pt idx="25">
                  <c:v>-1.8618618067230901E-2</c:v>
                </c:pt>
                <c:pt idx="26">
                  <c:v>-1.8419520642568906E-2</c:v>
                </c:pt>
                <c:pt idx="27">
                  <c:v>-1.8290458247909664E-2</c:v>
                </c:pt>
                <c:pt idx="28">
                  <c:v>-1.8225557137411717E-2</c:v>
                </c:pt>
                <c:pt idx="29">
                  <c:v>-1.8218706300958201E-2</c:v>
                </c:pt>
                <c:pt idx="30">
                  <c:v>-1.8263819243904075E-2</c:v>
                </c:pt>
                <c:pt idx="31">
                  <c:v>-1.8355004610654903E-2</c:v>
                </c:pt>
                <c:pt idx="32">
                  <c:v>-1.8486671829366523E-2</c:v>
                </c:pt>
                <c:pt idx="33">
                  <c:v>-1.8653591219893049E-2</c:v>
                </c:pt>
                <c:pt idx="34">
                  <c:v>-1.8850922760179401E-2</c:v>
                </c:pt>
                <c:pt idx="35">
                  <c:v>-1.9074223729743E-2</c:v>
                </c:pt>
                <c:pt idx="36">
                  <c:v>-1.9319442494998E-2</c:v>
                </c:pt>
                <c:pt idx="37">
                  <c:v>-1.9582903540388032E-2</c:v>
                </c:pt>
                <c:pt idx="38">
                  <c:v>-1.9861287287996701E-2</c:v>
                </c:pt>
                <c:pt idx="39">
                  <c:v>-2.0151607131799299E-2</c:v>
                </c:pt>
                <c:pt idx="40">
                  <c:v>-2.0451185321517552E-2</c:v>
                </c:pt>
                <c:pt idx="41">
                  <c:v>-2.0757628775158198E-2</c:v>
                </c:pt>
                <c:pt idx="42">
                  <c:v>-2.1068805512055012E-2</c:v>
                </c:pt>
                <c:pt idx="43">
                  <c:v>-2.1382822130897077E-2</c:v>
                </c:pt>
                <c:pt idx="44">
                  <c:v>-2.1698002574601125E-2</c:v>
                </c:pt>
                <c:pt idx="45">
                  <c:v>-2.2012868300682501E-2</c:v>
                </c:pt>
                <c:pt idx="46">
                  <c:v>-2.2326119894070299E-2</c:v>
                </c:pt>
                <c:pt idx="47">
                  <c:v>-2.2636620106294011E-2</c:v>
                </c:pt>
                <c:pt idx="48">
                  <c:v>-2.2943378271775984E-2</c:v>
                </c:pt>
                <c:pt idx="49">
                  <c:v>-2.3245536032214111E-2</c:v>
                </c:pt>
                <c:pt idx="50">
                  <c:v>-2.3542354289449102E-2</c:v>
                </c:pt>
                <c:pt idx="51">
                  <c:v>-2.3833201302647E-2</c:v>
                </c:pt>
                <c:pt idx="52">
                  <c:v>-2.4117541845094501E-2</c:v>
                </c:pt>
                <c:pt idx="53">
                  <c:v>-2.4394927337844478E-2</c:v>
                </c:pt>
                <c:pt idx="54">
                  <c:v>-2.466498688097871E-2</c:v>
                </c:pt>
                <c:pt idx="55">
                  <c:v>-2.4927419107643688E-2</c:v>
                </c:pt>
                <c:pt idx="56">
                  <c:v>-2.5181984790846677E-2</c:v>
                </c:pt>
                <c:pt idx="57">
                  <c:v>-2.5428500137971599E-2</c:v>
                </c:pt>
                <c:pt idx="58">
                  <c:v>-2.5666830712898801E-2</c:v>
                </c:pt>
                <c:pt idx="59">
                  <c:v>-2.5896885930373356E-2</c:v>
                </c:pt>
                <c:pt idx="60">
                  <c:v>-2.611861407178951E-2</c:v>
                </c:pt>
              </c:numCache>
            </c:numRef>
          </c:val>
        </c:ser>
        <c:ser>
          <c:idx val="5"/>
          <c:order val="4"/>
          <c:tx>
            <c:strRef>
              <c:f>Sheet1!$A$12</c:f>
              <c:strCache>
                <c:ptCount val="1"/>
                <c:pt idx="0">
                  <c:v>d</c:v>
                </c:pt>
              </c:strCache>
            </c:strRef>
          </c:tx>
          <c:spPr>
            <a:ln w="12700">
              <a:solidFill>
                <a:schemeClr val="tx1"/>
              </a:solidFill>
            </a:ln>
          </c:spPr>
          <c:marker>
            <c:symbol val="square"/>
            <c:size val="3"/>
            <c:spPr>
              <a:solidFill>
                <a:srgbClr val="7030A0"/>
              </a:solidFill>
            </c:spPr>
          </c:marker>
          <c:cat>
            <c:numRef>
              <c:f>Sheet1!$B$2:$CW$2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Sheet1!$B$12:$CW$12</c:f>
              <c:numCache>
                <c:formatCode>General</c:formatCode>
                <c:ptCount val="61"/>
                <c:pt idx="0">
                  <c:v>-1.1582616803273598</c:v>
                </c:pt>
                <c:pt idx="1">
                  <c:v>-0.74665074114408991</c:v>
                </c:pt>
                <c:pt idx="2">
                  <c:v>-0.49038456154346266</c:v>
                </c:pt>
                <c:pt idx="3">
                  <c:v>-0.32959703228738302</c:v>
                </c:pt>
                <c:pt idx="4">
                  <c:v>-0.22772394604730212</c:v>
                </c:pt>
                <c:pt idx="5">
                  <c:v>-0.16238248094332641</c:v>
                </c:pt>
                <c:pt idx="6">
                  <c:v>-0.119834045327467</c:v>
                </c:pt>
                <c:pt idx="7">
                  <c:v>-9.1618597976973928E-2</c:v>
                </c:pt>
                <c:pt idx="8">
                  <c:v>-7.250609666560702E-2</c:v>
                </c:pt>
                <c:pt idx="9">
                  <c:v>-5.9247714335297422E-2</c:v>
                </c:pt>
                <c:pt idx="10">
                  <c:v>-4.9813263174397104E-2</c:v>
                </c:pt>
                <c:pt idx="11">
                  <c:v>-4.2924603734449812E-2</c:v>
                </c:pt>
                <c:pt idx="12">
                  <c:v>-3.7769514404303851E-2</c:v>
                </c:pt>
                <c:pt idx="13">
                  <c:v>-3.3825776109311298E-2</c:v>
                </c:pt>
                <c:pt idx="14">
                  <c:v>-3.0752700836819601E-2</c:v>
                </c:pt>
                <c:pt idx="15">
                  <c:v>-2.83240208527747E-2</c:v>
                </c:pt>
                <c:pt idx="16">
                  <c:v>-2.63862049295512E-2</c:v>
                </c:pt>
                <c:pt idx="17">
                  <c:v>-2.4832449192385597E-2</c:v>
                </c:pt>
                <c:pt idx="18">
                  <c:v>-2.3586360638667089E-2</c:v>
                </c:pt>
                <c:pt idx="19">
                  <c:v>-2.2591655288448899E-2</c:v>
                </c:pt>
                <c:pt idx="20">
                  <c:v>-2.1805603449235652E-2</c:v>
                </c:pt>
                <c:pt idx="21">
                  <c:v>-2.11948200161379E-2</c:v>
                </c:pt>
                <c:pt idx="22">
                  <c:v>-2.0732529998322077E-2</c:v>
                </c:pt>
                <c:pt idx="23">
                  <c:v>-2.0396767691937198E-2</c:v>
                </c:pt>
                <c:pt idx="24">
                  <c:v>-2.0169170916309202E-2</c:v>
                </c:pt>
                <c:pt idx="25">
                  <c:v>-2.0034157677991812E-2</c:v>
                </c:pt>
                <c:pt idx="26">
                  <c:v>-1.9978351045159246E-2</c:v>
                </c:pt>
                <c:pt idx="27">
                  <c:v>-1.9990167027110824E-2</c:v>
                </c:pt>
                <c:pt idx="28">
                  <c:v>-2.0059511015515806E-2</c:v>
                </c:pt>
                <c:pt idx="29">
                  <c:v>-2.0177547739793612E-2</c:v>
                </c:pt>
                <c:pt idx="30">
                  <c:v>-2.03365219796738E-2</c:v>
                </c:pt>
                <c:pt idx="31">
                  <c:v>-2.05296151092066E-2</c:v>
                </c:pt>
                <c:pt idx="32">
                  <c:v>-2.0750827566721242E-2</c:v>
                </c:pt>
                <c:pt idx="33">
                  <c:v>-2.0994880585291111E-2</c:v>
                </c:pt>
                <c:pt idx="34">
                  <c:v>-2.1257132625364585E-2</c:v>
                </c:pt>
                <c:pt idx="35">
                  <c:v>-2.1533507333403611E-2</c:v>
                </c:pt>
                <c:pt idx="36">
                  <c:v>-2.1820430766065602E-2</c:v>
                </c:pt>
                <c:pt idx="37">
                  <c:v>-2.2114776233065798E-2</c:v>
                </c:pt>
                <c:pt idx="38">
                  <c:v>-2.241381552855428E-2</c:v>
                </c:pt>
                <c:pt idx="39">
                  <c:v>-2.2715175608152609E-2</c:v>
                </c:pt>
                <c:pt idx="40">
                  <c:v>-2.3016799970461788E-2</c:v>
                </c:pt>
                <c:pt idx="41">
                  <c:v>-2.3316914146191827E-2</c:v>
                </c:pt>
                <c:pt idx="42">
                  <c:v>-2.3613994803728899E-2</c:v>
                </c:pt>
                <c:pt idx="43">
                  <c:v>-2.3906742059083712E-2</c:v>
                </c:pt>
                <c:pt idx="44">
                  <c:v>-2.4194054638922168E-2</c:v>
                </c:pt>
                <c:pt idx="45">
                  <c:v>-2.4475007593152492E-2</c:v>
                </c:pt>
                <c:pt idx="46">
                  <c:v>-2.4748832291988068E-2</c:v>
                </c:pt>
                <c:pt idx="47">
                  <c:v>-2.5014898474014863E-2</c:v>
                </c:pt>
                <c:pt idx="48">
                  <c:v>-2.527269813826E-2</c:v>
                </c:pt>
                <c:pt idx="49">
                  <c:v>-2.55218310958127E-2</c:v>
                </c:pt>
                <c:pt idx="50">
                  <c:v>-2.5761992015979302E-2</c:v>
                </c:pt>
                <c:pt idx="51">
                  <c:v>-2.5992958818940801E-2</c:v>
                </c:pt>
                <c:pt idx="52">
                  <c:v>-2.6214582281813451E-2</c:v>
                </c:pt>
                <c:pt idx="53">
                  <c:v>-2.6426776738234289E-2</c:v>
                </c:pt>
                <c:pt idx="54">
                  <c:v>-2.6629511763412401E-2</c:v>
                </c:pt>
                <c:pt idx="55">
                  <c:v>-2.6822804747116801E-2</c:v>
                </c:pt>
                <c:pt idx="56">
                  <c:v>-2.7006714266554252E-2</c:v>
                </c:pt>
                <c:pt idx="57">
                  <c:v>-2.7181334179605953E-2</c:v>
                </c:pt>
                <c:pt idx="58">
                  <c:v>-2.7346788366572901E-2</c:v>
                </c:pt>
                <c:pt idx="59">
                  <c:v>-2.7503226055509852E-2</c:v>
                </c:pt>
                <c:pt idx="60">
                  <c:v>-2.7650817672482269E-2</c:v>
                </c:pt>
              </c:numCache>
            </c:numRef>
          </c:val>
        </c:ser>
        <c:ser>
          <c:idx val="6"/>
          <c:order val="5"/>
          <c:tx>
            <c:strRef>
              <c:f>Sheet1!$A$13</c:f>
              <c:strCache>
                <c:ptCount val="1"/>
                <c:pt idx="0">
                  <c:v>tby </c:v>
                </c:pt>
              </c:strCache>
            </c:strRef>
          </c:tx>
          <c:spPr>
            <a:ln w="19050" cmpd="sng">
              <a:solidFill>
                <a:prstClr val="black"/>
              </a:solidFill>
              <a:prstDash val="sysDash"/>
            </a:ln>
          </c:spPr>
          <c:marker>
            <c:symbol val="none"/>
          </c:marker>
          <c:cat>
            <c:numRef>
              <c:f>Sheet1!$B$2:$CW$2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Sheet1!$B$13:$CW$13</c:f>
              <c:numCache>
                <c:formatCode>General</c:formatCode>
                <c:ptCount val="61"/>
                <c:pt idx="0">
                  <c:v>0.73024945916229322</c:v>
                </c:pt>
                <c:pt idx="1">
                  <c:v>0.489292922381521</c:v>
                </c:pt>
                <c:pt idx="2">
                  <c:v>0.31538374186953844</c:v>
                </c:pt>
                <c:pt idx="3">
                  <c:v>0.19139370948349799</c:v>
                </c:pt>
                <c:pt idx="4">
                  <c:v>0.10402582099421077</c:v>
                </c:pt>
                <c:pt idx="5">
                  <c:v>4.3216009953842976E-2</c:v>
                </c:pt>
                <c:pt idx="6">
                  <c:v>1.4855233911386099E-3</c:v>
                </c:pt>
                <c:pt idx="7">
                  <c:v>-2.6647199764269807E-2</c:v>
                </c:pt>
                <c:pt idx="8">
                  <c:v>-4.5157307774934687E-2</c:v>
                </c:pt>
                <c:pt idx="9">
                  <c:v>-5.6903289370930102E-2</c:v>
                </c:pt>
                <c:pt idx="10">
                  <c:v>-6.3926651673289703E-2</c:v>
                </c:pt>
                <c:pt idx="11">
                  <c:v>-6.7677195134011894E-2</c:v>
                </c:pt>
                <c:pt idx="12">
                  <c:v>-6.9179581890656899E-2</c:v>
                </c:pt>
                <c:pt idx="13">
                  <c:v>-6.9154964859870965E-2</c:v>
                </c:pt>
                <c:pt idx="14">
                  <c:v>-6.8108943384292089E-2</c:v>
                </c:pt>
                <c:pt idx="15">
                  <c:v>-6.6394681147590853E-2</c:v>
                </c:pt>
                <c:pt idx="16">
                  <c:v>-6.4257921826888539E-2</c:v>
                </c:pt>
                <c:pt idx="17">
                  <c:v>-6.1868934092366934E-2</c:v>
                </c:pt>
                <c:pt idx="18">
                  <c:v>-5.9345088738306503E-2</c:v>
                </c:pt>
                <c:pt idx="19">
                  <c:v>-5.6766761742871506E-2</c:v>
                </c:pt>
                <c:pt idx="20">
                  <c:v>-5.4188505480496099E-2</c:v>
                </c:pt>
                <c:pt idx="21">
                  <c:v>-5.1646878436684647E-2</c:v>
                </c:pt>
                <c:pt idx="22">
                  <c:v>-4.9165922972035134E-2</c:v>
                </c:pt>
                <c:pt idx="23">
                  <c:v>-4.6760992101171434E-2</c:v>
                </c:pt>
                <c:pt idx="24">
                  <c:v>-4.4441419902642824E-2</c:v>
                </c:pt>
                <c:pt idx="25">
                  <c:v>-4.2212383449927171E-2</c:v>
                </c:pt>
                <c:pt idx="26">
                  <c:v>-4.0076200301049414E-2</c:v>
                </c:pt>
                <c:pt idx="27">
                  <c:v>-3.8033232355532E-2</c:v>
                </c:pt>
                <c:pt idx="28">
                  <c:v>-3.6082515414464743E-2</c:v>
                </c:pt>
                <c:pt idx="29">
                  <c:v>-3.4222197693936203E-2</c:v>
                </c:pt>
                <c:pt idx="30">
                  <c:v>-3.2449845299420466E-2</c:v>
                </c:pt>
                <c:pt idx="31">
                  <c:v>-3.07626550432991E-2</c:v>
                </c:pt>
                <c:pt idx="32">
                  <c:v>-2.9157602699713212E-2</c:v>
                </c:pt>
                <c:pt idx="33">
                  <c:v>-2.7631546234688002E-2</c:v>
                </c:pt>
                <c:pt idx="34">
                  <c:v>-2.6181297597785511E-2</c:v>
                </c:pt>
                <c:pt idx="35">
                  <c:v>-2.4803672524693069E-2</c:v>
                </c:pt>
                <c:pt idx="36">
                  <c:v>-2.3495524926457668E-2</c:v>
                </c:pt>
                <c:pt idx="37">
                  <c:v>-2.2253770445466892E-2</c:v>
                </c:pt>
                <c:pt idx="38">
                  <c:v>-2.1075402372633799E-2</c:v>
                </c:pt>
                <c:pt idx="39">
                  <c:v>-1.9957502158014503E-2</c:v>
                </c:pt>
                <c:pt idx="40">
                  <c:v>-1.8897246078559197E-2</c:v>
                </c:pt>
                <c:pt idx="41">
                  <c:v>-1.7891909161946801E-2</c:v>
                </c:pt>
                <c:pt idx="42">
                  <c:v>-1.6938867141951901E-2</c:v>
                </c:pt>
                <c:pt idx="43">
                  <c:v>-1.6035596995266303E-2</c:v>
                </c:pt>
                <c:pt idx="44">
                  <c:v>-1.5179676452140294E-2</c:v>
                </c:pt>
                <c:pt idx="45">
                  <c:v>-1.4368782762808899E-2</c:v>
                </c:pt>
                <c:pt idx="46">
                  <c:v>-1.36006909240376E-2</c:v>
                </c:pt>
                <c:pt idx="47">
                  <c:v>-1.28732715152705E-2</c:v>
                </c:pt>
                <c:pt idx="48">
                  <c:v>-1.2184488254890121E-2</c:v>
                </c:pt>
                <c:pt idx="49">
                  <c:v>-1.1532395359202094E-2</c:v>
                </c:pt>
                <c:pt idx="50">
                  <c:v>-1.0915134766623801E-2</c:v>
                </c:pt>
                <c:pt idx="51">
                  <c:v>-1.0330933274879299E-2</c:v>
                </c:pt>
                <c:pt idx="52">
                  <c:v>-9.7780996281713224E-3</c:v>
                </c:pt>
                <c:pt idx="53">
                  <c:v>-9.2550215832175407E-3</c:v>
                </c:pt>
                <c:pt idx="54">
                  <c:v>-8.7601629769061204E-3</c:v>
                </c:pt>
                <c:pt idx="55">
                  <c:v>-8.2920608136139266E-3</c:v>
                </c:pt>
                <c:pt idx="56">
                  <c:v>-7.849322386551387E-3</c:v>
                </c:pt>
                <c:pt idx="57">
                  <c:v>-7.430622444582949E-3</c:v>
                </c:pt>
                <c:pt idx="58">
                  <c:v>-7.0347004136309165E-3</c:v>
                </c:pt>
                <c:pt idx="59">
                  <c:v>-6.6603576798633102E-3</c:v>
                </c:pt>
                <c:pt idx="60">
                  <c:v>-6.3064549402985304E-3</c:v>
                </c:pt>
              </c:numCache>
            </c:numRef>
          </c:val>
        </c:ser>
        <c:dLbls/>
        <c:marker val="1"/>
        <c:axId val="142420608"/>
        <c:axId val="142430592"/>
      </c:lineChart>
      <c:catAx>
        <c:axId val="142420608"/>
        <c:scaling>
          <c:orientation val="minMax"/>
        </c:scaling>
        <c:axPos val="b"/>
        <c:numFmt formatCode="General" sourceLinked="1"/>
        <c:tickLblPos val="nextTo"/>
        <c:txPr>
          <a:bodyPr/>
          <a:lstStyle/>
          <a:p>
            <a:pPr>
              <a:defRPr sz="800">
                <a:latin typeface="Times New Roman" pitchFamily="18" charset="0"/>
                <a:cs typeface="Times New Roman" pitchFamily="18" charset="0"/>
              </a:defRPr>
            </a:pPr>
            <a:endParaRPr lang="en-US"/>
          </a:p>
        </c:txPr>
        <c:crossAx val="142430592"/>
        <c:crossesAt val="-2"/>
        <c:auto val="1"/>
        <c:lblAlgn val="ctr"/>
        <c:lblOffset val="100"/>
        <c:tickLblSkip val="4"/>
        <c:tickMarkSkip val="4"/>
      </c:catAx>
      <c:valAx>
        <c:axId val="142430592"/>
        <c:scaling>
          <c:orientation val="minMax"/>
          <c:max val="1"/>
          <c:min val="-2"/>
        </c:scaling>
        <c:axPos val="l"/>
        <c:numFmt formatCode="General" sourceLinked="1"/>
        <c:tickLblPos val="nextTo"/>
        <c:txPr>
          <a:bodyPr/>
          <a:lstStyle/>
          <a:p>
            <a:pPr>
              <a:defRPr sz="800">
                <a:latin typeface="Times New Roman" pitchFamily="18" charset="0"/>
                <a:cs typeface="Times New Roman" pitchFamily="18" charset="0"/>
              </a:defRPr>
            </a:pPr>
            <a:endParaRPr lang="en-US"/>
          </a:p>
        </c:txPr>
        <c:crossAx val="142420608"/>
        <c:crossesAt val="1"/>
        <c:crossBetween val="midCat"/>
      </c:valAx>
    </c:plotArea>
    <c:legend>
      <c:legendPos val="b"/>
      <c:legendEntry>
        <c:idx val="0"/>
        <c:txPr>
          <a:bodyPr/>
          <a:lstStyle/>
          <a:p>
            <a:pPr>
              <a:defRPr sz="1000" i="1">
                <a:latin typeface="Times New Roman" pitchFamily="18" charset="0"/>
                <a:cs typeface="Times New Roman" pitchFamily="18" charset="0"/>
              </a:defRPr>
            </a:pPr>
            <a:endParaRPr lang="en-US"/>
          </a:p>
        </c:txPr>
      </c:legendEntry>
      <c:legendEntry>
        <c:idx val="1"/>
        <c:txPr>
          <a:bodyPr/>
          <a:lstStyle/>
          <a:p>
            <a:pPr>
              <a:defRPr sz="1000" i="1">
                <a:latin typeface="Times New Roman" pitchFamily="18" charset="0"/>
                <a:cs typeface="Times New Roman" pitchFamily="18" charset="0"/>
              </a:defRPr>
            </a:pPr>
            <a:endParaRPr lang="en-US"/>
          </a:p>
        </c:txPr>
      </c:legendEntry>
      <c:legendEntry>
        <c:idx val="2"/>
        <c:txPr>
          <a:bodyPr/>
          <a:lstStyle/>
          <a:p>
            <a:pPr>
              <a:defRPr sz="1000" i="1">
                <a:latin typeface="Times New Roman" pitchFamily="18" charset="0"/>
                <a:cs typeface="Times New Roman" pitchFamily="18" charset="0"/>
              </a:defRPr>
            </a:pPr>
            <a:endParaRPr lang="en-US"/>
          </a:p>
        </c:txPr>
      </c:legendEntry>
      <c:legendEntry>
        <c:idx val="4"/>
        <c:txPr>
          <a:bodyPr/>
          <a:lstStyle/>
          <a:p>
            <a:pPr>
              <a:defRPr sz="1000" i="1">
                <a:latin typeface="Times New Roman" pitchFamily="18" charset="0"/>
                <a:cs typeface="Times New Roman" pitchFamily="18" charset="0"/>
              </a:defRPr>
            </a:pPr>
            <a:endParaRPr lang="en-US"/>
          </a:p>
        </c:txPr>
      </c:legendEntry>
      <c:legendEntry>
        <c:idx val="5"/>
        <c:txPr>
          <a:bodyPr/>
          <a:lstStyle/>
          <a:p>
            <a:pPr>
              <a:defRPr sz="1000" i="1">
                <a:latin typeface="Times New Roman" pitchFamily="18" charset="0"/>
                <a:cs typeface="Times New Roman" pitchFamily="18" charset="0"/>
              </a:defRPr>
            </a:pPr>
            <a:endParaRPr lang="en-US"/>
          </a:p>
        </c:txPr>
      </c:legendEntry>
      <c:layout>
        <c:manualLayout>
          <c:xMode val="edge"/>
          <c:yMode val="edge"/>
          <c:x val="0.44986495425827588"/>
          <c:y val="0.12110459370716312"/>
          <c:w val="0.50723623940298057"/>
          <c:h val="0.10372461161808713"/>
        </c:manualLayout>
      </c:layout>
      <c:txPr>
        <a:bodyPr/>
        <a:lstStyle/>
        <a:p>
          <a:pPr>
            <a:defRPr sz="1000" i="1">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8932314326250871"/>
          <c:y val="3.0694556871979802E-2"/>
          <c:w val="0.75961311219076355"/>
          <c:h val="0.76887179800199401"/>
        </c:manualLayout>
      </c:layout>
      <c:lineChart>
        <c:grouping val="standard"/>
        <c:ser>
          <c:idx val="0"/>
          <c:order val="0"/>
          <c:tx>
            <c:strRef>
              <c:f>Sheet2!$B$9</c:f>
              <c:strCache>
                <c:ptCount val="1"/>
                <c:pt idx="0">
                  <c:v>baseline</c:v>
                </c:pt>
              </c:strCache>
            </c:strRef>
          </c:tx>
          <c:spPr>
            <a:ln w="31750">
              <a:solidFill>
                <a:schemeClr val="tx1"/>
              </a:solidFill>
              <a:prstDash val="sysDot"/>
            </a:ln>
          </c:spPr>
          <c:marker>
            <c:symbol val="none"/>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Sheet2!$C$9:$CX$9</c:f>
              <c:numCache>
                <c:formatCode>General</c:formatCode>
                <c:ptCount val="61"/>
                <c:pt idx="0">
                  <c:v>0.18847973886623526</c:v>
                </c:pt>
                <c:pt idx="1">
                  <c:v>0.225901177095576</c:v>
                </c:pt>
                <c:pt idx="2">
                  <c:v>0.19973792615579999</c:v>
                </c:pt>
                <c:pt idx="3">
                  <c:v>0.15016929943534363</c:v>
                </c:pt>
                <c:pt idx="4">
                  <c:v>9.6855101504823765E-2</c:v>
                </c:pt>
                <c:pt idx="5">
                  <c:v>4.8496191371123876E-2</c:v>
                </c:pt>
                <c:pt idx="6">
                  <c:v>8.1584165164282196E-3</c:v>
                </c:pt>
                <c:pt idx="7">
                  <c:v>-2.3819983116800312E-2</c:v>
                </c:pt>
                <c:pt idx="8">
                  <c:v>-4.8283406007463496E-2</c:v>
                </c:pt>
                <c:pt idx="9">
                  <c:v>-6.6470460717700297E-2</c:v>
                </c:pt>
                <c:pt idx="10">
                  <c:v>-7.9637090875176855E-2</c:v>
                </c:pt>
                <c:pt idx="11">
                  <c:v>-8.8897192069938707E-2</c:v>
                </c:pt>
                <c:pt idx="12">
                  <c:v>-9.5173285635107435E-2</c:v>
                </c:pt>
                <c:pt idx="13">
                  <c:v>-9.9199047227054027E-2</c:v>
                </c:pt>
                <c:pt idx="14">
                  <c:v>-0.10154311631987098</c:v>
                </c:pt>
                <c:pt idx="15">
                  <c:v>-0.10263885929840701</c:v>
                </c:pt>
                <c:pt idx="16">
                  <c:v>-0.10281298202629199</c:v>
                </c:pt>
                <c:pt idx="17">
                  <c:v>-0.102310179524675</c:v>
                </c:pt>
                <c:pt idx="18">
                  <c:v>-0.10131313991854</c:v>
                </c:pt>
                <c:pt idx="19">
                  <c:v>-9.9958188630443048E-2</c:v>
                </c:pt>
                <c:pt idx="20">
                  <c:v>-9.8347226073539643E-2</c:v>
                </c:pt>
                <c:pt idx="21">
                  <c:v>-9.6556684244434796E-2</c:v>
                </c:pt>
                <c:pt idx="22">
                  <c:v>-9.4644168306322468E-2</c:v>
                </c:pt>
                <c:pt idx="23">
                  <c:v>-9.2653342666649513E-2</c:v>
                </c:pt>
                <c:pt idx="24">
                  <c:v>-9.0617507979863246E-2</c:v>
                </c:pt>
                <c:pt idx="25">
                  <c:v>-8.8562213680538904E-2</c:v>
                </c:pt>
                <c:pt idx="26">
                  <c:v>-8.6507166050808243E-2</c:v>
                </c:pt>
                <c:pt idx="27">
                  <c:v>-8.4467624803223187E-2</c:v>
                </c:pt>
                <c:pt idx="28">
                  <c:v>-8.2455429693853444E-2</c:v>
                </c:pt>
                <c:pt idx="29">
                  <c:v>-8.047976001106108E-2</c:v>
                </c:pt>
                <c:pt idx="30">
                  <c:v>-7.85477011884681E-2</c:v>
                </c:pt>
                <c:pt idx="31">
                  <c:v>-7.6664671892197112E-2</c:v>
                </c:pt>
                <c:pt idx="32">
                  <c:v>-7.4834749797703021E-2</c:v>
                </c:pt>
                <c:pt idx="33">
                  <c:v>-7.3060923386240539E-2</c:v>
                </c:pt>
                <c:pt idx="34">
                  <c:v>-7.1345289303129403E-2</c:v>
                </c:pt>
                <c:pt idx="35">
                  <c:v>-6.9689209269521712E-2</c:v>
                </c:pt>
                <c:pt idx="36">
                  <c:v>-6.8093436593992723E-2</c:v>
                </c:pt>
                <c:pt idx="37">
                  <c:v>-6.6558219530058096E-2</c:v>
                </c:pt>
                <c:pt idx="38">
                  <c:v>-6.5083386739099899E-2</c:v>
                </c:pt>
                <c:pt idx="39">
                  <c:v>-6.3668418707726604E-2</c:v>
                </c:pt>
                <c:pt idx="40">
                  <c:v>-6.2312507965248592E-2</c:v>
                </c:pt>
                <c:pt idx="41">
                  <c:v>-6.1014610230825626E-2</c:v>
                </c:pt>
                <c:pt idx="42">
                  <c:v>-5.9773488106278472E-2</c:v>
                </c:pt>
                <c:pt idx="43">
                  <c:v>-5.8587748559786199E-2</c:v>
                </c:pt>
                <c:pt idx="44">
                  <c:v>-5.7455875175872445E-2</c:v>
                </c:pt>
                <c:pt idx="45">
                  <c:v>-5.6376255948585433E-2</c:v>
                </c:pt>
                <c:pt idx="46">
                  <c:v>-5.5347207247042882E-2</c:v>
                </c:pt>
                <c:pt idx="47">
                  <c:v>-5.4366994470934439E-2</c:v>
                </c:pt>
                <c:pt idx="48">
                  <c:v>-5.3433849828003734E-2</c:v>
                </c:pt>
                <c:pt idx="49">
                  <c:v>-5.2545987598788403E-2</c:v>
                </c:pt>
                <c:pt idx="50">
                  <c:v>-5.1701617200899004E-2</c:v>
                </c:pt>
                <c:pt idx="51">
                  <c:v>-5.0898954322365422E-2</c:v>
                </c:pt>
                <c:pt idx="52">
                  <c:v>-5.0136230358422025E-2</c:v>
                </c:pt>
                <c:pt idx="53">
                  <c:v>-4.9411700356822345E-2</c:v>
                </c:pt>
                <c:pt idx="54">
                  <c:v>-4.8723649652029813E-2</c:v>
                </c:pt>
                <c:pt idx="55">
                  <c:v>-4.8070399347410413E-2</c:v>
                </c:pt>
                <c:pt idx="56">
                  <c:v>-4.7450310786278697E-2</c:v>
                </c:pt>
                <c:pt idx="57">
                  <c:v>-4.6861789136673403E-2</c:v>
                </c:pt>
                <c:pt idx="58">
                  <c:v>-4.6303286200734733E-2</c:v>
                </c:pt>
                <c:pt idx="59">
                  <c:v>-4.5773302547202299E-2</c:v>
                </c:pt>
                <c:pt idx="60">
                  <c:v>-4.5270389054610304E-2</c:v>
                </c:pt>
              </c:numCache>
            </c:numRef>
          </c:val>
          <c:smooth val="1"/>
        </c:ser>
        <c:ser>
          <c:idx val="1"/>
          <c:order val="1"/>
          <c:tx>
            <c:strRef>
              <c:f>Sheet2!$B$31</c:f>
              <c:strCache>
                <c:ptCount val="1"/>
                <c:pt idx="0">
                  <c:v>high labor elasticity</c:v>
                </c:pt>
              </c:strCache>
            </c:strRef>
          </c:tx>
          <c:spPr>
            <a:ln w="3175">
              <a:solidFill>
                <a:prstClr val="black"/>
              </a:solidFill>
            </a:ln>
          </c:spPr>
          <c:marker>
            <c:symbol val="diamond"/>
            <c:size val="4"/>
            <c:spPr>
              <a:solidFill>
                <a:srgbClr val="C00000"/>
              </a:solidFill>
              <a:ln w="3175"/>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Sheet2!$C$31:$CX$31</c:f>
              <c:numCache>
                <c:formatCode>General</c:formatCode>
                <c:ptCount val="61"/>
                <c:pt idx="0">
                  <c:v>6.555315070188994E-2</c:v>
                </c:pt>
                <c:pt idx="1">
                  <c:v>7.7053946386272401E-2</c:v>
                </c:pt>
                <c:pt idx="2">
                  <c:v>6.6993394397088304E-2</c:v>
                </c:pt>
                <c:pt idx="3">
                  <c:v>4.8047268366500466E-2</c:v>
                </c:pt>
                <c:pt idx="4">
                  <c:v>2.7125488816546393E-2</c:v>
                </c:pt>
                <c:pt idx="5">
                  <c:v>7.704617125251354E-3</c:v>
                </c:pt>
                <c:pt idx="6">
                  <c:v>-8.7211500318256398E-3</c:v>
                </c:pt>
                <c:pt idx="7">
                  <c:v>-2.1752052011369802E-2</c:v>
                </c:pt>
                <c:pt idx="8">
                  <c:v>-3.1550795918998301E-2</c:v>
                </c:pt>
                <c:pt idx="9">
                  <c:v>-3.8532822330975797E-2</c:v>
                </c:pt>
                <c:pt idx="10">
                  <c:v>-4.31931809600129E-2</c:v>
                </c:pt>
                <c:pt idx="11">
                  <c:v>-4.6015731774151802E-2</c:v>
                </c:pt>
                <c:pt idx="12">
                  <c:v>-4.7430663128050832E-2</c:v>
                </c:pt>
                <c:pt idx="13">
                  <c:v>-4.7799331170283524E-2</c:v>
                </c:pt>
                <c:pt idx="14">
                  <c:v>-4.741369730226884E-2</c:v>
                </c:pt>
                <c:pt idx="15">
                  <c:v>-4.65028402585397E-2</c:v>
                </c:pt>
                <c:pt idx="16">
                  <c:v>-4.5242242765789628E-2</c:v>
                </c:pt>
                <c:pt idx="17">
                  <c:v>-4.3763516363389487E-2</c:v>
                </c:pt>
                <c:pt idx="18">
                  <c:v>-4.2163397244397535E-2</c:v>
                </c:pt>
                <c:pt idx="19">
                  <c:v>-4.0511520907127514E-2</c:v>
                </c:pt>
                <c:pt idx="20">
                  <c:v>-3.8856855699041203E-2</c:v>
                </c:pt>
                <c:pt idx="21">
                  <c:v>-3.7232866233925882E-2</c:v>
                </c:pt>
                <c:pt idx="22">
                  <c:v>-3.5661562904916191E-2</c:v>
                </c:pt>
                <c:pt idx="23">
                  <c:v>-3.4156619881597197E-2</c:v>
                </c:pt>
                <c:pt idx="24">
                  <c:v>-3.2725739159375211E-2</c:v>
                </c:pt>
                <c:pt idx="25">
                  <c:v>-3.1372418922501401E-2</c:v>
                </c:pt>
                <c:pt idx="26">
                  <c:v>-3.0097260026976713E-2</c:v>
                </c:pt>
                <c:pt idx="27">
                  <c:v>-2.88989198017164E-2</c:v>
                </c:pt>
                <c:pt idx="28">
                  <c:v>-2.7774800031135902E-2</c:v>
                </c:pt>
                <c:pt idx="29">
                  <c:v>-2.6721536873995002E-2</c:v>
                </c:pt>
                <c:pt idx="30">
                  <c:v>-2.5735344745609959E-2</c:v>
                </c:pt>
                <c:pt idx="31">
                  <c:v>-2.4812253595864201E-2</c:v>
                </c:pt>
                <c:pt idx="32">
                  <c:v>-2.3948269136291767E-2</c:v>
                </c:pt>
                <c:pt idx="33">
                  <c:v>-2.3139477945720712E-2</c:v>
                </c:pt>
                <c:pt idx="34">
                  <c:v>-2.2382113578734594E-2</c:v>
                </c:pt>
                <c:pt idx="35">
                  <c:v>-2.1672595430279856E-2</c:v>
                </c:pt>
                <c:pt idx="36">
                  <c:v>-2.1007548850957802E-2</c:v>
                </c:pt>
                <c:pt idx="37">
                  <c:v>-2.0383812599154866E-2</c:v>
                </c:pt>
                <c:pt idx="38">
                  <c:v>-1.9798437950659001E-2</c:v>
                </c:pt>
                <c:pt idx="39">
                  <c:v>-1.9248682502083999E-2</c:v>
                </c:pt>
                <c:pt idx="40">
                  <c:v>-1.8732000777115523E-2</c:v>
                </c:pt>
                <c:pt idx="41">
                  <c:v>-1.8246033080171399E-2</c:v>
                </c:pt>
                <c:pt idx="42">
                  <c:v>-1.7788593569730209E-2</c:v>
                </c:pt>
                <c:pt idx="43">
                  <c:v>-1.73576581906973E-2</c:v>
                </c:pt>
                <c:pt idx="44">
                  <c:v>-1.6951352872832399E-2</c:v>
                </c:pt>
                <c:pt idx="45">
                  <c:v>-1.6567942241890201E-2</c:v>
                </c:pt>
                <c:pt idx="46">
                  <c:v>-1.6205818980957701E-2</c:v>
                </c:pt>
                <c:pt idx="47">
                  <c:v>-1.5863493906418103E-2</c:v>
                </c:pt>
                <c:pt idx="48">
                  <c:v>-1.5539586775210701E-2</c:v>
                </c:pt>
                <c:pt idx="49">
                  <c:v>-1.52328178098138E-2</c:v>
                </c:pt>
                <c:pt idx="50">
                  <c:v>-1.49419999091594E-2</c:v>
                </c:pt>
                <c:pt idx="51">
                  <c:v>-1.46660315035834E-2</c:v>
                </c:pt>
                <c:pt idx="52">
                  <c:v>-1.4403890007208101E-2</c:v>
                </c:pt>
                <c:pt idx="53">
                  <c:v>-1.4154625819939901E-2</c:v>
                </c:pt>
                <c:pt idx="54">
                  <c:v>-1.3917356832244298E-2</c:v>
                </c:pt>
                <c:pt idx="55">
                  <c:v>-1.36912633881366E-2</c:v>
                </c:pt>
                <c:pt idx="56">
                  <c:v>-1.3475583664814125E-2</c:v>
                </c:pt>
                <c:pt idx="57">
                  <c:v>-1.3269609430651601E-2</c:v>
                </c:pt>
                <c:pt idx="58">
                  <c:v>-1.3072682146646798E-2</c:v>
                </c:pt>
                <c:pt idx="59">
                  <c:v>-1.2884189379662575E-2</c:v>
                </c:pt>
                <c:pt idx="60">
                  <c:v>-1.2703561498907581E-2</c:v>
                </c:pt>
              </c:numCache>
            </c:numRef>
          </c:val>
          <c:smooth val="1"/>
        </c:ser>
        <c:ser>
          <c:idx val="2"/>
          <c:order val="2"/>
          <c:tx>
            <c:strRef>
              <c:f>Sheet2!$B$51</c:f>
              <c:strCache>
                <c:ptCount val="1"/>
                <c:pt idx="0">
                  <c:v>high intratemporal elasticity</c:v>
                </c:pt>
              </c:strCache>
            </c:strRef>
          </c:tx>
          <c:spPr>
            <a:ln w="3175">
              <a:solidFill>
                <a:schemeClr val="tx1"/>
              </a:solidFill>
            </a:ln>
          </c:spPr>
          <c:marker>
            <c:symbol val="circle"/>
            <c:size val="4"/>
            <c:spPr>
              <a:solidFill>
                <a:schemeClr val="bg1">
                  <a:lumMod val="65000"/>
                </a:schemeClr>
              </a:solidFill>
              <a:ln w="3175">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Sheet2!$C$51:$CX$51</c:f>
              <c:numCache>
                <c:formatCode>General</c:formatCode>
                <c:ptCount val="61"/>
                <c:pt idx="0">
                  <c:v>0.20416642856667799</c:v>
                </c:pt>
                <c:pt idx="1">
                  <c:v>0.25119114653394709</c:v>
                </c:pt>
                <c:pt idx="2">
                  <c:v>0.23125008876401201</c:v>
                </c:pt>
                <c:pt idx="3">
                  <c:v>0.18599243072285249</c:v>
                </c:pt>
                <c:pt idx="4">
                  <c:v>0.13580769105521201</c:v>
                </c:pt>
                <c:pt idx="5">
                  <c:v>8.9770089286829724E-2</c:v>
                </c:pt>
                <c:pt idx="6">
                  <c:v>5.11496037246265E-2</c:v>
                </c:pt>
                <c:pt idx="7">
                  <c:v>2.0408457621989898E-2</c:v>
                </c:pt>
                <c:pt idx="8">
                  <c:v>-3.2126112347977812E-3</c:v>
                </c:pt>
                <c:pt idx="9">
                  <c:v>-2.0887274731141499E-2</c:v>
                </c:pt>
                <c:pt idx="10">
                  <c:v>-3.3818472386041597E-2</c:v>
                </c:pt>
                <c:pt idx="11">
                  <c:v>-4.3075322348105176E-2</c:v>
                </c:pt>
                <c:pt idx="12">
                  <c:v>-4.9541994783274299E-2</c:v>
                </c:pt>
                <c:pt idx="13">
                  <c:v>-5.3919194701610301E-2</c:v>
                </c:pt>
                <c:pt idx="14">
                  <c:v>-5.6747216832396627E-2</c:v>
                </c:pt>
                <c:pt idx="15">
                  <c:v>-5.8435078325435721E-2</c:v>
                </c:pt>
                <c:pt idx="16">
                  <c:v>-5.9288575509274147E-2</c:v>
                </c:pt>
                <c:pt idx="17">
                  <c:v>-5.9534442359667622E-2</c:v>
                </c:pt>
                <c:pt idx="18">
                  <c:v>-5.9339926955514828E-2</c:v>
                </c:pt>
                <c:pt idx="19">
                  <c:v>-5.8828070077592498E-2</c:v>
                </c:pt>
                <c:pt idx="20">
                  <c:v>-5.8089334523753998E-2</c:v>
                </c:pt>
                <c:pt idx="21">
                  <c:v>-5.7190303780826998E-2</c:v>
                </c:pt>
                <c:pt idx="22">
                  <c:v>-5.6180108554893575E-2</c:v>
                </c:pt>
                <c:pt idx="23">
                  <c:v>-5.5095133241015913E-2</c:v>
                </c:pt>
                <c:pt idx="24">
                  <c:v>-5.3962442097646134E-2</c:v>
                </c:pt>
                <c:pt idx="25">
                  <c:v>-5.2802264080641252E-2</c:v>
                </c:pt>
                <c:pt idx="26">
                  <c:v>-5.1629791739505701E-2</c:v>
                </c:pt>
                <c:pt idx="27">
                  <c:v>-5.0456483514755804E-2</c:v>
                </c:pt>
                <c:pt idx="28">
                  <c:v>-4.9291008123150896E-2</c:v>
                </c:pt>
                <c:pt idx="29">
                  <c:v>-4.8139931706027324E-2</c:v>
                </c:pt>
                <c:pt idx="30">
                  <c:v>-4.7008220331729134E-2</c:v>
                </c:pt>
                <c:pt idx="31">
                  <c:v>-4.5899609934071647E-2</c:v>
                </c:pt>
                <c:pt idx="32">
                  <c:v>-4.4816880923853976E-2</c:v>
                </c:pt>
                <c:pt idx="33">
                  <c:v>-4.3762064038155496E-2</c:v>
                </c:pt>
                <c:pt idx="34">
                  <c:v>-4.2736596359454523E-2</c:v>
                </c:pt>
                <c:pt idx="35">
                  <c:v>-4.1741440998969696E-2</c:v>
                </c:pt>
                <c:pt idx="36">
                  <c:v>-4.0777180075607614E-2</c:v>
                </c:pt>
                <c:pt idx="37">
                  <c:v>-3.9844087882464692E-2</c:v>
                </c:pt>
                <c:pt idx="38">
                  <c:v>-3.8942189191876003E-2</c:v>
                </c:pt>
                <c:pt idx="39">
                  <c:v>-3.8071306274752442E-2</c:v>
                </c:pt>
                <c:pt idx="40">
                  <c:v>-3.7231097234518652E-2</c:v>
                </c:pt>
                <c:pt idx="41">
                  <c:v>-3.6421087562776462E-2</c:v>
                </c:pt>
                <c:pt idx="42">
                  <c:v>-3.5640696329597203E-2</c:v>
                </c:pt>
                <c:pt idx="43">
                  <c:v>-3.4889258067506611E-2</c:v>
                </c:pt>
                <c:pt idx="44">
                  <c:v>-3.4166041153358487E-2</c:v>
                </c:pt>
                <c:pt idx="45">
                  <c:v>-3.3470263307471902E-2</c:v>
                </c:pt>
                <c:pt idx="46">
                  <c:v>-3.2801104694095452E-2</c:v>
                </c:pt>
                <c:pt idx="47">
                  <c:v>-3.2157719007246302E-2</c:v>
                </c:pt>
                <c:pt idx="48">
                  <c:v>-3.1539242851090291E-2</c:v>
                </c:pt>
                <c:pt idx="49">
                  <c:v>-3.0944803667236606E-2</c:v>
                </c:pt>
                <c:pt idx="50">
                  <c:v>-3.037352641762962E-2</c:v>
                </c:pt>
                <c:pt idx="51">
                  <c:v>-2.9824539197542927E-2</c:v>
                </c:pt>
                <c:pt idx="52">
                  <c:v>-2.9296977926114725E-2</c:v>
                </c:pt>
                <c:pt idx="53">
                  <c:v>-2.8789990239989398E-2</c:v>
                </c:pt>
                <c:pt idx="54">
                  <c:v>-2.8302738697832477E-2</c:v>
                </c:pt>
                <c:pt idx="55">
                  <c:v>-2.7834403388657211E-2</c:v>
                </c:pt>
                <c:pt idx="56">
                  <c:v>-2.7384184024552088E-2</c:v>
                </c:pt>
                <c:pt idx="57">
                  <c:v>-2.6951301587883537E-2</c:v>
                </c:pt>
                <c:pt idx="58">
                  <c:v>-2.6534999594085999E-2</c:v>
                </c:pt>
                <c:pt idx="59">
                  <c:v>-2.6134545023444027E-2</c:v>
                </c:pt>
                <c:pt idx="60">
                  <c:v>-2.574922896856353E-2</c:v>
                </c:pt>
              </c:numCache>
            </c:numRef>
          </c:val>
          <c:smooth val="1"/>
        </c:ser>
        <c:dLbls/>
        <c:marker val="1"/>
        <c:axId val="142479744"/>
        <c:axId val="142481280"/>
      </c:lineChart>
      <c:catAx>
        <c:axId val="142479744"/>
        <c:scaling>
          <c:orientation val="minMax"/>
        </c:scaling>
        <c:axPos val="b"/>
        <c:numFmt formatCode="General" sourceLinked="1"/>
        <c:tickLblPos val="nextTo"/>
        <c:txPr>
          <a:bodyPr/>
          <a:lstStyle/>
          <a:p>
            <a:pPr>
              <a:defRPr sz="600">
                <a:latin typeface="Times New Roman" pitchFamily="18" charset="0"/>
                <a:cs typeface="Times New Roman" pitchFamily="18" charset="0"/>
              </a:defRPr>
            </a:pPr>
            <a:endParaRPr lang="en-US"/>
          </a:p>
        </c:txPr>
        <c:crossAx val="142481280"/>
        <c:crossesAt val="-0.2"/>
        <c:auto val="1"/>
        <c:lblAlgn val="ctr"/>
        <c:lblOffset val="100"/>
        <c:tickLblSkip val="4"/>
        <c:tickMarkSkip val="4"/>
      </c:catAx>
      <c:valAx>
        <c:axId val="142481280"/>
        <c:scaling>
          <c:orientation val="minMax"/>
          <c:max val="0.30000000000000032"/>
          <c:min val="-0.15000000000000024"/>
        </c:scaling>
        <c:axPos val="l"/>
        <c:numFmt formatCode="#,##0.00" sourceLinked="0"/>
        <c:tickLblPos val="nextTo"/>
        <c:txPr>
          <a:bodyPr/>
          <a:lstStyle/>
          <a:p>
            <a:pPr>
              <a:defRPr sz="600">
                <a:latin typeface="Times New Roman" pitchFamily="18" charset="0"/>
                <a:cs typeface="Times New Roman" pitchFamily="18" charset="0"/>
              </a:defRPr>
            </a:pPr>
            <a:endParaRPr lang="en-US"/>
          </a:p>
        </c:txPr>
        <c:crossAx val="142479744"/>
        <c:crossesAt val="1"/>
        <c:crossBetween val="midCat"/>
        <c:majorUnit val="0.05"/>
        <c:minorUnit val="0.05"/>
      </c:valAx>
      <c:spPr>
        <a:noFill/>
        <a:ln w="25400">
          <a:noFill/>
        </a:ln>
      </c:spPr>
    </c:plotArea>
    <c:legend>
      <c:legendPos val="r"/>
      <c:layout>
        <c:manualLayout>
          <c:xMode val="edge"/>
          <c:yMode val="edge"/>
          <c:x val="0.54594889180519446"/>
          <c:y val="0.16978212060841788"/>
          <c:w val="0.44737642169729014"/>
          <c:h val="0.28310280492047124"/>
        </c:manualLayout>
      </c:layout>
      <c:txPr>
        <a:bodyPr/>
        <a:lstStyle/>
        <a:p>
          <a:pPr>
            <a:defRPr sz="6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5602601221239151"/>
          <c:y val="5.0165581154207904E-2"/>
          <c:w val="0.79581128857315564"/>
          <c:h val="0.74353194082957219"/>
        </c:manualLayout>
      </c:layout>
      <c:lineChart>
        <c:grouping val="standard"/>
        <c:ser>
          <c:idx val="0"/>
          <c:order val="0"/>
          <c:tx>
            <c:strRef>
              <c:f>Sheet2!$B$8</c:f>
              <c:strCache>
                <c:ptCount val="1"/>
                <c:pt idx="0">
                  <c:v>baseline</c:v>
                </c:pt>
              </c:strCache>
            </c:strRef>
          </c:tx>
          <c:spPr>
            <a:ln w="31750">
              <a:solidFill>
                <a:schemeClr val="tx1"/>
              </a:solidFill>
              <a:prstDash val="sysDot"/>
            </a:ln>
          </c:spPr>
          <c:marker>
            <c:symbol val="none"/>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Sheet2!$C$8:$CX$8</c:f>
              <c:numCache>
                <c:formatCode>General</c:formatCode>
                <c:ptCount val="61"/>
                <c:pt idx="0">
                  <c:v>0.21804518810015391</c:v>
                </c:pt>
                <c:pt idx="1">
                  <c:v>0.26820109664498876</c:v>
                </c:pt>
                <c:pt idx="2">
                  <c:v>0.24205168775620606</c:v>
                </c:pt>
                <c:pt idx="3">
                  <c:v>0.18715706342411001</c:v>
                </c:pt>
                <c:pt idx="4">
                  <c:v>0.12691156934431597</c:v>
                </c:pt>
                <c:pt idx="5">
                  <c:v>7.1774245782866605E-2</c:v>
                </c:pt>
                <c:pt idx="6">
                  <c:v>2.5530262051856611E-2</c:v>
                </c:pt>
                <c:pt idx="7">
                  <c:v>-1.1284035285788658E-2</c:v>
                </c:pt>
                <c:pt idx="8">
                  <c:v>-3.9556759664838487E-2</c:v>
                </c:pt>
                <c:pt idx="9">
                  <c:v>-6.0666091789115133E-2</c:v>
                </c:pt>
                <c:pt idx="10">
                  <c:v>-7.603087189975842E-2</c:v>
                </c:pt>
                <c:pt idx="11">
                  <c:v>-8.6918137135024984E-2</c:v>
                </c:pt>
                <c:pt idx="12">
                  <c:v>-9.438118906332045E-2</c:v>
                </c:pt>
                <c:pt idx="13">
                  <c:v>-9.9259580376605525E-2</c:v>
                </c:pt>
                <c:pt idx="14">
                  <c:v>-0.10220488183392309</c:v>
                </c:pt>
                <c:pt idx="15">
                  <c:v>-0.10371403545172612</c:v>
                </c:pt>
                <c:pt idx="16">
                  <c:v>-0.10416179745956509</c:v>
                </c:pt>
                <c:pt idx="17">
                  <c:v>-0.103828850384411</c:v>
                </c:pt>
                <c:pt idx="18">
                  <c:v>-0.10292469383388222</c:v>
                </c:pt>
                <c:pt idx="19">
                  <c:v>-0.101605584398055</c:v>
                </c:pt>
                <c:pt idx="20">
                  <c:v>-9.9988244043496627E-2</c:v>
                </c:pt>
                <c:pt idx="21">
                  <c:v>-9.8160154303217895E-2</c:v>
                </c:pt>
                <c:pt idx="22">
                  <c:v>-9.6187193643561486E-2</c:v>
                </c:pt>
                <c:pt idx="23">
                  <c:v>-9.4119257305924589E-2</c:v>
                </c:pt>
                <c:pt idx="24">
                  <c:v>-9.1994371249351295E-2</c:v>
                </c:pt>
                <c:pt idx="25">
                  <c:v>-8.9841695909800068E-2</c:v>
                </c:pt>
                <c:pt idx="26">
                  <c:v>-8.7683718755760934E-2</c:v>
                </c:pt>
                <c:pt idx="27">
                  <c:v>-8.5537857768660311E-2</c:v>
                </c:pt>
                <c:pt idx="28">
                  <c:v>-8.3417638850933382E-2</c:v>
                </c:pt>
                <c:pt idx="29">
                  <c:v>-8.1333565680822228E-2</c:v>
                </c:pt>
                <c:pt idx="30">
                  <c:v>-7.9293767603579701E-2</c:v>
                </c:pt>
                <c:pt idx="31">
                  <c:v>-7.7304487066936114E-2</c:v>
                </c:pt>
                <c:pt idx="32">
                  <c:v>-7.5370450658894195E-2</c:v>
                </c:pt>
                <c:pt idx="33">
                  <c:v>-7.3495155251024596E-2</c:v>
                </c:pt>
                <c:pt idx="34">
                  <c:v>-7.1681091765594299E-2</c:v>
                </c:pt>
                <c:pt idx="35">
                  <c:v>-6.9929922680575102E-2</c:v>
                </c:pt>
                <c:pt idx="36">
                  <c:v>-6.8242624834108076E-2</c:v>
                </c:pt>
                <c:pt idx="37">
                  <c:v>-6.6619605859278119E-2</c:v>
                </c:pt>
                <c:pt idx="38">
                  <c:v>-6.5060800288529397E-2</c:v>
                </c:pt>
                <c:pt idx="39">
                  <c:v>-6.3565749740708805E-2</c:v>
                </c:pt>
                <c:pt idx="40">
                  <c:v>-6.2133670447491837E-2</c:v>
                </c:pt>
                <c:pt idx="41">
                  <c:v>-6.0763510551257033E-2</c:v>
                </c:pt>
                <c:pt idx="42">
                  <c:v>-5.9453999015662048E-2</c:v>
                </c:pt>
                <c:pt idx="43">
                  <c:v>-5.8203687564133334E-2</c:v>
                </c:pt>
                <c:pt idx="44">
                  <c:v>-5.7010986751932329E-2</c:v>
                </c:pt>
                <c:pt idx="45">
                  <c:v>-5.5874197050093923E-2</c:v>
                </c:pt>
                <c:pt idx="46">
                  <c:v>-5.4791535650734045E-2</c:v>
                </c:pt>
                <c:pt idx="47">
                  <c:v>-5.3761159575949957E-2</c:v>
                </c:pt>
                <c:pt idx="48">
                  <c:v>-5.2781185575273185E-2</c:v>
                </c:pt>
                <c:pt idx="49">
                  <c:v>-5.1849707220867298E-2</c:v>
                </c:pt>
                <c:pt idx="50">
                  <c:v>-5.0964809549792302E-2</c:v>
                </c:pt>
                <c:pt idx="51">
                  <c:v>-5.0124581554348534E-2</c:v>
                </c:pt>
                <c:pt idx="52">
                  <c:v>-4.9327126782004002E-2</c:v>
                </c:pt>
                <c:pt idx="53">
                  <c:v>-4.8570572273528886E-2</c:v>
                </c:pt>
                <c:pt idx="54">
                  <c:v>-4.7853076040202107E-2</c:v>
                </c:pt>
                <c:pt idx="55">
                  <c:v>-4.7172833257276933E-2</c:v>
                </c:pt>
                <c:pt idx="56">
                  <c:v>-4.6528081330444997E-2</c:v>
                </c:pt>
                <c:pt idx="57">
                  <c:v>-4.5917103974220733E-2</c:v>
                </c:pt>
                <c:pt idx="58">
                  <c:v>-4.5338234425582088E-2</c:v>
                </c:pt>
                <c:pt idx="59">
                  <c:v>-4.4789857902437433E-2</c:v>
                </c:pt>
                <c:pt idx="60">
                  <c:v>-4.4270413404315104E-2</c:v>
                </c:pt>
              </c:numCache>
            </c:numRef>
          </c:val>
          <c:smooth val="1"/>
        </c:ser>
        <c:ser>
          <c:idx val="1"/>
          <c:order val="1"/>
          <c:tx>
            <c:strRef>
              <c:f>Sheet2!$B$30</c:f>
              <c:strCache>
                <c:ptCount val="1"/>
                <c:pt idx="0">
                  <c:v>high labor elasticity</c:v>
                </c:pt>
              </c:strCache>
            </c:strRef>
          </c:tx>
          <c:spPr>
            <a:ln w="3175">
              <a:solidFill>
                <a:schemeClr val="tx1"/>
              </a:solidFill>
            </a:ln>
          </c:spPr>
          <c:marker>
            <c:symbol val="diamond"/>
            <c:size val="4"/>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Sheet2!$C$30:$CX$30</c:f>
              <c:numCache>
                <c:formatCode>General</c:formatCode>
                <c:ptCount val="61"/>
                <c:pt idx="0">
                  <c:v>7.5835997870814034E-2</c:v>
                </c:pt>
                <c:pt idx="1">
                  <c:v>9.6687228543016548E-2</c:v>
                </c:pt>
                <c:pt idx="2">
                  <c:v>8.9672740122709524E-2</c:v>
                </c:pt>
                <c:pt idx="3">
                  <c:v>7.0464716529560198E-2</c:v>
                </c:pt>
                <c:pt idx="4">
                  <c:v>4.7729723687091413E-2</c:v>
                </c:pt>
                <c:pt idx="5">
                  <c:v>2.5936302255567211E-2</c:v>
                </c:pt>
                <c:pt idx="6">
                  <c:v>7.1077799100723524E-3</c:v>
                </c:pt>
                <c:pt idx="7">
                  <c:v>-8.1002469071094728E-3</c:v>
                </c:pt>
                <c:pt idx="8">
                  <c:v>-1.9750557118272793E-2</c:v>
                </c:pt>
                <c:pt idx="9">
                  <c:v>-2.8243148661237602E-2</c:v>
                </c:pt>
                <c:pt idx="10">
                  <c:v>-3.4099651469861401E-2</c:v>
                </c:pt>
                <c:pt idx="11">
                  <c:v>-3.7848069873172012E-2</c:v>
                </c:pt>
                <c:pt idx="12">
                  <c:v>-3.99668502639626E-2</c:v>
                </c:pt>
                <c:pt idx="13">
                  <c:v>-4.0862857457059303E-2</c:v>
                </c:pt>
                <c:pt idx="14">
                  <c:v>-4.0867777869784114E-2</c:v>
                </c:pt>
                <c:pt idx="15">
                  <c:v>-4.0243731458684998E-2</c:v>
                </c:pt>
                <c:pt idx="16">
                  <c:v>-3.9192772074579288E-2</c:v>
                </c:pt>
                <c:pt idx="17">
                  <c:v>-3.7867341807738902E-2</c:v>
                </c:pt>
                <c:pt idx="18">
                  <c:v>-3.63801747313163E-2</c:v>
                </c:pt>
                <c:pt idx="19">
                  <c:v>-3.4812978159976492E-2</c:v>
                </c:pt>
                <c:pt idx="20">
                  <c:v>-3.322368502910051E-2</c:v>
                </c:pt>
                <c:pt idx="21">
                  <c:v>-3.1652315080515775E-2</c:v>
                </c:pt>
                <c:pt idx="22">
                  <c:v>-3.0125596602590198E-2</c:v>
                </c:pt>
                <c:pt idx="23">
                  <c:v>-2.8660540965023011E-2</c:v>
                </c:pt>
                <c:pt idx="24">
                  <c:v>-2.7267163340119811E-2</c:v>
                </c:pt>
                <c:pt idx="25">
                  <c:v>-2.5950525067767599E-2</c:v>
                </c:pt>
                <c:pt idx="26">
                  <c:v>-2.4712247688420751E-2</c:v>
                </c:pt>
                <c:pt idx="27">
                  <c:v>-2.3551622041846101E-2</c:v>
                </c:pt>
                <c:pt idx="28">
                  <c:v>-2.24664111650602E-2</c:v>
                </c:pt>
                <c:pt idx="29">
                  <c:v>-2.1453424357258867E-2</c:v>
                </c:pt>
                <c:pt idx="30">
                  <c:v>-2.0508922043984901E-2</c:v>
                </c:pt>
                <c:pt idx="31">
                  <c:v>-1.9628896781808621E-2</c:v>
                </c:pt>
                <c:pt idx="32">
                  <c:v>-1.8809264481268403E-2</c:v>
                </c:pt>
                <c:pt idx="33">
                  <c:v>-1.8045991200154602E-2</c:v>
                </c:pt>
                <c:pt idx="34">
                  <c:v>-1.7335174193487138E-2</c:v>
                </c:pt>
                <c:pt idx="35">
                  <c:v>-1.66730908737837E-2</c:v>
                </c:pt>
                <c:pt idx="36">
                  <c:v>-1.6056225573670597E-2</c:v>
                </c:pt>
                <c:pt idx="37">
                  <c:v>-1.5481281216637317E-2</c:v>
                </c:pt>
                <c:pt idx="38">
                  <c:v>-1.4945180954821899E-2</c:v>
                </c:pt>
                <c:pt idx="39">
                  <c:v>-1.44450633405287E-2</c:v>
                </c:pt>
                <c:pt idx="40">
                  <c:v>-1.3978273518505301E-2</c:v>
                </c:pt>
                <c:pt idx="41">
                  <c:v>-1.35423521506754E-2</c:v>
                </c:pt>
                <c:pt idx="42">
                  <c:v>-1.3135023232511141E-2</c:v>
                </c:pt>
                <c:pt idx="43">
                  <c:v>-1.2754181569784103E-2</c:v>
                </c:pt>
                <c:pt idx="44">
                  <c:v>-1.2397880411049299E-2</c:v>
                </c:pt>
                <c:pt idx="45">
                  <c:v>-1.2064319541806401E-2</c:v>
                </c:pt>
                <c:pt idx="46">
                  <c:v>-1.1751834016731619E-2</c:v>
                </c:pt>
                <c:pt idx="47">
                  <c:v>-1.145888361915022E-2</c:v>
                </c:pt>
                <c:pt idx="48">
                  <c:v>-1.1184043079406899E-2</c:v>
                </c:pt>
                <c:pt idx="49">
                  <c:v>-1.09259930469394E-2</c:v>
                </c:pt>
                <c:pt idx="50">
                  <c:v>-1.0683511788220783E-2</c:v>
                </c:pt>
                <c:pt idx="51">
                  <c:v>-1.0455467569761999E-2</c:v>
                </c:pt>
                <c:pt idx="52">
                  <c:v>-1.0240811678835716E-2</c:v>
                </c:pt>
                <c:pt idx="53">
                  <c:v>-1.00385720322742E-2</c:v>
                </c:pt>
                <c:pt idx="54">
                  <c:v>-9.8478473240761998E-3</c:v>
                </c:pt>
                <c:pt idx="55">
                  <c:v>-9.6678016645423293E-3</c:v>
                </c:pt>
                <c:pt idx="56">
                  <c:v>-9.4976596665828066E-3</c:v>
                </c:pt>
                <c:pt idx="57">
                  <c:v>-9.3367019381895983E-3</c:v>
                </c:pt>
                <c:pt idx="58">
                  <c:v>-9.1842609435657894E-3</c:v>
                </c:pt>
                <c:pt idx="59">
                  <c:v>-9.0397171988477708E-3</c:v>
                </c:pt>
                <c:pt idx="60">
                  <c:v>-8.9024957716362894E-3</c:v>
                </c:pt>
              </c:numCache>
            </c:numRef>
          </c:val>
        </c:ser>
        <c:ser>
          <c:idx val="2"/>
          <c:order val="2"/>
          <c:tx>
            <c:strRef>
              <c:f>Sheet2!$B$50</c:f>
              <c:strCache>
                <c:ptCount val="1"/>
                <c:pt idx="0">
                  <c:v>high intratemporal elasticity</c:v>
                </c:pt>
              </c:strCache>
            </c:strRef>
          </c:tx>
          <c:spPr>
            <a:ln w="3175">
              <a:solidFill>
                <a:schemeClr val="tx1"/>
              </a:solidFill>
            </a:ln>
          </c:spPr>
          <c:marker>
            <c:symbol val="circle"/>
            <c:size val="4"/>
            <c:spPr>
              <a:solidFill>
                <a:schemeClr val="bg1">
                  <a:lumMod val="65000"/>
                </a:schemeClr>
              </a:solidFill>
              <a:ln>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Sheet2!$C$50:$CX$50</c:f>
              <c:numCache>
                <c:formatCode>General</c:formatCode>
                <c:ptCount val="61"/>
                <c:pt idx="0">
                  <c:v>0.23619253500850987</c:v>
                </c:pt>
                <c:pt idx="1">
                  <c:v>0.29713533519759899</c:v>
                </c:pt>
                <c:pt idx="2">
                  <c:v>0.27789105242402873</c:v>
                </c:pt>
                <c:pt idx="3">
                  <c:v>0.22772899649920644</c:v>
                </c:pt>
                <c:pt idx="4">
                  <c:v>0.17088726907923499</c:v>
                </c:pt>
                <c:pt idx="5">
                  <c:v>0.11825300250347102</c:v>
                </c:pt>
                <c:pt idx="6">
                  <c:v>7.3842881291194221E-2</c:v>
                </c:pt>
                <c:pt idx="7">
                  <c:v>3.8332306944541795E-2</c:v>
                </c:pt>
                <c:pt idx="8">
                  <c:v>1.0927881060699501E-2</c:v>
                </c:pt>
                <c:pt idx="9">
                  <c:v>-9.6765964291686737E-3</c:v>
                </c:pt>
                <c:pt idx="10">
                  <c:v>-2.4841235959939822E-2</c:v>
                </c:pt>
                <c:pt idx="11">
                  <c:v>-3.57834148940099E-2</c:v>
                </c:pt>
                <c:pt idx="12">
                  <c:v>-4.3513860242077602E-2</c:v>
                </c:pt>
                <c:pt idx="13">
                  <c:v>-4.8835504622283622E-2</c:v>
                </c:pt>
                <c:pt idx="14">
                  <c:v>-5.2368439968344407E-2</c:v>
                </c:pt>
                <c:pt idx="15">
                  <c:v>-5.4582585096628534E-2</c:v>
                </c:pt>
                <c:pt idx="16">
                  <c:v>-5.5829517094081002E-2</c:v>
                </c:pt>
                <c:pt idx="17">
                  <c:v>-5.6370037776397985E-2</c:v>
                </c:pt>
                <c:pt idx="18">
                  <c:v>-5.6396586450987524E-2</c:v>
                </c:pt>
                <c:pt idx="19">
                  <c:v>-5.6050769246489898E-2</c:v>
                </c:pt>
                <c:pt idx="20">
                  <c:v>-5.5436720329182933E-2</c:v>
                </c:pt>
                <c:pt idx="21">
                  <c:v>-5.4631105404465856E-2</c:v>
                </c:pt>
                <c:pt idx="22">
                  <c:v>-5.3690516706805497E-2</c:v>
                </c:pt>
                <c:pt idx="23">
                  <c:v>-5.2656890576441413E-2</c:v>
                </c:pt>
                <c:pt idx="24">
                  <c:v>-5.1561451784903997E-2</c:v>
                </c:pt>
                <c:pt idx="25">
                  <c:v>-5.0427573944234194E-2</c:v>
                </c:pt>
                <c:pt idx="26">
                  <c:v>-4.9272849754915096E-2</c:v>
                </c:pt>
                <c:pt idx="27">
                  <c:v>-4.8110589070248913E-2</c:v>
                </c:pt>
                <c:pt idx="28">
                  <c:v>-4.6950904549810199E-2</c:v>
                </c:pt>
                <c:pt idx="29">
                  <c:v>-4.5801500938940934E-2</c:v>
                </c:pt>
                <c:pt idx="30">
                  <c:v>-4.4668251667686197E-2</c:v>
                </c:pt>
                <c:pt idx="31">
                  <c:v>-4.3555622826774699E-2</c:v>
                </c:pt>
                <c:pt idx="32">
                  <c:v>-4.2466987461464413E-2</c:v>
                </c:pt>
                <c:pt idx="33">
                  <c:v>-4.1404860814091504E-2</c:v>
                </c:pt>
                <c:pt idx="34">
                  <c:v>-4.0371078340044803E-2</c:v>
                </c:pt>
                <c:pt idx="35">
                  <c:v>-3.9366932047481297E-2</c:v>
                </c:pt>
                <c:pt idx="36">
                  <c:v>-3.8393276253477999E-2</c:v>
                </c:pt>
                <c:pt idx="37">
                  <c:v>-3.7450610688447301E-2</c:v>
                </c:pt>
                <c:pt idx="38">
                  <c:v>-3.6539146641514843E-2</c:v>
                </c:pt>
                <c:pt idx="39">
                  <c:v>-3.5658860253507597E-2</c:v>
                </c:pt>
                <c:pt idx="40">
                  <c:v>-3.4809535939770792E-2</c:v>
                </c:pt>
                <c:pt idx="41">
                  <c:v>-3.3990802126404811E-2</c:v>
                </c:pt>
                <c:pt idx="42">
                  <c:v>-3.32021609146083E-2</c:v>
                </c:pt>
                <c:pt idx="43">
                  <c:v>-3.2443012880845654E-2</c:v>
                </c:pt>
                <c:pt idx="44">
                  <c:v>-3.1712677927838398E-2</c:v>
                </c:pt>
                <c:pt idx="45">
                  <c:v>-3.1010412889376043E-2</c:v>
                </c:pt>
                <c:pt idx="46">
                  <c:v>-3.0335426437013202E-2</c:v>
                </c:pt>
                <c:pt idx="47">
                  <c:v>-2.968689172245581E-2</c:v>
                </c:pt>
                <c:pt idx="48">
                  <c:v>-2.906395710402861E-2</c:v>
                </c:pt>
                <c:pt idx="49">
                  <c:v>-2.8465755241064001E-2</c:v>
                </c:pt>
                <c:pt idx="50">
                  <c:v>-2.7891410790449822E-2</c:v>
                </c:pt>
                <c:pt idx="51">
                  <c:v>-2.7340046900940006E-2</c:v>
                </c:pt>
                <c:pt idx="52">
                  <c:v>-2.6810790670261212E-2</c:v>
                </c:pt>
                <c:pt idx="53">
                  <c:v>-2.6302777705453681E-2</c:v>
                </c:pt>
                <c:pt idx="54">
                  <c:v>-2.5815155906866012E-2</c:v>
                </c:pt>
                <c:pt idx="55">
                  <c:v>-2.5347088579648999E-2</c:v>
                </c:pt>
                <c:pt idx="56">
                  <c:v>-2.4897756962729802E-2</c:v>
                </c:pt>
                <c:pt idx="57">
                  <c:v>-2.4466362253545398E-2</c:v>
                </c:pt>
                <c:pt idx="58">
                  <c:v>-2.4052127196796301E-2</c:v>
                </c:pt>
                <c:pt idx="59">
                  <c:v>-2.3654297296884199E-2</c:v>
                </c:pt>
                <c:pt idx="60">
                  <c:v>-2.3272141706257552E-2</c:v>
                </c:pt>
              </c:numCache>
            </c:numRef>
          </c:val>
          <c:smooth val="1"/>
        </c:ser>
        <c:dLbls/>
        <c:marker val="1"/>
        <c:axId val="142569472"/>
        <c:axId val="142571008"/>
      </c:lineChart>
      <c:catAx>
        <c:axId val="142569472"/>
        <c:scaling>
          <c:orientation val="minMax"/>
        </c:scaling>
        <c:axPos val="b"/>
        <c:numFmt formatCode="General" sourceLinked="1"/>
        <c:tickLblPos val="nextTo"/>
        <c:txPr>
          <a:bodyPr/>
          <a:lstStyle/>
          <a:p>
            <a:pPr>
              <a:defRPr sz="600">
                <a:latin typeface="Times New Roman" pitchFamily="18" charset="0"/>
                <a:cs typeface="Times New Roman" pitchFamily="18" charset="0"/>
              </a:defRPr>
            </a:pPr>
            <a:endParaRPr lang="en-US"/>
          </a:p>
        </c:txPr>
        <c:crossAx val="142571008"/>
        <c:crossesAt val="-0.15000000000000024"/>
        <c:auto val="1"/>
        <c:lblAlgn val="ctr"/>
        <c:lblOffset val="100"/>
        <c:tickLblSkip val="4"/>
        <c:tickMarkSkip val="4"/>
      </c:catAx>
      <c:valAx>
        <c:axId val="142571008"/>
        <c:scaling>
          <c:orientation val="minMax"/>
          <c:max val="0.30000000000000032"/>
          <c:min val="-0.15000000000000024"/>
        </c:scaling>
        <c:axPos val="l"/>
        <c:numFmt formatCode="#,##0.00" sourceLinked="0"/>
        <c:tickLblPos val="nextTo"/>
        <c:txPr>
          <a:bodyPr/>
          <a:lstStyle/>
          <a:p>
            <a:pPr>
              <a:defRPr sz="600"/>
            </a:pPr>
            <a:endParaRPr lang="en-US"/>
          </a:p>
        </c:txPr>
        <c:crossAx val="142569472"/>
        <c:crosses val="autoZero"/>
        <c:crossBetween val="midCat"/>
        <c:majorUnit val="0.05"/>
        <c:minorUnit val="0.05"/>
      </c:valAx>
      <c:spPr>
        <a:ln>
          <a:noFill/>
        </a:ln>
      </c:spPr>
    </c:plotArea>
    <c:legend>
      <c:legendPos val="r"/>
      <c:layout>
        <c:manualLayout>
          <c:xMode val="edge"/>
          <c:yMode val="edge"/>
          <c:x val="0.55631535748753069"/>
          <c:y val="0.16431321084864392"/>
          <c:w val="0.41347764519126007"/>
          <c:h val="0.29876582093905124"/>
        </c:manualLayout>
      </c:layout>
      <c:txPr>
        <a:bodyPr/>
        <a:lstStyle/>
        <a:p>
          <a:pPr>
            <a:defRPr sz="6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5951076416739254"/>
          <c:y val="3.5262467191601053E-2"/>
          <c:w val="0.79128887583456653"/>
          <c:h val="0.75876085621715161"/>
        </c:manualLayout>
      </c:layout>
      <c:lineChart>
        <c:grouping val="standard"/>
        <c:ser>
          <c:idx val="0"/>
          <c:order val="0"/>
          <c:tx>
            <c:strRef>
              <c:f>Sheet2!$B$7</c:f>
              <c:strCache>
                <c:ptCount val="1"/>
                <c:pt idx="0">
                  <c:v>baseline</c:v>
                </c:pt>
              </c:strCache>
            </c:strRef>
          </c:tx>
          <c:spPr>
            <a:ln w="31750">
              <a:solidFill>
                <a:schemeClr val="tx1"/>
              </a:solidFill>
              <a:prstDash val="sysDot"/>
            </a:ln>
          </c:spPr>
          <c:marker>
            <c:symbol val="none"/>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Sheet2!$C$7:$CX$7</c:f>
              <c:numCache>
                <c:formatCode>General</c:formatCode>
                <c:ptCount val="61"/>
                <c:pt idx="0">
                  <c:v>9.415116259086817E-2</c:v>
                </c:pt>
                <c:pt idx="1">
                  <c:v>0.12728162732504794</c:v>
                </c:pt>
                <c:pt idx="2">
                  <c:v>0.12900745042175699</c:v>
                </c:pt>
                <c:pt idx="3">
                  <c:v>0.11574774447266462</c:v>
                </c:pt>
                <c:pt idx="4">
                  <c:v>9.6388541740063213E-2</c:v>
                </c:pt>
                <c:pt idx="5">
                  <c:v>7.5567227918953636E-2</c:v>
                </c:pt>
                <c:pt idx="6">
                  <c:v>5.5563231031113575E-2</c:v>
                </c:pt>
                <c:pt idx="7">
                  <c:v>3.7376342007260213E-2</c:v>
                </c:pt>
                <c:pt idx="8">
                  <c:v>2.1334385047656799E-2</c:v>
                </c:pt>
                <c:pt idx="9">
                  <c:v>7.4302529678159914E-3</c:v>
                </c:pt>
                <c:pt idx="10">
                  <c:v>-4.4952114948407134E-3</c:v>
                </c:pt>
                <c:pt idx="11">
                  <c:v>-1.46570752017496E-2</c:v>
                </c:pt>
                <c:pt idx="12">
                  <c:v>-2.3278200101238399E-2</c:v>
                </c:pt>
                <c:pt idx="13">
                  <c:v>-3.0567137063000002E-2</c:v>
                </c:pt>
                <c:pt idx="14">
                  <c:v>-3.6709662973447098E-2</c:v>
                </c:pt>
                <c:pt idx="15">
                  <c:v>-4.1867131613771813E-2</c:v>
                </c:pt>
                <c:pt idx="16">
                  <c:v>-4.6177951491361877E-2</c:v>
                </c:pt>
                <c:pt idx="17">
                  <c:v>-4.9760264760617033E-2</c:v>
                </c:pt>
                <c:pt idx="18">
                  <c:v>-5.2714871144909185E-2</c:v>
                </c:pt>
                <c:pt idx="19">
                  <c:v>-5.5127962229753601E-2</c:v>
                </c:pt>
                <c:pt idx="20">
                  <c:v>-5.7073502360733101E-2</c:v>
                </c:pt>
                <c:pt idx="21">
                  <c:v>-5.8615225690330487E-2</c:v>
                </c:pt>
                <c:pt idx="22">
                  <c:v>-5.9808278599953496E-2</c:v>
                </c:pt>
                <c:pt idx="23">
                  <c:v>-6.0700558414223713E-2</c:v>
                </c:pt>
                <c:pt idx="24">
                  <c:v>-6.1333802515992297E-2</c:v>
                </c:pt>
                <c:pt idx="25">
                  <c:v>-6.1744477043729033E-2</c:v>
                </c:pt>
                <c:pt idx="26">
                  <c:v>-6.1964506624315401E-2</c:v>
                </c:pt>
                <c:pt idx="27">
                  <c:v>-6.2021878620661386E-2</c:v>
                </c:pt>
                <c:pt idx="28">
                  <c:v>-6.1941148249931695E-2</c:v>
                </c:pt>
                <c:pt idx="29">
                  <c:v>-6.1743865007188085E-2</c:v>
                </c:pt>
                <c:pt idx="30">
                  <c:v>-6.1448936111506113E-2</c:v>
                </c:pt>
                <c:pt idx="31">
                  <c:v>-6.1072939031289332E-2</c:v>
                </c:pt>
                <c:pt idx="32">
                  <c:v>-6.06303923536997E-2</c:v>
                </c:pt>
                <c:pt idx="33">
                  <c:v>-6.0133992156274033E-2</c:v>
                </c:pt>
                <c:pt idx="34">
                  <c:v>-5.9594819457953113E-2</c:v>
                </c:pt>
                <c:pt idx="35">
                  <c:v>-5.9022523142729898E-2</c:v>
                </c:pt>
                <c:pt idx="36">
                  <c:v>-5.8425481860763823E-2</c:v>
                </c:pt>
                <c:pt idx="37">
                  <c:v>-5.7810947742156511E-2</c:v>
                </c:pt>
                <c:pt idx="38">
                  <c:v>-5.7185174249767004E-2</c:v>
                </c:pt>
                <c:pt idx="39">
                  <c:v>-5.6553530107005333E-2</c:v>
                </c:pt>
                <c:pt idx="40">
                  <c:v>-5.5920600933009504E-2</c:v>
                </c:pt>
                <c:pt idx="41">
                  <c:v>-5.5290279978429502E-2</c:v>
                </c:pt>
                <c:pt idx="42">
                  <c:v>-5.4665849163540788E-2</c:v>
                </c:pt>
                <c:pt idx="43">
                  <c:v>-5.4050051464753002E-2</c:v>
                </c:pt>
                <c:pt idx="44">
                  <c:v>-5.3445155567028245E-2</c:v>
                </c:pt>
                <c:pt idx="45">
                  <c:v>-5.2853013592032004E-2</c:v>
                </c:pt>
                <c:pt idx="46">
                  <c:v>-5.2275112620376277E-2</c:v>
                </c:pt>
                <c:pt idx="47">
                  <c:v>-5.1712620647762851E-2</c:v>
                </c:pt>
                <c:pt idx="48">
                  <c:v>-5.1166427546594513E-2</c:v>
                </c:pt>
                <c:pt idx="49">
                  <c:v>-5.0637181544955223E-2</c:v>
                </c:pt>
                <c:pt idx="50">
                  <c:v>-5.0125321682181201E-2</c:v>
                </c:pt>
                <c:pt idx="51">
                  <c:v>-4.9631106653598898E-2</c:v>
                </c:pt>
                <c:pt idx="52">
                  <c:v>-4.9154640415426533E-2</c:v>
                </c:pt>
                <c:pt idx="53">
                  <c:v>-4.8695894883678599E-2</c:v>
                </c:pt>
                <c:pt idx="54">
                  <c:v>-4.8254730027623823E-2</c:v>
                </c:pt>
                <c:pt idx="55">
                  <c:v>-4.7830911628416649E-2</c:v>
                </c:pt>
                <c:pt idx="56">
                  <c:v>-4.7424126946637134E-2</c:v>
                </c:pt>
                <c:pt idx="57">
                  <c:v>-4.7033998518232034E-2</c:v>
                </c:pt>
                <c:pt idx="58">
                  <c:v>-4.6660096276494797E-2</c:v>
                </c:pt>
                <c:pt idx="59">
                  <c:v>-4.6301948178034777E-2</c:v>
                </c:pt>
                <c:pt idx="60">
                  <c:v>-4.5959049492890286E-2</c:v>
                </c:pt>
              </c:numCache>
            </c:numRef>
          </c:val>
        </c:ser>
        <c:ser>
          <c:idx val="1"/>
          <c:order val="1"/>
          <c:tx>
            <c:strRef>
              <c:f>Sheet2!$B$29</c:f>
              <c:strCache>
                <c:ptCount val="1"/>
                <c:pt idx="0">
                  <c:v>high labor elasticity</c:v>
                </c:pt>
              </c:strCache>
            </c:strRef>
          </c:tx>
          <c:spPr>
            <a:ln w="3175">
              <a:solidFill>
                <a:prstClr val="black"/>
              </a:solidFill>
              <a:prstDash val="solid"/>
            </a:ln>
          </c:spPr>
          <c:marker>
            <c:symbol val="diamond"/>
            <c:size val="4"/>
            <c:spPr>
              <a:ln w="6350"/>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Sheet2!$C$29:$CX$29</c:f>
              <c:numCache>
                <c:formatCode>General</c:formatCode>
                <c:ptCount val="61"/>
                <c:pt idx="0">
                  <c:v>-8.3054982890323654E-3</c:v>
                </c:pt>
                <c:pt idx="1">
                  <c:v>-1.2372023400655999E-2</c:v>
                </c:pt>
                <c:pt idx="2">
                  <c:v>-1.3677167044619121E-2</c:v>
                </c:pt>
                <c:pt idx="3">
                  <c:v>-1.3265650083363601E-2</c:v>
                </c:pt>
                <c:pt idx="4">
                  <c:v>-1.1863028661559364E-2</c:v>
                </c:pt>
                <c:pt idx="5">
                  <c:v>-9.9625033030003723E-3</c:v>
                </c:pt>
                <c:pt idx="6">
                  <c:v>-7.8902737231337748E-3</c:v>
                </c:pt>
                <c:pt idx="7">
                  <c:v>-5.8541345579751014E-3</c:v>
                </c:pt>
                <c:pt idx="8">
                  <c:v>-3.9791966805908015E-3</c:v>
                </c:pt>
                <c:pt idx="9">
                  <c:v>-2.3338552273256077E-3</c:v>
                </c:pt>
                <c:pt idx="10">
                  <c:v>-9.4845747139507227E-4</c:v>
                </c:pt>
                <c:pt idx="11">
                  <c:v>1.7143439334856386E-4</c:v>
                </c:pt>
                <c:pt idx="12">
                  <c:v>1.0357422034587521E-3</c:v>
                </c:pt>
                <c:pt idx="13">
                  <c:v>1.6634463376554321E-3</c:v>
                </c:pt>
                <c:pt idx="14">
                  <c:v>2.0782269893229299E-3</c:v>
                </c:pt>
                <c:pt idx="15">
                  <c:v>2.3055756782079492E-3</c:v>
                </c:pt>
                <c:pt idx="16">
                  <c:v>2.3709409709013192E-3</c:v>
                </c:pt>
                <c:pt idx="17">
                  <c:v>2.2985924491462752E-3</c:v>
                </c:pt>
                <c:pt idx="18">
                  <c:v>2.1109759595154699E-3</c:v>
                </c:pt>
                <c:pt idx="19">
                  <c:v>1.8283985801164796E-3</c:v>
                </c:pt>
                <c:pt idx="20">
                  <c:v>1.46892941994E-3</c:v>
                </c:pt>
                <c:pt idx="21">
                  <c:v>1.0484368568193401E-3</c:v>
                </c:pt>
                <c:pt idx="22">
                  <c:v>5.8070757535807712E-4</c:v>
                </c:pt>
                <c:pt idx="23" formatCode="0.00E+00">
                  <c:v>7.7610391178760266E-5</c:v>
                </c:pt>
                <c:pt idx="24">
                  <c:v>-4.5071971218847527E-4</c:v>
                </c:pt>
                <c:pt idx="25">
                  <c:v>-9.956932114903133E-4</c:v>
                </c:pt>
                <c:pt idx="26">
                  <c:v>-1.5500832032553581E-3</c:v>
                </c:pt>
                <c:pt idx="27">
                  <c:v>-2.1078538603020846E-3</c:v>
                </c:pt>
                <c:pt idx="28">
                  <c:v>-2.6640032001041028E-3</c:v>
                </c:pt>
                <c:pt idx="29">
                  <c:v>-3.2144213743156352E-3</c:v>
                </c:pt>
                <c:pt idx="30">
                  <c:v>-3.7557645388121208E-3</c:v>
                </c:pt>
                <c:pt idx="31">
                  <c:v>-4.2853436631674824E-3</c:v>
                </c:pt>
                <c:pt idx="32">
                  <c:v>-4.8010272419523924E-3</c:v>
                </c:pt>
                <c:pt idx="33">
                  <c:v>-5.3011566754913534E-3</c:v>
                </c:pt>
                <c:pt idx="34">
                  <c:v>-5.784473023783294E-3</c:v>
                </c:pt>
                <c:pt idx="35">
                  <c:v>-6.2500538553060814E-3</c:v>
                </c:pt>
                <c:pt idx="36">
                  <c:v>-6.6972589791768396E-3</c:v>
                </c:pt>
                <c:pt idx="37">
                  <c:v>-7.1256839423653314E-3</c:v>
                </c:pt>
                <c:pt idx="38">
                  <c:v>-7.5351202787501924E-3</c:v>
                </c:pt>
                <c:pt idx="39">
                  <c:v>-7.9255216044204022E-3</c:v>
                </c:pt>
                <c:pt idx="40">
                  <c:v>-8.2969747580180601E-3</c:v>
                </c:pt>
                <c:pt idx="41">
                  <c:v>-8.6496752827836896E-3</c:v>
                </c:pt>
                <c:pt idx="42">
                  <c:v>-8.9839066365928286E-3</c:v>
                </c:pt>
                <c:pt idx="43">
                  <c:v>-9.3000225970141567E-3</c:v>
                </c:pt>
                <c:pt idx="44">
                  <c:v>-9.5984324002677708E-3</c:v>
                </c:pt>
                <c:pt idx="45">
                  <c:v>-9.8795882163101034E-3</c:v>
                </c:pt>
                <c:pt idx="46">
                  <c:v>-1.0143974617742517E-2</c:v>
                </c:pt>
                <c:pt idx="47">
                  <c:v>-1.0392099748539701E-2</c:v>
                </c:pt>
                <c:pt idx="48">
                  <c:v>-1.0624487940467817E-2</c:v>
                </c:pt>
                <c:pt idx="49">
                  <c:v>-1.0841673561257887E-2</c:v>
                </c:pt>
                <c:pt idx="50">
                  <c:v>-1.1044195909785602E-2</c:v>
                </c:pt>
                <c:pt idx="51">
                  <c:v>-1.1232595000331505E-2</c:v>
                </c:pt>
                <c:pt idx="52">
                  <c:v>-1.1407408101027621E-2</c:v>
                </c:pt>
                <c:pt idx="53">
                  <c:v>-1.1569166911338203E-2</c:v>
                </c:pt>
                <c:pt idx="54">
                  <c:v>-1.1718395280337319E-2</c:v>
                </c:pt>
                <c:pt idx="55">
                  <c:v>-1.1855607382014301E-2</c:v>
                </c:pt>
                <c:pt idx="56">
                  <c:v>-1.1981306276215537E-2</c:v>
                </c:pt>
                <c:pt idx="57">
                  <c:v>-1.2095982794400599E-2</c:v>
                </c:pt>
                <c:pt idx="58">
                  <c:v>-1.2200114698436623E-2</c:v>
                </c:pt>
                <c:pt idx="59">
                  <c:v>-1.22941660683532E-2</c:v>
                </c:pt>
                <c:pt idx="60">
                  <c:v>-1.2378586881581199E-2</c:v>
                </c:pt>
              </c:numCache>
            </c:numRef>
          </c:val>
        </c:ser>
        <c:ser>
          <c:idx val="2"/>
          <c:order val="2"/>
          <c:tx>
            <c:strRef>
              <c:f>Sheet2!$B$49</c:f>
              <c:strCache>
                <c:ptCount val="1"/>
                <c:pt idx="0">
                  <c:v>high intratemporal elasticity</c:v>
                </c:pt>
              </c:strCache>
            </c:strRef>
          </c:tx>
          <c:spPr>
            <a:ln w="3175">
              <a:solidFill>
                <a:schemeClr val="tx1"/>
              </a:solidFill>
              <a:prstDash val="solid"/>
            </a:ln>
          </c:spPr>
          <c:marker>
            <c:symbol val="circle"/>
            <c:size val="4"/>
            <c:spPr>
              <a:solidFill>
                <a:schemeClr val="bg1">
                  <a:lumMod val="65000"/>
                </a:schemeClr>
              </a:solidFill>
              <a:ln>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Sheet2!$C$49:$CX$49</c:f>
              <c:numCache>
                <c:formatCode>General</c:formatCode>
                <c:ptCount val="61"/>
                <c:pt idx="0">
                  <c:v>0.10798351356373929</c:v>
                </c:pt>
                <c:pt idx="1">
                  <c:v>0.15097277518134999</c:v>
                </c:pt>
                <c:pt idx="2">
                  <c:v>0.160119510686486</c:v>
                </c:pt>
                <c:pt idx="3">
                  <c:v>0.15266622394934301</c:v>
                </c:pt>
                <c:pt idx="4">
                  <c:v>0.13795322548219183</c:v>
                </c:pt>
                <c:pt idx="5">
                  <c:v>0.120881766123501</c:v>
                </c:pt>
                <c:pt idx="6">
                  <c:v>0.10389672259751276</c:v>
                </c:pt>
                <c:pt idx="7">
                  <c:v>8.8111720865163903E-2</c:v>
                </c:pt>
                <c:pt idx="8">
                  <c:v>7.3940353376620679E-2</c:v>
                </c:pt>
                <c:pt idx="9">
                  <c:v>6.1444967528826333E-2</c:v>
                </c:pt>
                <c:pt idx="10">
                  <c:v>5.0525415761379255E-2</c:v>
                </c:pt>
                <c:pt idx="11">
                  <c:v>4.1018180190446334E-2</c:v>
                </c:pt>
                <c:pt idx="12">
                  <c:v>3.2746081735241003E-2</c:v>
                </c:pt>
                <c:pt idx="13">
                  <c:v>2.5541320666212852E-2</c:v>
                </c:pt>
                <c:pt idx="14">
                  <c:v>1.9254560546500727E-2</c:v>
                </c:pt>
                <c:pt idx="15">
                  <c:v>1.3757045326977305E-2</c:v>
                </c:pt>
                <c:pt idx="16">
                  <c:v>8.9395082295650706E-3</c:v>
                </c:pt>
                <c:pt idx="17">
                  <c:v>4.7098296309060718E-3</c:v>
                </c:pt>
                <c:pt idx="18">
                  <c:v>9.9041372515313382E-4</c:v>
                </c:pt>
                <c:pt idx="19">
                  <c:v>-2.2842749686247015E-3</c:v>
                </c:pt>
                <c:pt idx="20">
                  <c:v>-5.1698478149863501E-3</c:v>
                </c:pt>
                <c:pt idx="21">
                  <c:v>-7.7137678321267033E-3</c:v>
                </c:pt>
                <c:pt idx="22">
                  <c:v>-9.9567919033078395E-3</c:v>
                </c:pt>
                <c:pt idx="23">
                  <c:v>-1.1934128189310843E-2</c:v>
                </c:pt>
                <c:pt idx="24">
                  <c:v>-1.3676360869637381E-2</c:v>
                </c:pt>
                <c:pt idx="25">
                  <c:v>-1.5210189608682192E-2</c:v>
                </c:pt>
                <c:pt idx="26">
                  <c:v>-1.6559023619659032E-2</c:v>
                </c:pt>
                <c:pt idx="27">
                  <c:v>-1.7743462424955999E-2</c:v>
                </c:pt>
                <c:pt idx="28">
                  <c:v>-1.87816884701562E-2</c:v>
                </c:pt>
                <c:pt idx="29">
                  <c:v>-1.9689790986926102E-2</c:v>
                </c:pt>
                <c:pt idx="30">
                  <c:v>-2.0482035916652298E-2</c:v>
                </c:pt>
                <c:pt idx="31">
                  <c:v>-2.11710931578389E-2</c:v>
                </c:pt>
                <c:pt idx="32">
                  <c:v>-2.1768229700039877E-2</c:v>
                </c:pt>
                <c:pt idx="33">
                  <c:v>-2.228347517535512E-2</c:v>
                </c:pt>
                <c:pt idx="34">
                  <c:v>-2.2725764839667501E-2</c:v>
                </c:pt>
                <c:pt idx="35">
                  <c:v>-2.3103063863526899E-2</c:v>
                </c:pt>
                <c:pt idx="36">
                  <c:v>-2.3422475968136978E-2</c:v>
                </c:pt>
                <c:pt idx="37">
                  <c:v>-2.369033881014191E-2</c:v>
                </c:pt>
                <c:pt idx="38">
                  <c:v>-2.3912308043451999E-2</c:v>
                </c:pt>
                <c:pt idx="39">
                  <c:v>-2.4093431625658301E-2</c:v>
                </c:pt>
                <c:pt idx="40">
                  <c:v>-2.4238215660116878E-2</c:v>
                </c:pt>
                <c:pt idx="41">
                  <c:v>-2.4350682850335977E-2</c:v>
                </c:pt>
                <c:pt idx="42">
                  <c:v>-2.44344244747586E-2</c:v>
                </c:pt>
                <c:pt idx="43">
                  <c:v>-2.4492646655668311E-2</c:v>
                </c:pt>
                <c:pt idx="44">
                  <c:v>-2.45282115873574E-2</c:v>
                </c:pt>
                <c:pt idx="45">
                  <c:v>-2.4543674299634197E-2</c:v>
                </c:pt>
                <c:pt idx="46">
                  <c:v>-2.454131545879662E-2</c:v>
                </c:pt>
                <c:pt idx="47">
                  <c:v>-2.4523170646012699E-2</c:v>
                </c:pt>
                <c:pt idx="48">
                  <c:v>-2.4491056500211401E-2</c:v>
                </c:pt>
                <c:pt idx="49">
                  <c:v>-2.4446594067243799E-2</c:v>
                </c:pt>
                <c:pt idx="50">
                  <c:v>-2.4391229657899711E-2</c:v>
                </c:pt>
                <c:pt idx="51">
                  <c:v>-2.4326253483228401E-2</c:v>
                </c:pt>
                <c:pt idx="52">
                  <c:v>-2.4252816305763411E-2</c:v>
                </c:pt>
                <c:pt idx="53">
                  <c:v>-2.4171944318989211E-2</c:v>
                </c:pt>
                <c:pt idx="54">
                  <c:v>-2.4084552444229242E-2</c:v>
                </c:pt>
                <c:pt idx="55">
                  <c:v>-2.3991456213628467E-2</c:v>
                </c:pt>
                <c:pt idx="56">
                  <c:v>-2.3893382389731002E-2</c:v>
                </c:pt>
                <c:pt idx="57">
                  <c:v>-2.37909784559889E-2</c:v>
                </c:pt>
                <c:pt idx="58">
                  <c:v>-2.3684821098175199E-2</c:v>
                </c:pt>
                <c:pt idx="59">
                  <c:v>-2.35754237838589E-2</c:v>
                </c:pt>
                <c:pt idx="60">
                  <c:v>-2.3463243535692201E-2</c:v>
                </c:pt>
              </c:numCache>
            </c:numRef>
          </c:val>
        </c:ser>
        <c:dLbls/>
        <c:marker val="1"/>
        <c:axId val="142351744"/>
        <c:axId val="142357632"/>
      </c:lineChart>
      <c:catAx>
        <c:axId val="142351744"/>
        <c:scaling>
          <c:orientation val="minMax"/>
        </c:scaling>
        <c:axPos val="b"/>
        <c:numFmt formatCode="General" sourceLinked="1"/>
        <c:tickLblPos val="nextTo"/>
        <c:txPr>
          <a:bodyPr/>
          <a:lstStyle/>
          <a:p>
            <a:pPr>
              <a:defRPr sz="600" baseline="0">
                <a:latin typeface="Times New Roman" pitchFamily="18" charset="0"/>
                <a:cs typeface="Times New Roman" pitchFamily="18" charset="0"/>
              </a:defRPr>
            </a:pPr>
            <a:endParaRPr lang="en-US"/>
          </a:p>
        </c:txPr>
        <c:crossAx val="142357632"/>
        <c:crossesAt val="-0.1"/>
        <c:auto val="1"/>
        <c:lblAlgn val="ctr"/>
        <c:lblOffset val="100"/>
        <c:tickLblSkip val="4"/>
        <c:tickMarkSkip val="4"/>
      </c:catAx>
      <c:valAx>
        <c:axId val="142357632"/>
        <c:scaling>
          <c:orientation val="minMax"/>
          <c:max val="0.2"/>
          <c:min val="-0.1"/>
        </c:scaling>
        <c:axPos val="l"/>
        <c:numFmt formatCode="#,##0.00" sourceLinked="0"/>
        <c:tickLblPos val="nextTo"/>
        <c:txPr>
          <a:bodyPr/>
          <a:lstStyle/>
          <a:p>
            <a:pPr>
              <a:defRPr sz="600">
                <a:latin typeface="Times New Roman" pitchFamily="18" charset="0"/>
                <a:cs typeface="Times New Roman" pitchFamily="18" charset="0"/>
              </a:defRPr>
            </a:pPr>
            <a:endParaRPr lang="en-US"/>
          </a:p>
        </c:txPr>
        <c:crossAx val="142351744"/>
        <c:crosses val="autoZero"/>
        <c:crossBetween val="midCat"/>
        <c:majorUnit val="0.05"/>
        <c:minorUnit val="0.05"/>
      </c:valAx>
    </c:plotArea>
    <c:legend>
      <c:legendPos val="r"/>
      <c:layout>
        <c:manualLayout>
          <c:xMode val="edge"/>
          <c:yMode val="edge"/>
          <c:x val="0.56314793523548512"/>
          <c:y val="6.1047371530741114E-2"/>
          <c:w val="0.42502552936510046"/>
          <c:h val="0.36481823307254629"/>
        </c:manualLayout>
      </c:layout>
      <c:txPr>
        <a:bodyPr/>
        <a:lstStyle/>
        <a:p>
          <a:pPr>
            <a:defRPr sz="6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7965252477768637"/>
          <c:y val="5.1725275178298995E-2"/>
          <c:w val="0.75566968308065974"/>
          <c:h val="0.73232727204063519"/>
        </c:manualLayout>
      </c:layout>
      <c:lineChart>
        <c:grouping val="standard"/>
        <c:ser>
          <c:idx val="0"/>
          <c:order val="0"/>
          <c:tx>
            <c:strRef>
              <c:f>Sheet2!$B$12</c:f>
              <c:strCache>
                <c:ptCount val="1"/>
                <c:pt idx="0">
                  <c:v>baseline</c:v>
                </c:pt>
              </c:strCache>
            </c:strRef>
          </c:tx>
          <c:spPr>
            <a:ln w="31750">
              <a:solidFill>
                <a:prstClr val="black"/>
              </a:solidFill>
              <a:prstDash val="sysDot"/>
            </a:ln>
          </c:spPr>
          <c:marker>
            <c:symbol val="none"/>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Sheet2!$C$12:$CX$12</c:f>
              <c:numCache>
                <c:formatCode>General</c:formatCode>
                <c:ptCount val="61"/>
                <c:pt idx="0">
                  <c:v>-1.1582616803273598</c:v>
                </c:pt>
                <c:pt idx="1">
                  <c:v>-0.74665074114409014</c:v>
                </c:pt>
                <c:pt idx="2">
                  <c:v>-0.49038456154346299</c:v>
                </c:pt>
                <c:pt idx="3">
                  <c:v>-0.32959703228738302</c:v>
                </c:pt>
                <c:pt idx="4">
                  <c:v>-0.22772394604730223</c:v>
                </c:pt>
                <c:pt idx="5">
                  <c:v>-0.16238248094332641</c:v>
                </c:pt>
                <c:pt idx="6">
                  <c:v>-0.119834045327467</c:v>
                </c:pt>
                <c:pt idx="7">
                  <c:v>-9.1618597976973928E-2</c:v>
                </c:pt>
                <c:pt idx="8">
                  <c:v>-7.250609666560702E-2</c:v>
                </c:pt>
                <c:pt idx="9">
                  <c:v>-5.9247714335297422E-2</c:v>
                </c:pt>
                <c:pt idx="10">
                  <c:v>-4.9813263174397104E-2</c:v>
                </c:pt>
                <c:pt idx="11">
                  <c:v>-4.2924603734449812E-2</c:v>
                </c:pt>
                <c:pt idx="12">
                  <c:v>-3.7769514404303851E-2</c:v>
                </c:pt>
                <c:pt idx="13">
                  <c:v>-3.3825776109311298E-2</c:v>
                </c:pt>
                <c:pt idx="14">
                  <c:v>-3.0752700836819601E-2</c:v>
                </c:pt>
                <c:pt idx="15">
                  <c:v>-2.83240208527747E-2</c:v>
                </c:pt>
                <c:pt idx="16">
                  <c:v>-2.63862049295512E-2</c:v>
                </c:pt>
                <c:pt idx="17">
                  <c:v>-2.4832449192385597E-2</c:v>
                </c:pt>
                <c:pt idx="18">
                  <c:v>-2.3586360638667089E-2</c:v>
                </c:pt>
                <c:pt idx="19">
                  <c:v>-2.2591655288448899E-2</c:v>
                </c:pt>
                <c:pt idx="20">
                  <c:v>-2.1805603449235652E-2</c:v>
                </c:pt>
                <c:pt idx="21">
                  <c:v>-2.11948200161379E-2</c:v>
                </c:pt>
                <c:pt idx="22">
                  <c:v>-2.0732529998322077E-2</c:v>
                </c:pt>
                <c:pt idx="23">
                  <c:v>-2.0396767691937198E-2</c:v>
                </c:pt>
                <c:pt idx="24">
                  <c:v>-2.0169170916309202E-2</c:v>
                </c:pt>
                <c:pt idx="25">
                  <c:v>-2.0034157677991812E-2</c:v>
                </c:pt>
                <c:pt idx="26">
                  <c:v>-1.9978351045159257E-2</c:v>
                </c:pt>
                <c:pt idx="27">
                  <c:v>-1.9990167027110831E-2</c:v>
                </c:pt>
                <c:pt idx="28">
                  <c:v>-2.0059511015515806E-2</c:v>
                </c:pt>
                <c:pt idx="29">
                  <c:v>-2.0177547739793612E-2</c:v>
                </c:pt>
                <c:pt idx="30">
                  <c:v>-2.03365219796738E-2</c:v>
                </c:pt>
                <c:pt idx="31">
                  <c:v>-2.05296151092066E-2</c:v>
                </c:pt>
                <c:pt idx="32">
                  <c:v>-2.0750827566721242E-2</c:v>
                </c:pt>
                <c:pt idx="33">
                  <c:v>-2.0994880585291111E-2</c:v>
                </c:pt>
                <c:pt idx="34">
                  <c:v>-2.1257132625364605E-2</c:v>
                </c:pt>
                <c:pt idx="35">
                  <c:v>-2.1533507333403611E-2</c:v>
                </c:pt>
                <c:pt idx="36">
                  <c:v>-2.1820430766065602E-2</c:v>
                </c:pt>
                <c:pt idx="37">
                  <c:v>-2.2114776233065798E-2</c:v>
                </c:pt>
                <c:pt idx="38">
                  <c:v>-2.2413815528554308E-2</c:v>
                </c:pt>
                <c:pt idx="39">
                  <c:v>-2.2715175608152612E-2</c:v>
                </c:pt>
                <c:pt idx="40">
                  <c:v>-2.3016799970461788E-2</c:v>
                </c:pt>
                <c:pt idx="41">
                  <c:v>-2.3316914146191827E-2</c:v>
                </c:pt>
                <c:pt idx="42">
                  <c:v>-2.3613994803728899E-2</c:v>
                </c:pt>
                <c:pt idx="43">
                  <c:v>-2.3906742059083712E-2</c:v>
                </c:pt>
                <c:pt idx="44">
                  <c:v>-2.4194054638922168E-2</c:v>
                </c:pt>
                <c:pt idx="45">
                  <c:v>-2.4475007593152492E-2</c:v>
                </c:pt>
                <c:pt idx="46">
                  <c:v>-2.4748832291988068E-2</c:v>
                </c:pt>
                <c:pt idx="47">
                  <c:v>-2.5014898474014884E-2</c:v>
                </c:pt>
                <c:pt idx="48">
                  <c:v>-2.527269813826E-2</c:v>
                </c:pt>
                <c:pt idx="49">
                  <c:v>-2.55218310958127E-2</c:v>
                </c:pt>
                <c:pt idx="50">
                  <c:v>-2.5761992015979319E-2</c:v>
                </c:pt>
                <c:pt idx="51">
                  <c:v>-2.5992958818940801E-2</c:v>
                </c:pt>
                <c:pt idx="52">
                  <c:v>-2.6214582281813451E-2</c:v>
                </c:pt>
                <c:pt idx="53">
                  <c:v>-2.6426776738234289E-2</c:v>
                </c:pt>
                <c:pt idx="54">
                  <c:v>-2.6629511763412401E-2</c:v>
                </c:pt>
                <c:pt idx="55">
                  <c:v>-2.6822804747116801E-2</c:v>
                </c:pt>
                <c:pt idx="56">
                  <c:v>-2.7006714266554252E-2</c:v>
                </c:pt>
                <c:pt idx="57">
                  <c:v>-2.718133417960597E-2</c:v>
                </c:pt>
                <c:pt idx="58">
                  <c:v>-2.7346788366572901E-2</c:v>
                </c:pt>
                <c:pt idx="59">
                  <c:v>-2.7503226055509852E-2</c:v>
                </c:pt>
                <c:pt idx="60">
                  <c:v>-2.7650817672482286E-2</c:v>
                </c:pt>
              </c:numCache>
            </c:numRef>
          </c:val>
          <c:smooth val="1"/>
        </c:ser>
        <c:ser>
          <c:idx val="1"/>
          <c:order val="1"/>
          <c:tx>
            <c:strRef>
              <c:f>Sheet2!$B$34</c:f>
              <c:strCache>
                <c:ptCount val="1"/>
                <c:pt idx="0">
                  <c:v>high labor elasticity</c:v>
                </c:pt>
              </c:strCache>
            </c:strRef>
          </c:tx>
          <c:spPr>
            <a:ln w="3175">
              <a:solidFill>
                <a:prstClr val="black"/>
              </a:solidFill>
            </a:ln>
          </c:spPr>
          <c:marker>
            <c:symbol val="diamond"/>
            <c:size val="4"/>
            <c:spPr>
              <a:solidFill>
                <a:srgbClr val="C00000"/>
              </a:solidFill>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Sheet2!$C$34:$CX$34</c:f>
              <c:numCache>
                <c:formatCode>General</c:formatCode>
                <c:ptCount val="61"/>
                <c:pt idx="0">
                  <c:v>-1.40858210800255</c:v>
                </c:pt>
                <c:pt idx="1">
                  <c:v>-0.88602435199172558</c:v>
                </c:pt>
                <c:pt idx="2">
                  <c:v>-0.54201609488506342</c:v>
                </c:pt>
                <c:pt idx="3">
                  <c:v>-0.31756069800755654</c:v>
                </c:pt>
                <c:pt idx="4">
                  <c:v>-0.17276779130032277</c:v>
                </c:pt>
                <c:pt idx="5">
                  <c:v>-8.0761110442342895E-2</c:v>
                </c:pt>
                <c:pt idx="6">
                  <c:v>-2.3502707173973729E-2</c:v>
                </c:pt>
                <c:pt idx="7">
                  <c:v>1.1061753719238664E-2</c:v>
                </c:pt>
                <c:pt idx="8">
                  <c:v>3.0949216773399894E-2</c:v>
                </c:pt>
                <c:pt idx="9">
                  <c:v>4.1462287944349641E-2</c:v>
                </c:pt>
                <c:pt idx="10">
                  <c:v>4.6085932135530104E-2</c:v>
                </c:pt>
                <c:pt idx="11">
                  <c:v>4.7093255271252001E-2</c:v>
                </c:pt>
                <c:pt idx="12">
                  <c:v>4.59533417622369E-2</c:v>
                </c:pt>
                <c:pt idx="13">
                  <c:v>4.3604803061765646E-2</c:v>
                </c:pt>
                <c:pt idx="14">
                  <c:v>4.0638506122986896E-2</c:v>
                </c:pt>
                <c:pt idx="15">
                  <c:v>3.741908381800161E-2</c:v>
                </c:pt>
                <c:pt idx="16">
                  <c:v>3.4165328142681278E-2</c:v>
                </c:pt>
                <c:pt idx="17">
                  <c:v>3.1003073949001612E-2</c:v>
                </c:pt>
                <c:pt idx="18">
                  <c:v>2.7999755630150006E-2</c:v>
                </c:pt>
                <c:pt idx="19">
                  <c:v>2.5186811661314652E-2</c:v>
                </c:pt>
                <c:pt idx="20">
                  <c:v>2.2574074001080101E-2</c:v>
                </c:pt>
                <c:pt idx="21">
                  <c:v>2.01589028125174E-2</c:v>
                </c:pt>
                <c:pt idx="22">
                  <c:v>1.79319002519314E-2</c:v>
                </c:pt>
                <c:pt idx="23">
                  <c:v>1.5880415437083531E-2</c:v>
                </c:pt>
                <c:pt idx="24">
                  <c:v>1.3990637335164103E-2</c:v>
                </c:pt>
                <c:pt idx="25">
                  <c:v>1.22487959424927E-2</c:v>
                </c:pt>
                <c:pt idx="26">
                  <c:v>1.0641809108425522E-2</c:v>
                </c:pt>
                <c:pt idx="27">
                  <c:v>9.15759179009446E-3</c:v>
                </c:pt>
                <c:pt idx="28">
                  <c:v>7.7851655716665302E-3</c:v>
                </c:pt>
                <c:pt idx="29">
                  <c:v>6.5146549312893902E-3</c:v>
                </c:pt>
                <c:pt idx="30">
                  <c:v>5.3372236062789813E-3</c:v>
                </c:pt>
                <c:pt idx="31">
                  <c:v>4.2449832313575797E-3</c:v>
                </c:pt>
                <c:pt idx="32">
                  <c:v>3.2308930467229678E-3</c:v>
                </c:pt>
                <c:pt idx="33">
                  <c:v>2.2886611426994963E-3</c:v>
                </c:pt>
                <c:pt idx="34">
                  <c:v>1.4126526174171299E-3</c:v>
                </c:pt>
                <c:pt idx="35">
                  <c:v>5.9780699138290891E-4</c:v>
                </c:pt>
                <c:pt idx="36">
                  <c:v>-1.6043451939715372E-4</c:v>
                </c:pt>
                <c:pt idx="37">
                  <c:v>-8.6619221609210385E-4</c:v>
                </c:pt>
                <c:pt idx="38">
                  <c:v>-1.5232024249037729E-3</c:v>
                </c:pt>
                <c:pt idx="39">
                  <c:v>-2.134864292376601E-3</c:v>
                </c:pt>
                <c:pt idx="40">
                  <c:v>-2.7042798847265715E-3</c:v>
                </c:pt>
                <c:pt idx="41">
                  <c:v>-3.2342885489132422E-3</c:v>
                </c:pt>
                <c:pt idx="42">
                  <c:v>-3.7274963961113957E-3</c:v>
                </c:pt>
                <c:pt idx="43">
                  <c:v>-4.1863016588018524E-3</c:v>
                </c:pt>
                <c:pt idx="44">
                  <c:v>-4.6129165649876755E-3</c:v>
                </c:pt>
                <c:pt idx="45">
                  <c:v>-5.0093862740978714E-3</c:v>
                </c:pt>
                <c:pt idx="46">
                  <c:v>-5.3776053318517324E-3</c:v>
                </c:pt>
                <c:pt idx="47">
                  <c:v>-5.7193320263028901E-3</c:v>
                </c:pt>
                <c:pt idx="48">
                  <c:v>-6.0362009638155788E-3</c:v>
                </c:pt>
                <c:pt idx="49">
                  <c:v>-6.3297341306508634E-3</c:v>
                </c:pt>
                <c:pt idx="50">
                  <c:v>-6.6013506617561999E-3</c:v>
                </c:pt>
                <c:pt idx="51">
                  <c:v>-6.8523755018946413E-3</c:v>
                </c:pt>
                <c:pt idx="52">
                  <c:v>-7.0840471141513737E-3</c:v>
                </c:pt>
                <c:pt idx="53">
                  <c:v>-7.2975243660222495E-3</c:v>
                </c:pt>
                <c:pt idx="54">
                  <c:v>-7.493892702776412E-3</c:v>
                </c:pt>
                <c:pt idx="55">
                  <c:v>-7.6741697008154914E-3</c:v>
                </c:pt>
                <c:pt idx="56">
                  <c:v>-7.8393100796822004E-3</c:v>
                </c:pt>
                <c:pt idx="57">
                  <c:v>-7.9902102396603794E-3</c:v>
                </c:pt>
                <c:pt idx="58">
                  <c:v>-8.1277123821506484E-3</c:v>
                </c:pt>
                <c:pt idx="59">
                  <c:v>-8.2526082618244248E-3</c:v>
                </c:pt>
                <c:pt idx="60">
                  <c:v>-8.3656426126988096E-3</c:v>
                </c:pt>
              </c:numCache>
            </c:numRef>
          </c:val>
        </c:ser>
        <c:ser>
          <c:idx val="2"/>
          <c:order val="2"/>
          <c:tx>
            <c:strRef>
              <c:f>Sheet2!$B$54</c:f>
              <c:strCache>
                <c:ptCount val="1"/>
                <c:pt idx="0">
                  <c:v>high intratemporal elasticity</c:v>
                </c:pt>
              </c:strCache>
            </c:strRef>
          </c:tx>
          <c:spPr>
            <a:ln w="3175">
              <a:solidFill>
                <a:prstClr val="black"/>
              </a:solidFill>
            </a:ln>
          </c:spPr>
          <c:marker>
            <c:symbol val="circle"/>
            <c:size val="4"/>
            <c:spPr>
              <a:solidFill>
                <a:schemeClr val="bg1">
                  <a:lumMod val="65000"/>
                </a:schemeClr>
              </a:solidFill>
              <a:ln w="6350">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Sheet2!$C$54:$CX$54</c:f>
              <c:numCache>
                <c:formatCode>General</c:formatCode>
                <c:ptCount val="61"/>
                <c:pt idx="0">
                  <c:v>-1.27600971918078</c:v>
                </c:pt>
                <c:pt idx="1">
                  <c:v>-0.80255242210713851</c:v>
                </c:pt>
                <c:pt idx="2">
                  <c:v>-0.51523141595401301</c:v>
                </c:pt>
                <c:pt idx="3">
                  <c:v>-0.33988922854462145</c:v>
                </c:pt>
                <c:pt idx="4">
                  <c:v>-0.23206732658744986</c:v>
                </c:pt>
                <c:pt idx="5">
                  <c:v>-0.16508207876221501</c:v>
                </c:pt>
                <c:pt idx="6">
                  <c:v>-0.12289547723334512</c:v>
                </c:pt>
                <c:pt idx="7">
                  <c:v>-9.5850568498941413E-2</c:v>
                </c:pt>
                <c:pt idx="8">
                  <c:v>-7.8119058454710594E-2</c:v>
                </c:pt>
                <c:pt idx="9">
                  <c:v>-6.6172667178280895E-2</c:v>
                </c:pt>
                <c:pt idx="10">
                  <c:v>-5.7866900684387913E-2</c:v>
                </c:pt>
                <c:pt idx="11">
                  <c:v>-5.1891380417398304E-2</c:v>
                </c:pt>
                <c:pt idx="12">
                  <c:v>-4.7439715743891102E-2</c:v>
                </c:pt>
                <c:pt idx="13">
                  <c:v>-4.4010967554942187E-2</c:v>
                </c:pt>
                <c:pt idx="14">
                  <c:v>-4.1290056059003322E-2</c:v>
                </c:pt>
                <c:pt idx="15">
                  <c:v>-3.9075578461548216E-2</c:v>
                </c:pt>
                <c:pt idx="16">
                  <c:v>-3.7236133929346084E-2</c:v>
                </c:pt>
                <c:pt idx="17">
                  <c:v>-3.5683815100326609E-2</c:v>
                </c:pt>
                <c:pt idx="18">
                  <c:v>-3.4358055226041878E-2</c:v>
                </c:pt>
                <c:pt idx="19">
                  <c:v>-3.3215735626905586E-2</c:v>
                </c:pt>
                <c:pt idx="20">
                  <c:v>-3.2225087549159488E-2</c:v>
                </c:pt>
                <c:pt idx="21">
                  <c:v>-3.1361901185299752E-2</c:v>
                </c:pt>
                <c:pt idx="22">
                  <c:v>-3.0607143133565044E-2</c:v>
                </c:pt>
                <c:pt idx="23">
                  <c:v>-2.9945437951864211E-2</c:v>
                </c:pt>
                <c:pt idx="24">
                  <c:v>-2.9364083193372328E-2</c:v>
                </c:pt>
                <c:pt idx="25">
                  <c:v>-2.885239645371325E-2</c:v>
                </c:pt>
                <c:pt idx="26">
                  <c:v>-2.8401271159144006E-2</c:v>
                </c:pt>
                <c:pt idx="27">
                  <c:v>-2.8002865296443399E-2</c:v>
                </c:pt>
                <c:pt idx="28">
                  <c:v>-2.7650376188236188E-2</c:v>
                </c:pt>
                <c:pt idx="29">
                  <c:v>-2.7337872076986437E-2</c:v>
                </c:pt>
                <c:pt idx="30">
                  <c:v>-2.7060162115779333E-2</c:v>
                </c:pt>
                <c:pt idx="31">
                  <c:v>-2.6812693045061901E-2</c:v>
                </c:pt>
                <c:pt idx="32">
                  <c:v>-2.6591464979222601E-2</c:v>
                </c:pt>
                <c:pt idx="33">
                  <c:v>-2.6392961317088067E-2</c:v>
                </c:pt>
                <c:pt idx="34">
                  <c:v>-2.6214089423771212E-2</c:v>
                </c:pt>
                <c:pt idx="35">
                  <c:v>-2.6052129772638197E-2</c:v>
                </c:pt>
                <c:pt idx="36">
                  <c:v>-2.5904691909030397E-2</c:v>
                </c:pt>
                <c:pt idx="37">
                  <c:v>-2.5769676039246393E-2</c:v>
                </c:pt>
                <c:pt idx="38">
                  <c:v>-2.5645239344121811E-2</c:v>
                </c:pt>
                <c:pt idx="39">
                  <c:v>-2.5529766319090399E-2</c:v>
                </c:pt>
                <c:pt idx="40">
                  <c:v>-2.5421842584848215E-2</c:v>
                </c:pt>
                <c:pt idx="41">
                  <c:v>-2.5320231715411701E-2</c:v>
                </c:pt>
                <c:pt idx="42">
                  <c:v>-2.5223854706633499E-2</c:v>
                </c:pt>
                <c:pt idx="43">
                  <c:v>-2.5131771766509256E-2</c:v>
                </c:pt>
                <c:pt idx="44">
                  <c:v>-2.5043166154395211E-2</c:v>
                </c:pt>
                <c:pt idx="45">
                  <c:v>-2.49573298330713E-2</c:v>
                </c:pt>
                <c:pt idx="46">
                  <c:v>-2.4873650727853702E-2</c:v>
                </c:pt>
                <c:pt idx="47">
                  <c:v>-2.4791601412299202E-2</c:v>
                </c:pt>
                <c:pt idx="48">
                  <c:v>-2.4710729061563998E-2</c:v>
                </c:pt>
                <c:pt idx="49">
                  <c:v>-2.4630646532942401E-2</c:v>
                </c:pt>
                <c:pt idx="50">
                  <c:v>-2.455102444916591E-2</c:v>
                </c:pt>
                <c:pt idx="51">
                  <c:v>-2.4471584174018599E-2</c:v>
                </c:pt>
                <c:pt idx="52">
                  <c:v>-2.4392091582127299E-2</c:v>
                </c:pt>
                <c:pt idx="53">
                  <c:v>-2.43123515356139E-2</c:v>
                </c:pt>
                <c:pt idx="54">
                  <c:v>-2.4232202989884856E-2</c:v>
                </c:pt>
                <c:pt idx="55">
                  <c:v>-2.4151514659325152E-2</c:v>
                </c:pt>
                <c:pt idx="56">
                  <c:v>-2.4070181181218401E-2</c:v>
                </c:pt>
                <c:pt idx="57">
                  <c:v>-2.39881197229104E-2</c:v>
                </c:pt>
                <c:pt idx="58">
                  <c:v>-2.3905266983225256E-2</c:v>
                </c:pt>
                <c:pt idx="59">
                  <c:v>-2.3821576544450999E-2</c:v>
                </c:pt>
                <c:pt idx="60">
                  <c:v>-2.3737016535963704E-2</c:v>
                </c:pt>
              </c:numCache>
            </c:numRef>
          </c:val>
        </c:ser>
        <c:dLbls/>
        <c:marker val="1"/>
        <c:axId val="142674944"/>
        <c:axId val="142684928"/>
      </c:lineChart>
      <c:catAx>
        <c:axId val="142674944"/>
        <c:scaling>
          <c:orientation val="minMax"/>
        </c:scaling>
        <c:axPos val="b"/>
        <c:numFmt formatCode="General" sourceLinked="1"/>
        <c:tickLblPos val="nextTo"/>
        <c:txPr>
          <a:bodyPr/>
          <a:lstStyle/>
          <a:p>
            <a:pPr>
              <a:defRPr sz="600">
                <a:latin typeface="Times New Roman" pitchFamily="18" charset="0"/>
                <a:cs typeface="Times New Roman" pitchFamily="18" charset="0"/>
              </a:defRPr>
            </a:pPr>
            <a:endParaRPr lang="en-US"/>
          </a:p>
        </c:txPr>
        <c:crossAx val="142684928"/>
        <c:crossesAt val="-1.5"/>
        <c:auto val="1"/>
        <c:lblAlgn val="ctr"/>
        <c:lblOffset val="100"/>
        <c:tickLblSkip val="4"/>
        <c:tickMarkSkip val="4"/>
      </c:catAx>
      <c:valAx>
        <c:axId val="142684928"/>
        <c:scaling>
          <c:orientation val="minMax"/>
          <c:max val="0.5"/>
          <c:min val="-1.5"/>
        </c:scaling>
        <c:axPos val="l"/>
        <c:numFmt formatCode="General" sourceLinked="1"/>
        <c:tickLblPos val="nextTo"/>
        <c:txPr>
          <a:bodyPr/>
          <a:lstStyle/>
          <a:p>
            <a:pPr>
              <a:defRPr sz="600">
                <a:latin typeface="Times New Roman" pitchFamily="18" charset="0"/>
                <a:cs typeface="Times New Roman" pitchFamily="18" charset="0"/>
              </a:defRPr>
            </a:pPr>
            <a:endParaRPr lang="en-US"/>
          </a:p>
        </c:txPr>
        <c:crossAx val="142674944"/>
        <c:crossesAt val="1"/>
        <c:crossBetween val="midCat"/>
        <c:majorUnit val="0.5"/>
        <c:minorUnit val="0.5"/>
      </c:valAx>
    </c:plotArea>
    <c:legend>
      <c:legendPos val="r"/>
      <c:layout>
        <c:manualLayout>
          <c:xMode val="edge"/>
          <c:yMode val="edge"/>
          <c:x val="0.52564048627495574"/>
          <c:y val="0.28774010261634075"/>
          <c:w val="0.4381212276263301"/>
          <c:h val="0.3718431239260569"/>
        </c:manualLayout>
      </c:layout>
      <c:txPr>
        <a:bodyPr/>
        <a:lstStyle/>
        <a:p>
          <a:pPr>
            <a:defRPr sz="6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8266796366647844"/>
          <c:y val="3.8066645178124692E-2"/>
          <c:w val="0.74231637155539199"/>
          <c:h val="0.78057787263951905"/>
        </c:manualLayout>
      </c:layout>
      <c:lineChart>
        <c:grouping val="standard"/>
        <c:ser>
          <c:idx val="0"/>
          <c:order val="0"/>
          <c:tx>
            <c:strRef>
              <c:f>Sheet2!$B$11</c:f>
              <c:strCache>
                <c:ptCount val="1"/>
                <c:pt idx="0">
                  <c:v>baseline</c:v>
                </c:pt>
              </c:strCache>
            </c:strRef>
          </c:tx>
          <c:spPr>
            <a:ln w="31750">
              <a:solidFill>
                <a:sysClr val="windowText" lastClr="000000"/>
              </a:solidFill>
              <a:prstDash val="sysDot"/>
            </a:ln>
          </c:spPr>
          <c:marker>
            <c:symbol val="none"/>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Sheet2!$C$11:$CX$11</c:f>
              <c:numCache>
                <c:formatCode>General</c:formatCode>
                <c:ptCount val="61"/>
                <c:pt idx="0">
                  <c:v>-1.9995607627306</c:v>
                </c:pt>
                <c:pt idx="1">
                  <c:v>-1.0866735236470579</c:v>
                </c:pt>
                <c:pt idx="2">
                  <c:v>-0.5810316711578345</c:v>
                </c:pt>
                <c:pt idx="3">
                  <c:v>-0.30618994950894557</c:v>
                </c:pt>
                <c:pt idx="4">
                  <c:v>-0.160471125085177</c:v>
                </c:pt>
                <c:pt idx="5">
                  <c:v>-8.5788472038351327E-2</c:v>
                </c:pt>
                <c:pt idx="6">
                  <c:v>-4.9319171862177914E-2</c:v>
                </c:pt>
                <c:pt idx="7">
                  <c:v>-3.2776278226680028E-2</c:v>
                </c:pt>
                <c:pt idx="8">
                  <c:v>-2.6160215794146711E-2</c:v>
                </c:pt>
                <c:pt idx="9">
                  <c:v>-2.4141671019399402E-2</c:v>
                </c:pt>
                <c:pt idx="10">
                  <c:v>-2.3983612702575645E-2</c:v>
                </c:pt>
                <c:pt idx="11">
                  <c:v>-2.4358892082090099E-2</c:v>
                </c:pt>
                <c:pt idx="12">
                  <c:v>-2.4685641555501452E-2</c:v>
                </c:pt>
                <c:pt idx="13">
                  <c:v>-2.47596856832684E-2</c:v>
                </c:pt>
                <c:pt idx="14">
                  <c:v>-2.4555623980299E-2</c:v>
                </c:pt>
                <c:pt idx="15">
                  <c:v>-2.4122475207487927E-2</c:v>
                </c:pt>
                <c:pt idx="16">
                  <c:v>-2.35314397604309E-2</c:v>
                </c:pt>
                <c:pt idx="17">
                  <c:v>-2.2851725243272402E-2</c:v>
                </c:pt>
                <c:pt idx="18">
                  <c:v>-2.2140985102895999E-2</c:v>
                </c:pt>
                <c:pt idx="19">
                  <c:v>-2.1442983787729207E-2</c:v>
                </c:pt>
                <c:pt idx="20">
                  <c:v>-2.0788531305038552E-2</c:v>
                </c:pt>
                <c:pt idx="21">
                  <c:v>-2.01976423304999E-2</c:v>
                </c:pt>
                <c:pt idx="22">
                  <c:v>-1.9681921298714069E-2</c:v>
                </c:pt>
                <c:pt idx="23">
                  <c:v>-1.9246732447187768E-2</c:v>
                </c:pt>
                <c:pt idx="24">
                  <c:v>-1.8892999586239599E-2</c:v>
                </c:pt>
                <c:pt idx="25">
                  <c:v>-1.8618618067230901E-2</c:v>
                </c:pt>
                <c:pt idx="26">
                  <c:v>-1.841952064256892E-2</c:v>
                </c:pt>
                <c:pt idx="27">
                  <c:v>-1.8290458247909674E-2</c:v>
                </c:pt>
                <c:pt idx="28">
                  <c:v>-1.8225557137411724E-2</c:v>
                </c:pt>
                <c:pt idx="29">
                  <c:v>-1.8218706300958201E-2</c:v>
                </c:pt>
                <c:pt idx="30">
                  <c:v>-1.8263819243904088E-2</c:v>
                </c:pt>
                <c:pt idx="31">
                  <c:v>-1.8355004610654903E-2</c:v>
                </c:pt>
                <c:pt idx="32">
                  <c:v>-1.848667182936653E-2</c:v>
                </c:pt>
                <c:pt idx="33">
                  <c:v>-1.8653591219893056E-2</c:v>
                </c:pt>
                <c:pt idx="34">
                  <c:v>-1.8850922760179401E-2</c:v>
                </c:pt>
                <c:pt idx="35">
                  <c:v>-1.9074223729743E-2</c:v>
                </c:pt>
                <c:pt idx="36">
                  <c:v>-1.9319442494998E-2</c:v>
                </c:pt>
                <c:pt idx="37">
                  <c:v>-1.9582903540388042E-2</c:v>
                </c:pt>
                <c:pt idx="38">
                  <c:v>-1.9861287287996701E-2</c:v>
                </c:pt>
                <c:pt idx="39">
                  <c:v>-2.0151607131799299E-2</c:v>
                </c:pt>
                <c:pt idx="40">
                  <c:v>-2.0451185321517552E-2</c:v>
                </c:pt>
                <c:pt idx="41">
                  <c:v>-2.0757628775158198E-2</c:v>
                </c:pt>
                <c:pt idx="42">
                  <c:v>-2.1068805512055012E-2</c:v>
                </c:pt>
                <c:pt idx="43">
                  <c:v>-2.1382822130897077E-2</c:v>
                </c:pt>
                <c:pt idx="44">
                  <c:v>-2.1698002574601142E-2</c:v>
                </c:pt>
                <c:pt idx="45">
                  <c:v>-2.2012868300682501E-2</c:v>
                </c:pt>
                <c:pt idx="46">
                  <c:v>-2.2326119894070299E-2</c:v>
                </c:pt>
                <c:pt idx="47">
                  <c:v>-2.2636620106294011E-2</c:v>
                </c:pt>
                <c:pt idx="48">
                  <c:v>-2.2943378271776008E-2</c:v>
                </c:pt>
                <c:pt idx="49">
                  <c:v>-2.3245536032214111E-2</c:v>
                </c:pt>
                <c:pt idx="50">
                  <c:v>-2.3542354289449102E-2</c:v>
                </c:pt>
                <c:pt idx="51">
                  <c:v>-2.3833201302647E-2</c:v>
                </c:pt>
                <c:pt idx="52">
                  <c:v>-2.4117541845094501E-2</c:v>
                </c:pt>
                <c:pt idx="53">
                  <c:v>-2.4394927337844478E-2</c:v>
                </c:pt>
                <c:pt idx="54">
                  <c:v>-2.466498688097871E-2</c:v>
                </c:pt>
                <c:pt idx="55">
                  <c:v>-2.4927419107643688E-2</c:v>
                </c:pt>
                <c:pt idx="56">
                  <c:v>-2.5181984790846677E-2</c:v>
                </c:pt>
                <c:pt idx="57">
                  <c:v>-2.5428500137971599E-2</c:v>
                </c:pt>
                <c:pt idx="58">
                  <c:v>-2.5666830712898801E-2</c:v>
                </c:pt>
                <c:pt idx="59">
                  <c:v>-2.5896885930373356E-2</c:v>
                </c:pt>
                <c:pt idx="60">
                  <c:v>-2.611861407178951E-2</c:v>
                </c:pt>
              </c:numCache>
            </c:numRef>
          </c:val>
        </c:ser>
        <c:ser>
          <c:idx val="1"/>
          <c:order val="1"/>
          <c:tx>
            <c:strRef>
              <c:f>Sheet2!$B$33</c:f>
              <c:strCache>
                <c:ptCount val="1"/>
                <c:pt idx="0">
                  <c:v>high labor elasticity</c:v>
                </c:pt>
              </c:strCache>
            </c:strRef>
          </c:tx>
          <c:spPr>
            <a:ln w="3175">
              <a:solidFill>
                <a:schemeClr val="tx1"/>
              </a:solidFill>
            </a:ln>
          </c:spPr>
          <c:marker>
            <c:symbol val="diamond"/>
            <c:size val="4"/>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Sheet2!$C$33:$CX$33</c:f>
              <c:numCache>
                <c:formatCode>General</c:formatCode>
                <c:ptCount val="61"/>
                <c:pt idx="0">
                  <c:v>-2.3398582174466367</c:v>
                </c:pt>
                <c:pt idx="1">
                  <c:v>-1.3969064156524098</c:v>
                </c:pt>
                <c:pt idx="2">
                  <c:v>-0.796833059065716</c:v>
                </c:pt>
                <c:pt idx="3">
                  <c:v>-0.42007997214200454</c:v>
                </c:pt>
                <c:pt idx="4">
                  <c:v>-0.18766786605001801</c:v>
                </c:pt>
                <c:pt idx="5">
                  <c:v>-4.7705524420193934E-2</c:v>
                </c:pt>
                <c:pt idx="6">
                  <c:v>3.3692292988175616E-2</c:v>
                </c:pt>
                <c:pt idx="7">
                  <c:v>7.8497511859047714E-2</c:v>
                </c:pt>
                <c:pt idx="8">
                  <c:v>0.10084051898452</c:v>
                </c:pt>
                <c:pt idx="9">
                  <c:v>0.10972020346065844</c:v>
                </c:pt>
                <c:pt idx="10">
                  <c:v>0.11079957238166366</c:v>
                </c:pt>
                <c:pt idx="11">
                  <c:v>0.107589581040334</c:v>
                </c:pt>
                <c:pt idx="12">
                  <c:v>0.10222528909844122</c:v>
                </c:pt>
                <c:pt idx="13">
                  <c:v>9.5971539216459498E-2</c:v>
                </c:pt>
                <c:pt idx="14">
                  <c:v>8.9550044034857473E-2</c:v>
                </c:pt>
                <c:pt idx="15">
                  <c:v>8.334918150919568E-2</c:v>
                </c:pt>
                <c:pt idx="16">
                  <c:v>7.755722056431591E-2</c:v>
                </c:pt>
                <c:pt idx="17">
                  <c:v>7.2245903155467597E-2</c:v>
                </c:pt>
                <c:pt idx="18">
                  <c:v>6.7422095009256902E-2</c:v>
                </c:pt>
                <c:pt idx="19">
                  <c:v>6.3059089108160299E-2</c:v>
                </c:pt>
                <c:pt idx="20">
                  <c:v>5.9115088450804404E-2</c:v>
                </c:pt>
                <c:pt idx="21">
                  <c:v>5.5543721499867214E-2</c:v>
                </c:pt>
                <c:pt idx="22">
                  <c:v>5.2299692469451223E-2</c:v>
                </c:pt>
                <c:pt idx="23">
                  <c:v>4.9341528499944699E-2</c:v>
                </c:pt>
                <c:pt idx="24">
                  <c:v>4.6632648875693003E-2</c:v>
                </c:pt>
                <c:pt idx="25">
                  <c:v>4.4141509135489476E-2</c:v>
                </c:pt>
                <c:pt idx="26">
                  <c:v>4.1841273192176585E-2</c:v>
                </c:pt>
                <c:pt idx="27">
                  <c:v>3.9709278624396015E-2</c:v>
                </c:pt>
                <c:pt idx="28">
                  <c:v>3.7726444177945198E-2</c:v>
                </c:pt>
                <c:pt idx="29">
                  <c:v>3.5876698112064252E-2</c:v>
                </c:pt>
                <c:pt idx="30">
                  <c:v>3.4146464404386588E-2</c:v>
                </c:pt>
                <c:pt idx="31">
                  <c:v>3.2524220074353002E-2</c:v>
                </c:pt>
                <c:pt idx="32">
                  <c:v>3.1000124031820401E-2</c:v>
                </c:pt>
                <c:pt idx="33">
                  <c:v>2.9565711505264016E-2</c:v>
                </c:pt>
                <c:pt idx="34">
                  <c:v>2.8213645508560658E-2</c:v>
                </c:pt>
                <c:pt idx="35">
                  <c:v>2.6937516283654015E-2</c:v>
                </c:pt>
                <c:pt idx="36">
                  <c:v>2.57316801970272E-2</c:v>
                </c:pt>
                <c:pt idx="37">
                  <c:v>2.4591130580044335E-2</c:v>
                </c:pt>
                <c:pt idx="38">
                  <c:v>2.351139415545931E-2</c:v>
                </c:pt>
                <c:pt idx="39">
                  <c:v>2.2488447810144731E-2</c:v>
                </c:pt>
                <c:pt idx="40">
                  <c:v>2.15186514752564E-2</c:v>
                </c:pt>
                <c:pt idx="41">
                  <c:v>2.0598693730174398E-2</c:v>
                </c:pt>
                <c:pt idx="42">
                  <c:v>1.9725547454439121E-2</c:v>
                </c:pt>
                <c:pt idx="43">
                  <c:v>1.88964334253202E-2</c:v>
                </c:pt>
                <c:pt idx="44">
                  <c:v>1.8108790215934905E-2</c:v>
                </c:pt>
                <c:pt idx="45">
                  <c:v>1.73602491093953E-2</c:v>
                </c:pt>
                <c:pt idx="46">
                  <c:v>1.66486130264333E-2</c:v>
                </c:pt>
                <c:pt idx="47">
                  <c:v>1.5971838683212666E-2</c:v>
                </c:pt>
                <c:pt idx="48">
                  <c:v>1.53280213659016E-2</c:v>
                </c:pt>
                <c:pt idx="49">
                  <c:v>1.4715381839921E-2</c:v>
                </c:pt>
                <c:pt idx="50">
                  <c:v>1.4132255013292501E-2</c:v>
                </c:pt>
                <c:pt idx="51">
                  <c:v>1.3577080052043399E-2</c:v>
                </c:pt>
                <c:pt idx="52">
                  <c:v>1.3048391706507905E-2</c:v>
                </c:pt>
                <c:pt idx="53">
                  <c:v>1.2544812654717305E-2</c:v>
                </c:pt>
                <c:pt idx="54">
                  <c:v>1.2065046706063899E-2</c:v>
                </c:pt>
                <c:pt idx="55">
                  <c:v>1.160787273747022E-2</c:v>
                </c:pt>
                <c:pt idx="56">
                  <c:v>1.1172139257218472E-2</c:v>
                </c:pt>
                <c:pt idx="57">
                  <c:v>1.0756759509832821E-2</c:v>
                </c:pt>
                <c:pt idx="58">
                  <c:v>1.036070704997802E-2</c:v>
                </c:pt>
                <c:pt idx="59">
                  <c:v>9.9830117250813803E-3</c:v>
                </c:pt>
                <c:pt idx="60">
                  <c:v>9.6227560159203741E-3</c:v>
                </c:pt>
              </c:numCache>
            </c:numRef>
          </c:val>
        </c:ser>
        <c:ser>
          <c:idx val="2"/>
          <c:order val="2"/>
          <c:tx>
            <c:strRef>
              <c:f>Sheet2!$B$53</c:f>
              <c:strCache>
                <c:ptCount val="1"/>
                <c:pt idx="0">
                  <c:v>high intratemporal elasticity</c:v>
                </c:pt>
              </c:strCache>
            </c:strRef>
          </c:tx>
          <c:spPr>
            <a:ln w="3175">
              <a:solidFill>
                <a:schemeClr val="tx1"/>
              </a:solidFill>
            </a:ln>
          </c:spPr>
          <c:marker>
            <c:symbol val="circle"/>
            <c:size val="4"/>
            <c:spPr>
              <a:solidFill>
                <a:schemeClr val="bg1">
                  <a:lumMod val="65000"/>
                </a:schemeClr>
              </a:solidFill>
              <a:ln>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Sheet2!$C$53:$CX$53</c:f>
              <c:numCache>
                <c:formatCode>General</c:formatCode>
                <c:ptCount val="61"/>
                <c:pt idx="0">
                  <c:v>-1.8809863812737679</c:v>
                </c:pt>
                <c:pt idx="1">
                  <c:v>-0.96795877205542769</c:v>
                </c:pt>
                <c:pt idx="2">
                  <c:v>-0.46835598787696198</c:v>
                </c:pt>
                <c:pt idx="3">
                  <c:v>-0.20132970660244801</c:v>
                </c:pt>
                <c:pt idx="4">
                  <c:v>-6.3385490010861814E-2</c:v>
                </c:pt>
                <c:pt idx="5">
                  <c:v>4.1921746377118155E-3</c:v>
                </c:pt>
                <c:pt idx="6">
                  <c:v>3.4347551373014699E-2</c:v>
                </c:pt>
                <c:pt idx="7">
                  <c:v>4.5300067156511206E-2</c:v>
                </c:pt>
                <c:pt idx="8">
                  <c:v>4.6932424384069402E-2</c:v>
                </c:pt>
                <c:pt idx="9">
                  <c:v>4.446244045788917E-2</c:v>
                </c:pt>
                <c:pt idx="10">
                  <c:v>4.0537639338113836E-2</c:v>
                </c:pt>
                <c:pt idx="11">
                  <c:v>3.64186718800346E-2</c:v>
                </c:pt>
                <c:pt idx="12">
                  <c:v>3.2639681521137005E-2</c:v>
                </c:pt>
                <c:pt idx="13">
                  <c:v>2.9370786127934798E-2</c:v>
                </c:pt>
                <c:pt idx="14">
                  <c:v>2.6612617250052602E-2</c:v>
                </c:pt>
                <c:pt idx="15">
                  <c:v>2.4297409322342593E-2</c:v>
                </c:pt>
                <c:pt idx="16">
                  <c:v>2.23389908968376E-2</c:v>
                </c:pt>
                <c:pt idx="17">
                  <c:v>2.0655502947449712E-2</c:v>
                </c:pt>
                <c:pt idx="18">
                  <c:v>1.9178062844590501E-2</c:v>
                </c:pt>
                <c:pt idx="19">
                  <c:v>1.7852573008846802E-2</c:v>
                </c:pt>
                <c:pt idx="20">
                  <c:v>1.6638494677118903E-2</c:v>
                </c:pt>
                <c:pt idx="21">
                  <c:v>1.55065384030046E-2</c:v>
                </c:pt>
                <c:pt idx="22">
                  <c:v>1.4436209383974894E-2</c:v>
                </c:pt>
                <c:pt idx="23">
                  <c:v>1.3413611074154098E-2</c:v>
                </c:pt>
                <c:pt idx="24">
                  <c:v>1.2429639959688999E-2</c:v>
                </c:pt>
                <c:pt idx="25">
                  <c:v>1.1478576367518268E-2</c:v>
                </c:pt>
                <c:pt idx="26">
                  <c:v>1.0557022899707403E-2</c:v>
                </c:pt>
                <c:pt idx="27">
                  <c:v>9.6631262497970712E-3</c:v>
                </c:pt>
                <c:pt idx="28">
                  <c:v>8.7960197266223668E-3</c:v>
                </c:pt>
                <c:pt idx="29">
                  <c:v>7.9554323542299597E-3</c:v>
                </c:pt>
                <c:pt idx="30">
                  <c:v>7.1414207640514817E-3</c:v>
                </c:pt>
                <c:pt idx="31">
                  <c:v>6.3541898911362296E-3</c:v>
                </c:pt>
                <c:pt idx="32">
                  <c:v>5.5939768273452475E-3</c:v>
                </c:pt>
                <c:pt idx="33">
                  <c:v>4.8609788803434303E-3</c:v>
                </c:pt>
                <c:pt idx="34">
                  <c:v>4.1553120647035424E-3</c:v>
                </c:pt>
                <c:pt idx="35">
                  <c:v>3.4769901522722652E-3</c:v>
                </c:pt>
                <c:pt idx="36">
                  <c:v>2.8259172923609513E-3</c:v>
                </c:pt>
                <c:pt idx="37">
                  <c:v>2.2018893123305302E-3</c:v>
                </c:pt>
                <c:pt idx="38">
                  <c:v>1.6046003202869932E-3</c:v>
                </c:pt>
                <c:pt idx="39">
                  <c:v>1.0336523078315941E-3</c:v>
                </c:pt>
                <c:pt idx="40">
                  <c:v>4.8856621017138557E-4</c:v>
                </c:pt>
                <c:pt idx="41" formatCode="0.00E+00">
                  <c:v>-3.1206588130300299E-5</c:v>
                </c:pt>
                <c:pt idx="42">
                  <c:v>-5.2627294562954097E-4</c:v>
                </c:pt>
                <c:pt idx="43">
                  <c:v>-9.9728724633174593E-4</c:v>
                </c:pt>
                <c:pt idx="44">
                  <c:v>-1.4449414926066299E-3</c:v>
                </c:pt>
                <c:pt idx="45">
                  <c:v>-1.8699563153771999E-3</c:v>
                </c:pt>
                <c:pt idx="46">
                  <c:v>-2.2730729336793202E-3</c:v>
                </c:pt>
                <c:pt idx="47">
                  <c:v>-2.6550460482663886E-3</c:v>
                </c:pt>
                <c:pt idx="48">
                  <c:v>-3.01663762505942E-3</c:v>
                </c:pt>
                <c:pt idx="49">
                  <c:v>-3.3586115078920323E-3</c:v>
                </c:pt>
                <c:pt idx="50">
                  <c:v>-3.6817287919935714E-3</c:v>
                </c:pt>
                <c:pt idx="51">
                  <c:v>-3.9867438870987001E-3</c:v>
                </c:pt>
                <c:pt idx="52">
                  <c:v>-4.2744011999920799E-3</c:v>
                </c:pt>
                <c:pt idx="53">
                  <c:v>-4.5454323693320513E-3</c:v>
                </c:pt>
                <c:pt idx="54">
                  <c:v>-4.8005539898549514E-3</c:v>
                </c:pt>
                <c:pt idx="55">
                  <c:v>-5.0404657679137014E-3</c:v>
                </c:pt>
                <c:pt idx="56">
                  <c:v>-5.2658490553769005E-3</c:v>
                </c:pt>
                <c:pt idx="57">
                  <c:v>-5.4773657139383742E-3</c:v>
                </c:pt>
                <c:pt idx="58">
                  <c:v>-5.6756572667142E-3</c:v>
                </c:pt>
                <c:pt idx="59">
                  <c:v>-5.8613442985455599E-3</c:v>
                </c:pt>
                <c:pt idx="60">
                  <c:v>-6.0350260706285904E-3</c:v>
                </c:pt>
              </c:numCache>
            </c:numRef>
          </c:val>
        </c:ser>
        <c:dLbls/>
        <c:marker val="1"/>
        <c:axId val="142751616"/>
        <c:axId val="142753152"/>
      </c:lineChart>
      <c:catAx>
        <c:axId val="142751616"/>
        <c:scaling>
          <c:orientation val="minMax"/>
        </c:scaling>
        <c:axPos val="b"/>
        <c:numFmt formatCode="General" sourceLinked="1"/>
        <c:tickLblPos val="nextTo"/>
        <c:txPr>
          <a:bodyPr/>
          <a:lstStyle/>
          <a:p>
            <a:pPr>
              <a:defRPr sz="600">
                <a:latin typeface="Times New Roman" pitchFamily="18" charset="0"/>
                <a:cs typeface="Times New Roman" pitchFamily="18" charset="0"/>
              </a:defRPr>
            </a:pPr>
            <a:endParaRPr lang="en-US"/>
          </a:p>
        </c:txPr>
        <c:crossAx val="142753152"/>
        <c:crossesAt val="-2.5"/>
        <c:auto val="1"/>
        <c:lblAlgn val="ctr"/>
        <c:lblOffset val="100"/>
        <c:tickLblSkip val="4"/>
        <c:tickMarkSkip val="4"/>
      </c:catAx>
      <c:valAx>
        <c:axId val="142753152"/>
        <c:scaling>
          <c:orientation val="minMax"/>
          <c:max val="0.5"/>
          <c:min val="-2.5"/>
        </c:scaling>
        <c:axPos val="l"/>
        <c:numFmt formatCode="General" sourceLinked="1"/>
        <c:majorTickMark val="in"/>
        <c:tickLblPos val="low"/>
        <c:txPr>
          <a:bodyPr/>
          <a:lstStyle/>
          <a:p>
            <a:pPr>
              <a:defRPr sz="600">
                <a:latin typeface="Times New Roman" pitchFamily="18" charset="0"/>
                <a:cs typeface="Times New Roman" pitchFamily="18" charset="0"/>
              </a:defRPr>
            </a:pPr>
            <a:endParaRPr lang="en-US"/>
          </a:p>
        </c:txPr>
        <c:crossAx val="142751616"/>
        <c:crossesAt val="1"/>
        <c:crossBetween val="midCat"/>
        <c:majorUnit val="0.5"/>
        <c:minorUnit val="0.5"/>
      </c:valAx>
    </c:plotArea>
    <c:legend>
      <c:legendPos val="r"/>
      <c:layout>
        <c:manualLayout>
          <c:xMode val="edge"/>
          <c:yMode val="edge"/>
          <c:x val="0.52164217015428782"/>
          <c:y val="0.26376876803443206"/>
          <c:w val="0.43895133452158019"/>
          <c:h val="0.50680511308227982"/>
        </c:manualLayout>
      </c:layout>
      <c:txPr>
        <a:bodyPr/>
        <a:lstStyle/>
        <a:p>
          <a:pPr>
            <a:defRPr sz="6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5775454862648541"/>
          <c:y val="4.7940531545599893E-2"/>
          <c:w val="0.7692078850340649"/>
          <c:h val="0.75404886469728205"/>
        </c:manualLayout>
      </c:layout>
      <c:lineChart>
        <c:grouping val="standard"/>
        <c:ser>
          <c:idx val="0"/>
          <c:order val="0"/>
          <c:tx>
            <c:strRef>
              <c:f>Sheet2!$B$13</c:f>
              <c:strCache>
                <c:ptCount val="1"/>
                <c:pt idx="0">
                  <c:v>baseline</c:v>
                </c:pt>
              </c:strCache>
            </c:strRef>
          </c:tx>
          <c:spPr>
            <a:ln w="31750">
              <a:solidFill>
                <a:sysClr val="windowText" lastClr="000000"/>
              </a:solidFill>
              <a:prstDash val="sysDot"/>
            </a:ln>
          </c:spPr>
          <c:marker>
            <c:symbol val="none"/>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Sheet2!$C$13:$CX$13</c:f>
              <c:numCache>
                <c:formatCode>General</c:formatCode>
                <c:ptCount val="61"/>
                <c:pt idx="0">
                  <c:v>0.73024945916229345</c:v>
                </c:pt>
                <c:pt idx="1">
                  <c:v>0.489292922381521</c:v>
                </c:pt>
                <c:pt idx="2">
                  <c:v>0.31538374186953866</c:v>
                </c:pt>
                <c:pt idx="3">
                  <c:v>0.19139370948349799</c:v>
                </c:pt>
                <c:pt idx="4">
                  <c:v>0.1040258209942108</c:v>
                </c:pt>
                <c:pt idx="5">
                  <c:v>4.3216009953842997E-2</c:v>
                </c:pt>
                <c:pt idx="6">
                  <c:v>1.4855233911386099E-3</c:v>
                </c:pt>
                <c:pt idx="7">
                  <c:v>-2.6647199764269824E-2</c:v>
                </c:pt>
                <c:pt idx="8">
                  <c:v>-4.5157307774934687E-2</c:v>
                </c:pt>
                <c:pt idx="9">
                  <c:v>-5.6903289370930102E-2</c:v>
                </c:pt>
                <c:pt idx="10">
                  <c:v>-6.3926651673289703E-2</c:v>
                </c:pt>
                <c:pt idx="11">
                  <c:v>-6.7677195134011894E-2</c:v>
                </c:pt>
                <c:pt idx="12">
                  <c:v>-6.9179581890656899E-2</c:v>
                </c:pt>
                <c:pt idx="13">
                  <c:v>-6.9154964859870993E-2</c:v>
                </c:pt>
                <c:pt idx="14">
                  <c:v>-6.8108943384292089E-2</c:v>
                </c:pt>
                <c:pt idx="15">
                  <c:v>-6.6394681147590895E-2</c:v>
                </c:pt>
                <c:pt idx="16">
                  <c:v>-6.4257921826888567E-2</c:v>
                </c:pt>
                <c:pt idx="17">
                  <c:v>-6.1868934092366934E-2</c:v>
                </c:pt>
                <c:pt idx="18">
                  <c:v>-5.9345088738306503E-2</c:v>
                </c:pt>
                <c:pt idx="19">
                  <c:v>-5.6766761742871527E-2</c:v>
                </c:pt>
                <c:pt idx="20">
                  <c:v>-5.4188505480496099E-2</c:v>
                </c:pt>
                <c:pt idx="21">
                  <c:v>-5.1646878436684647E-2</c:v>
                </c:pt>
                <c:pt idx="22">
                  <c:v>-4.9165922972035134E-2</c:v>
                </c:pt>
                <c:pt idx="23">
                  <c:v>-4.6760992101171434E-2</c:v>
                </c:pt>
                <c:pt idx="24">
                  <c:v>-4.4441419902642824E-2</c:v>
                </c:pt>
                <c:pt idx="25">
                  <c:v>-4.2212383449927192E-2</c:v>
                </c:pt>
                <c:pt idx="26">
                  <c:v>-4.0076200301049414E-2</c:v>
                </c:pt>
                <c:pt idx="27">
                  <c:v>-3.8033232355532E-2</c:v>
                </c:pt>
                <c:pt idx="28">
                  <c:v>-3.6082515414464771E-2</c:v>
                </c:pt>
                <c:pt idx="29">
                  <c:v>-3.4222197693936203E-2</c:v>
                </c:pt>
                <c:pt idx="30">
                  <c:v>-3.2449845299420486E-2</c:v>
                </c:pt>
                <c:pt idx="31">
                  <c:v>-3.07626550432991E-2</c:v>
                </c:pt>
                <c:pt idx="32">
                  <c:v>-2.9157602699713212E-2</c:v>
                </c:pt>
                <c:pt idx="33">
                  <c:v>-2.7631546234688002E-2</c:v>
                </c:pt>
                <c:pt idx="34">
                  <c:v>-2.6181297597785522E-2</c:v>
                </c:pt>
                <c:pt idx="35">
                  <c:v>-2.4803672524693093E-2</c:v>
                </c:pt>
                <c:pt idx="36">
                  <c:v>-2.3495524926457668E-2</c:v>
                </c:pt>
                <c:pt idx="37">
                  <c:v>-2.2253770445466902E-2</c:v>
                </c:pt>
                <c:pt idx="38">
                  <c:v>-2.1075402372633809E-2</c:v>
                </c:pt>
                <c:pt idx="39">
                  <c:v>-1.9957502158014503E-2</c:v>
                </c:pt>
                <c:pt idx="40">
                  <c:v>-1.8897246078559197E-2</c:v>
                </c:pt>
                <c:pt idx="41">
                  <c:v>-1.7891909161946801E-2</c:v>
                </c:pt>
                <c:pt idx="42">
                  <c:v>-1.6938867141951901E-2</c:v>
                </c:pt>
                <c:pt idx="43">
                  <c:v>-1.6035596995266303E-2</c:v>
                </c:pt>
                <c:pt idx="44">
                  <c:v>-1.5179676452140294E-2</c:v>
                </c:pt>
                <c:pt idx="45">
                  <c:v>-1.4368782762808899E-2</c:v>
                </c:pt>
                <c:pt idx="46">
                  <c:v>-1.36006909240376E-2</c:v>
                </c:pt>
                <c:pt idx="47">
                  <c:v>-1.28732715152705E-2</c:v>
                </c:pt>
                <c:pt idx="48">
                  <c:v>-1.2184488254890121E-2</c:v>
                </c:pt>
                <c:pt idx="49">
                  <c:v>-1.1532395359202103E-2</c:v>
                </c:pt>
                <c:pt idx="50">
                  <c:v>-1.0915134766623801E-2</c:v>
                </c:pt>
                <c:pt idx="51">
                  <c:v>-1.0330933274879299E-2</c:v>
                </c:pt>
                <c:pt idx="52">
                  <c:v>-9.7780996281713224E-3</c:v>
                </c:pt>
                <c:pt idx="53">
                  <c:v>-9.2550215832175407E-3</c:v>
                </c:pt>
                <c:pt idx="54">
                  <c:v>-8.7601629769061204E-3</c:v>
                </c:pt>
                <c:pt idx="55">
                  <c:v>-8.2920608136139266E-3</c:v>
                </c:pt>
                <c:pt idx="56">
                  <c:v>-7.8493223865513904E-3</c:v>
                </c:pt>
                <c:pt idx="57">
                  <c:v>-7.4306224445829542E-3</c:v>
                </c:pt>
                <c:pt idx="58">
                  <c:v>-7.0347004136309191E-3</c:v>
                </c:pt>
                <c:pt idx="59">
                  <c:v>-6.6603576798633102E-3</c:v>
                </c:pt>
                <c:pt idx="60">
                  <c:v>-6.3064549402985304E-3</c:v>
                </c:pt>
              </c:numCache>
            </c:numRef>
          </c:val>
        </c:ser>
        <c:ser>
          <c:idx val="1"/>
          <c:order val="1"/>
          <c:tx>
            <c:strRef>
              <c:f>Sheet2!$B$35</c:f>
              <c:strCache>
                <c:ptCount val="1"/>
                <c:pt idx="0">
                  <c:v>high labor elasticity</c:v>
                </c:pt>
              </c:strCache>
            </c:strRef>
          </c:tx>
          <c:spPr>
            <a:ln w="3175"/>
          </c:spPr>
          <c:marker>
            <c:symbol val="diamond"/>
            <c:size val="4"/>
            <c:spPr>
              <a:solidFill>
                <a:srgbClr val="C00000"/>
              </a:solidFill>
              <a:ln w="3175">
                <a:solidFill>
                  <a:schemeClr val="tx1"/>
                </a:solid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Sheet2!$C$35:$CX$35</c:f>
              <c:numCache>
                <c:formatCode>General</c:formatCode>
                <c:ptCount val="61"/>
                <c:pt idx="0">
                  <c:v>0.78296194733278901</c:v>
                </c:pt>
                <c:pt idx="1">
                  <c:v>0.51665776847030598</c:v>
                </c:pt>
                <c:pt idx="2">
                  <c:v>0.32734098180236593</c:v>
                </c:pt>
                <c:pt idx="3">
                  <c:v>0.193846632679957</c:v>
                </c:pt>
                <c:pt idx="4">
                  <c:v>0.10061980365683</c:v>
                </c:pt>
                <c:pt idx="5">
                  <c:v>3.6291349177127785E-2</c:v>
                </c:pt>
                <c:pt idx="6">
                  <c:v>-7.406549886321786E-3</c:v>
                </c:pt>
                <c:pt idx="7">
                  <c:v>-3.6458031889584942E-2</c:v>
                </c:pt>
                <c:pt idx="8">
                  <c:v>-5.5174918980797898E-2</c:v>
                </c:pt>
                <c:pt idx="9">
                  <c:v>-6.6650555301829145E-2</c:v>
                </c:pt>
                <c:pt idx="10">
                  <c:v>-7.3094578246149802E-2</c:v>
                </c:pt>
                <c:pt idx="11">
                  <c:v>-7.6078470082660804E-2</c:v>
                </c:pt>
                <c:pt idx="12">
                  <c:v>-7.6714752888009302E-2</c:v>
                </c:pt>
                <c:pt idx="13">
                  <c:v>-7.5787152395088694E-2</c:v>
                </c:pt>
                <c:pt idx="14">
                  <c:v>-7.3844741915833123E-2</c:v>
                </c:pt>
                <c:pt idx="15">
                  <c:v>-7.1269761985222418E-2</c:v>
                </c:pt>
                <c:pt idx="16">
                  <c:v>-6.8326292124320134E-2</c:v>
                </c:pt>
                <c:pt idx="17">
                  <c:v>-6.5195054898808932E-2</c:v>
                </c:pt>
                <c:pt idx="18">
                  <c:v>-6.1998216628739722E-2</c:v>
                </c:pt>
                <c:pt idx="19">
                  <c:v>-5.8816999334557134E-2</c:v>
                </c:pt>
                <c:pt idx="20">
                  <c:v>-5.5704144910185813E-2</c:v>
                </c:pt>
                <c:pt idx="21">
                  <c:v>-5.2692705548744834E-2</c:v>
                </c:pt>
                <c:pt idx="22">
                  <c:v>-4.9802220961650066E-2</c:v>
                </c:pt>
                <c:pt idx="23">
                  <c:v>-4.7043042729185698E-2</c:v>
                </c:pt>
                <c:pt idx="24">
                  <c:v>-4.4419349060977956E-2</c:v>
                </c:pt>
                <c:pt idx="25">
                  <c:v>-4.1931236900215434E-2</c:v>
                </c:pt>
                <c:pt idx="26">
                  <c:v>-3.95761660952587E-2</c:v>
                </c:pt>
                <c:pt idx="27">
                  <c:v>-3.7349950099247298E-2</c:v>
                </c:pt>
                <c:pt idx="28">
                  <c:v>-3.5247430431101498E-2</c:v>
                </c:pt>
                <c:pt idx="29">
                  <c:v>-3.32629314542899E-2</c:v>
                </c:pt>
                <c:pt idx="30">
                  <c:v>-3.1390563202802903E-2</c:v>
                </c:pt>
                <c:pt idx="31">
                  <c:v>-2.9624419614416302E-2</c:v>
                </c:pt>
                <c:pt idx="32">
                  <c:v>-2.7958705179610816E-2</c:v>
                </c:pt>
                <c:pt idx="33">
                  <c:v>-2.638781293177362E-2</c:v>
                </c:pt>
                <c:pt idx="34">
                  <c:v>-2.4906369641293141E-2</c:v>
                </c:pt>
                <c:pt idx="35">
                  <c:v>-2.3509259143191387E-2</c:v>
                </c:pt>
                <c:pt idx="36">
                  <c:v>-2.2191631293249199E-2</c:v>
                </c:pt>
                <c:pt idx="37">
                  <c:v>-2.0948901663913652E-2</c:v>
                </c:pt>
                <c:pt idx="38">
                  <c:v>-1.9776745442737199E-2</c:v>
                </c:pt>
                <c:pt idx="39">
                  <c:v>-1.8671087860348302E-2</c:v>
                </c:pt>
                <c:pt idx="40">
                  <c:v>-1.76280926957832E-2</c:v>
                </c:pt>
                <c:pt idx="41">
                  <c:v>-1.66441498750542E-2</c:v>
                </c:pt>
                <c:pt idx="42">
                  <c:v>-1.5715862817705102E-2</c:v>
                </c:pt>
                <c:pt idx="43">
                  <c:v>-1.4840035942578801E-2</c:v>
                </c:pt>
                <c:pt idx="44">
                  <c:v>-1.4013662581164762E-2</c:v>
                </c:pt>
                <c:pt idx="45">
                  <c:v>-1.3233913439106898E-2</c:v>
                </c:pt>
                <c:pt idx="46">
                  <c:v>-1.2498125676067638E-2</c:v>
                </c:pt>
                <c:pt idx="47">
                  <c:v>-1.1803792629035983E-2</c:v>
                </c:pt>
                <c:pt idx="48">
                  <c:v>-1.11485541759748E-2</c:v>
                </c:pt>
                <c:pt idx="49">
                  <c:v>-1.0530187719781503E-2</c:v>
                </c:pt>
                <c:pt idx="50">
                  <c:v>-9.9465997630013708E-3</c:v>
                </c:pt>
                <c:pt idx="51">
                  <c:v>-9.3958180389883805E-3</c:v>
                </c:pt>
                <c:pt idx="52">
                  <c:v>-8.8759841635033584E-3</c:v>
                </c:pt>
                <c:pt idx="53">
                  <c:v>-8.3853467709087675E-3</c:v>
                </c:pt>
                <c:pt idx="54">
                  <c:v>-7.9222551003927284E-3</c:v>
                </c:pt>
                <c:pt idx="55">
                  <c:v>-7.4851529995405919E-3</c:v>
                </c:pt>
                <c:pt idx="56">
                  <c:v>-7.0725733147372072E-3</c:v>
                </c:pt>
                <c:pt idx="57">
                  <c:v>-6.6831326401425323E-3</c:v>
                </c:pt>
                <c:pt idx="58">
                  <c:v>-6.3155263992013934E-3</c:v>
                </c:pt>
                <c:pt idx="59">
                  <c:v>-5.9685242347670897E-3</c:v>
                </c:pt>
                <c:pt idx="60">
                  <c:v>-5.6409656858975796E-3</c:v>
                </c:pt>
              </c:numCache>
            </c:numRef>
          </c:val>
        </c:ser>
        <c:ser>
          <c:idx val="2"/>
          <c:order val="2"/>
          <c:tx>
            <c:strRef>
              <c:f>Sheet2!$B$55</c:f>
              <c:strCache>
                <c:ptCount val="1"/>
                <c:pt idx="0">
                  <c:v>high intratemporal elasticity</c:v>
                </c:pt>
              </c:strCache>
            </c:strRef>
          </c:tx>
          <c:spPr>
            <a:ln w="3175">
              <a:solidFill>
                <a:schemeClr val="tx1"/>
              </a:solidFill>
            </a:ln>
          </c:spPr>
          <c:marker>
            <c:symbol val="circle"/>
            <c:size val="4"/>
            <c:spPr>
              <a:solidFill>
                <a:schemeClr val="bg1">
                  <a:lumMod val="65000"/>
                </a:schemeClr>
              </a:solidFill>
              <a:ln w="3175">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Sheet2!$C$55:$CX$55</c:f>
              <c:numCache>
                <c:formatCode>General</c:formatCode>
                <c:ptCount val="61"/>
                <c:pt idx="0">
                  <c:v>0.72933037657499533</c:v>
                </c:pt>
                <c:pt idx="1">
                  <c:v>0.482424046618389</c:v>
                </c:pt>
                <c:pt idx="2">
                  <c:v>0.30666959937956051</c:v>
                </c:pt>
                <c:pt idx="3">
                  <c:v>0.18280054227929299</c:v>
                </c:pt>
                <c:pt idx="4">
                  <c:v>9.6388970240639193E-2</c:v>
                </c:pt>
                <c:pt idx="5">
                  <c:v>3.6797681725610341E-2</c:v>
                </c:pt>
                <c:pt idx="6">
                  <c:v>-3.7233858060768195E-3</c:v>
                </c:pt>
                <c:pt idx="7">
                  <c:v>-3.0768855375128593E-2</c:v>
                </c:pt>
                <c:pt idx="8">
                  <c:v>-4.8347742588256297E-2</c:v>
                </c:pt>
                <c:pt idx="9">
                  <c:v>-5.9315667083873605E-2</c:v>
                </c:pt>
                <c:pt idx="10">
                  <c:v>-6.569655555881572E-2</c:v>
                </c:pt>
                <c:pt idx="11">
                  <c:v>-6.8918760657011524E-2</c:v>
                </c:pt>
                <c:pt idx="12">
                  <c:v>-6.9986518780787696E-2</c:v>
                </c:pt>
                <c:pt idx="13">
                  <c:v>-6.9603417860737288E-2</c:v>
                </c:pt>
                <c:pt idx="14">
                  <c:v>-6.8260719195905997E-2</c:v>
                </c:pt>
                <c:pt idx="15">
                  <c:v>-6.6300201708076614E-2</c:v>
                </c:pt>
                <c:pt idx="16">
                  <c:v>-6.3958684670741103E-2</c:v>
                </c:pt>
                <c:pt idx="17">
                  <c:v>-6.1399458779883301E-2</c:v>
                </c:pt>
                <c:pt idx="18">
                  <c:v>-5.8734410532911736E-2</c:v>
                </c:pt>
                <c:pt idx="19">
                  <c:v>-5.6039558198563266E-2</c:v>
                </c:pt>
                <c:pt idx="20">
                  <c:v>-5.3365939643082422E-2</c:v>
                </c:pt>
                <c:pt idx="21">
                  <c:v>-5.0747230088746875E-2</c:v>
                </c:pt>
                <c:pt idx="22">
                  <c:v>-4.8205064633860296E-2</c:v>
                </c:pt>
                <c:pt idx="23">
                  <c:v>-4.5752752826518577E-2</c:v>
                </c:pt>
                <c:pt idx="24">
                  <c:v>-4.3397868534525312E-2</c:v>
                </c:pt>
                <c:pt idx="25">
                  <c:v>-4.1144054115961386E-2</c:v>
                </c:pt>
                <c:pt idx="26">
                  <c:v>-3.8992276264610402E-2</c:v>
                </c:pt>
                <c:pt idx="27">
                  <c:v>-3.6941699486378404E-2</c:v>
                </c:pt>
                <c:pt idx="28">
                  <c:v>-3.4990293086468005E-2</c:v>
                </c:pt>
                <c:pt idx="29">
                  <c:v>-3.3135252499496011E-2</c:v>
                </c:pt>
                <c:pt idx="30">
                  <c:v>-3.1373291302899606E-2</c:v>
                </c:pt>
                <c:pt idx="31">
                  <c:v>-2.9700843160255602E-2</c:v>
                </c:pt>
                <c:pt idx="32">
                  <c:v>-2.8114201023033598E-2</c:v>
                </c:pt>
                <c:pt idx="33">
                  <c:v>-2.6609612616660609E-2</c:v>
                </c:pt>
                <c:pt idx="34">
                  <c:v>-2.5183345456475242E-2</c:v>
                </c:pt>
                <c:pt idx="35">
                  <c:v>-2.3831730616818824E-2</c:v>
                </c:pt>
                <c:pt idx="36">
                  <c:v>-2.2551191678308099E-2</c:v>
                </c:pt>
                <c:pt idx="37">
                  <c:v>-2.1338263332005301E-2</c:v>
                </c:pt>
                <c:pt idx="38">
                  <c:v>-2.0189602765321411E-2</c:v>
                </c:pt>
                <c:pt idx="39">
                  <c:v>-1.9101996012521102E-2</c:v>
                </c:pt>
                <c:pt idx="40">
                  <c:v>-1.8072360797003601E-2</c:v>
                </c:pt>
                <c:pt idx="41">
                  <c:v>-1.7097746935820592E-2</c:v>
                </c:pt>
                <c:pt idx="42">
                  <c:v>-1.61753350584516E-2</c:v>
                </c:pt>
                <c:pt idx="43">
                  <c:v>-1.5302434169538918E-2</c:v>
                </c:pt>
                <c:pt idx="44">
                  <c:v>-1.4476478429813101E-2</c:v>
                </c:pt>
                <c:pt idx="45">
                  <c:v>-1.36950234204819E-2</c:v>
                </c:pt>
                <c:pt idx="46">
                  <c:v>-1.2955742079779701E-2</c:v>
                </c:pt>
                <c:pt idx="47">
                  <c:v>-1.2256420446398901E-2</c:v>
                </c:pt>
                <c:pt idx="48">
                  <c:v>-1.1594953306297003E-2</c:v>
                </c:pt>
                <c:pt idx="49">
                  <c:v>-1.0969339812200905E-2</c:v>
                </c:pt>
                <c:pt idx="50">
                  <c:v>-1.0377679125676798E-2</c:v>
                </c:pt>
                <c:pt idx="51">
                  <c:v>-9.8181661176420642E-3</c:v>
                </c:pt>
                <c:pt idx="52">
                  <c:v>-9.2890871530340226E-3</c:v>
                </c:pt>
                <c:pt idx="53">
                  <c:v>-8.7888159779369503E-3</c:v>
                </c:pt>
                <c:pt idx="54">
                  <c:v>-8.3158097219817768E-3</c:v>
                </c:pt>
                <c:pt idx="55">
                  <c:v>-7.8686050247660892E-3</c:v>
                </c:pt>
                <c:pt idx="56">
                  <c:v>-7.44581429197755E-3</c:v>
                </c:pt>
                <c:pt idx="57">
                  <c:v>-7.0461220845842928E-3</c:v>
                </c:pt>
                <c:pt idx="58">
                  <c:v>-6.6682816426854898E-3</c:v>
                </c:pt>
                <c:pt idx="59">
                  <c:v>-6.3111115442549704E-3</c:v>
                </c:pt>
                <c:pt idx="60">
                  <c:v>-5.9734924979534627E-3</c:v>
                </c:pt>
              </c:numCache>
            </c:numRef>
          </c:val>
        </c:ser>
        <c:dLbls/>
        <c:marker val="1"/>
        <c:axId val="142792192"/>
        <c:axId val="142793728"/>
      </c:lineChart>
      <c:catAx>
        <c:axId val="142792192"/>
        <c:scaling>
          <c:orientation val="minMax"/>
        </c:scaling>
        <c:axPos val="b"/>
        <c:numFmt formatCode="General" sourceLinked="1"/>
        <c:tickLblPos val="nextTo"/>
        <c:txPr>
          <a:bodyPr/>
          <a:lstStyle/>
          <a:p>
            <a:pPr>
              <a:defRPr sz="600">
                <a:latin typeface="Times New Roman" pitchFamily="18" charset="0"/>
                <a:cs typeface="Times New Roman" pitchFamily="18" charset="0"/>
              </a:defRPr>
            </a:pPr>
            <a:endParaRPr lang="en-US"/>
          </a:p>
        </c:txPr>
        <c:crossAx val="142793728"/>
        <c:crossesAt val="-0.2"/>
        <c:auto val="1"/>
        <c:lblAlgn val="ctr"/>
        <c:lblOffset val="100"/>
        <c:tickLblSkip val="4"/>
        <c:tickMarkSkip val="4"/>
      </c:catAx>
      <c:valAx>
        <c:axId val="142793728"/>
        <c:scaling>
          <c:orientation val="minMax"/>
          <c:max val="1"/>
          <c:min val="-0.2"/>
        </c:scaling>
        <c:axPos val="l"/>
        <c:numFmt formatCode="General" sourceLinked="1"/>
        <c:tickLblPos val="nextTo"/>
        <c:txPr>
          <a:bodyPr/>
          <a:lstStyle/>
          <a:p>
            <a:pPr>
              <a:defRPr sz="600">
                <a:latin typeface="Times New Roman" pitchFamily="18" charset="0"/>
                <a:cs typeface="Times New Roman" pitchFamily="18" charset="0"/>
              </a:defRPr>
            </a:pPr>
            <a:endParaRPr lang="en-US"/>
          </a:p>
        </c:txPr>
        <c:crossAx val="142792192"/>
        <c:crossesAt val="1"/>
        <c:crossBetween val="midCat"/>
        <c:majorUnit val="0.2"/>
        <c:minorUnit val="0.2"/>
      </c:valAx>
    </c:plotArea>
    <c:legend>
      <c:legendPos val="r"/>
      <c:layout>
        <c:manualLayout>
          <c:xMode val="edge"/>
          <c:yMode val="edge"/>
          <c:x val="0.48617559323856047"/>
          <c:y val="0.21389763779527676"/>
          <c:w val="0.47413184273467535"/>
          <c:h val="0.34142642169729065"/>
        </c:manualLayout>
      </c:layout>
      <c:txPr>
        <a:bodyPr/>
        <a:lstStyle/>
        <a:p>
          <a:pPr>
            <a:defRPr sz="6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6256299212598424"/>
          <c:y val="2.8002694353471278E-2"/>
          <c:w val="0.74218354743330861"/>
          <c:h val="0.79830437396442766"/>
        </c:manualLayout>
      </c:layout>
      <c:lineChart>
        <c:grouping val="standard"/>
        <c:ser>
          <c:idx val="0"/>
          <c:order val="0"/>
          <c:tx>
            <c:strRef>
              <c:f>Sheet2!$B$14</c:f>
              <c:strCache>
                <c:ptCount val="1"/>
                <c:pt idx="0">
                  <c:v>baseline</c:v>
                </c:pt>
              </c:strCache>
            </c:strRef>
          </c:tx>
          <c:spPr>
            <a:ln w="31750" cmpd="sng">
              <a:solidFill>
                <a:schemeClr val="tx1"/>
              </a:solidFill>
              <a:prstDash val="sysDot"/>
            </a:ln>
          </c:spPr>
          <c:marker>
            <c:symbol val="none"/>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Sheet2!$C$14:$CX$14</c:f>
              <c:numCache>
                <c:formatCode>General</c:formatCode>
                <c:ptCount val="61"/>
                <c:pt idx="0">
                  <c:v>0.56929041996055763</c:v>
                </c:pt>
                <c:pt idx="1">
                  <c:v>0.39763042989298986</c:v>
                </c:pt>
                <c:pt idx="2">
                  <c:v>0.26574724981556103</c:v>
                </c:pt>
                <c:pt idx="3">
                  <c:v>0.16719731849006411</c:v>
                </c:pt>
                <c:pt idx="4">
                  <c:v>9.5169019252258805E-2</c:v>
                </c:pt>
                <c:pt idx="5">
                  <c:v>4.3539531866590403E-2</c:v>
                </c:pt>
                <c:pt idx="6">
                  <c:v>7.2285317981560324E-3</c:v>
                </c:pt>
                <c:pt idx="7">
                  <c:v>-1.7783704513847205E-2</c:v>
                </c:pt>
                <c:pt idx="8">
                  <c:v>-3.4579750402151152E-2</c:v>
                </c:pt>
                <c:pt idx="9">
                  <c:v>-4.5471999586087095E-2</c:v>
                </c:pt>
                <c:pt idx="10">
                  <c:v>-5.2167083365780714E-2</c:v>
                </c:pt>
                <c:pt idx="11">
                  <c:v>-5.5908923417877704E-2</c:v>
                </c:pt>
                <c:pt idx="12">
                  <c:v>-5.7595250071342599E-2</c:v>
                </c:pt>
                <c:pt idx="13">
                  <c:v>-5.7868717192162113E-2</c:v>
                </c:pt>
                <c:pt idx="14">
                  <c:v>-5.7186220847962967E-2</c:v>
                </c:pt>
                <c:pt idx="15">
                  <c:v>-5.5870611187931601E-2</c:v>
                </c:pt>
                <c:pt idx="16">
                  <c:v>-5.4148711174391413E-2</c:v>
                </c:pt>
                <c:pt idx="17">
                  <c:v>-5.2178957880790224E-2</c:v>
                </c:pt>
                <c:pt idx="18">
                  <c:v>-5.00713242963155E-2</c:v>
                </c:pt>
                <c:pt idx="19">
                  <c:v>-4.7901578214852067E-2</c:v>
                </c:pt>
                <c:pt idx="20">
                  <c:v>-4.5721431129204834E-2</c:v>
                </c:pt>
                <c:pt idx="21">
                  <c:v>-4.3565729171438597E-2</c:v>
                </c:pt>
                <c:pt idx="22">
                  <c:v>-4.1457529444927199E-2</c:v>
                </c:pt>
                <c:pt idx="23">
                  <c:v>-3.9411672798116616E-2</c:v>
                </c:pt>
                <c:pt idx="24">
                  <c:v>-3.7437292203370859E-2</c:v>
                </c:pt>
                <c:pt idx="25">
                  <c:v>-3.5539570325872606E-2</c:v>
                </c:pt>
                <c:pt idx="26">
                  <c:v>-3.3720969023463804E-2</c:v>
                </c:pt>
                <c:pt idx="27">
                  <c:v>-3.1982088313089102E-2</c:v>
                </c:pt>
                <c:pt idx="28">
                  <c:v>-3.0322265830481428E-2</c:v>
                </c:pt>
                <c:pt idx="29">
                  <c:v>-2.8739994805233801E-2</c:v>
                </c:pt>
                <c:pt idx="30">
                  <c:v>-2.7233215250312883E-2</c:v>
                </c:pt>
                <c:pt idx="31">
                  <c:v>-2.5799516640404706E-2</c:v>
                </c:pt>
                <c:pt idx="32">
                  <c:v>-2.4436278819985852E-2</c:v>
                </c:pt>
                <c:pt idx="33">
                  <c:v>-2.3140769802299701E-2</c:v>
                </c:pt>
                <c:pt idx="34">
                  <c:v>-2.1910213471350092E-2</c:v>
                </c:pt>
                <c:pt idx="35">
                  <c:v>-2.0741836255615601E-2</c:v>
                </c:pt>
                <c:pt idx="36">
                  <c:v>-1.9632899093018935E-2</c:v>
                </c:pt>
                <c:pt idx="37">
                  <c:v>-1.8580719091899605E-2</c:v>
                </c:pt>
                <c:pt idx="38">
                  <c:v>-1.7582683960092799E-2</c:v>
                </c:pt>
                <c:pt idx="39">
                  <c:v>-1.6636261347049902E-2</c:v>
                </c:pt>
                <c:pt idx="40">
                  <c:v>-1.57390045990165E-2</c:v>
                </c:pt>
                <c:pt idx="41">
                  <c:v>-1.4888555978548899E-2</c:v>
                </c:pt>
                <c:pt idx="42">
                  <c:v>-1.4082648087293596E-2</c:v>
                </c:pt>
                <c:pt idx="43">
                  <c:v>-1.3319104013286601E-2</c:v>
                </c:pt>
                <c:pt idx="44">
                  <c:v>-1.2595836572151593E-2</c:v>
                </c:pt>
                <c:pt idx="45">
                  <c:v>-1.19108469053727E-2</c:v>
                </c:pt>
                <c:pt idx="46">
                  <c:v>-1.1262222624359001E-2</c:v>
                </c:pt>
                <c:pt idx="47">
                  <c:v>-1.0648135636637693E-2</c:v>
                </c:pt>
                <c:pt idx="48">
                  <c:v>-1.0066839753480205E-2</c:v>
                </c:pt>
                <c:pt idx="49">
                  <c:v>-9.5166681519648598E-3</c:v>
                </c:pt>
                <c:pt idx="50">
                  <c:v>-8.9960307456430147E-3</c:v>
                </c:pt>
                <c:pt idx="51">
                  <c:v>-8.5034115043985704E-3</c:v>
                </c:pt>
                <c:pt idx="52">
                  <c:v>-8.0373657541985919E-3</c:v>
                </c:pt>
                <c:pt idx="53">
                  <c:v>-7.5965174801394114E-3</c:v>
                </c:pt>
                <c:pt idx="54">
                  <c:v>-7.1795566507675997E-3</c:v>
                </c:pt>
                <c:pt idx="55">
                  <c:v>-6.7852365775457075E-3</c:v>
                </c:pt>
                <c:pt idx="56">
                  <c:v>-6.4123713201879014E-3</c:v>
                </c:pt>
                <c:pt idx="57">
                  <c:v>-6.0598331461464098E-3</c:v>
                </c:pt>
                <c:pt idx="58">
                  <c:v>-5.7265500506028114E-3</c:v>
                </c:pt>
                <c:pt idx="59">
                  <c:v>-5.4115033417782834E-3</c:v>
                </c:pt>
                <c:pt idx="60">
                  <c:v>-5.1137252951359204E-3</c:v>
                </c:pt>
              </c:numCache>
            </c:numRef>
          </c:val>
        </c:ser>
        <c:ser>
          <c:idx val="1"/>
          <c:order val="1"/>
          <c:tx>
            <c:strRef>
              <c:f>Sheet2!$B$36</c:f>
              <c:strCache>
                <c:ptCount val="1"/>
                <c:pt idx="0">
                  <c:v>high labor elasticity</c:v>
                </c:pt>
              </c:strCache>
            </c:strRef>
          </c:tx>
          <c:spPr>
            <a:ln w="3175">
              <a:solidFill>
                <a:schemeClr val="tx1"/>
              </a:solidFill>
            </a:ln>
          </c:spPr>
          <c:marker>
            <c:symbol val="diamond"/>
            <c:size val="5"/>
            <c:spPr>
              <a:solidFill>
                <a:srgbClr val="C00000"/>
              </a:solidFill>
              <a:ln>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Sheet2!$C$36:$CX$36</c:f>
              <c:numCache>
                <c:formatCode>General</c:formatCode>
                <c:ptCount val="61"/>
                <c:pt idx="0">
                  <c:v>0.61171302393837979</c:v>
                </c:pt>
                <c:pt idx="1">
                  <c:v>0.410639739398723</c:v>
                </c:pt>
                <c:pt idx="2">
                  <c:v>0.26473261922938901</c:v>
                </c:pt>
                <c:pt idx="3">
                  <c:v>0.15987977574932599</c:v>
                </c:pt>
                <c:pt idx="4">
                  <c:v>8.5339804370772598E-2</c:v>
                </c:pt>
                <c:pt idx="5">
                  <c:v>3.3018885337847179E-2</c:v>
                </c:pt>
                <c:pt idx="6">
                  <c:v>-3.1292002881932652E-3</c:v>
                </c:pt>
                <c:pt idx="7">
                  <c:v>-2.75868917150821E-2</c:v>
                </c:pt>
                <c:pt idx="8">
                  <c:v>-4.3654756727643601E-2</c:v>
                </c:pt>
                <c:pt idx="9">
                  <c:v>-5.3748013340708813E-2</c:v>
                </c:pt>
                <c:pt idx="10">
                  <c:v>-5.9623727786931514E-2</c:v>
                </c:pt>
                <c:pt idx="11">
                  <c:v>-6.2553008852784711E-2</c:v>
                </c:pt>
                <c:pt idx="12">
                  <c:v>-6.3450321953363933E-2</c:v>
                </c:pt>
                <c:pt idx="13">
                  <c:v>-6.29698382198004E-2</c:v>
                </c:pt>
                <c:pt idx="14">
                  <c:v>-6.1576729016741924E-2</c:v>
                </c:pt>
                <c:pt idx="15">
                  <c:v>-5.9599599270613104E-2</c:v>
                </c:pt>
                <c:pt idx="16">
                  <c:v>-5.7268837419188104E-2</c:v>
                </c:pt>
                <c:pt idx="17">
                  <c:v>-5.4744523777334901E-2</c:v>
                </c:pt>
                <c:pt idx="18">
                  <c:v>-5.2136645628806932E-2</c:v>
                </c:pt>
                <c:pt idx="19">
                  <c:v>-4.9519675573571321E-2</c:v>
                </c:pt>
                <c:pt idx="20">
                  <c:v>-4.6943040781371667E-2</c:v>
                </c:pt>
                <c:pt idx="21">
                  <c:v>-4.4438610668560502E-2</c:v>
                </c:pt>
                <c:pt idx="22">
                  <c:v>-4.2026030445590903E-2</c:v>
                </c:pt>
                <c:pt idx="23">
                  <c:v>-3.9716504653650994E-2</c:v>
                </c:pt>
                <c:pt idx="24">
                  <c:v>-3.7515469692249302E-2</c:v>
                </c:pt>
                <c:pt idx="25">
                  <c:v>-3.5424472975648602E-2</c:v>
                </c:pt>
                <c:pt idx="26">
                  <c:v>-3.3442487619252802E-2</c:v>
                </c:pt>
                <c:pt idx="27">
                  <c:v>-3.1566826984740601E-2</c:v>
                </c:pt>
                <c:pt idx="28">
                  <c:v>-2.9793776629658011E-2</c:v>
                </c:pt>
                <c:pt idx="29">
                  <c:v>-2.811902744958511E-2</c:v>
                </c:pt>
                <c:pt idx="30">
                  <c:v>-2.6537969534481499E-2</c:v>
                </c:pt>
                <c:pt idx="31">
                  <c:v>-2.5045888879361412E-2</c:v>
                </c:pt>
                <c:pt idx="32">
                  <c:v>-2.3638096682135699E-2</c:v>
                </c:pt>
                <c:pt idx="33">
                  <c:v>-2.2310012134042798E-2</c:v>
                </c:pt>
                <c:pt idx="34">
                  <c:v>-2.1057213347892699E-2</c:v>
                </c:pt>
                <c:pt idx="35">
                  <c:v>-1.9875466643934601E-2</c:v>
                </c:pt>
                <c:pt idx="36">
                  <c:v>-1.8760741294742967E-2</c:v>
                </c:pt>
                <c:pt idx="37">
                  <c:v>-1.7709214640254201E-2</c:v>
                </c:pt>
                <c:pt idx="38">
                  <c:v>-1.6717270950875499E-2</c:v>
                </c:pt>
                <c:pt idx="39">
                  <c:v>-1.5781496347119246E-2</c:v>
                </c:pt>
                <c:pt idx="40">
                  <c:v>-1.4898671341062339E-2</c:v>
                </c:pt>
                <c:pt idx="41">
                  <c:v>-1.4065762050658999E-2</c:v>
                </c:pt>
                <c:pt idx="42">
                  <c:v>-1.32799107837223E-2</c:v>
                </c:pt>
                <c:pt idx="43">
                  <c:v>-1.2538426445717697E-2</c:v>
                </c:pt>
                <c:pt idx="44">
                  <c:v>-1.1838775060315004E-2</c:v>
                </c:pt>
                <c:pt idx="45">
                  <c:v>-1.11785705800299E-2</c:v>
                </c:pt>
                <c:pt idx="46">
                  <c:v>-1.0555566089597899E-2</c:v>
                </c:pt>
                <c:pt idx="47">
                  <c:v>-9.9676454553557486E-3</c:v>
                </c:pt>
                <c:pt idx="48">
                  <c:v>-9.4128154417891727E-3</c:v>
                </c:pt>
                <c:pt idx="49">
                  <c:v>-8.8891982959981748E-3</c:v>
                </c:pt>
                <c:pt idx="50">
                  <c:v>-8.395024788267428E-3</c:v>
                </c:pt>
                <c:pt idx="51">
                  <c:v>-7.9286276896160697E-3</c:v>
                </c:pt>
                <c:pt idx="52">
                  <c:v>-7.4884356633118619E-3</c:v>
                </c:pt>
                <c:pt idx="53">
                  <c:v>-7.0729675456729924E-3</c:v>
                </c:pt>
                <c:pt idx="54">
                  <c:v>-6.6808269912234904E-3</c:v>
                </c:pt>
                <c:pt idx="55">
                  <c:v>-6.3106974578611844E-3</c:v>
                </c:pt>
                <c:pt idx="56">
                  <c:v>-5.9613375087875413E-3</c:v>
                </c:pt>
                <c:pt idx="57">
                  <c:v>-5.6315764092959098E-3</c:v>
                </c:pt>
                <c:pt idx="58">
                  <c:v>-5.3203099979665103E-3</c:v>
                </c:pt>
                <c:pt idx="59">
                  <c:v>-5.0264968132861304E-3</c:v>
                </c:pt>
                <c:pt idx="60">
                  <c:v>-4.7491544581327004E-3</c:v>
                </c:pt>
              </c:numCache>
            </c:numRef>
          </c:val>
        </c:ser>
        <c:ser>
          <c:idx val="2"/>
          <c:order val="2"/>
          <c:tx>
            <c:strRef>
              <c:f>Sheet2!$B$56</c:f>
              <c:strCache>
                <c:ptCount val="1"/>
                <c:pt idx="0">
                  <c:v>high intratemporal elasticity</c:v>
                </c:pt>
              </c:strCache>
            </c:strRef>
          </c:tx>
          <c:spPr>
            <a:ln w="3175">
              <a:solidFill>
                <a:schemeClr val="tx1"/>
              </a:solidFill>
            </a:ln>
          </c:spPr>
          <c:marker>
            <c:symbol val="circle"/>
            <c:size val="4"/>
            <c:spPr>
              <a:solidFill>
                <a:schemeClr val="bg1">
                  <a:lumMod val="65000"/>
                </a:schemeClr>
              </a:solidFill>
              <a:ln>
                <a:noFill/>
              </a:ln>
            </c:spPr>
          </c:marker>
          <c:cat>
            <c:numRef>
              <c:f>Sheet2!$C$2:$CX$2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Sheet2!$C$56:$CX$56</c:f>
              <c:numCache>
                <c:formatCode>General</c:formatCode>
                <c:ptCount val="61"/>
                <c:pt idx="0">
                  <c:v>0.57029781754070252</c:v>
                </c:pt>
                <c:pt idx="1">
                  <c:v>0.39316386279012538</c:v>
                </c:pt>
                <c:pt idx="2">
                  <c:v>0.259337653049038</c:v>
                </c:pt>
                <c:pt idx="3">
                  <c:v>0.16060449667248144</c:v>
                </c:pt>
                <c:pt idx="4">
                  <c:v>8.9187129160916201E-2</c:v>
                </c:pt>
                <c:pt idx="5">
                  <c:v>3.8456215052727602E-2</c:v>
                </c:pt>
                <c:pt idx="6">
                  <c:v>3.0808703611852652E-3</c:v>
                </c:pt>
                <c:pt idx="7">
                  <c:v>-2.1070606839358599E-2</c:v>
                </c:pt>
                <c:pt idx="8">
                  <c:v>-3.7120747963369602E-2</c:v>
                </c:pt>
                <c:pt idx="9">
                  <c:v>-4.7386755748249014E-2</c:v>
                </c:pt>
                <c:pt idx="10">
                  <c:v>-5.3564719242121923E-2</c:v>
                </c:pt>
                <c:pt idx="11">
                  <c:v>-5.6882835254103904E-2</c:v>
                </c:pt>
                <c:pt idx="12">
                  <c:v>-5.8222798088561199E-2</c:v>
                </c:pt>
                <c:pt idx="13">
                  <c:v>-5.8212968134351901E-2</c:v>
                </c:pt>
                <c:pt idx="14">
                  <c:v>-5.7298316830058434E-2</c:v>
                </c:pt>
                <c:pt idx="15">
                  <c:v>-5.5792096635325937E-2</c:v>
                </c:pt>
                <c:pt idx="16">
                  <c:v>-5.3913549337331834E-2</c:v>
                </c:pt>
                <c:pt idx="17">
                  <c:v>-5.1815167717908603E-2</c:v>
                </c:pt>
                <c:pt idx="18">
                  <c:v>-4.9602259278972299E-2</c:v>
                </c:pt>
                <c:pt idx="19">
                  <c:v>-4.7346902852161844E-2</c:v>
                </c:pt>
                <c:pt idx="20">
                  <c:v>-4.5097857578981097E-2</c:v>
                </c:pt>
                <c:pt idx="21">
                  <c:v>-4.2887570669532499E-2</c:v>
                </c:pt>
                <c:pt idx="22">
                  <c:v>-4.0737117416688833E-2</c:v>
                </c:pt>
                <c:pt idx="23">
                  <c:v>-3.8659674234172603E-2</c:v>
                </c:pt>
                <c:pt idx="24">
                  <c:v>-3.6662954807228601E-2</c:v>
                </c:pt>
                <c:pt idx="25">
                  <c:v>-3.4750915575049841E-2</c:v>
                </c:pt>
                <c:pt idx="26">
                  <c:v>-3.2924947606186201E-2</c:v>
                </c:pt>
                <c:pt idx="27">
                  <c:v>-3.1184708174544606E-2</c:v>
                </c:pt>
                <c:pt idx="28">
                  <c:v>-2.9528699995865063E-2</c:v>
                </c:pt>
                <c:pt idx="29">
                  <c:v>-2.7954673967068799E-2</c:v>
                </c:pt>
                <c:pt idx="30">
                  <c:v>-2.6459908583371369E-2</c:v>
                </c:pt>
                <c:pt idx="31">
                  <c:v>-2.5041403256189112E-2</c:v>
                </c:pt>
                <c:pt idx="32">
                  <c:v>-2.3696011555610699E-2</c:v>
                </c:pt>
                <c:pt idx="33">
                  <c:v>-2.242053255389851E-2</c:v>
                </c:pt>
                <c:pt idx="34">
                  <c:v>-2.1211772956686602E-2</c:v>
                </c:pt>
                <c:pt idx="35">
                  <c:v>-2.0066588872848977E-2</c:v>
                </c:pt>
                <c:pt idx="36">
                  <c:v>-1.8981913396807361E-2</c:v>
                </c:pt>
                <c:pt idx="37">
                  <c:v>-1.7954774309808436E-2</c:v>
                </c:pt>
                <c:pt idx="38">
                  <c:v>-1.6982304905093205E-2</c:v>
                </c:pt>
                <c:pt idx="39">
                  <c:v>-1.6061750034804707E-2</c:v>
                </c:pt>
                <c:pt idx="40">
                  <c:v>-1.5190468844418511E-2</c:v>
                </c:pt>
                <c:pt idx="41">
                  <c:v>-1.4365935219948505E-2</c:v>
                </c:pt>
                <c:pt idx="42">
                  <c:v>-1.3585736666020202E-2</c:v>
                </c:pt>
                <c:pt idx="43">
                  <c:v>-1.2847572118570003E-2</c:v>
                </c:pt>
                <c:pt idx="44">
                  <c:v>-1.2149249046217643E-2</c:v>
                </c:pt>
                <c:pt idx="45">
                  <c:v>-1.1488680089625001E-2</c:v>
                </c:pt>
                <c:pt idx="46">
                  <c:v>-1.0863879414755225E-2</c:v>
                </c:pt>
                <c:pt idx="47">
                  <c:v>-1.0272958904380899E-2</c:v>
                </c:pt>
                <c:pt idx="48">
                  <c:v>-9.7141242758627504E-3</c:v>
                </c:pt>
                <c:pt idx="49">
                  <c:v>-9.1856711875201603E-3</c:v>
                </c:pt>
                <c:pt idx="50">
                  <c:v>-8.6859813776878191E-3</c:v>
                </c:pt>
                <c:pt idx="51">
                  <c:v>-8.2135188675238995E-3</c:v>
                </c:pt>
                <c:pt idx="52">
                  <c:v>-7.7668262493022101E-3</c:v>
                </c:pt>
                <c:pt idx="53">
                  <c:v>-7.3445210751698414E-3</c:v>
                </c:pt>
                <c:pt idx="54">
                  <c:v>-6.945292356453912E-3</c:v>
                </c:pt>
                <c:pt idx="55">
                  <c:v>-6.5678971800051632E-3</c:v>
                </c:pt>
                <c:pt idx="56">
                  <c:v>-6.2111574454217344E-3</c:v>
                </c:pt>
                <c:pt idx="57">
                  <c:v>-5.8739567250268914E-3</c:v>
                </c:pt>
                <c:pt idx="58">
                  <c:v>-5.5552372470086204E-3</c:v>
                </c:pt>
                <c:pt idx="59">
                  <c:v>-5.2539970010227104E-3</c:v>
                </c:pt>
                <c:pt idx="60">
                  <c:v>-4.969286964733653E-3</c:v>
                </c:pt>
              </c:numCache>
            </c:numRef>
          </c:val>
        </c:ser>
        <c:dLbls/>
        <c:marker val="1"/>
        <c:axId val="142857344"/>
        <c:axId val="142858880"/>
      </c:lineChart>
      <c:catAx>
        <c:axId val="142857344"/>
        <c:scaling>
          <c:orientation val="minMax"/>
        </c:scaling>
        <c:axPos val="b"/>
        <c:numFmt formatCode="General" sourceLinked="1"/>
        <c:tickLblPos val="nextTo"/>
        <c:txPr>
          <a:bodyPr/>
          <a:lstStyle/>
          <a:p>
            <a:pPr>
              <a:defRPr sz="600">
                <a:latin typeface="Times New Roman" pitchFamily="18" charset="0"/>
                <a:cs typeface="Times New Roman" pitchFamily="18" charset="0"/>
              </a:defRPr>
            </a:pPr>
            <a:endParaRPr lang="en-US"/>
          </a:p>
        </c:txPr>
        <c:crossAx val="142858880"/>
        <c:crossesAt val="-0.2"/>
        <c:auto val="1"/>
        <c:lblAlgn val="ctr"/>
        <c:lblOffset val="100"/>
        <c:tickLblSkip val="4"/>
        <c:tickMarkSkip val="4"/>
      </c:catAx>
      <c:valAx>
        <c:axId val="142858880"/>
        <c:scaling>
          <c:orientation val="minMax"/>
          <c:max val="0.8"/>
          <c:min val="-0.2"/>
        </c:scaling>
        <c:axPos val="l"/>
        <c:numFmt formatCode="General" sourceLinked="1"/>
        <c:tickLblPos val="nextTo"/>
        <c:txPr>
          <a:bodyPr/>
          <a:lstStyle/>
          <a:p>
            <a:pPr>
              <a:defRPr sz="600">
                <a:latin typeface="Times New Roman" pitchFamily="18" charset="0"/>
                <a:cs typeface="Times New Roman" pitchFamily="18" charset="0"/>
              </a:defRPr>
            </a:pPr>
            <a:endParaRPr lang="en-US"/>
          </a:p>
        </c:txPr>
        <c:crossAx val="142857344"/>
        <c:crossesAt val="1"/>
        <c:crossBetween val="midCat"/>
        <c:majorUnit val="0.2"/>
        <c:minorUnit val="0.2"/>
      </c:valAx>
    </c:plotArea>
    <c:legend>
      <c:legendPos val="r"/>
      <c:layout>
        <c:manualLayout>
          <c:xMode val="edge"/>
          <c:yMode val="edge"/>
          <c:x val="0.60129677601374765"/>
          <c:y val="0.17361310605405098"/>
          <c:w val="0.39454410218267044"/>
          <c:h val="0.34726889907992536"/>
        </c:manualLayout>
      </c:layout>
      <c:txPr>
        <a:bodyPr/>
        <a:lstStyle/>
        <a:p>
          <a:pPr>
            <a:defRPr sz="6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13.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2268081073199202"/>
          <c:y val="2.5375104096118341E-2"/>
          <c:w val="0.80851403422185797"/>
          <c:h val="0.79060736732237724"/>
        </c:manualLayout>
      </c:layout>
      <c:lineChart>
        <c:grouping val="standard"/>
        <c:ser>
          <c:idx val="0"/>
          <c:order val="0"/>
          <c:tx>
            <c:strRef>
              <c:f>Figures!$Q$1</c:f>
              <c:strCache>
                <c:ptCount val="1"/>
                <c:pt idx="0">
                  <c:v>tot</c:v>
                </c:pt>
              </c:strCache>
            </c:strRef>
          </c:tx>
          <c:spPr>
            <a:ln w="12700">
              <a:solidFill>
                <a:schemeClr val="tx2"/>
              </a:solidFill>
            </a:ln>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Figures!$Q$2:$Q$117</c:f>
              <c:numCache>
                <c:formatCode>0.0</c:formatCode>
                <c:ptCount val="116"/>
                <c:pt idx="0">
                  <c:v>-1.0053464044739799</c:v>
                </c:pt>
                <c:pt idx="1">
                  <c:v>-1.7242507796545041</c:v>
                </c:pt>
                <c:pt idx="2">
                  <c:v>-0.66303181333223815</c:v>
                </c:pt>
                <c:pt idx="3">
                  <c:v>-1.1072049072670598</c:v>
                </c:pt>
                <c:pt idx="4">
                  <c:v>0.57232453166439512</c:v>
                </c:pt>
                <c:pt idx="5">
                  <c:v>1.1395026996525799</c:v>
                </c:pt>
                <c:pt idx="6">
                  <c:v>1.42437019005572</c:v>
                </c:pt>
                <c:pt idx="7">
                  <c:v>0.49145230704473808</c:v>
                </c:pt>
                <c:pt idx="8">
                  <c:v>-2.2183476578291492E-2</c:v>
                </c:pt>
                <c:pt idx="9">
                  <c:v>-0.69311354570312456</c:v>
                </c:pt>
                <c:pt idx="10">
                  <c:v>-1.1066334205466801</c:v>
                </c:pt>
                <c:pt idx="11">
                  <c:v>-0.66710702535984812</c:v>
                </c:pt>
                <c:pt idx="12">
                  <c:v>-1.5254617385055498</c:v>
                </c:pt>
                <c:pt idx="13">
                  <c:v>-1.2502921964560201</c:v>
                </c:pt>
                <c:pt idx="14">
                  <c:v>7.8386777903174124E-2</c:v>
                </c:pt>
                <c:pt idx="15">
                  <c:v>1.0686317943092198</c:v>
                </c:pt>
                <c:pt idx="16">
                  <c:v>1.1102599707631382</c:v>
                </c:pt>
                <c:pt idx="17">
                  <c:v>0.71078533039445269</c:v>
                </c:pt>
                <c:pt idx="18">
                  <c:v>0.69318898385101158</c:v>
                </c:pt>
                <c:pt idx="19">
                  <c:v>2.8519763009491768</c:v>
                </c:pt>
                <c:pt idx="20">
                  <c:v>2.7078662083904192</c:v>
                </c:pt>
                <c:pt idx="21">
                  <c:v>2.9119601476877501</c:v>
                </c:pt>
                <c:pt idx="22">
                  <c:v>2.9968476439744967</c:v>
                </c:pt>
                <c:pt idx="23">
                  <c:v>2.4827029472913202</c:v>
                </c:pt>
                <c:pt idx="24">
                  <c:v>1.6710329779014301</c:v>
                </c:pt>
                <c:pt idx="25">
                  <c:v>0.12583206672605302</c:v>
                </c:pt>
                <c:pt idx="26">
                  <c:v>-0.23516725092479501</c:v>
                </c:pt>
                <c:pt idx="27">
                  <c:v>-0.67674988478281184</c:v>
                </c:pt>
                <c:pt idx="28">
                  <c:v>-0.41204796504782637</c:v>
                </c:pt>
                <c:pt idx="29">
                  <c:v>-0.67097755324172415</c:v>
                </c:pt>
                <c:pt idx="30">
                  <c:v>-2.1074817809082202</c:v>
                </c:pt>
                <c:pt idx="31">
                  <c:v>-2.6880458186202398</c:v>
                </c:pt>
                <c:pt idx="32">
                  <c:v>-4.1542657608376885</c:v>
                </c:pt>
                <c:pt idx="33">
                  <c:v>-3.6469221733837767</c:v>
                </c:pt>
                <c:pt idx="34">
                  <c:v>-3.1116923059812587</c:v>
                </c:pt>
                <c:pt idx="35">
                  <c:v>-2.5587579819944297</c:v>
                </c:pt>
                <c:pt idx="36">
                  <c:v>-1.1906627170963999</c:v>
                </c:pt>
                <c:pt idx="37">
                  <c:v>-0.85016250322151299</c:v>
                </c:pt>
                <c:pt idx="38">
                  <c:v>-1.1484917681059399</c:v>
                </c:pt>
                <c:pt idx="39">
                  <c:v>-1.2734122879213199</c:v>
                </c:pt>
                <c:pt idx="40">
                  <c:v>-0.55088943148426461</c:v>
                </c:pt>
                <c:pt idx="41">
                  <c:v>0.16356781506861587</c:v>
                </c:pt>
                <c:pt idx="42">
                  <c:v>0.86926417149535107</c:v>
                </c:pt>
                <c:pt idx="43">
                  <c:v>1.00738812766954</c:v>
                </c:pt>
                <c:pt idx="44">
                  <c:v>1.5611470833576699</c:v>
                </c:pt>
                <c:pt idx="45">
                  <c:v>1.24739542074637</c:v>
                </c:pt>
                <c:pt idx="46">
                  <c:v>1.1976001050952201</c:v>
                </c:pt>
                <c:pt idx="47">
                  <c:v>2.1447734795258198</c:v>
                </c:pt>
                <c:pt idx="48">
                  <c:v>1.8678207870940318</c:v>
                </c:pt>
                <c:pt idx="49">
                  <c:v>1.2684511874312501</c:v>
                </c:pt>
                <c:pt idx="50">
                  <c:v>2.6128892521766498</c:v>
                </c:pt>
                <c:pt idx="51">
                  <c:v>2.7494325709774681</c:v>
                </c:pt>
                <c:pt idx="52">
                  <c:v>1.9996730776981</c:v>
                </c:pt>
                <c:pt idx="53">
                  <c:v>2.6835930108465926</c:v>
                </c:pt>
                <c:pt idx="54">
                  <c:v>1.4754931132567299</c:v>
                </c:pt>
                <c:pt idx="55">
                  <c:v>1.1151466821312199</c:v>
                </c:pt>
                <c:pt idx="56">
                  <c:v>-0.10287086852338</c:v>
                </c:pt>
                <c:pt idx="57">
                  <c:v>-1.2825853913768051</c:v>
                </c:pt>
                <c:pt idx="58">
                  <c:v>-2.3356898448058367</c:v>
                </c:pt>
                <c:pt idx="59">
                  <c:v>-2.0998430713178267</c:v>
                </c:pt>
                <c:pt idx="60">
                  <c:v>-1.2966598072669999</c:v>
                </c:pt>
                <c:pt idx="61">
                  <c:v>-1.4791759870880299</c:v>
                </c:pt>
                <c:pt idx="62">
                  <c:v>-1.51195273283604</c:v>
                </c:pt>
                <c:pt idx="63">
                  <c:v>-2.2765860815742398</c:v>
                </c:pt>
                <c:pt idx="64">
                  <c:v>1.2478393000921368</c:v>
                </c:pt>
                <c:pt idx="65">
                  <c:v>-0.13456418814093132</c:v>
                </c:pt>
                <c:pt idx="66">
                  <c:v>-0.16666954614034921</c:v>
                </c:pt>
                <c:pt idx="67">
                  <c:v>-0.84458777115522798</c:v>
                </c:pt>
                <c:pt idx="68">
                  <c:v>-1.98822569196841</c:v>
                </c:pt>
                <c:pt idx="69">
                  <c:v>-1.9362742700056994</c:v>
                </c:pt>
                <c:pt idx="70">
                  <c:v>-3.8686819256354497</c:v>
                </c:pt>
                <c:pt idx="71">
                  <c:v>-5.1499149078071245</c:v>
                </c:pt>
                <c:pt idx="72">
                  <c:v>-4.1631412392671745</c:v>
                </c:pt>
                <c:pt idx="73">
                  <c:v>-1.8564588459439701</c:v>
                </c:pt>
                <c:pt idx="74">
                  <c:v>-0.29013229049173173</c:v>
                </c:pt>
                <c:pt idx="75">
                  <c:v>-0.13468534878594599</c:v>
                </c:pt>
                <c:pt idx="76">
                  <c:v>1.7187287359794654</c:v>
                </c:pt>
                <c:pt idx="77">
                  <c:v>3.0066709989536977</c:v>
                </c:pt>
                <c:pt idx="78">
                  <c:v>4.3694180698258265</c:v>
                </c:pt>
                <c:pt idx="79">
                  <c:v>5.3275101089104622</c:v>
                </c:pt>
                <c:pt idx="80">
                  <c:v>7.2806961902293441</c:v>
                </c:pt>
                <c:pt idx="81">
                  <c:v>5.2178708939847098</c:v>
                </c:pt>
                <c:pt idx="82">
                  <c:v>2.6589235652612602</c:v>
                </c:pt>
                <c:pt idx="83">
                  <c:v>-0.556866620165679</c:v>
                </c:pt>
                <c:pt idx="84">
                  <c:v>2.82103228625102</c:v>
                </c:pt>
                <c:pt idx="85">
                  <c:v>0.80867267469610715</c:v>
                </c:pt>
                <c:pt idx="86">
                  <c:v>2.0034222901754002</c:v>
                </c:pt>
                <c:pt idx="87">
                  <c:v>1.6832466572730498</c:v>
                </c:pt>
                <c:pt idx="88">
                  <c:v>-1.8357712383580949</c:v>
                </c:pt>
                <c:pt idx="89">
                  <c:v>2.9595159773865391E-2</c:v>
                </c:pt>
                <c:pt idx="90">
                  <c:v>-0.50657503481504107</c:v>
                </c:pt>
                <c:pt idx="91">
                  <c:v>-0.43558320558372132</c:v>
                </c:pt>
                <c:pt idx="92">
                  <c:v>-1.9004365265943381</c:v>
                </c:pt>
                <c:pt idx="93">
                  <c:v>-0.87290933240552382</c:v>
                </c:pt>
                <c:pt idx="94">
                  <c:v>-1.3623949847467982</c:v>
                </c:pt>
                <c:pt idx="95">
                  <c:v>-0.59205487701492132</c:v>
                </c:pt>
                <c:pt idx="96">
                  <c:v>-0.56265230574124181</c:v>
                </c:pt>
                <c:pt idx="97">
                  <c:v>0.28823576684103475</c:v>
                </c:pt>
                <c:pt idx="98">
                  <c:v>-1.9381360638101301</c:v>
                </c:pt>
                <c:pt idx="99">
                  <c:v>-5.1724805495908948</c:v>
                </c:pt>
                <c:pt idx="100">
                  <c:v>-0.75521700735830588</c:v>
                </c:pt>
                <c:pt idx="101">
                  <c:v>0.18253194637521541</c:v>
                </c:pt>
                <c:pt idx="102">
                  <c:v>0.77466130572607561</c:v>
                </c:pt>
                <c:pt idx="103">
                  <c:v>0.79812968234443527</c:v>
                </c:pt>
                <c:pt idx="104">
                  <c:v>-0.26581477543569992</c:v>
                </c:pt>
                <c:pt idx="105">
                  <c:v>-1.5985991503316799</c:v>
                </c:pt>
                <c:pt idx="106">
                  <c:v>-1.437944390826271</c:v>
                </c:pt>
                <c:pt idx="107">
                  <c:v>-3.9036505209333598</c:v>
                </c:pt>
                <c:pt idx="108">
                  <c:v>-6.3024350494223755</c:v>
                </c:pt>
                <c:pt idx="109">
                  <c:v>-7.7739583034874107</c:v>
                </c:pt>
                <c:pt idx="110">
                  <c:v>-4.5580727884164203</c:v>
                </c:pt>
                <c:pt idx="111">
                  <c:v>2.4844364144421598</c:v>
                </c:pt>
                <c:pt idx="112">
                  <c:v>6.8456563192327096</c:v>
                </c:pt>
                <c:pt idx="113">
                  <c:v>6.8964051673405695</c:v>
                </c:pt>
                <c:pt idx="114">
                  <c:v>5.2156086649515503</c:v>
                </c:pt>
                <c:pt idx="115">
                  <c:v>1.6305560650219262</c:v>
                </c:pt>
              </c:numCache>
            </c:numRef>
          </c:val>
        </c:ser>
        <c:ser>
          <c:idx val="1"/>
          <c:order val="1"/>
          <c:tx>
            <c:strRef>
              <c:f>Figures!$S$1</c:f>
              <c:strCache>
                <c:ptCount val="1"/>
                <c:pt idx="0">
                  <c:v>Output</c:v>
                </c:pt>
              </c:strCache>
            </c:strRef>
          </c:tx>
          <c:spPr>
            <a:ln w="12700"/>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Figures!$S$2:$S$117</c:f>
              <c:numCache>
                <c:formatCode>0.0</c:formatCode>
                <c:ptCount val="116"/>
                <c:pt idx="0">
                  <c:v>3.7098962158198705</c:v>
                </c:pt>
                <c:pt idx="1">
                  <c:v>4.0552283655113524</c:v>
                </c:pt>
                <c:pt idx="2">
                  <c:v>2.6872708300680004</c:v>
                </c:pt>
                <c:pt idx="3">
                  <c:v>1.45492740662636</c:v>
                </c:pt>
                <c:pt idx="4">
                  <c:v>-9.5226651944990706E-2</c:v>
                </c:pt>
                <c:pt idx="5">
                  <c:v>-1.6776684224081999</c:v>
                </c:pt>
                <c:pt idx="6">
                  <c:v>-3.2391954648636188</c:v>
                </c:pt>
                <c:pt idx="7">
                  <c:v>-4.89070479664964</c:v>
                </c:pt>
                <c:pt idx="8">
                  <c:v>-4.0087919379377706</c:v>
                </c:pt>
                <c:pt idx="9">
                  <c:v>-2.4558697184037377</c:v>
                </c:pt>
                <c:pt idx="10">
                  <c:v>-2.1983964727612202</c:v>
                </c:pt>
                <c:pt idx="11">
                  <c:v>-1.8310746171475758</c:v>
                </c:pt>
                <c:pt idx="12">
                  <c:v>-0.88010856990725406</c:v>
                </c:pt>
                <c:pt idx="13">
                  <c:v>-1.6911327746527767E-2</c:v>
                </c:pt>
                <c:pt idx="14">
                  <c:v>-0.50374481951858785</c:v>
                </c:pt>
                <c:pt idx="15">
                  <c:v>0.23860259550545501</c:v>
                </c:pt>
                <c:pt idx="16">
                  <c:v>0.76344239856602802</c:v>
                </c:pt>
                <c:pt idx="17">
                  <c:v>0.1600279442815381</c:v>
                </c:pt>
                <c:pt idx="18">
                  <c:v>0.76263443577246903</c:v>
                </c:pt>
                <c:pt idx="19">
                  <c:v>1.4982310586919598</c:v>
                </c:pt>
                <c:pt idx="20">
                  <c:v>0.31730935216956707</c:v>
                </c:pt>
                <c:pt idx="21">
                  <c:v>0.33354046092189937</c:v>
                </c:pt>
                <c:pt idx="22">
                  <c:v>-0.32540878867718404</c:v>
                </c:pt>
                <c:pt idx="23">
                  <c:v>-1.8100430330452641</c:v>
                </c:pt>
                <c:pt idx="24">
                  <c:v>-0.479642528105373</c:v>
                </c:pt>
                <c:pt idx="25">
                  <c:v>-0.11623325288514726</c:v>
                </c:pt>
                <c:pt idx="26">
                  <c:v>0.63846659016881802</c:v>
                </c:pt>
                <c:pt idx="27">
                  <c:v>1.1624004443927622</c:v>
                </c:pt>
                <c:pt idx="28">
                  <c:v>2.0598647115034998</c:v>
                </c:pt>
                <c:pt idx="29">
                  <c:v>2.5959882929411702</c:v>
                </c:pt>
                <c:pt idx="30">
                  <c:v>2.1654856747003799</c:v>
                </c:pt>
                <c:pt idx="31">
                  <c:v>2.2519048500934002</c:v>
                </c:pt>
                <c:pt idx="32">
                  <c:v>2.7619983838832187</c:v>
                </c:pt>
                <c:pt idx="33">
                  <c:v>2.6716614003044397</c:v>
                </c:pt>
                <c:pt idx="34">
                  <c:v>2.3331637746000702</c:v>
                </c:pt>
                <c:pt idx="35">
                  <c:v>1.9949895936392201</c:v>
                </c:pt>
                <c:pt idx="36">
                  <c:v>2.5189717169324859</c:v>
                </c:pt>
                <c:pt idx="37">
                  <c:v>1.7830941354935299</c:v>
                </c:pt>
                <c:pt idx="38">
                  <c:v>0.77433548301348576</c:v>
                </c:pt>
                <c:pt idx="39">
                  <c:v>-0.39437004065093406</c:v>
                </c:pt>
                <c:pt idx="40">
                  <c:v>-1.9823751953209601</c:v>
                </c:pt>
                <c:pt idx="41">
                  <c:v>-1.8865492595409699</c:v>
                </c:pt>
                <c:pt idx="42">
                  <c:v>-1.8373865273602501</c:v>
                </c:pt>
                <c:pt idx="43">
                  <c:v>-1.7336121995402507</c:v>
                </c:pt>
                <c:pt idx="44">
                  <c:v>-2.0471491102607997</c:v>
                </c:pt>
                <c:pt idx="45">
                  <c:v>-2.0869545860786998</c:v>
                </c:pt>
                <c:pt idx="46">
                  <c:v>-2.12455548535431</c:v>
                </c:pt>
                <c:pt idx="47">
                  <c:v>-2.2011113198338697</c:v>
                </c:pt>
                <c:pt idx="48">
                  <c:v>-1.8156927540834598</c:v>
                </c:pt>
                <c:pt idx="49">
                  <c:v>-1.5939127580946078</c:v>
                </c:pt>
                <c:pt idx="50">
                  <c:v>-1.4968634938838898</c:v>
                </c:pt>
                <c:pt idx="51">
                  <c:v>-1.2278229279996098</c:v>
                </c:pt>
                <c:pt idx="52">
                  <c:v>-0.22927548730020791</c:v>
                </c:pt>
                <c:pt idx="53">
                  <c:v>0.64587579068506629</c:v>
                </c:pt>
                <c:pt idx="54">
                  <c:v>1.3236021656061001</c:v>
                </c:pt>
                <c:pt idx="55">
                  <c:v>1.4564192247450001</c:v>
                </c:pt>
                <c:pt idx="56">
                  <c:v>1.759364304032621</c:v>
                </c:pt>
                <c:pt idx="57">
                  <c:v>1.0278014773823962</c:v>
                </c:pt>
                <c:pt idx="58">
                  <c:v>0.21802921601921099</c:v>
                </c:pt>
                <c:pt idx="59">
                  <c:v>-0.21011438475789326</c:v>
                </c:pt>
                <c:pt idx="60">
                  <c:v>-0.83149549790721999</c:v>
                </c:pt>
                <c:pt idx="61">
                  <c:v>-1.2701929748979901</c:v>
                </c:pt>
                <c:pt idx="62">
                  <c:v>-1.0616029825115401</c:v>
                </c:pt>
                <c:pt idx="63">
                  <c:v>-1.0698438169214299</c:v>
                </c:pt>
                <c:pt idx="64">
                  <c:v>-0.94276927243496511</c:v>
                </c:pt>
                <c:pt idx="65">
                  <c:v>-0.74033849097485693</c:v>
                </c:pt>
                <c:pt idx="66">
                  <c:v>-0.45322638367100232</c:v>
                </c:pt>
                <c:pt idx="67">
                  <c:v>-0.65401115009269295</c:v>
                </c:pt>
                <c:pt idx="68">
                  <c:v>-0.2776887233198041</c:v>
                </c:pt>
                <c:pt idx="69">
                  <c:v>-0.98195727946546207</c:v>
                </c:pt>
                <c:pt idx="70">
                  <c:v>-0.93513843918700013</c:v>
                </c:pt>
                <c:pt idx="71">
                  <c:v>-0.35442109984309988</c:v>
                </c:pt>
                <c:pt idx="72">
                  <c:v>0.30303430273228632</c:v>
                </c:pt>
                <c:pt idx="73">
                  <c:v>0.48983384589078632</c:v>
                </c:pt>
                <c:pt idx="74">
                  <c:v>0.82928121054541204</c:v>
                </c:pt>
                <c:pt idx="75">
                  <c:v>1.4042579314553922</c:v>
                </c:pt>
                <c:pt idx="76">
                  <c:v>1.9071252426233092</c:v>
                </c:pt>
                <c:pt idx="77">
                  <c:v>2.0961807168447399</c:v>
                </c:pt>
                <c:pt idx="78">
                  <c:v>2.3492159736405824</c:v>
                </c:pt>
                <c:pt idx="79">
                  <c:v>1.6373635195819201</c:v>
                </c:pt>
                <c:pt idx="80">
                  <c:v>1.3045246012564748</c:v>
                </c:pt>
                <c:pt idx="81">
                  <c:v>0.56809211305406404</c:v>
                </c:pt>
                <c:pt idx="82">
                  <c:v>-0.50583037851321699</c:v>
                </c:pt>
                <c:pt idx="83">
                  <c:v>-0.55945936450303402</c:v>
                </c:pt>
                <c:pt idx="84">
                  <c:v>-1.9367191988273205E-2</c:v>
                </c:pt>
                <c:pt idx="85">
                  <c:v>-0.1987705459375991</c:v>
                </c:pt>
                <c:pt idx="86">
                  <c:v>-0.12835300682425588</c:v>
                </c:pt>
                <c:pt idx="87">
                  <c:v>-0.15819892353228646</c:v>
                </c:pt>
                <c:pt idx="88">
                  <c:v>-0.28590042431559931</c:v>
                </c:pt>
                <c:pt idx="89">
                  <c:v>-1.09047176310089</c:v>
                </c:pt>
                <c:pt idx="90">
                  <c:v>-1.50932750605079</c:v>
                </c:pt>
                <c:pt idx="91">
                  <c:v>-1.3459446744750598</c:v>
                </c:pt>
                <c:pt idx="92">
                  <c:v>-1.21439295999259</c:v>
                </c:pt>
                <c:pt idx="93">
                  <c:v>-0.66431383880249961</c:v>
                </c:pt>
                <c:pt idx="94">
                  <c:v>-0.28515679150178397</c:v>
                </c:pt>
                <c:pt idx="95">
                  <c:v>-0.29070410254075096</c:v>
                </c:pt>
                <c:pt idx="96">
                  <c:v>-0.43404583337309832</c:v>
                </c:pt>
                <c:pt idx="97">
                  <c:v>-0.254934355388237</c:v>
                </c:pt>
                <c:pt idx="98">
                  <c:v>0.12761423867253499</c:v>
                </c:pt>
                <c:pt idx="99">
                  <c:v>0.48882819003798472</c:v>
                </c:pt>
                <c:pt idx="100">
                  <c:v>1.0753829810381501</c:v>
                </c:pt>
                <c:pt idx="101">
                  <c:v>0.92431857638608561</c:v>
                </c:pt>
                <c:pt idx="102">
                  <c:v>0.53315682643084705</c:v>
                </c:pt>
                <c:pt idx="103">
                  <c:v>0.5063368824114175</c:v>
                </c:pt>
                <c:pt idx="104">
                  <c:v>1.1280556725525401</c:v>
                </c:pt>
                <c:pt idx="105">
                  <c:v>1.8365926645245201</c:v>
                </c:pt>
                <c:pt idx="106">
                  <c:v>1.9730992912037892</c:v>
                </c:pt>
                <c:pt idx="107">
                  <c:v>1.8690961150522198</c:v>
                </c:pt>
                <c:pt idx="108">
                  <c:v>1.5354465114734599</c:v>
                </c:pt>
                <c:pt idx="109">
                  <c:v>1.4153766708009103</c:v>
                </c:pt>
                <c:pt idx="110">
                  <c:v>1.21889812929954</c:v>
                </c:pt>
                <c:pt idx="111">
                  <c:v>-3.2947187187027882E-2</c:v>
                </c:pt>
                <c:pt idx="112">
                  <c:v>-1.9053571641432994</c:v>
                </c:pt>
                <c:pt idx="113">
                  <c:v>-2.9259130950618877</c:v>
                </c:pt>
                <c:pt idx="114">
                  <c:v>-2.9166374252104768</c:v>
                </c:pt>
                <c:pt idx="115">
                  <c:v>-1.9501619041681901</c:v>
                </c:pt>
              </c:numCache>
            </c:numRef>
          </c:val>
        </c:ser>
        <c:dLbls/>
        <c:marker val="1"/>
        <c:axId val="142900608"/>
        <c:axId val="142910592"/>
      </c:lineChart>
      <c:catAx>
        <c:axId val="142900608"/>
        <c:scaling>
          <c:orientation val="minMax"/>
        </c:scaling>
        <c:axPos val="b"/>
        <c:majorTickMark val="none"/>
        <c:tickLblPos val="nextTo"/>
        <c:txPr>
          <a:bodyPr rot="1200000" vert="horz"/>
          <a:lstStyle/>
          <a:p>
            <a:pPr>
              <a:defRPr sz="800"/>
            </a:pPr>
            <a:endParaRPr lang="en-US"/>
          </a:p>
        </c:txPr>
        <c:crossAx val="142910592"/>
        <c:crossesAt val="-10"/>
        <c:auto val="1"/>
        <c:lblAlgn val="ctr"/>
        <c:lblOffset val="100"/>
        <c:tickLblSkip val="12"/>
      </c:catAx>
      <c:valAx>
        <c:axId val="142910592"/>
        <c:scaling>
          <c:orientation val="minMax"/>
        </c:scaling>
        <c:axPos val="l"/>
        <c:numFmt formatCode="0.0" sourceLinked="1"/>
        <c:tickLblPos val="nextTo"/>
        <c:txPr>
          <a:bodyPr/>
          <a:lstStyle/>
          <a:p>
            <a:pPr>
              <a:defRPr sz="800"/>
            </a:pPr>
            <a:endParaRPr lang="en-US"/>
          </a:p>
        </c:txPr>
        <c:crossAx val="142900608"/>
        <c:crosses val="autoZero"/>
        <c:crossBetween val="between"/>
      </c:valAx>
    </c:plotArea>
    <c:legend>
      <c:legendPos val="r"/>
      <c:layout>
        <c:manualLayout>
          <c:xMode val="edge"/>
          <c:yMode val="edge"/>
          <c:x val="0.70286903290255165"/>
          <c:y val="4.2560331219102026E-3"/>
          <c:w val="0.16425088180826194"/>
          <c:h val="0.27027764737766824"/>
        </c:manualLayout>
      </c:layout>
      <c:txPr>
        <a:bodyPr/>
        <a:lstStyle/>
        <a:p>
          <a:pPr>
            <a:defRPr sz="1000">
              <a:latin typeface="Times New Roman" pitchFamily="18" charset="0"/>
              <a:cs typeface="Times New Roman" pitchFamily="18" charset="0"/>
            </a:defRPr>
          </a:pPr>
          <a:endParaRPr lang="en-US"/>
        </a:p>
      </c:txPr>
    </c:legend>
    <c:plotVisOnly val="1"/>
    <c:dispBlanksAs val="gap"/>
  </c:chart>
  <c:spPr>
    <a:ln>
      <a:noFill/>
    </a:ln>
  </c:spPr>
  <c:txPr>
    <a:bodyPr/>
    <a:lstStyle/>
    <a:p>
      <a:pPr>
        <a:defRPr sz="1050"/>
      </a:pPr>
      <a:endParaRPr lang="en-US"/>
    </a:p>
  </c:txPr>
  <c:externalData r:id="rId1"/>
  <c:userShapes r:id="rId2"/>
</c:chartSpace>
</file>

<file path=word/charts/chart14.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3011771352039281"/>
          <c:y val="2.787396300883099E-2"/>
          <c:w val="0.78791889224246003"/>
          <c:h val="0.78128922395529377"/>
        </c:manualLayout>
      </c:layout>
      <c:lineChart>
        <c:grouping val="standard"/>
        <c:ser>
          <c:idx val="0"/>
          <c:order val="0"/>
          <c:tx>
            <c:strRef>
              <c:f>Figures!$Q$1</c:f>
              <c:strCache>
                <c:ptCount val="1"/>
                <c:pt idx="0">
                  <c:v>tot</c:v>
                </c:pt>
              </c:strCache>
            </c:strRef>
          </c:tx>
          <c:spPr>
            <a:ln w="12700">
              <a:solidFill>
                <a:schemeClr val="tx2"/>
              </a:solidFill>
            </a:ln>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Figures!$Q$2:$Q$117</c:f>
              <c:numCache>
                <c:formatCode>0.0</c:formatCode>
                <c:ptCount val="116"/>
                <c:pt idx="0">
                  <c:v>-1.0053464044739799</c:v>
                </c:pt>
                <c:pt idx="1">
                  <c:v>-1.7242507796545001</c:v>
                </c:pt>
                <c:pt idx="2">
                  <c:v>-0.66303181333223848</c:v>
                </c:pt>
                <c:pt idx="3">
                  <c:v>-1.1072049072670598</c:v>
                </c:pt>
                <c:pt idx="4">
                  <c:v>0.57232453166439534</c:v>
                </c:pt>
                <c:pt idx="5">
                  <c:v>1.1395026996525799</c:v>
                </c:pt>
                <c:pt idx="6">
                  <c:v>1.42437019005572</c:v>
                </c:pt>
                <c:pt idx="7">
                  <c:v>0.49145230704473825</c:v>
                </c:pt>
                <c:pt idx="8">
                  <c:v>-2.2183476578291412E-2</c:v>
                </c:pt>
                <c:pt idx="9">
                  <c:v>-0.69311354570312456</c:v>
                </c:pt>
                <c:pt idx="10">
                  <c:v>-1.1066334205466801</c:v>
                </c:pt>
                <c:pt idx="11">
                  <c:v>-0.66710702535984834</c:v>
                </c:pt>
                <c:pt idx="12">
                  <c:v>-1.5254617385055498</c:v>
                </c:pt>
                <c:pt idx="13">
                  <c:v>-1.2502921964560201</c:v>
                </c:pt>
                <c:pt idx="14">
                  <c:v>7.8386777903174124E-2</c:v>
                </c:pt>
                <c:pt idx="15">
                  <c:v>1.0686317943092198</c:v>
                </c:pt>
                <c:pt idx="16">
                  <c:v>1.1102599707631386</c:v>
                </c:pt>
                <c:pt idx="17">
                  <c:v>0.71078533039445291</c:v>
                </c:pt>
                <c:pt idx="18">
                  <c:v>0.69318898385101158</c:v>
                </c:pt>
                <c:pt idx="19">
                  <c:v>2.8519763009491768</c:v>
                </c:pt>
                <c:pt idx="20">
                  <c:v>2.7078662083904206</c:v>
                </c:pt>
                <c:pt idx="21">
                  <c:v>2.9119601476877501</c:v>
                </c:pt>
                <c:pt idx="22">
                  <c:v>2.9968476439744967</c:v>
                </c:pt>
                <c:pt idx="23">
                  <c:v>2.4827029472913202</c:v>
                </c:pt>
                <c:pt idx="24">
                  <c:v>1.6710329779014301</c:v>
                </c:pt>
                <c:pt idx="25">
                  <c:v>0.12583206672605302</c:v>
                </c:pt>
                <c:pt idx="26">
                  <c:v>-0.23516725092479501</c:v>
                </c:pt>
                <c:pt idx="27">
                  <c:v>-0.67674988478281206</c:v>
                </c:pt>
                <c:pt idx="28">
                  <c:v>-0.41204796504782654</c:v>
                </c:pt>
                <c:pt idx="29">
                  <c:v>-0.67097755324172448</c:v>
                </c:pt>
                <c:pt idx="30">
                  <c:v>-2.1074817809082202</c:v>
                </c:pt>
                <c:pt idx="31">
                  <c:v>-2.6880458186202398</c:v>
                </c:pt>
                <c:pt idx="32">
                  <c:v>-4.1542657608376885</c:v>
                </c:pt>
                <c:pt idx="33">
                  <c:v>-3.6469221733837767</c:v>
                </c:pt>
                <c:pt idx="34">
                  <c:v>-3.1116923059812587</c:v>
                </c:pt>
                <c:pt idx="35">
                  <c:v>-2.5587579819944297</c:v>
                </c:pt>
                <c:pt idx="36">
                  <c:v>-1.1906627170963999</c:v>
                </c:pt>
                <c:pt idx="37">
                  <c:v>-0.85016250322151299</c:v>
                </c:pt>
                <c:pt idx="38">
                  <c:v>-1.1484917681059399</c:v>
                </c:pt>
                <c:pt idx="39">
                  <c:v>-1.2734122879213199</c:v>
                </c:pt>
                <c:pt idx="40">
                  <c:v>-0.55088943148426461</c:v>
                </c:pt>
                <c:pt idx="41">
                  <c:v>0.16356781506861587</c:v>
                </c:pt>
                <c:pt idx="42">
                  <c:v>0.86926417149535107</c:v>
                </c:pt>
                <c:pt idx="43">
                  <c:v>1.00738812766954</c:v>
                </c:pt>
                <c:pt idx="44">
                  <c:v>1.5611470833576699</c:v>
                </c:pt>
                <c:pt idx="45">
                  <c:v>1.24739542074637</c:v>
                </c:pt>
                <c:pt idx="46">
                  <c:v>1.1976001050952201</c:v>
                </c:pt>
                <c:pt idx="47">
                  <c:v>2.1447734795258198</c:v>
                </c:pt>
                <c:pt idx="48">
                  <c:v>1.8678207870940311</c:v>
                </c:pt>
                <c:pt idx="49">
                  <c:v>1.2684511874312501</c:v>
                </c:pt>
                <c:pt idx="50">
                  <c:v>2.6128892521766498</c:v>
                </c:pt>
                <c:pt idx="51">
                  <c:v>2.749432570977469</c:v>
                </c:pt>
                <c:pt idx="52">
                  <c:v>1.9996730776981002</c:v>
                </c:pt>
                <c:pt idx="53">
                  <c:v>2.6835930108465944</c:v>
                </c:pt>
                <c:pt idx="54">
                  <c:v>1.4754931132567299</c:v>
                </c:pt>
                <c:pt idx="55">
                  <c:v>1.1151466821312199</c:v>
                </c:pt>
                <c:pt idx="56">
                  <c:v>-0.10287086852338</c:v>
                </c:pt>
                <c:pt idx="57">
                  <c:v>-1.2825853913768055</c:v>
                </c:pt>
                <c:pt idx="58">
                  <c:v>-2.3356898448058367</c:v>
                </c:pt>
                <c:pt idx="59">
                  <c:v>-2.0998430713178267</c:v>
                </c:pt>
                <c:pt idx="60">
                  <c:v>-1.2966598072669999</c:v>
                </c:pt>
                <c:pt idx="61">
                  <c:v>-1.4791759870880299</c:v>
                </c:pt>
                <c:pt idx="62">
                  <c:v>-1.51195273283604</c:v>
                </c:pt>
                <c:pt idx="63">
                  <c:v>-2.2765860815742398</c:v>
                </c:pt>
                <c:pt idx="64">
                  <c:v>1.247839300092136</c:v>
                </c:pt>
                <c:pt idx="65">
                  <c:v>-0.13456418814093143</c:v>
                </c:pt>
                <c:pt idx="66">
                  <c:v>-0.16666954614034901</c:v>
                </c:pt>
                <c:pt idx="67">
                  <c:v>-0.84458777115522776</c:v>
                </c:pt>
                <c:pt idx="68">
                  <c:v>-1.98822569196841</c:v>
                </c:pt>
                <c:pt idx="69">
                  <c:v>-1.9362742700057001</c:v>
                </c:pt>
                <c:pt idx="70">
                  <c:v>-3.8686819256354497</c:v>
                </c:pt>
                <c:pt idx="71">
                  <c:v>-5.1499149078071245</c:v>
                </c:pt>
                <c:pt idx="72">
                  <c:v>-4.1631412392671745</c:v>
                </c:pt>
                <c:pt idx="73">
                  <c:v>-1.8564588459439701</c:v>
                </c:pt>
                <c:pt idx="74">
                  <c:v>-0.29013229049173173</c:v>
                </c:pt>
                <c:pt idx="75">
                  <c:v>-0.13468534878594599</c:v>
                </c:pt>
                <c:pt idx="76">
                  <c:v>1.7187287359794639</c:v>
                </c:pt>
                <c:pt idx="77">
                  <c:v>3.0066709989536977</c:v>
                </c:pt>
                <c:pt idx="78">
                  <c:v>4.3694180698258265</c:v>
                </c:pt>
                <c:pt idx="79">
                  <c:v>5.3275101089104586</c:v>
                </c:pt>
                <c:pt idx="80">
                  <c:v>7.2806961902293477</c:v>
                </c:pt>
                <c:pt idx="81">
                  <c:v>5.2178708939847098</c:v>
                </c:pt>
                <c:pt idx="82">
                  <c:v>2.6589235652612602</c:v>
                </c:pt>
                <c:pt idx="83">
                  <c:v>-0.556866620165679</c:v>
                </c:pt>
                <c:pt idx="84">
                  <c:v>2.82103228625102</c:v>
                </c:pt>
                <c:pt idx="85">
                  <c:v>0.80867267469610749</c:v>
                </c:pt>
                <c:pt idx="86">
                  <c:v>2.0034222901754002</c:v>
                </c:pt>
                <c:pt idx="87">
                  <c:v>1.6832466572730498</c:v>
                </c:pt>
                <c:pt idx="88">
                  <c:v>-1.8357712383580944</c:v>
                </c:pt>
                <c:pt idx="89">
                  <c:v>2.9595159773865311E-2</c:v>
                </c:pt>
                <c:pt idx="90">
                  <c:v>-0.50657503481504107</c:v>
                </c:pt>
                <c:pt idx="91">
                  <c:v>-0.43558320558372132</c:v>
                </c:pt>
                <c:pt idx="92">
                  <c:v>-1.9004365265943381</c:v>
                </c:pt>
                <c:pt idx="93">
                  <c:v>-0.87290933240552426</c:v>
                </c:pt>
                <c:pt idx="94">
                  <c:v>-1.3623949847467987</c:v>
                </c:pt>
                <c:pt idx="95">
                  <c:v>-0.59205487701492099</c:v>
                </c:pt>
                <c:pt idx="96">
                  <c:v>-0.56265230574124148</c:v>
                </c:pt>
                <c:pt idx="97">
                  <c:v>0.28823576684103475</c:v>
                </c:pt>
                <c:pt idx="98">
                  <c:v>-1.9381360638101301</c:v>
                </c:pt>
                <c:pt idx="99">
                  <c:v>-5.1724805495908921</c:v>
                </c:pt>
                <c:pt idx="100">
                  <c:v>-0.7552170073583061</c:v>
                </c:pt>
                <c:pt idx="101">
                  <c:v>0.18253194637521541</c:v>
                </c:pt>
                <c:pt idx="102">
                  <c:v>0.77466130572607594</c:v>
                </c:pt>
                <c:pt idx="103">
                  <c:v>0.79812968234443571</c:v>
                </c:pt>
                <c:pt idx="104">
                  <c:v>-0.26581477543570003</c:v>
                </c:pt>
                <c:pt idx="105">
                  <c:v>-1.5985991503316799</c:v>
                </c:pt>
                <c:pt idx="106">
                  <c:v>-1.4379443908262706</c:v>
                </c:pt>
                <c:pt idx="107">
                  <c:v>-3.9036505209333598</c:v>
                </c:pt>
                <c:pt idx="108">
                  <c:v>-6.3024350494223755</c:v>
                </c:pt>
                <c:pt idx="109">
                  <c:v>-7.7739583034874107</c:v>
                </c:pt>
                <c:pt idx="110">
                  <c:v>-4.5580727884164203</c:v>
                </c:pt>
                <c:pt idx="111">
                  <c:v>2.4844364144421598</c:v>
                </c:pt>
                <c:pt idx="112">
                  <c:v>6.8456563192327096</c:v>
                </c:pt>
                <c:pt idx="113">
                  <c:v>6.8964051673405695</c:v>
                </c:pt>
                <c:pt idx="114">
                  <c:v>5.2156086649515503</c:v>
                </c:pt>
                <c:pt idx="115">
                  <c:v>1.6305560650219266</c:v>
                </c:pt>
              </c:numCache>
            </c:numRef>
          </c:val>
        </c:ser>
        <c:ser>
          <c:idx val="1"/>
          <c:order val="1"/>
          <c:tx>
            <c:strRef>
              <c:f>Figures!$R$1</c:f>
              <c:strCache>
                <c:ptCount val="1"/>
                <c:pt idx="0">
                  <c:v>Employment</c:v>
                </c:pt>
              </c:strCache>
            </c:strRef>
          </c:tx>
          <c:spPr>
            <a:ln w="12700"/>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Figures!$R$2:$R$117</c:f>
              <c:numCache>
                <c:formatCode>0.0</c:formatCode>
                <c:ptCount val="116"/>
                <c:pt idx="0">
                  <c:v>2.5629813778466612</c:v>
                </c:pt>
                <c:pt idx="1">
                  <c:v>3.1731580379742197</c:v>
                </c:pt>
                <c:pt idx="2">
                  <c:v>2.8496795347405177</c:v>
                </c:pt>
                <c:pt idx="3">
                  <c:v>1.9768140810105801</c:v>
                </c:pt>
                <c:pt idx="4">
                  <c:v>0.8748113399409615</c:v>
                </c:pt>
                <c:pt idx="5">
                  <c:v>-0.74766333411339636</c:v>
                </c:pt>
                <c:pt idx="6">
                  <c:v>-2.5425522438829402</c:v>
                </c:pt>
                <c:pt idx="7">
                  <c:v>-3.4975386025152502</c:v>
                </c:pt>
                <c:pt idx="8">
                  <c:v>-3.2100081280047377</c:v>
                </c:pt>
                <c:pt idx="9">
                  <c:v>-2.2533462767202499</c:v>
                </c:pt>
                <c:pt idx="10">
                  <c:v>-1.2171461499493199</c:v>
                </c:pt>
                <c:pt idx="11">
                  <c:v>-1.2219799075577844</c:v>
                </c:pt>
                <c:pt idx="12">
                  <c:v>-1.4054391930663412</c:v>
                </c:pt>
                <c:pt idx="13">
                  <c:v>-1.3258337125548774</c:v>
                </c:pt>
                <c:pt idx="14">
                  <c:v>-0.90673977260591365</c:v>
                </c:pt>
                <c:pt idx="15">
                  <c:v>-1.1043666337331899</c:v>
                </c:pt>
                <c:pt idx="16">
                  <c:v>-0.67509724409220062</c:v>
                </c:pt>
                <c:pt idx="17">
                  <c:v>-0.37409692269125838</c:v>
                </c:pt>
                <c:pt idx="18">
                  <c:v>-0.12756075276225701</c:v>
                </c:pt>
                <c:pt idx="19">
                  <c:v>0.134573393039883</c:v>
                </c:pt>
                <c:pt idx="20">
                  <c:v>0.47755466752975934</c:v>
                </c:pt>
                <c:pt idx="21">
                  <c:v>0.60535031514969995</c:v>
                </c:pt>
                <c:pt idx="22">
                  <c:v>0.13457900867672701</c:v>
                </c:pt>
                <c:pt idx="23">
                  <c:v>-0.12632302306076987</c:v>
                </c:pt>
                <c:pt idx="24">
                  <c:v>-0.19047996311405388</c:v>
                </c:pt>
                <c:pt idx="25">
                  <c:v>0.32146045735458623</c:v>
                </c:pt>
                <c:pt idx="26">
                  <c:v>0.49016255716082097</c:v>
                </c:pt>
                <c:pt idx="27">
                  <c:v>1.1043004423331799</c:v>
                </c:pt>
                <c:pt idx="28">
                  <c:v>1.5014788673036099</c:v>
                </c:pt>
                <c:pt idx="29">
                  <c:v>1.4389547987270772</c:v>
                </c:pt>
                <c:pt idx="30">
                  <c:v>1.1887181789656327</c:v>
                </c:pt>
                <c:pt idx="31">
                  <c:v>1.2509720036329799</c:v>
                </c:pt>
                <c:pt idx="32">
                  <c:v>1.9532282194799639</c:v>
                </c:pt>
                <c:pt idx="33">
                  <c:v>1.7028982157555672</c:v>
                </c:pt>
                <c:pt idx="34">
                  <c:v>1.6506472140722701</c:v>
                </c:pt>
                <c:pt idx="35">
                  <c:v>1.6207653246575855</c:v>
                </c:pt>
                <c:pt idx="36">
                  <c:v>2.0702614032297255</c:v>
                </c:pt>
                <c:pt idx="37">
                  <c:v>1.9245699271802901</c:v>
                </c:pt>
                <c:pt idx="38">
                  <c:v>1.5192249605235899</c:v>
                </c:pt>
                <c:pt idx="39">
                  <c:v>0.47621461106857138</c:v>
                </c:pt>
                <c:pt idx="40">
                  <c:v>-0.46955692897601198</c:v>
                </c:pt>
                <c:pt idx="41">
                  <c:v>-0.27667180153266513</c:v>
                </c:pt>
                <c:pt idx="42">
                  <c:v>-0.40733897544403597</c:v>
                </c:pt>
                <c:pt idx="43">
                  <c:v>-0.71559129967654633</c:v>
                </c:pt>
                <c:pt idx="44">
                  <c:v>-1.10729053633616</c:v>
                </c:pt>
                <c:pt idx="45">
                  <c:v>-1.4714579029670101</c:v>
                </c:pt>
                <c:pt idx="46">
                  <c:v>-1.7435525605275601</c:v>
                </c:pt>
                <c:pt idx="47">
                  <c:v>-1.8424687087867284</c:v>
                </c:pt>
                <c:pt idx="48">
                  <c:v>-1.4324053271635302</c:v>
                </c:pt>
                <c:pt idx="49">
                  <c:v>-1.5463790521319098</c:v>
                </c:pt>
                <c:pt idx="50">
                  <c:v>-1.3115505668381187</c:v>
                </c:pt>
                <c:pt idx="51">
                  <c:v>-1.2936034675194674</c:v>
                </c:pt>
                <c:pt idx="52">
                  <c:v>-1.0573358313087855</c:v>
                </c:pt>
                <c:pt idx="53">
                  <c:v>-0.45852463317093783</c:v>
                </c:pt>
                <c:pt idx="54">
                  <c:v>0.22083368682439541</c:v>
                </c:pt>
                <c:pt idx="55">
                  <c:v>0.56562956650287155</c:v>
                </c:pt>
                <c:pt idx="56">
                  <c:v>0.74643832263712262</c:v>
                </c:pt>
                <c:pt idx="57">
                  <c:v>0.39241435352019932</c:v>
                </c:pt>
                <c:pt idx="58">
                  <c:v>0.20583213349434801</c:v>
                </c:pt>
                <c:pt idx="59">
                  <c:v>9.8220779291225066E-3</c:v>
                </c:pt>
                <c:pt idx="60">
                  <c:v>-3.0372042887538801E-2</c:v>
                </c:pt>
                <c:pt idx="61">
                  <c:v>-0.16322349746751341</c:v>
                </c:pt>
                <c:pt idx="62">
                  <c:v>-0.48424827179492685</c:v>
                </c:pt>
                <c:pt idx="63">
                  <c:v>-1.0013037371679443</c:v>
                </c:pt>
                <c:pt idx="64">
                  <c:v>-0.70942360971528706</c:v>
                </c:pt>
                <c:pt idx="65">
                  <c:v>-0.53155139072920965</c:v>
                </c:pt>
                <c:pt idx="66">
                  <c:v>2.7265308252922463E-2</c:v>
                </c:pt>
                <c:pt idx="67">
                  <c:v>-0.10008470468605422</c:v>
                </c:pt>
                <c:pt idx="68">
                  <c:v>-0.10391486228043002</c:v>
                </c:pt>
                <c:pt idx="69">
                  <c:v>-1.1148244325465101E-2</c:v>
                </c:pt>
                <c:pt idx="70">
                  <c:v>0.14968511617494698</c:v>
                </c:pt>
                <c:pt idx="71">
                  <c:v>0.20130355386846999</c:v>
                </c:pt>
                <c:pt idx="72">
                  <c:v>0.36182055020576054</c:v>
                </c:pt>
                <c:pt idx="73">
                  <c:v>0.40871177191502317</c:v>
                </c:pt>
                <c:pt idx="74">
                  <c:v>0.55808634788128808</c:v>
                </c:pt>
                <c:pt idx="75">
                  <c:v>0.60480316213160601</c:v>
                </c:pt>
                <c:pt idx="76">
                  <c:v>1.0010431947256</c:v>
                </c:pt>
                <c:pt idx="77">
                  <c:v>0.81015862374744807</c:v>
                </c:pt>
                <c:pt idx="78">
                  <c:v>0.50024857528461197</c:v>
                </c:pt>
                <c:pt idx="79">
                  <c:v>0.52024342628415177</c:v>
                </c:pt>
                <c:pt idx="80">
                  <c:v>0.18397129833438441</c:v>
                </c:pt>
                <c:pt idx="81">
                  <c:v>-6.6177739118256099E-2</c:v>
                </c:pt>
                <c:pt idx="82">
                  <c:v>-0.53611799868855703</c:v>
                </c:pt>
                <c:pt idx="83">
                  <c:v>-1.1179628319044199</c:v>
                </c:pt>
                <c:pt idx="84">
                  <c:v>-0.86692681654548642</c:v>
                </c:pt>
                <c:pt idx="85">
                  <c:v>-0.29449000362068017</c:v>
                </c:pt>
                <c:pt idx="86">
                  <c:v>0.12426768512155154</c:v>
                </c:pt>
                <c:pt idx="87">
                  <c:v>0.22443748418368578</c:v>
                </c:pt>
                <c:pt idx="88">
                  <c:v>0.49428666076646427</c:v>
                </c:pt>
                <c:pt idx="89">
                  <c:v>3.7820608641592202E-2</c:v>
                </c:pt>
                <c:pt idx="90">
                  <c:v>-0.116809707581567</c:v>
                </c:pt>
                <c:pt idx="91">
                  <c:v>0.10142713882626</c:v>
                </c:pt>
                <c:pt idx="92">
                  <c:v>7.964258066008871E-2</c:v>
                </c:pt>
                <c:pt idx="93">
                  <c:v>0.26138965875368597</c:v>
                </c:pt>
                <c:pt idx="94">
                  <c:v>2.61085373280956E-2</c:v>
                </c:pt>
                <c:pt idx="95">
                  <c:v>-0.19701998793300021</c:v>
                </c:pt>
                <c:pt idx="96">
                  <c:v>-0.34511343918124432</c:v>
                </c:pt>
                <c:pt idx="97">
                  <c:v>-0.33876630107549005</c:v>
                </c:pt>
                <c:pt idx="98">
                  <c:v>-0.26456376237371532</c:v>
                </c:pt>
                <c:pt idx="99">
                  <c:v>-0.28006888289723192</c:v>
                </c:pt>
                <c:pt idx="100">
                  <c:v>-0.31825137011525911</c:v>
                </c:pt>
                <c:pt idx="101">
                  <c:v>0.24505641155565541</c:v>
                </c:pt>
                <c:pt idx="102">
                  <c:v>4.5449104804795595E-2</c:v>
                </c:pt>
                <c:pt idx="103">
                  <c:v>1.8288092064722202E-2</c:v>
                </c:pt>
                <c:pt idx="104">
                  <c:v>0.61908265007810048</c:v>
                </c:pt>
                <c:pt idx="105">
                  <c:v>0.76025092552862694</c:v>
                </c:pt>
                <c:pt idx="106">
                  <c:v>0.91361463844512036</c:v>
                </c:pt>
                <c:pt idx="107">
                  <c:v>1.0731414520274412</c:v>
                </c:pt>
                <c:pt idx="108">
                  <c:v>1.3856810203265264</c:v>
                </c:pt>
                <c:pt idx="109">
                  <c:v>1.4087852839864499</c:v>
                </c:pt>
                <c:pt idx="110">
                  <c:v>1.0759532330140198</c:v>
                </c:pt>
                <c:pt idx="111">
                  <c:v>0.66350776661296951</c:v>
                </c:pt>
                <c:pt idx="112">
                  <c:v>-0.99483548678307465</c:v>
                </c:pt>
                <c:pt idx="113">
                  <c:v>-1.4791412910932678</c:v>
                </c:pt>
                <c:pt idx="114">
                  <c:v>-1.8012792380600546</c:v>
                </c:pt>
                <c:pt idx="115">
                  <c:v>-1.8171662561163646</c:v>
                </c:pt>
              </c:numCache>
            </c:numRef>
          </c:val>
        </c:ser>
        <c:ser>
          <c:idx val="2"/>
          <c:order val="2"/>
          <c:tx>
            <c:strRef>
              <c:f>Figures!$T$1</c:f>
              <c:strCache>
                <c:ptCount val="1"/>
                <c:pt idx="0">
                  <c:v>total Consumption</c:v>
                </c:pt>
              </c:strCache>
            </c:strRef>
          </c:tx>
          <c:spPr>
            <a:ln w="12700"/>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Figures!$T$2:$T$117</c:f>
              <c:numCache>
                <c:formatCode>0.0</c:formatCode>
                <c:ptCount val="116"/>
                <c:pt idx="0">
                  <c:v>3.7010800647623996</c:v>
                </c:pt>
                <c:pt idx="1">
                  <c:v>3.0171705401141202</c:v>
                </c:pt>
                <c:pt idx="2">
                  <c:v>2.1673525404271694</c:v>
                </c:pt>
                <c:pt idx="3">
                  <c:v>1.5147698590702399</c:v>
                </c:pt>
                <c:pt idx="4">
                  <c:v>-0.13523240592086044</c:v>
                </c:pt>
                <c:pt idx="5">
                  <c:v>-1.179301487672973</c:v>
                </c:pt>
                <c:pt idx="6">
                  <c:v>-2.1158102990582304</c:v>
                </c:pt>
                <c:pt idx="7">
                  <c:v>-3.300678889519765</c:v>
                </c:pt>
                <c:pt idx="8">
                  <c:v>-2.4544521270628281</c:v>
                </c:pt>
                <c:pt idx="9">
                  <c:v>-1.98618125538612</c:v>
                </c:pt>
                <c:pt idx="10">
                  <c:v>-1.6086460856113802</c:v>
                </c:pt>
                <c:pt idx="11">
                  <c:v>-1.6032979655735489</c:v>
                </c:pt>
                <c:pt idx="12">
                  <c:v>-1.25203453930318</c:v>
                </c:pt>
                <c:pt idx="13">
                  <c:v>-0.90960858960453805</c:v>
                </c:pt>
                <c:pt idx="14">
                  <c:v>-1.5073988776929486</c:v>
                </c:pt>
                <c:pt idx="15">
                  <c:v>-0.68797775941629202</c:v>
                </c:pt>
                <c:pt idx="16">
                  <c:v>-0.40407536632543617</c:v>
                </c:pt>
                <c:pt idx="17">
                  <c:v>-0.41833314386786391</c:v>
                </c:pt>
                <c:pt idx="18">
                  <c:v>0.50100210961119296</c:v>
                </c:pt>
                <c:pt idx="19">
                  <c:v>0.62120405398076195</c:v>
                </c:pt>
                <c:pt idx="20">
                  <c:v>-0.37525977721131198</c:v>
                </c:pt>
                <c:pt idx="21">
                  <c:v>9.6274597051149227E-2</c:v>
                </c:pt>
                <c:pt idx="22">
                  <c:v>0.63898249514302663</c:v>
                </c:pt>
                <c:pt idx="23">
                  <c:v>-4.8051936185089496E-2</c:v>
                </c:pt>
                <c:pt idx="24">
                  <c:v>-0.15118591423970387</c:v>
                </c:pt>
                <c:pt idx="25">
                  <c:v>0.56418557613220299</c:v>
                </c:pt>
                <c:pt idx="26">
                  <c:v>0.57437144127874362</c:v>
                </c:pt>
                <c:pt idx="27">
                  <c:v>0.80122697156532807</c:v>
                </c:pt>
                <c:pt idx="28">
                  <c:v>0.80755777520540306</c:v>
                </c:pt>
                <c:pt idx="29">
                  <c:v>1.6470766935558598</c:v>
                </c:pt>
                <c:pt idx="30">
                  <c:v>1.4560799443636101</c:v>
                </c:pt>
                <c:pt idx="31">
                  <c:v>1.7373250224412802</c:v>
                </c:pt>
                <c:pt idx="32">
                  <c:v>2.1299378726369134</c:v>
                </c:pt>
                <c:pt idx="33">
                  <c:v>2.5661663116594</c:v>
                </c:pt>
                <c:pt idx="34">
                  <c:v>1.6826794450471598</c:v>
                </c:pt>
                <c:pt idx="35">
                  <c:v>1.7285366243946498</c:v>
                </c:pt>
                <c:pt idx="36">
                  <c:v>2.8866539266435844</c:v>
                </c:pt>
                <c:pt idx="37">
                  <c:v>1.3156439933446498</c:v>
                </c:pt>
                <c:pt idx="38">
                  <c:v>0.97265260734539816</c:v>
                </c:pt>
                <c:pt idx="39">
                  <c:v>0.196694173997258</c:v>
                </c:pt>
                <c:pt idx="40">
                  <c:v>-2.2009960092285401</c:v>
                </c:pt>
                <c:pt idx="41">
                  <c:v>-1.02044097871943</c:v>
                </c:pt>
                <c:pt idx="42">
                  <c:v>-1.4035769483573231</c:v>
                </c:pt>
                <c:pt idx="43">
                  <c:v>-1.0206142564127798</c:v>
                </c:pt>
                <c:pt idx="44">
                  <c:v>-1.085561605560373</c:v>
                </c:pt>
                <c:pt idx="45">
                  <c:v>-1.1038074145679</c:v>
                </c:pt>
                <c:pt idx="46">
                  <c:v>-1.05100862619647</c:v>
                </c:pt>
                <c:pt idx="47">
                  <c:v>-1.2752083035746198</c:v>
                </c:pt>
                <c:pt idx="48">
                  <c:v>-0.98840482943991459</c:v>
                </c:pt>
                <c:pt idx="49">
                  <c:v>-0.97686628133555298</c:v>
                </c:pt>
                <c:pt idx="50">
                  <c:v>-0.78212528378998092</c:v>
                </c:pt>
                <c:pt idx="51">
                  <c:v>-1.02735871990483</c:v>
                </c:pt>
                <c:pt idx="52">
                  <c:v>0.15874445552324826</c:v>
                </c:pt>
                <c:pt idx="53">
                  <c:v>-6.4194013102892022E-2</c:v>
                </c:pt>
                <c:pt idx="54">
                  <c:v>-0.18936739666397884</c:v>
                </c:pt>
                <c:pt idx="55">
                  <c:v>0.24113405521717399</c:v>
                </c:pt>
                <c:pt idx="56">
                  <c:v>-0.40436535245635979</c:v>
                </c:pt>
                <c:pt idx="57">
                  <c:v>-0.256049023469274</c:v>
                </c:pt>
                <c:pt idx="58">
                  <c:v>-1.02361332572798E-2</c:v>
                </c:pt>
                <c:pt idx="59">
                  <c:v>-0.76363082662036585</c:v>
                </c:pt>
                <c:pt idx="60">
                  <c:v>-0.13259525077167394</c:v>
                </c:pt>
                <c:pt idx="61">
                  <c:v>-0.76632318366094399</c:v>
                </c:pt>
                <c:pt idx="62">
                  <c:v>-1.31026243120242</c:v>
                </c:pt>
                <c:pt idx="63">
                  <c:v>-0.5715279473227135</c:v>
                </c:pt>
                <c:pt idx="64">
                  <c:v>0.31171982807229898</c:v>
                </c:pt>
                <c:pt idx="65">
                  <c:v>0.41641916004398088</c:v>
                </c:pt>
                <c:pt idx="66">
                  <c:v>0.717921788758069</c:v>
                </c:pt>
                <c:pt idx="67">
                  <c:v>0.53734729241004064</c:v>
                </c:pt>
                <c:pt idx="68">
                  <c:v>-6.2250151925091833E-2</c:v>
                </c:pt>
                <c:pt idx="69">
                  <c:v>0.35120289077000238</c:v>
                </c:pt>
                <c:pt idx="70">
                  <c:v>6.2155161860744101E-2</c:v>
                </c:pt>
                <c:pt idx="71">
                  <c:v>-0.54966749909688395</c:v>
                </c:pt>
                <c:pt idx="72">
                  <c:v>0.12959960047993499</c:v>
                </c:pt>
                <c:pt idx="73">
                  <c:v>0.25728429535618602</c:v>
                </c:pt>
                <c:pt idx="74">
                  <c:v>0.50086282055019604</c:v>
                </c:pt>
                <c:pt idx="75">
                  <c:v>0.56621160839362994</c:v>
                </c:pt>
                <c:pt idx="76">
                  <c:v>0.86131255195523171</c:v>
                </c:pt>
                <c:pt idx="77">
                  <c:v>0.89675716205004397</c:v>
                </c:pt>
                <c:pt idx="78">
                  <c:v>1.3043101291494001</c:v>
                </c:pt>
                <c:pt idx="79">
                  <c:v>0.69002507049520534</c:v>
                </c:pt>
                <c:pt idx="80">
                  <c:v>0.68964770950099663</c:v>
                </c:pt>
                <c:pt idx="81">
                  <c:v>-5.1768696088850014E-2</c:v>
                </c:pt>
                <c:pt idx="82">
                  <c:v>-0.81349431834905095</c:v>
                </c:pt>
                <c:pt idx="83">
                  <c:v>-0.69014367391881326</c:v>
                </c:pt>
                <c:pt idx="84">
                  <c:v>-9.2448545489887096E-2</c:v>
                </c:pt>
                <c:pt idx="85">
                  <c:v>0.31482772404381998</c:v>
                </c:pt>
                <c:pt idx="86">
                  <c:v>-0.36352362787167453</c:v>
                </c:pt>
                <c:pt idx="87">
                  <c:v>-0.127327631119378</c:v>
                </c:pt>
                <c:pt idx="88">
                  <c:v>-0.31059601331105724</c:v>
                </c:pt>
                <c:pt idx="89">
                  <c:v>-0.23058852229418367</c:v>
                </c:pt>
                <c:pt idx="90">
                  <c:v>-0.17332728340413694</c:v>
                </c:pt>
                <c:pt idx="91">
                  <c:v>-0.90326540415190959</c:v>
                </c:pt>
                <c:pt idx="92">
                  <c:v>-0.289255262497079</c:v>
                </c:pt>
                <c:pt idx="93">
                  <c:v>-0.60430199552055164</c:v>
                </c:pt>
                <c:pt idx="94">
                  <c:v>-0.62912765576470564</c:v>
                </c:pt>
                <c:pt idx="95">
                  <c:v>-0.78742480702551665</c:v>
                </c:pt>
                <c:pt idx="96">
                  <c:v>-0.26474700831382603</c:v>
                </c:pt>
                <c:pt idx="97">
                  <c:v>-0.24653947813444901</c:v>
                </c:pt>
                <c:pt idx="98">
                  <c:v>-0.55160946811059286</c:v>
                </c:pt>
                <c:pt idx="99">
                  <c:v>-0.5698051426938272</c:v>
                </c:pt>
                <c:pt idx="100">
                  <c:v>2.0981089582505802E-2</c:v>
                </c:pt>
                <c:pt idx="101">
                  <c:v>6.5545948401712795E-2</c:v>
                </c:pt>
                <c:pt idx="102">
                  <c:v>0.36492404026412112</c:v>
                </c:pt>
                <c:pt idx="103">
                  <c:v>0.33727000545376717</c:v>
                </c:pt>
                <c:pt idx="104">
                  <c:v>0.55501740672934097</c:v>
                </c:pt>
                <c:pt idx="105">
                  <c:v>1.1889640130963399</c:v>
                </c:pt>
                <c:pt idx="106">
                  <c:v>1.3336157076803798</c:v>
                </c:pt>
                <c:pt idx="107">
                  <c:v>2.33797927110064</c:v>
                </c:pt>
                <c:pt idx="108">
                  <c:v>2.3980229741571377</c:v>
                </c:pt>
                <c:pt idx="109">
                  <c:v>1.9222568506077287</c:v>
                </c:pt>
                <c:pt idx="110">
                  <c:v>1.2266711698517665</c:v>
                </c:pt>
                <c:pt idx="111">
                  <c:v>-0.50857720924373151</c:v>
                </c:pt>
                <c:pt idx="112">
                  <c:v>-1.5951510972923528</c:v>
                </c:pt>
                <c:pt idx="113">
                  <c:v>-1.8742984441502355</c:v>
                </c:pt>
                <c:pt idx="114">
                  <c:v>-1.6888432302405201</c:v>
                </c:pt>
                <c:pt idx="115">
                  <c:v>-1.5632269994556598</c:v>
                </c:pt>
              </c:numCache>
            </c:numRef>
          </c:val>
        </c:ser>
        <c:ser>
          <c:idx val="3"/>
          <c:order val="3"/>
          <c:tx>
            <c:strRef>
              <c:f>Figures!$W$1</c:f>
              <c:strCache>
                <c:ptCount val="1"/>
                <c:pt idx="0">
                  <c:v>Investment</c:v>
                </c:pt>
              </c:strCache>
            </c:strRef>
          </c:tx>
          <c:spPr>
            <a:ln w="12700"/>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Figures!$W$2:$W$117</c:f>
              <c:numCache>
                <c:formatCode>0.0</c:formatCode>
                <c:ptCount val="116"/>
                <c:pt idx="0">
                  <c:v>8.7487247032117992</c:v>
                </c:pt>
                <c:pt idx="1">
                  <c:v>11.701272745595995</c:v>
                </c:pt>
                <c:pt idx="2">
                  <c:v>8.6876120350405408</c:v>
                </c:pt>
                <c:pt idx="3">
                  <c:v>6.4912011231399358</c:v>
                </c:pt>
                <c:pt idx="4">
                  <c:v>3.3190676039675187</c:v>
                </c:pt>
                <c:pt idx="5">
                  <c:v>-5.2340707291067465</c:v>
                </c:pt>
                <c:pt idx="6">
                  <c:v>-10.748207999962201</c:v>
                </c:pt>
                <c:pt idx="7">
                  <c:v>-7.4602117382736894</c:v>
                </c:pt>
                <c:pt idx="8">
                  <c:v>-6.85276674371576</c:v>
                </c:pt>
                <c:pt idx="9">
                  <c:v>-3.4817494836262317</c:v>
                </c:pt>
                <c:pt idx="10">
                  <c:v>-2.9450817461287002</c:v>
                </c:pt>
                <c:pt idx="11">
                  <c:v>-3.4523391259200977</c:v>
                </c:pt>
                <c:pt idx="12">
                  <c:v>-3.8324923416034578</c:v>
                </c:pt>
                <c:pt idx="13">
                  <c:v>-5.0820276998292595</c:v>
                </c:pt>
                <c:pt idx="14">
                  <c:v>-4.9568997995365534</c:v>
                </c:pt>
                <c:pt idx="15">
                  <c:v>-6.5842059723493707</c:v>
                </c:pt>
                <c:pt idx="16">
                  <c:v>-5.53754128751756</c:v>
                </c:pt>
                <c:pt idx="17">
                  <c:v>-2.2619806855582101</c:v>
                </c:pt>
                <c:pt idx="18">
                  <c:v>-3.1665843684615474E-2</c:v>
                </c:pt>
                <c:pt idx="19">
                  <c:v>8.6518398818569264E-2</c:v>
                </c:pt>
                <c:pt idx="20">
                  <c:v>0.31993729381910341</c:v>
                </c:pt>
                <c:pt idx="21">
                  <c:v>-1.7634658808189498</c:v>
                </c:pt>
                <c:pt idx="22">
                  <c:v>-3.5787518080351099</c:v>
                </c:pt>
                <c:pt idx="23">
                  <c:v>-4.4670106045987845</c:v>
                </c:pt>
                <c:pt idx="24">
                  <c:v>-2.9262474673943797</c:v>
                </c:pt>
                <c:pt idx="25">
                  <c:v>1.1792965883175899</c:v>
                </c:pt>
                <c:pt idx="26">
                  <c:v>5.1362323519457602</c:v>
                </c:pt>
                <c:pt idx="27">
                  <c:v>5.67312665253219</c:v>
                </c:pt>
                <c:pt idx="28">
                  <c:v>5.4974149738961655</c:v>
                </c:pt>
                <c:pt idx="29">
                  <c:v>5.8361657957037947</c:v>
                </c:pt>
                <c:pt idx="30">
                  <c:v>7.7135765132563705</c:v>
                </c:pt>
                <c:pt idx="31">
                  <c:v>6.68167191823823</c:v>
                </c:pt>
                <c:pt idx="32">
                  <c:v>9.7604614170093047</c:v>
                </c:pt>
                <c:pt idx="33">
                  <c:v>7.7182869709813975</c:v>
                </c:pt>
                <c:pt idx="34">
                  <c:v>6.9060709531820414</c:v>
                </c:pt>
                <c:pt idx="35">
                  <c:v>10.1391341072807</c:v>
                </c:pt>
                <c:pt idx="36">
                  <c:v>8.4941779826022987</c:v>
                </c:pt>
                <c:pt idx="37">
                  <c:v>5.6478605696552853</c:v>
                </c:pt>
                <c:pt idx="38">
                  <c:v>1.7456139977079492</c:v>
                </c:pt>
                <c:pt idx="39">
                  <c:v>-3.4423683168267187</c:v>
                </c:pt>
                <c:pt idx="40">
                  <c:v>-2.7229485662859401</c:v>
                </c:pt>
                <c:pt idx="41">
                  <c:v>-3.7143613628068373</c:v>
                </c:pt>
                <c:pt idx="42">
                  <c:v>-2.9554367756739799</c:v>
                </c:pt>
                <c:pt idx="43">
                  <c:v>-0.96109659832084304</c:v>
                </c:pt>
                <c:pt idx="44">
                  <c:v>-1.2004461761934599</c:v>
                </c:pt>
                <c:pt idx="45">
                  <c:v>-5.15660946936603</c:v>
                </c:pt>
                <c:pt idx="46">
                  <c:v>-2.0628176590498977</c:v>
                </c:pt>
                <c:pt idx="47">
                  <c:v>-6.3932653455397714</c:v>
                </c:pt>
                <c:pt idx="48">
                  <c:v>-8.5373240680926319</c:v>
                </c:pt>
                <c:pt idx="49">
                  <c:v>-5.9810312751229899</c:v>
                </c:pt>
                <c:pt idx="50">
                  <c:v>-3.7709907875047612</c:v>
                </c:pt>
                <c:pt idx="51">
                  <c:v>-1.9007902815626898</c:v>
                </c:pt>
                <c:pt idx="52">
                  <c:v>-0.88491036437792336</c:v>
                </c:pt>
                <c:pt idx="53">
                  <c:v>2.1355913508925943</c:v>
                </c:pt>
                <c:pt idx="54">
                  <c:v>1.3426904200722201</c:v>
                </c:pt>
                <c:pt idx="55">
                  <c:v>1.1394835543889301</c:v>
                </c:pt>
                <c:pt idx="56">
                  <c:v>-1.6407275164386401</c:v>
                </c:pt>
                <c:pt idx="57">
                  <c:v>-3.6688492399155987</c:v>
                </c:pt>
                <c:pt idx="58">
                  <c:v>-5.9832291088486782</c:v>
                </c:pt>
                <c:pt idx="59">
                  <c:v>-7.7154236852692524</c:v>
                </c:pt>
                <c:pt idx="60">
                  <c:v>-6.6252748130161745</c:v>
                </c:pt>
                <c:pt idx="61">
                  <c:v>-7.1664847961258245</c:v>
                </c:pt>
                <c:pt idx="62">
                  <c:v>-3.7353891418734002</c:v>
                </c:pt>
                <c:pt idx="63">
                  <c:v>0.57578839546118465</c:v>
                </c:pt>
                <c:pt idx="64">
                  <c:v>3.3409125798121102</c:v>
                </c:pt>
                <c:pt idx="65">
                  <c:v>5.4581632073690001</c:v>
                </c:pt>
                <c:pt idx="66">
                  <c:v>7.7736048039542034</c:v>
                </c:pt>
                <c:pt idx="67">
                  <c:v>6.7847895433889285</c:v>
                </c:pt>
                <c:pt idx="68">
                  <c:v>4.2062841964922324</c:v>
                </c:pt>
                <c:pt idx="69">
                  <c:v>2.7465147406181596</c:v>
                </c:pt>
                <c:pt idx="70">
                  <c:v>0.88349202549782258</c:v>
                </c:pt>
                <c:pt idx="71">
                  <c:v>0.75211512915114298</c:v>
                </c:pt>
                <c:pt idx="72">
                  <c:v>0.68877544708085225</c:v>
                </c:pt>
                <c:pt idx="73">
                  <c:v>2.4466068028337067</c:v>
                </c:pt>
                <c:pt idx="74">
                  <c:v>2.3526714353023177</c:v>
                </c:pt>
                <c:pt idx="75">
                  <c:v>3.5903367541266755</c:v>
                </c:pt>
                <c:pt idx="76">
                  <c:v>3.19663974929902</c:v>
                </c:pt>
                <c:pt idx="77">
                  <c:v>1.7976110503431098</c:v>
                </c:pt>
                <c:pt idx="78">
                  <c:v>1.5945209869382801</c:v>
                </c:pt>
                <c:pt idx="79">
                  <c:v>0.41192458185738429</c:v>
                </c:pt>
                <c:pt idx="80">
                  <c:v>1.1552317822562899</c:v>
                </c:pt>
                <c:pt idx="81">
                  <c:v>1.0573704824283299</c:v>
                </c:pt>
                <c:pt idx="82">
                  <c:v>0.54389475680080401</c:v>
                </c:pt>
                <c:pt idx="83">
                  <c:v>-3.8846161767473602</c:v>
                </c:pt>
                <c:pt idx="84">
                  <c:v>-4.0730921345647095</c:v>
                </c:pt>
                <c:pt idx="85">
                  <c:v>-4.107199847885215</c:v>
                </c:pt>
                <c:pt idx="86">
                  <c:v>-3.8126875653619101</c:v>
                </c:pt>
                <c:pt idx="87">
                  <c:v>-4.7609846357421075</c:v>
                </c:pt>
                <c:pt idx="88">
                  <c:v>-4.8081958780431755</c:v>
                </c:pt>
                <c:pt idx="89">
                  <c:v>-4.8795139958887424</c:v>
                </c:pt>
                <c:pt idx="90">
                  <c:v>-3.0394335704754001</c:v>
                </c:pt>
                <c:pt idx="91">
                  <c:v>-1.9933899867540501</c:v>
                </c:pt>
                <c:pt idx="92">
                  <c:v>-2.0245747836945402</c:v>
                </c:pt>
                <c:pt idx="93">
                  <c:v>-2.3376858315254267</c:v>
                </c:pt>
                <c:pt idx="94">
                  <c:v>-1.9900538412340629</c:v>
                </c:pt>
                <c:pt idx="95">
                  <c:v>-1.42037757016507</c:v>
                </c:pt>
                <c:pt idx="96">
                  <c:v>-0.24031469201091221</c:v>
                </c:pt>
                <c:pt idx="97">
                  <c:v>0.68732615551745357</c:v>
                </c:pt>
                <c:pt idx="98">
                  <c:v>2.2855695313930702</c:v>
                </c:pt>
                <c:pt idx="99">
                  <c:v>3.3377326157413698</c:v>
                </c:pt>
                <c:pt idx="100">
                  <c:v>4.7027261077296734</c:v>
                </c:pt>
                <c:pt idx="101">
                  <c:v>4.7616657236432003</c:v>
                </c:pt>
                <c:pt idx="102">
                  <c:v>4.3676228759469256</c:v>
                </c:pt>
                <c:pt idx="103">
                  <c:v>4.1434408360318455</c:v>
                </c:pt>
                <c:pt idx="104">
                  <c:v>4.3108261109907202</c:v>
                </c:pt>
                <c:pt idx="105">
                  <c:v>5.3262662573926498</c:v>
                </c:pt>
                <c:pt idx="106">
                  <c:v>6.2199191654883599</c:v>
                </c:pt>
                <c:pt idx="107">
                  <c:v>7.0797483091182034</c:v>
                </c:pt>
                <c:pt idx="108">
                  <c:v>6.8422180126431114</c:v>
                </c:pt>
                <c:pt idx="109">
                  <c:v>6.2506727577327199</c:v>
                </c:pt>
                <c:pt idx="110">
                  <c:v>6.1314505397985855</c:v>
                </c:pt>
                <c:pt idx="111">
                  <c:v>0.59633488377864341</c:v>
                </c:pt>
                <c:pt idx="112">
                  <c:v>-9.5307002419756905</c:v>
                </c:pt>
                <c:pt idx="113">
                  <c:v>-12.130519278415402</c:v>
                </c:pt>
                <c:pt idx="114">
                  <c:v>-9.4229143788414547</c:v>
                </c:pt>
                <c:pt idx="115">
                  <c:v>-8.6292116220029289</c:v>
                </c:pt>
              </c:numCache>
            </c:numRef>
          </c:val>
        </c:ser>
        <c:dLbls/>
        <c:marker val="1"/>
        <c:axId val="143004032"/>
        <c:axId val="143005568"/>
      </c:lineChart>
      <c:catAx>
        <c:axId val="143004032"/>
        <c:scaling>
          <c:orientation val="minMax"/>
        </c:scaling>
        <c:axPos val="b"/>
        <c:majorTickMark val="none"/>
        <c:tickLblPos val="nextTo"/>
        <c:txPr>
          <a:bodyPr rot="1200000" vert="horz"/>
          <a:lstStyle/>
          <a:p>
            <a:pPr>
              <a:defRPr sz="800"/>
            </a:pPr>
            <a:endParaRPr lang="en-US"/>
          </a:p>
        </c:txPr>
        <c:crossAx val="143005568"/>
        <c:crossesAt val="-15"/>
        <c:auto val="1"/>
        <c:lblAlgn val="ctr"/>
        <c:lblOffset val="100"/>
        <c:tickLblSkip val="12"/>
      </c:catAx>
      <c:valAx>
        <c:axId val="143005568"/>
        <c:scaling>
          <c:orientation val="minMax"/>
        </c:scaling>
        <c:axPos val="l"/>
        <c:numFmt formatCode="0.0" sourceLinked="1"/>
        <c:tickLblPos val="nextTo"/>
        <c:txPr>
          <a:bodyPr/>
          <a:lstStyle/>
          <a:p>
            <a:pPr>
              <a:defRPr sz="800"/>
            </a:pPr>
            <a:endParaRPr lang="en-US"/>
          </a:p>
        </c:txPr>
        <c:crossAx val="143004032"/>
        <c:crosses val="autoZero"/>
        <c:crossBetween val="between"/>
      </c:valAx>
    </c:plotArea>
    <c:legend>
      <c:legendPos val="t"/>
      <c:layout>
        <c:manualLayout>
          <c:xMode val="edge"/>
          <c:yMode val="edge"/>
          <c:x val="0.48181737320862156"/>
          <c:y val="0"/>
          <c:w val="0.51503355704697951"/>
          <c:h val="0.21023938860010269"/>
        </c:manualLayout>
      </c:layout>
      <c:txPr>
        <a:bodyPr/>
        <a:lstStyle/>
        <a:p>
          <a:pPr>
            <a:defRPr sz="1000">
              <a:latin typeface="Times New Roman" pitchFamily="18" charset="0"/>
              <a:cs typeface="Times New Roman" pitchFamily="18" charset="0"/>
            </a:defRPr>
          </a:pPr>
          <a:endParaRPr lang="en-US"/>
        </a:p>
      </c:txPr>
    </c:legend>
    <c:plotVisOnly val="1"/>
    <c:dispBlanksAs val="gap"/>
  </c:chart>
  <c:spPr>
    <a:ln>
      <a:noFill/>
    </a:ln>
  </c:spPr>
  <c:txPr>
    <a:bodyPr/>
    <a:lstStyle/>
    <a:p>
      <a:pPr>
        <a:defRPr sz="1050"/>
      </a:pPr>
      <a:endParaRPr lang="en-US"/>
    </a:p>
  </c:txPr>
  <c:externalData r:id="rId1"/>
  <c:userShapes r:id="rId2"/>
</c:chartSpace>
</file>

<file path=word/charts/chart15.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3909722337339414"/>
          <c:y val="4.7990987427941396E-2"/>
          <c:w val="0.77507434728553692"/>
          <c:h val="0.71699612890854392"/>
        </c:manualLayout>
      </c:layout>
      <c:lineChart>
        <c:grouping val="standard"/>
        <c:ser>
          <c:idx val="0"/>
          <c:order val="0"/>
          <c:tx>
            <c:strRef>
              <c:f>Figures!$Q$1</c:f>
              <c:strCache>
                <c:ptCount val="1"/>
                <c:pt idx="0">
                  <c:v>tot</c:v>
                </c:pt>
              </c:strCache>
            </c:strRef>
          </c:tx>
          <c:spPr>
            <a:ln w="12700">
              <a:solidFill>
                <a:schemeClr val="tx2"/>
              </a:solidFill>
            </a:ln>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Figures!$Q$2:$Q$117</c:f>
              <c:numCache>
                <c:formatCode>0.0</c:formatCode>
                <c:ptCount val="116"/>
                <c:pt idx="0">
                  <c:v>-1.0053464044739799</c:v>
                </c:pt>
                <c:pt idx="1">
                  <c:v>-1.7242507796545001</c:v>
                </c:pt>
                <c:pt idx="2">
                  <c:v>-0.66303181333223815</c:v>
                </c:pt>
                <c:pt idx="3">
                  <c:v>-1.1072049072670598</c:v>
                </c:pt>
                <c:pt idx="4">
                  <c:v>0.57232453166439512</c:v>
                </c:pt>
                <c:pt idx="5">
                  <c:v>1.1395026996525799</c:v>
                </c:pt>
                <c:pt idx="6">
                  <c:v>1.42437019005572</c:v>
                </c:pt>
                <c:pt idx="7">
                  <c:v>0.49145230704473808</c:v>
                </c:pt>
                <c:pt idx="8">
                  <c:v>-2.2183476578291412E-2</c:v>
                </c:pt>
                <c:pt idx="9">
                  <c:v>-0.69311354570312456</c:v>
                </c:pt>
                <c:pt idx="10">
                  <c:v>-1.1066334205466801</c:v>
                </c:pt>
                <c:pt idx="11">
                  <c:v>-0.66710702535984812</c:v>
                </c:pt>
                <c:pt idx="12">
                  <c:v>-1.5254617385055498</c:v>
                </c:pt>
                <c:pt idx="13">
                  <c:v>-1.2502921964560201</c:v>
                </c:pt>
                <c:pt idx="14">
                  <c:v>7.8386777903174124E-2</c:v>
                </c:pt>
                <c:pt idx="15">
                  <c:v>1.0686317943092198</c:v>
                </c:pt>
                <c:pt idx="16">
                  <c:v>1.1102599707631382</c:v>
                </c:pt>
                <c:pt idx="17">
                  <c:v>0.71078533039445269</c:v>
                </c:pt>
                <c:pt idx="18">
                  <c:v>0.69318898385101158</c:v>
                </c:pt>
                <c:pt idx="19">
                  <c:v>2.8519763009491768</c:v>
                </c:pt>
                <c:pt idx="20">
                  <c:v>2.7078662083904192</c:v>
                </c:pt>
                <c:pt idx="21">
                  <c:v>2.9119601476877501</c:v>
                </c:pt>
                <c:pt idx="22">
                  <c:v>2.9968476439744967</c:v>
                </c:pt>
                <c:pt idx="23">
                  <c:v>2.4827029472913202</c:v>
                </c:pt>
                <c:pt idx="24">
                  <c:v>1.6710329779014301</c:v>
                </c:pt>
                <c:pt idx="25">
                  <c:v>0.12583206672605302</c:v>
                </c:pt>
                <c:pt idx="26">
                  <c:v>-0.23516725092479501</c:v>
                </c:pt>
                <c:pt idx="27">
                  <c:v>-0.67674988478281184</c:v>
                </c:pt>
                <c:pt idx="28">
                  <c:v>-0.41204796504782637</c:v>
                </c:pt>
                <c:pt idx="29">
                  <c:v>-0.67097755324172415</c:v>
                </c:pt>
                <c:pt idx="30">
                  <c:v>-2.1074817809082202</c:v>
                </c:pt>
                <c:pt idx="31">
                  <c:v>-2.6880458186202398</c:v>
                </c:pt>
                <c:pt idx="32">
                  <c:v>-4.1542657608376885</c:v>
                </c:pt>
                <c:pt idx="33">
                  <c:v>-3.6469221733837767</c:v>
                </c:pt>
                <c:pt idx="34">
                  <c:v>-3.1116923059812587</c:v>
                </c:pt>
                <c:pt idx="35">
                  <c:v>-2.5587579819944297</c:v>
                </c:pt>
                <c:pt idx="36">
                  <c:v>-1.1906627170963999</c:v>
                </c:pt>
                <c:pt idx="37">
                  <c:v>-0.85016250322151299</c:v>
                </c:pt>
                <c:pt idx="38">
                  <c:v>-1.1484917681059399</c:v>
                </c:pt>
                <c:pt idx="39">
                  <c:v>-1.2734122879213199</c:v>
                </c:pt>
                <c:pt idx="40">
                  <c:v>-0.55088943148426461</c:v>
                </c:pt>
                <c:pt idx="41">
                  <c:v>0.16356781506861587</c:v>
                </c:pt>
                <c:pt idx="42">
                  <c:v>0.86926417149535107</c:v>
                </c:pt>
                <c:pt idx="43">
                  <c:v>1.00738812766954</c:v>
                </c:pt>
                <c:pt idx="44">
                  <c:v>1.5611470833576699</c:v>
                </c:pt>
                <c:pt idx="45">
                  <c:v>1.24739542074637</c:v>
                </c:pt>
                <c:pt idx="46">
                  <c:v>1.1976001050952201</c:v>
                </c:pt>
                <c:pt idx="47">
                  <c:v>2.1447734795258198</c:v>
                </c:pt>
                <c:pt idx="48">
                  <c:v>1.8678207870940318</c:v>
                </c:pt>
                <c:pt idx="49">
                  <c:v>1.2684511874312501</c:v>
                </c:pt>
                <c:pt idx="50">
                  <c:v>2.6128892521766498</c:v>
                </c:pt>
                <c:pt idx="51">
                  <c:v>2.7494325709774681</c:v>
                </c:pt>
                <c:pt idx="52">
                  <c:v>1.9996730776981002</c:v>
                </c:pt>
                <c:pt idx="53">
                  <c:v>2.6835930108465926</c:v>
                </c:pt>
                <c:pt idx="54">
                  <c:v>1.4754931132567299</c:v>
                </c:pt>
                <c:pt idx="55">
                  <c:v>1.1151466821312199</c:v>
                </c:pt>
                <c:pt idx="56">
                  <c:v>-0.10287086852338</c:v>
                </c:pt>
                <c:pt idx="57">
                  <c:v>-1.2825853913768051</c:v>
                </c:pt>
                <c:pt idx="58">
                  <c:v>-2.3356898448058367</c:v>
                </c:pt>
                <c:pt idx="59">
                  <c:v>-2.0998430713178267</c:v>
                </c:pt>
                <c:pt idx="60">
                  <c:v>-1.2966598072669999</c:v>
                </c:pt>
                <c:pt idx="61">
                  <c:v>-1.4791759870880299</c:v>
                </c:pt>
                <c:pt idx="62">
                  <c:v>-1.51195273283604</c:v>
                </c:pt>
                <c:pt idx="63">
                  <c:v>-2.2765860815742398</c:v>
                </c:pt>
                <c:pt idx="64">
                  <c:v>1.2478393000921368</c:v>
                </c:pt>
                <c:pt idx="65">
                  <c:v>-0.13456418814093132</c:v>
                </c:pt>
                <c:pt idx="66">
                  <c:v>-0.16666954614034901</c:v>
                </c:pt>
                <c:pt idx="67">
                  <c:v>-0.84458777115522798</c:v>
                </c:pt>
                <c:pt idx="68">
                  <c:v>-1.98822569196841</c:v>
                </c:pt>
                <c:pt idx="69">
                  <c:v>-1.9362742700057001</c:v>
                </c:pt>
                <c:pt idx="70">
                  <c:v>-3.8686819256354497</c:v>
                </c:pt>
                <c:pt idx="71">
                  <c:v>-5.1499149078071245</c:v>
                </c:pt>
                <c:pt idx="72">
                  <c:v>-4.1631412392671745</c:v>
                </c:pt>
                <c:pt idx="73">
                  <c:v>-1.8564588459439701</c:v>
                </c:pt>
                <c:pt idx="74">
                  <c:v>-0.29013229049173173</c:v>
                </c:pt>
                <c:pt idx="75">
                  <c:v>-0.13468534878594599</c:v>
                </c:pt>
                <c:pt idx="76">
                  <c:v>1.7187287359794647</c:v>
                </c:pt>
                <c:pt idx="77">
                  <c:v>3.0066709989536977</c:v>
                </c:pt>
                <c:pt idx="78">
                  <c:v>4.3694180698258265</c:v>
                </c:pt>
                <c:pt idx="79">
                  <c:v>5.3275101089104622</c:v>
                </c:pt>
                <c:pt idx="80">
                  <c:v>7.2806961902293441</c:v>
                </c:pt>
                <c:pt idx="81">
                  <c:v>5.2178708939847098</c:v>
                </c:pt>
                <c:pt idx="82">
                  <c:v>2.6589235652612602</c:v>
                </c:pt>
                <c:pt idx="83">
                  <c:v>-0.556866620165679</c:v>
                </c:pt>
                <c:pt idx="84">
                  <c:v>2.82103228625102</c:v>
                </c:pt>
                <c:pt idx="85">
                  <c:v>0.80867267469610715</c:v>
                </c:pt>
                <c:pt idx="86">
                  <c:v>2.0034222901754002</c:v>
                </c:pt>
                <c:pt idx="87">
                  <c:v>1.6832466572730498</c:v>
                </c:pt>
                <c:pt idx="88">
                  <c:v>-1.8357712383580949</c:v>
                </c:pt>
                <c:pt idx="89">
                  <c:v>2.9595159773865311E-2</c:v>
                </c:pt>
                <c:pt idx="90">
                  <c:v>-0.50657503481504107</c:v>
                </c:pt>
                <c:pt idx="91">
                  <c:v>-0.43558320558372132</c:v>
                </c:pt>
                <c:pt idx="92">
                  <c:v>-1.9004365265943381</c:v>
                </c:pt>
                <c:pt idx="93">
                  <c:v>-0.87290933240552382</c:v>
                </c:pt>
                <c:pt idx="94">
                  <c:v>-1.3623949847467982</c:v>
                </c:pt>
                <c:pt idx="95">
                  <c:v>-0.59205487701492099</c:v>
                </c:pt>
                <c:pt idx="96">
                  <c:v>-0.56265230574124181</c:v>
                </c:pt>
                <c:pt idx="97">
                  <c:v>0.28823576684103475</c:v>
                </c:pt>
                <c:pt idx="98">
                  <c:v>-1.9381360638101301</c:v>
                </c:pt>
                <c:pt idx="99">
                  <c:v>-5.1724805495908948</c:v>
                </c:pt>
                <c:pt idx="100">
                  <c:v>-0.75521700735830588</c:v>
                </c:pt>
                <c:pt idx="101">
                  <c:v>0.18253194637521541</c:v>
                </c:pt>
                <c:pt idx="102">
                  <c:v>0.77466130572607594</c:v>
                </c:pt>
                <c:pt idx="103">
                  <c:v>0.79812968234443527</c:v>
                </c:pt>
                <c:pt idx="104">
                  <c:v>-0.26581477543569992</c:v>
                </c:pt>
                <c:pt idx="105">
                  <c:v>-1.5985991503316799</c:v>
                </c:pt>
                <c:pt idx="106">
                  <c:v>-1.437944390826271</c:v>
                </c:pt>
                <c:pt idx="107">
                  <c:v>-3.9036505209333598</c:v>
                </c:pt>
                <c:pt idx="108">
                  <c:v>-6.3024350494223755</c:v>
                </c:pt>
                <c:pt idx="109">
                  <c:v>-7.7739583034874107</c:v>
                </c:pt>
                <c:pt idx="110">
                  <c:v>-4.5580727884164203</c:v>
                </c:pt>
                <c:pt idx="111">
                  <c:v>2.4844364144421598</c:v>
                </c:pt>
                <c:pt idx="112">
                  <c:v>6.8456563192327096</c:v>
                </c:pt>
                <c:pt idx="113">
                  <c:v>6.8964051673405695</c:v>
                </c:pt>
                <c:pt idx="114">
                  <c:v>5.2156086649515503</c:v>
                </c:pt>
                <c:pt idx="115">
                  <c:v>1.6305560650219262</c:v>
                </c:pt>
              </c:numCache>
            </c:numRef>
          </c:val>
        </c:ser>
        <c:ser>
          <c:idx val="1"/>
          <c:order val="1"/>
          <c:tx>
            <c:strRef>
              <c:f>Figures!$X$1</c:f>
              <c:strCache>
                <c:ptCount val="1"/>
                <c:pt idx="0">
                  <c:v>trade balance </c:v>
                </c:pt>
              </c:strCache>
            </c:strRef>
          </c:tx>
          <c:spPr>
            <a:ln w="12700">
              <a:solidFill>
                <a:schemeClr val="accent2"/>
              </a:solidFill>
            </a:ln>
          </c:spPr>
          <c:cat>
            <c:strRef>
              <c:f>Figures!$P$2:$P$117</c:f>
              <c:strCache>
                <c:ptCount val="116"/>
                <c:pt idx="0">
                  <c:v>1981/03</c:v>
                </c:pt>
                <c:pt idx="1">
                  <c:v>1981/06</c:v>
                </c:pt>
                <c:pt idx="2">
                  <c:v>1981/09</c:v>
                </c:pt>
                <c:pt idx="3">
                  <c:v>1981/12</c:v>
                </c:pt>
                <c:pt idx="4">
                  <c:v>1982/03</c:v>
                </c:pt>
                <c:pt idx="5">
                  <c:v>1982/06</c:v>
                </c:pt>
                <c:pt idx="6">
                  <c:v>1982/09</c:v>
                </c:pt>
                <c:pt idx="7">
                  <c:v>1982/12</c:v>
                </c:pt>
                <c:pt idx="8">
                  <c:v>1983/03</c:v>
                </c:pt>
                <c:pt idx="9">
                  <c:v>1983/06</c:v>
                </c:pt>
                <c:pt idx="10">
                  <c:v>1983/09</c:v>
                </c:pt>
                <c:pt idx="11">
                  <c:v>1983/12</c:v>
                </c:pt>
                <c:pt idx="12">
                  <c:v>1984/03</c:v>
                </c:pt>
                <c:pt idx="13">
                  <c:v>1984/06</c:v>
                </c:pt>
                <c:pt idx="14">
                  <c:v>1984/09</c:v>
                </c:pt>
                <c:pt idx="15">
                  <c:v>1984/12</c:v>
                </c:pt>
                <c:pt idx="16">
                  <c:v>1985/03</c:v>
                </c:pt>
                <c:pt idx="17">
                  <c:v>1985/06</c:v>
                </c:pt>
                <c:pt idx="18">
                  <c:v>1985/09</c:v>
                </c:pt>
                <c:pt idx="19">
                  <c:v>1985/12</c:v>
                </c:pt>
                <c:pt idx="20">
                  <c:v>1986/03</c:v>
                </c:pt>
                <c:pt idx="21">
                  <c:v>1986/06</c:v>
                </c:pt>
                <c:pt idx="22">
                  <c:v>1986/09</c:v>
                </c:pt>
                <c:pt idx="23">
                  <c:v>1986/12</c:v>
                </c:pt>
                <c:pt idx="24">
                  <c:v>1987/03</c:v>
                </c:pt>
                <c:pt idx="25">
                  <c:v>1987/06</c:v>
                </c:pt>
                <c:pt idx="26">
                  <c:v>1987/09</c:v>
                </c:pt>
                <c:pt idx="27">
                  <c:v>1987/12</c:v>
                </c:pt>
                <c:pt idx="28">
                  <c:v>1988/03</c:v>
                </c:pt>
                <c:pt idx="29">
                  <c:v>1988/06</c:v>
                </c:pt>
                <c:pt idx="30">
                  <c:v>1988/09</c:v>
                </c:pt>
                <c:pt idx="31">
                  <c:v>1988/12</c:v>
                </c:pt>
                <c:pt idx="32">
                  <c:v>1989/03</c:v>
                </c:pt>
                <c:pt idx="33">
                  <c:v>1989/06</c:v>
                </c:pt>
                <c:pt idx="34">
                  <c:v>1989/09</c:v>
                </c:pt>
                <c:pt idx="35">
                  <c:v>1989/12</c:v>
                </c:pt>
                <c:pt idx="36">
                  <c:v>1990/03</c:v>
                </c:pt>
                <c:pt idx="37">
                  <c:v>1990/06</c:v>
                </c:pt>
                <c:pt idx="38">
                  <c:v>1990/09</c:v>
                </c:pt>
                <c:pt idx="39">
                  <c:v>1990/12</c:v>
                </c:pt>
                <c:pt idx="40">
                  <c:v>1991/03</c:v>
                </c:pt>
                <c:pt idx="41">
                  <c:v>1991/06</c:v>
                </c:pt>
                <c:pt idx="42">
                  <c:v>1991/09</c:v>
                </c:pt>
                <c:pt idx="43">
                  <c:v>1991/12</c:v>
                </c:pt>
                <c:pt idx="44">
                  <c:v>1992/03</c:v>
                </c:pt>
                <c:pt idx="45">
                  <c:v>1992/06</c:v>
                </c:pt>
                <c:pt idx="46">
                  <c:v>1992/09</c:v>
                </c:pt>
                <c:pt idx="47">
                  <c:v>1992/12</c:v>
                </c:pt>
                <c:pt idx="48">
                  <c:v>1993/03</c:v>
                </c:pt>
                <c:pt idx="49">
                  <c:v>1993/06</c:v>
                </c:pt>
                <c:pt idx="50">
                  <c:v>1993/09</c:v>
                </c:pt>
                <c:pt idx="51">
                  <c:v>1993/12</c:v>
                </c:pt>
                <c:pt idx="52">
                  <c:v>1994/03</c:v>
                </c:pt>
                <c:pt idx="53">
                  <c:v>1994/06</c:v>
                </c:pt>
                <c:pt idx="54">
                  <c:v>1994/09</c:v>
                </c:pt>
                <c:pt idx="55">
                  <c:v>1994/12</c:v>
                </c:pt>
                <c:pt idx="56">
                  <c:v>1995/03</c:v>
                </c:pt>
                <c:pt idx="57">
                  <c:v>1995/06</c:v>
                </c:pt>
                <c:pt idx="58">
                  <c:v>1995/09</c:v>
                </c:pt>
                <c:pt idx="59">
                  <c:v>1995/12</c:v>
                </c:pt>
                <c:pt idx="60">
                  <c:v>1996/03</c:v>
                </c:pt>
                <c:pt idx="61">
                  <c:v>1996/06</c:v>
                </c:pt>
                <c:pt idx="62">
                  <c:v>1996/09</c:v>
                </c:pt>
                <c:pt idx="63">
                  <c:v>1996/12</c:v>
                </c:pt>
                <c:pt idx="64">
                  <c:v>1997/03</c:v>
                </c:pt>
                <c:pt idx="65">
                  <c:v>1997/06</c:v>
                </c:pt>
                <c:pt idx="66">
                  <c:v>1997/09</c:v>
                </c:pt>
                <c:pt idx="67">
                  <c:v>1997/12</c:v>
                </c:pt>
                <c:pt idx="68">
                  <c:v>1998/03</c:v>
                </c:pt>
                <c:pt idx="69">
                  <c:v>1998/06</c:v>
                </c:pt>
                <c:pt idx="70">
                  <c:v>1998/09</c:v>
                </c:pt>
                <c:pt idx="71">
                  <c:v>1998/12</c:v>
                </c:pt>
                <c:pt idx="72">
                  <c:v>1999/03</c:v>
                </c:pt>
                <c:pt idx="73">
                  <c:v>1999/06</c:v>
                </c:pt>
                <c:pt idx="74">
                  <c:v>1999/09</c:v>
                </c:pt>
                <c:pt idx="75">
                  <c:v>1999/12</c:v>
                </c:pt>
                <c:pt idx="76">
                  <c:v>2000/03</c:v>
                </c:pt>
                <c:pt idx="77">
                  <c:v>2000/06</c:v>
                </c:pt>
                <c:pt idx="78">
                  <c:v>2000/09</c:v>
                </c:pt>
                <c:pt idx="79">
                  <c:v>2000/12</c:v>
                </c:pt>
                <c:pt idx="80">
                  <c:v>2001/03</c:v>
                </c:pt>
                <c:pt idx="81">
                  <c:v>2001/06</c:v>
                </c:pt>
                <c:pt idx="82">
                  <c:v>2001/09</c:v>
                </c:pt>
                <c:pt idx="83">
                  <c:v>2001/12</c:v>
                </c:pt>
                <c:pt idx="84">
                  <c:v>2002/03</c:v>
                </c:pt>
                <c:pt idx="85">
                  <c:v>2002/06</c:v>
                </c:pt>
                <c:pt idx="86">
                  <c:v>2002/09</c:v>
                </c:pt>
                <c:pt idx="87">
                  <c:v>2002/12</c:v>
                </c:pt>
                <c:pt idx="88">
                  <c:v>2003/03</c:v>
                </c:pt>
                <c:pt idx="89">
                  <c:v>2003/06</c:v>
                </c:pt>
                <c:pt idx="90">
                  <c:v>2003/09</c:v>
                </c:pt>
                <c:pt idx="91">
                  <c:v>2003/12</c:v>
                </c:pt>
                <c:pt idx="92">
                  <c:v>2004/03</c:v>
                </c:pt>
                <c:pt idx="93">
                  <c:v>2004/06</c:v>
                </c:pt>
                <c:pt idx="94">
                  <c:v>2004/09</c:v>
                </c:pt>
                <c:pt idx="95">
                  <c:v>2004/12</c:v>
                </c:pt>
                <c:pt idx="96">
                  <c:v>2005/03</c:v>
                </c:pt>
                <c:pt idx="97">
                  <c:v>2005/06</c:v>
                </c:pt>
                <c:pt idx="98">
                  <c:v>2005/09</c:v>
                </c:pt>
                <c:pt idx="99">
                  <c:v>2005/12</c:v>
                </c:pt>
                <c:pt idx="100">
                  <c:v>2006/03</c:v>
                </c:pt>
                <c:pt idx="101">
                  <c:v>2006/06</c:v>
                </c:pt>
                <c:pt idx="102">
                  <c:v>2006/09</c:v>
                </c:pt>
                <c:pt idx="103">
                  <c:v>2006/12</c:v>
                </c:pt>
                <c:pt idx="104">
                  <c:v>2007/03</c:v>
                </c:pt>
                <c:pt idx="105">
                  <c:v>2007/06</c:v>
                </c:pt>
                <c:pt idx="106">
                  <c:v>2007/09</c:v>
                </c:pt>
                <c:pt idx="107">
                  <c:v>2007/12</c:v>
                </c:pt>
                <c:pt idx="108">
                  <c:v>2008/03</c:v>
                </c:pt>
                <c:pt idx="109">
                  <c:v>2008/06</c:v>
                </c:pt>
                <c:pt idx="110">
                  <c:v>2008/09</c:v>
                </c:pt>
                <c:pt idx="111">
                  <c:v>2008/12</c:v>
                </c:pt>
                <c:pt idx="112">
                  <c:v>2009/03</c:v>
                </c:pt>
                <c:pt idx="113">
                  <c:v>2009/06</c:v>
                </c:pt>
                <c:pt idx="114">
                  <c:v>2009/09</c:v>
                </c:pt>
                <c:pt idx="115">
                  <c:v>2009/12</c:v>
                </c:pt>
              </c:strCache>
            </c:strRef>
          </c:cat>
          <c:val>
            <c:numRef>
              <c:f>Figures!$X$2:$X$117</c:f>
              <c:numCache>
                <c:formatCode>0.0</c:formatCode>
                <c:ptCount val="116"/>
                <c:pt idx="0">
                  <c:v>-1.1419341454690617</c:v>
                </c:pt>
                <c:pt idx="1">
                  <c:v>-2.1724702296111267</c:v>
                </c:pt>
                <c:pt idx="2">
                  <c:v>-1.7844075049122867</c:v>
                </c:pt>
                <c:pt idx="3">
                  <c:v>-1.0672471886380301</c:v>
                </c:pt>
                <c:pt idx="4">
                  <c:v>0.15545723663653993</c:v>
                </c:pt>
                <c:pt idx="5">
                  <c:v>1.5052596978292891</c:v>
                </c:pt>
                <c:pt idx="6">
                  <c:v>2.0697464410853601</c:v>
                </c:pt>
                <c:pt idx="7">
                  <c:v>1.0290573052384699</c:v>
                </c:pt>
                <c:pt idx="8">
                  <c:v>0.6082510375968686</c:v>
                </c:pt>
                <c:pt idx="9">
                  <c:v>1.1215087246529001</c:v>
                </c:pt>
                <c:pt idx="10">
                  <c:v>-0.35708400399950146</c:v>
                </c:pt>
                <c:pt idx="11">
                  <c:v>-0.54205886171930406</c:v>
                </c:pt>
                <c:pt idx="12">
                  <c:v>-0.199346884363055</c:v>
                </c:pt>
                <c:pt idx="13">
                  <c:v>0.36107117900133001</c:v>
                </c:pt>
                <c:pt idx="14">
                  <c:v>0.94512597110865093</c:v>
                </c:pt>
                <c:pt idx="15">
                  <c:v>1.51879686520683</c:v>
                </c:pt>
                <c:pt idx="16">
                  <c:v>0.96670163081185512</c:v>
                </c:pt>
                <c:pt idx="17">
                  <c:v>0.14939238939891741</c:v>
                </c:pt>
                <c:pt idx="18">
                  <c:v>-0.30604492607597888</c:v>
                </c:pt>
                <c:pt idx="19">
                  <c:v>3.2309347099752812E-2</c:v>
                </c:pt>
                <c:pt idx="20">
                  <c:v>-0.33632965028251766</c:v>
                </c:pt>
                <c:pt idx="21">
                  <c:v>0.21314462922669802</c:v>
                </c:pt>
                <c:pt idx="22">
                  <c:v>0.35034673910825226</c:v>
                </c:pt>
                <c:pt idx="23">
                  <c:v>0.232164117449733</c:v>
                </c:pt>
                <c:pt idx="24">
                  <c:v>0.93803163562685254</c:v>
                </c:pt>
                <c:pt idx="25">
                  <c:v>0.38545106244182398</c:v>
                </c:pt>
                <c:pt idx="26">
                  <c:v>0.37251169692469127</c:v>
                </c:pt>
                <c:pt idx="27">
                  <c:v>-0.74830406880862699</c:v>
                </c:pt>
                <c:pt idx="28">
                  <c:v>-0.19872796245270424</c:v>
                </c:pt>
                <c:pt idx="29">
                  <c:v>0.37696067834086383</c:v>
                </c:pt>
                <c:pt idx="30">
                  <c:v>-0.59152247910305056</c:v>
                </c:pt>
                <c:pt idx="31">
                  <c:v>-0.15730536788343194</c:v>
                </c:pt>
                <c:pt idx="32">
                  <c:v>-0.32480381954989107</c:v>
                </c:pt>
                <c:pt idx="33">
                  <c:v>-1.3863262497970699</c:v>
                </c:pt>
                <c:pt idx="34">
                  <c:v>-0.94339357193244144</c:v>
                </c:pt>
                <c:pt idx="35">
                  <c:v>-0.99513334535732922</c:v>
                </c:pt>
                <c:pt idx="36">
                  <c:v>-0.9314121084906245</c:v>
                </c:pt>
                <c:pt idx="37">
                  <c:v>-8.7542141410337559E-2</c:v>
                </c:pt>
                <c:pt idx="38">
                  <c:v>0.40672800837334638</c:v>
                </c:pt>
                <c:pt idx="39">
                  <c:v>0.20115390718857687</c:v>
                </c:pt>
                <c:pt idx="40">
                  <c:v>-0.47189918364171096</c:v>
                </c:pt>
                <c:pt idx="41">
                  <c:v>-0.12088642398657826</c:v>
                </c:pt>
                <c:pt idx="42">
                  <c:v>-0.49322663672529932</c:v>
                </c:pt>
                <c:pt idx="43">
                  <c:v>-0.97736629072217307</c:v>
                </c:pt>
                <c:pt idx="44">
                  <c:v>-0.80761198819353563</c:v>
                </c:pt>
                <c:pt idx="45">
                  <c:v>-0.46300417742402628</c:v>
                </c:pt>
                <c:pt idx="46">
                  <c:v>-0.75171694920564658</c:v>
                </c:pt>
                <c:pt idx="47">
                  <c:v>0.59862898328045999</c:v>
                </c:pt>
                <c:pt idx="48">
                  <c:v>0.32315272994643496</c:v>
                </c:pt>
                <c:pt idx="49">
                  <c:v>-7.6321842410168608E-2</c:v>
                </c:pt>
                <c:pt idx="50">
                  <c:v>-0.30212623744797362</c:v>
                </c:pt>
                <c:pt idx="51">
                  <c:v>-0.23673925767410176</c:v>
                </c:pt>
                <c:pt idx="52">
                  <c:v>-4.1455176697293775E-2</c:v>
                </c:pt>
                <c:pt idx="53">
                  <c:v>0.43833069390977819</c:v>
                </c:pt>
                <c:pt idx="54">
                  <c:v>1.1206736520598051</c:v>
                </c:pt>
                <c:pt idx="55">
                  <c:v>0.85531983898197095</c:v>
                </c:pt>
                <c:pt idx="56">
                  <c:v>1.7253075748727396</c:v>
                </c:pt>
                <c:pt idx="57">
                  <c:v>0.33771660502921669</c:v>
                </c:pt>
                <c:pt idx="58">
                  <c:v>0.23939525751432808</c:v>
                </c:pt>
                <c:pt idx="59">
                  <c:v>1.2959589875127899</c:v>
                </c:pt>
                <c:pt idx="60">
                  <c:v>0.46392692817337688</c:v>
                </c:pt>
                <c:pt idx="61">
                  <c:v>1.6937487382776699</c:v>
                </c:pt>
                <c:pt idx="62">
                  <c:v>1.0354437222771298</c:v>
                </c:pt>
                <c:pt idx="63">
                  <c:v>-0.60743750833816801</c:v>
                </c:pt>
                <c:pt idx="64">
                  <c:v>-0.87066409440462778</c:v>
                </c:pt>
                <c:pt idx="65">
                  <c:v>-1.5765945283158702</c:v>
                </c:pt>
                <c:pt idx="66">
                  <c:v>-2.1288073374065899</c:v>
                </c:pt>
                <c:pt idx="67">
                  <c:v>-2.07035317743123</c:v>
                </c:pt>
                <c:pt idx="68">
                  <c:v>-1.4067698995583549</c:v>
                </c:pt>
                <c:pt idx="69">
                  <c:v>-1.5012027842207301</c:v>
                </c:pt>
                <c:pt idx="70">
                  <c:v>0.108549319336274</c:v>
                </c:pt>
                <c:pt idx="71">
                  <c:v>0.20530381360730601</c:v>
                </c:pt>
                <c:pt idx="72">
                  <c:v>0.72974535776245564</c:v>
                </c:pt>
                <c:pt idx="73">
                  <c:v>-0.16470740391168801</c:v>
                </c:pt>
                <c:pt idx="74">
                  <c:v>9.5581182022858688E-2</c:v>
                </c:pt>
                <c:pt idx="75">
                  <c:v>-0.45328308886847202</c:v>
                </c:pt>
                <c:pt idx="76">
                  <c:v>-0.11336755925901902</c:v>
                </c:pt>
                <c:pt idx="77">
                  <c:v>0.15644653010843565</c:v>
                </c:pt>
                <c:pt idx="78">
                  <c:v>3.1090093215620212E-2</c:v>
                </c:pt>
                <c:pt idx="79">
                  <c:v>0.5820003649629607</c:v>
                </c:pt>
                <c:pt idx="80">
                  <c:v>0.88742264894267697</c:v>
                </c:pt>
                <c:pt idx="81">
                  <c:v>0.48131539851881538</c:v>
                </c:pt>
                <c:pt idx="82">
                  <c:v>0.48132122789984039</c:v>
                </c:pt>
                <c:pt idx="83">
                  <c:v>1.7405149291701401</c:v>
                </c:pt>
                <c:pt idx="84">
                  <c:v>2.36500896864671</c:v>
                </c:pt>
                <c:pt idx="85">
                  <c:v>0.55519339081578301</c:v>
                </c:pt>
                <c:pt idx="86">
                  <c:v>1.1270982095581799</c:v>
                </c:pt>
                <c:pt idx="87">
                  <c:v>0.77590494288549361</c:v>
                </c:pt>
                <c:pt idx="88">
                  <c:v>3.0508724282618501E-3</c:v>
                </c:pt>
                <c:pt idx="89">
                  <c:v>-0.75604956077216701</c:v>
                </c:pt>
                <c:pt idx="90">
                  <c:v>-2.18064224697882E-2</c:v>
                </c:pt>
                <c:pt idx="91">
                  <c:v>-0.23726544744310138</c:v>
                </c:pt>
                <c:pt idx="92">
                  <c:v>-0.13949774145654667</c:v>
                </c:pt>
                <c:pt idx="93">
                  <c:v>0.91308018063007201</c:v>
                </c:pt>
                <c:pt idx="94">
                  <c:v>1.6781900453589921E-3</c:v>
                </c:pt>
                <c:pt idx="95">
                  <c:v>-0.45532541709497737</c:v>
                </c:pt>
                <c:pt idx="96">
                  <c:v>-0.822574393543964</c:v>
                </c:pt>
                <c:pt idx="97">
                  <c:v>-0.44402791366902089</c:v>
                </c:pt>
                <c:pt idx="98">
                  <c:v>-0.20333834284153313</c:v>
                </c:pt>
                <c:pt idx="99">
                  <c:v>0.14471697101312544</c:v>
                </c:pt>
                <c:pt idx="100">
                  <c:v>0.33247476643386153</c:v>
                </c:pt>
                <c:pt idx="101">
                  <c:v>-0.77384416614734164</c:v>
                </c:pt>
                <c:pt idx="102">
                  <c:v>-0.68746593302743197</c:v>
                </c:pt>
                <c:pt idx="103">
                  <c:v>0.35654581210041131</c:v>
                </c:pt>
                <c:pt idx="104">
                  <c:v>0.71106698175117256</c:v>
                </c:pt>
                <c:pt idx="105">
                  <c:v>0.70404574730727665</c:v>
                </c:pt>
                <c:pt idx="106">
                  <c:v>-1.0452313367124348</c:v>
                </c:pt>
                <c:pt idx="107">
                  <c:v>-1.9938950443812951</c:v>
                </c:pt>
                <c:pt idx="108">
                  <c:v>-1.2978257801869248</c:v>
                </c:pt>
                <c:pt idx="109">
                  <c:v>-1.6271773642145761</c:v>
                </c:pt>
                <c:pt idx="110">
                  <c:v>-1.246885175436605</c:v>
                </c:pt>
                <c:pt idx="111">
                  <c:v>0.15360619302722325</c:v>
                </c:pt>
                <c:pt idx="112">
                  <c:v>2.2647735512917437</c:v>
                </c:pt>
                <c:pt idx="113">
                  <c:v>1.4205414056008998</c:v>
                </c:pt>
                <c:pt idx="114">
                  <c:v>-0.25281982127039898</c:v>
                </c:pt>
                <c:pt idx="115">
                  <c:v>0.51711485507389165</c:v>
                </c:pt>
              </c:numCache>
            </c:numRef>
          </c:val>
        </c:ser>
        <c:dLbls/>
        <c:marker val="1"/>
        <c:axId val="143051392"/>
        <c:axId val="143057280"/>
      </c:lineChart>
      <c:catAx>
        <c:axId val="143051392"/>
        <c:scaling>
          <c:orientation val="minMax"/>
        </c:scaling>
        <c:axPos val="b"/>
        <c:majorTickMark val="none"/>
        <c:tickLblPos val="nextTo"/>
        <c:txPr>
          <a:bodyPr rot="1200000" vert="horz"/>
          <a:lstStyle/>
          <a:p>
            <a:pPr>
              <a:defRPr sz="800"/>
            </a:pPr>
            <a:endParaRPr lang="en-US"/>
          </a:p>
        </c:txPr>
        <c:crossAx val="143057280"/>
        <c:crossesAt val="-10"/>
        <c:auto val="1"/>
        <c:lblAlgn val="ctr"/>
        <c:lblOffset val="100"/>
        <c:tickLblSkip val="12"/>
      </c:catAx>
      <c:valAx>
        <c:axId val="143057280"/>
        <c:scaling>
          <c:orientation val="minMax"/>
        </c:scaling>
        <c:axPos val="l"/>
        <c:numFmt formatCode="0.0" sourceLinked="1"/>
        <c:tickLblPos val="nextTo"/>
        <c:txPr>
          <a:bodyPr/>
          <a:lstStyle/>
          <a:p>
            <a:pPr>
              <a:defRPr sz="800"/>
            </a:pPr>
            <a:endParaRPr lang="en-US"/>
          </a:p>
        </c:txPr>
        <c:crossAx val="143051392"/>
        <c:crosses val="autoZero"/>
        <c:crossBetween val="between"/>
      </c:valAx>
    </c:plotArea>
    <c:legend>
      <c:legendPos val="r"/>
      <c:layout>
        <c:manualLayout>
          <c:xMode val="edge"/>
          <c:yMode val="edge"/>
          <c:x val="0.67910981355309341"/>
          <c:y val="2.6200182424005658E-3"/>
          <c:w val="0.24708838022708923"/>
          <c:h val="0.21860219946274276"/>
        </c:manualLayout>
      </c:layout>
      <c:txPr>
        <a:bodyPr/>
        <a:lstStyle/>
        <a:p>
          <a:pPr>
            <a:defRPr sz="1000"/>
          </a:pPr>
          <a:endParaRPr lang="en-US"/>
        </a:p>
      </c:txPr>
    </c:legend>
    <c:plotVisOnly val="1"/>
    <c:dispBlanksAs val="gap"/>
  </c:chart>
  <c:spPr>
    <a:ln>
      <a:noFill/>
    </a:ln>
  </c:spPr>
  <c:txPr>
    <a:bodyPr/>
    <a:lstStyle/>
    <a:p>
      <a:pPr>
        <a:defRPr sz="1050"/>
      </a:pPr>
      <a:endParaRPr lang="en-US"/>
    </a:p>
  </c:txPr>
  <c:externalData r:id="rId1"/>
  <c:userShapes r:id="rId2"/>
</c:chartSpace>
</file>

<file path=word/charts/chart16.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3135723814072639"/>
          <c:y val="2.1814190116315892E-2"/>
          <c:w val="0.83970150789974785"/>
          <c:h val="0.83319752591247809"/>
        </c:manualLayout>
      </c:layout>
      <c:lineChart>
        <c:grouping val="standard"/>
        <c:ser>
          <c:idx val="0"/>
          <c:order val="0"/>
          <c:tx>
            <c:strRef>
              <c:f>'F-BL'!$B$33</c:f>
              <c:strCache>
                <c:ptCount val="1"/>
                <c:pt idx="0">
                  <c:v>h               </c:v>
                </c:pt>
              </c:strCache>
            </c:strRef>
          </c:tx>
          <c:spPr>
            <a:ln w="12700"/>
          </c:spPr>
          <c:marker>
            <c:symbol val="diamond"/>
            <c:size val="3"/>
          </c:marker>
          <c:cat>
            <c:numRef>
              <c:f>'F-BL'!$C$32:$BJ$32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'F-BL'!$C$33:$BJ$33</c:f>
              <c:numCache>
                <c:formatCode>General</c:formatCode>
                <c:ptCount val="60"/>
                <c:pt idx="0">
                  <c:v>-0.12104417372926422</c:v>
                </c:pt>
                <c:pt idx="1">
                  <c:v>-0.22182120463504088</c:v>
                </c:pt>
                <c:pt idx="2">
                  <c:v>-0.30543616429233938</c:v>
                </c:pt>
                <c:pt idx="3">
                  <c:v>-0.37440381633109798</c:v>
                </c:pt>
                <c:pt idx="4">
                  <c:v>-0.43080389484444842</c:v>
                </c:pt>
                <c:pt idx="5">
                  <c:v>-0.47638699983613791</c:v>
                </c:pt>
                <c:pt idx="6">
                  <c:v>-0.51264743388660061</c:v>
                </c:pt>
                <c:pt idx="7">
                  <c:v>-0.54087403153849856</c:v>
                </c:pt>
                <c:pt idx="8">
                  <c:v>-0.56218640139284259</c:v>
                </c:pt>
                <c:pt idx="9">
                  <c:v>-0.57756151775332798</c:v>
                </c:pt>
                <c:pt idx="10">
                  <c:v>-0.58785391444223956</c:v>
                </c:pt>
                <c:pt idx="11">
                  <c:v>-0.5938116015070195</c:v>
                </c:pt>
                <c:pt idx="12">
                  <c:v>-0.59608907271681399</c:v>
                </c:pt>
                <c:pt idx="13">
                  <c:v>-0.59525827702282197</c:v>
                </c:pt>
                <c:pt idx="14">
                  <c:v>-0.59181810651918965</c:v>
                </c:pt>
                <c:pt idx="15">
                  <c:v>-0.58620274897817259</c:v>
                </c:pt>
                <c:pt idx="16">
                  <c:v>-0.57878912511871405</c:v>
                </c:pt>
                <c:pt idx="17">
                  <c:v>-0.56990355253740299</c:v>
                </c:pt>
                <c:pt idx="18">
                  <c:v>-0.55982773165902222</c:v>
                </c:pt>
                <c:pt idx="19">
                  <c:v>-0.54880412220493202</c:v>
                </c:pt>
                <c:pt idx="20">
                  <c:v>-0.53704076373128096</c:v>
                </c:pt>
                <c:pt idx="21">
                  <c:v>-0.52471558575692157</c:v>
                </c:pt>
                <c:pt idx="22">
                  <c:v>-0.51198024875300796</c:v>
                </c:pt>
                <c:pt idx="23">
                  <c:v>-0.498963554901319</c:v>
                </c:pt>
                <c:pt idx="24">
                  <c:v>-0.48577446594695162</c:v>
                </c:pt>
                <c:pt idx="25">
                  <c:v>-0.47250476406800163</c:v>
                </c:pt>
                <c:pt idx="26">
                  <c:v>-0.45923139017703174</c:v>
                </c:pt>
                <c:pt idx="27">
                  <c:v>-0.44601849234382362</c:v>
                </c:pt>
                <c:pt idx="28">
                  <c:v>-0.4329192150849408</c:v>
                </c:pt>
                <c:pt idx="29">
                  <c:v>-0.419977258146018</c:v>
                </c:pt>
                <c:pt idx="30">
                  <c:v>-0.40722823117267654</c:v>
                </c:pt>
                <c:pt idx="31">
                  <c:v>-0.39470082839358367</c:v>
                </c:pt>
                <c:pt idx="32">
                  <c:v>-0.38241784518472977</c:v>
                </c:pt>
                <c:pt idx="33">
                  <c:v>-0.37039705619532293</c:v>
                </c:pt>
                <c:pt idx="34">
                  <c:v>-0.358651972633106</c:v>
                </c:pt>
                <c:pt idx="35">
                  <c:v>-0.34719249435269467</c:v>
                </c:pt>
                <c:pt idx="36">
                  <c:v>-0.33602547058403792</c:v>
                </c:pt>
                <c:pt idx="37">
                  <c:v>-0.32515518148429207</c:v>
                </c:pt>
                <c:pt idx="38">
                  <c:v>-0.31458375119834991</c:v>
                </c:pt>
                <c:pt idx="39">
                  <c:v>-0.30431150176675237</c:v>
                </c:pt>
                <c:pt idx="40">
                  <c:v>-0.29433725601818173</c:v>
                </c:pt>
                <c:pt idx="41">
                  <c:v>-0.28465859651791908</c:v>
                </c:pt>
                <c:pt idx="42">
                  <c:v>-0.27527208670314002</c:v>
                </c:pt>
                <c:pt idx="43">
                  <c:v>-0.26617345951044302</c:v>
                </c:pt>
                <c:pt idx="44">
                  <c:v>-0.25735777807815802</c:v>
                </c:pt>
                <c:pt idx="45">
                  <c:v>-0.24881957247637981</c:v>
                </c:pt>
                <c:pt idx="46">
                  <c:v>-0.24055295587010841</c:v>
                </c:pt>
                <c:pt idx="47">
                  <c:v>-0.23255172304631597</c:v>
                </c:pt>
                <c:pt idx="48">
                  <c:v>-0.22480943382495641</c:v>
                </c:pt>
                <c:pt idx="49">
                  <c:v>-0.21731948351956687</c:v>
                </c:pt>
                <c:pt idx="50">
                  <c:v>-0.21007516230718201</c:v>
                </c:pt>
                <c:pt idx="51">
                  <c:v>-0.20306970510431199</c:v>
                </c:pt>
                <c:pt idx="52">
                  <c:v>-0.19629633331894741</c:v>
                </c:pt>
                <c:pt idx="53">
                  <c:v>-0.18974828965446738</c:v>
                </c:pt>
                <c:pt idx="54">
                  <c:v>-0.18341886697381601</c:v>
                </c:pt>
                <c:pt idx="55">
                  <c:v>-0.17730143208930219</c:v>
                </c:pt>
                <c:pt idx="56">
                  <c:v>-0.171389445219815</c:v>
                </c:pt>
                <c:pt idx="57">
                  <c:v>-0.16567647575240699</c:v>
                </c:pt>
                <c:pt idx="58">
                  <c:v>-0.16015621485393897</c:v>
                </c:pt>
                <c:pt idx="59">
                  <c:v>-0.15482248540145233</c:v>
                </c:pt>
              </c:numCache>
            </c:numRef>
          </c:val>
        </c:ser>
        <c:ser>
          <c:idx val="1"/>
          <c:order val="1"/>
          <c:tx>
            <c:strRef>
              <c:f>'F-BL'!$B$34</c:f>
              <c:strCache>
                <c:ptCount val="1"/>
                <c:pt idx="0">
                  <c:v>y               </c:v>
                </c:pt>
              </c:strCache>
            </c:strRef>
          </c:tx>
          <c:spPr>
            <a:ln w="12700"/>
          </c:spPr>
          <c:marker>
            <c:symbol val="square"/>
            <c:size val="3"/>
          </c:marker>
          <c:cat>
            <c:numRef>
              <c:f>'F-BL'!$C$32:$BJ$32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'F-BL'!$C$34:$BJ$34</c:f>
              <c:numCache>
                <c:formatCode>General</c:formatCode>
                <c:ptCount val="60"/>
                <c:pt idx="0">
                  <c:v>-0.10669819758357429</c:v>
                </c:pt>
                <c:pt idx="1">
                  <c:v>-0.190437555302501</c:v>
                </c:pt>
                <c:pt idx="2">
                  <c:v>-0.26075688287970505</c:v>
                </c:pt>
                <c:pt idx="3">
                  <c:v>-0.31937659177699745</c:v>
                </c:pt>
                <c:pt idx="4">
                  <c:v>-0.36777475703810197</c:v>
                </c:pt>
                <c:pt idx="5">
                  <c:v>-0.40724079912895988</c:v>
                </c:pt>
                <c:pt idx="6">
                  <c:v>-0.43891101851941594</c:v>
                </c:pt>
                <c:pt idx="7">
                  <c:v>-0.46379272394088888</c:v>
                </c:pt>
                <c:pt idx="8">
                  <c:v>-0.48278130046752199</c:v>
                </c:pt>
                <c:pt idx="9">
                  <c:v>-0.49667296771782776</c:v>
                </c:pt>
                <c:pt idx="10">
                  <c:v>-0.50617492913442597</c:v>
                </c:pt>
                <c:pt idx="11">
                  <c:v>-0.51191393438641097</c:v>
                </c:pt>
                <c:pt idx="12">
                  <c:v>-0.51444384641601304</c:v>
                </c:pt>
                <c:pt idx="13">
                  <c:v>-0.51425253857333697</c:v>
                </c:pt>
                <c:pt idx="14">
                  <c:v>-0.51176828838785959</c:v>
                </c:pt>
                <c:pt idx="15">
                  <c:v>-0.50736574415122326</c:v>
                </c:pt>
                <c:pt idx="16">
                  <c:v>-0.50137149282765758</c:v>
                </c:pt>
                <c:pt idx="17">
                  <c:v>-0.49406923589173002</c:v>
                </c:pt>
                <c:pt idx="18">
                  <c:v>-0.48570457255087263</c:v>
                </c:pt>
                <c:pt idx="19">
                  <c:v>-0.47648939051008798</c:v>
                </c:pt>
                <c:pt idx="20">
                  <c:v>-0.46660586873903198</c:v>
                </c:pt>
                <c:pt idx="21">
                  <c:v>-0.45621010211341001</c:v>
                </c:pt>
                <c:pt idx="22">
                  <c:v>-0.44543536296241032</c:v>
                </c:pt>
                <c:pt idx="23">
                  <c:v>-0.43439501879588732</c:v>
                </c:pt>
                <c:pt idx="24">
                  <c:v>-0.42318512857040802</c:v>
                </c:pt>
                <c:pt idx="25">
                  <c:v>-0.41188674178067808</c:v>
                </c:pt>
                <c:pt idx="26">
                  <c:v>-0.40056792555728032</c:v>
                </c:pt>
                <c:pt idx="27">
                  <c:v>-0.38928554499215384</c:v>
                </c:pt>
                <c:pt idx="28">
                  <c:v>-0.37808682128831234</c:v>
                </c:pt>
                <c:pt idx="29">
                  <c:v>-0.36701069122198865</c:v>
                </c:pt>
                <c:pt idx="30">
                  <c:v>-0.3560889899660783</c:v>
                </c:pt>
                <c:pt idx="31">
                  <c:v>-0.34534747768563667</c:v>
                </c:pt>
                <c:pt idx="32">
                  <c:v>-0.33480672858079774</c:v>
                </c:pt>
                <c:pt idx="33">
                  <c:v>-0.32448289929735191</c:v>
                </c:pt>
                <c:pt idx="34">
                  <c:v>-0.31438839190890083</c:v>
                </c:pt>
                <c:pt idx="35">
                  <c:v>-0.30453242503547368</c:v>
                </c:pt>
                <c:pt idx="36">
                  <c:v>-0.29492152512781905</c:v>
                </c:pt>
                <c:pt idx="37">
                  <c:v>-0.28555994852947397</c:v>
                </c:pt>
                <c:pt idx="38">
                  <c:v>-0.27645004363684894</c:v>
                </c:pt>
                <c:pt idx="39">
                  <c:v>-0.26759256131030418</c:v>
                </c:pt>
                <c:pt idx="40">
                  <c:v>-0.25898692064588963</c:v>
                </c:pt>
                <c:pt idx="41">
                  <c:v>-0.25063143628836426</c:v>
                </c:pt>
                <c:pt idx="42">
                  <c:v>-0.24252351264640701</c:v>
                </c:pt>
                <c:pt idx="43">
                  <c:v>-0.234659809649226</c:v>
                </c:pt>
                <c:pt idx="44">
                  <c:v>-0.22703638405316576</c:v>
                </c:pt>
                <c:pt idx="45">
                  <c:v>-0.21964880975545556</c:v>
                </c:pt>
                <c:pt idx="46">
                  <c:v>-0.2124922800941757</c:v>
                </c:pt>
                <c:pt idx="47">
                  <c:v>-0.20556169469794641</c:v>
                </c:pt>
                <c:pt idx="48">
                  <c:v>-0.19885173309000601</c:v>
                </c:pt>
                <c:pt idx="49">
                  <c:v>-0.19235691694090887</c:v>
                </c:pt>
                <c:pt idx="50">
                  <c:v>-0.18607166259702806</c:v>
                </c:pt>
                <c:pt idx="51">
                  <c:v>-0.17999032528158199</c:v>
                </c:pt>
                <c:pt idx="52">
                  <c:v>-0.17410723616716636</c:v>
                </c:pt>
                <c:pt idx="53">
                  <c:v>-0.16841673334834356</c:v>
                </c:pt>
                <c:pt idx="54">
                  <c:v>-0.16291318759721554</c:v>
                </c:pt>
                <c:pt idx="55">
                  <c:v>-0.15759102365896799</c:v>
                </c:pt>
                <c:pt idx="56">
                  <c:v>-0.15244473773737721</c:v>
                </c:pt>
                <c:pt idx="57">
                  <c:v>-0.1474689117274037</c:v>
                </c:pt>
                <c:pt idx="58">
                  <c:v>-0.14265822467349301</c:v>
                </c:pt>
                <c:pt idx="59">
                  <c:v>-0.13800746186374299</c:v>
                </c:pt>
              </c:numCache>
            </c:numRef>
          </c:val>
        </c:ser>
        <c:ser>
          <c:idx val="2"/>
          <c:order val="2"/>
          <c:tx>
            <c:strRef>
              <c:f>'F-BL'!$B$35</c:f>
              <c:strCache>
                <c:ptCount val="1"/>
                <c:pt idx="0">
                  <c:v>inv             </c:v>
                </c:pt>
              </c:strCache>
            </c:strRef>
          </c:tx>
          <c:spPr>
            <a:ln w="12700"/>
          </c:spPr>
          <c:marker>
            <c:symbol val="triangle"/>
            <c:size val="3"/>
          </c:marker>
          <c:cat>
            <c:numRef>
              <c:f>'F-BL'!$C$32:$BJ$32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'F-BL'!$C$35:$BJ$35</c:f>
              <c:numCache>
                <c:formatCode>General</c:formatCode>
                <c:ptCount val="60"/>
                <c:pt idx="0">
                  <c:v>2.0422186328293868</c:v>
                </c:pt>
                <c:pt idx="1">
                  <c:v>1.237909245624959</c:v>
                </c:pt>
                <c:pt idx="2">
                  <c:v>0.65639902799190064</c:v>
                </c:pt>
                <c:pt idx="3">
                  <c:v>0.23642663583629797</c:v>
                </c:pt>
                <c:pt idx="4">
                  <c:v>-6.6294095330461794E-2</c:v>
                </c:pt>
                <c:pt idx="5">
                  <c:v>-0.28376569196355433</c:v>
                </c:pt>
                <c:pt idx="6">
                  <c:v>-0.43911449141063785</c:v>
                </c:pt>
                <c:pt idx="7">
                  <c:v>-0.54906090652046002</c:v>
                </c:pt>
                <c:pt idx="8">
                  <c:v>-0.6257070251272685</c:v>
                </c:pt>
                <c:pt idx="9">
                  <c:v>-0.6778279216598847</c:v>
                </c:pt>
                <c:pt idx="10">
                  <c:v>-0.71180289260435325</c:v>
                </c:pt>
                <c:pt idx="11">
                  <c:v>-0.73228596573245242</c:v>
                </c:pt>
                <c:pt idx="12">
                  <c:v>-0.7426879989902655</c:v>
                </c:pt>
                <c:pt idx="13">
                  <c:v>-0.74552289761340573</c:v>
                </c:pt>
                <c:pt idx="14">
                  <c:v>-0.74265602412985765</c:v>
                </c:pt>
                <c:pt idx="15">
                  <c:v>-0.73548233975114563</c:v>
                </c:pt>
                <c:pt idx="16">
                  <c:v>-0.72505415166254195</c:v>
                </c:pt>
                <c:pt idx="17">
                  <c:v>-0.71217277811237201</c:v>
                </c:pt>
                <c:pt idx="18">
                  <c:v>-0.69745441483341564</c:v>
                </c:pt>
                <c:pt idx="19">
                  <c:v>-0.68137757573442659</c:v>
                </c:pt>
                <c:pt idx="20">
                  <c:v>-0.66431738276147301</c:v>
                </c:pt>
                <c:pt idx="21">
                  <c:v>-0.64657047112392563</c:v>
                </c:pt>
                <c:pt idx="22">
                  <c:v>-0.62837319380738099</c:v>
                </c:pt>
                <c:pt idx="23">
                  <c:v>-0.60991503483207365</c:v>
                </c:pt>
                <c:pt idx="24">
                  <c:v>-0.59134858787982758</c:v>
                </c:pt>
                <c:pt idx="25">
                  <c:v>-0.57279706324169433</c:v>
                </c:pt>
                <c:pt idx="26">
                  <c:v>-0.55436000636946203</c:v>
                </c:pt>
                <c:pt idx="27">
                  <c:v>-0.53611771307841605</c:v>
                </c:pt>
                <c:pt idx="28">
                  <c:v>-0.51813468621780301</c:v>
                </c:pt>
                <c:pt idx="29">
                  <c:v>-0.50046237959927353</c:v>
                </c:pt>
                <c:pt idx="30">
                  <c:v>-0.48314140513076098</c:v>
                </c:pt>
                <c:pt idx="31">
                  <c:v>-0.46620332987581797</c:v>
                </c:pt>
                <c:pt idx="32">
                  <c:v>-0.44967215505377001</c:v>
                </c:pt>
                <c:pt idx="33">
                  <c:v>-0.43356554449453599</c:v>
                </c:pt>
                <c:pt idx="34">
                  <c:v>-0.41789585271701302</c:v>
                </c:pt>
                <c:pt idx="35">
                  <c:v>-0.40267099046181198</c:v>
                </c:pt>
                <c:pt idx="36">
                  <c:v>-0.38789515667309499</c:v>
                </c:pt>
                <c:pt idx="37">
                  <c:v>-0.37356945953596032</c:v>
                </c:pt>
                <c:pt idx="38">
                  <c:v>-0.35969244450103227</c:v>
                </c:pt>
                <c:pt idx="39">
                  <c:v>-0.34626054375609799</c:v>
                </c:pt>
                <c:pt idx="40">
                  <c:v>-0.33326845898129898</c:v>
                </c:pt>
                <c:pt idx="41">
                  <c:v>-0.32070948720543763</c:v>
                </c:pt>
                <c:pt idx="42">
                  <c:v>-0.30857579799516605</c:v>
                </c:pt>
                <c:pt idx="43">
                  <c:v>-0.29685866894085</c:v>
                </c:pt>
                <c:pt idx="44">
                  <c:v>-0.28554868536915839</c:v>
                </c:pt>
                <c:pt idx="45">
                  <c:v>-0.27463590935772608</c:v>
                </c:pt>
                <c:pt idx="46">
                  <c:v>-0.26411002241009579</c:v>
                </c:pt>
                <c:pt idx="47">
                  <c:v>-0.25396044554167602</c:v>
                </c:pt>
                <c:pt idx="48">
                  <c:v>-0.244176440008879</c:v>
                </c:pt>
                <c:pt idx="49">
                  <c:v>-0.23474719146751158</c:v>
                </c:pt>
                <c:pt idx="50">
                  <c:v>-0.22566187996230888</c:v>
                </c:pt>
                <c:pt idx="51">
                  <c:v>-0.21690973781730388</c:v>
                </c:pt>
                <c:pt idx="52">
                  <c:v>-0.208480097208737</c:v>
                </c:pt>
                <c:pt idx="53">
                  <c:v>-0.20036242895385567</c:v>
                </c:pt>
                <c:pt idx="54">
                  <c:v>-0.19254637383257614</c:v>
                </c:pt>
                <c:pt idx="55">
                  <c:v>-0.18502176757330199</c:v>
                </c:pt>
                <c:pt idx="56">
                  <c:v>-0.17777866047261601</c:v>
                </c:pt>
                <c:pt idx="57">
                  <c:v>-0.17080733247954241</c:v>
                </c:pt>
                <c:pt idx="58">
                  <c:v>-0.16409830445535914</c:v>
                </c:pt>
                <c:pt idx="59">
                  <c:v>-0.15764234621649667</c:v>
                </c:pt>
              </c:numCache>
            </c:numRef>
          </c:val>
        </c:ser>
        <c:ser>
          <c:idx val="3"/>
          <c:order val="3"/>
          <c:tx>
            <c:strRef>
              <c:f>'F-BL'!$B$36</c:f>
              <c:strCache>
                <c:ptCount val="1"/>
                <c:pt idx="0">
                  <c:v>tby             </c:v>
                </c:pt>
              </c:strCache>
            </c:strRef>
          </c:tx>
          <c:spPr>
            <a:ln w="3175">
              <a:solidFill>
                <a:schemeClr val="accent6"/>
              </a:solidFill>
            </a:ln>
          </c:spPr>
          <c:marker>
            <c:symbol val="diamond"/>
            <c:size val="4"/>
            <c:spPr>
              <a:solidFill>
                <a:schemeClr val="accent6"/>
              </a:solidFill>
              <a:ln>
                <a:noFill/>
              </a:ln>
            </c:spPr>
          </c:marker>
          <c:cat>
            <c:numRef>
              <c:f>'F-BL'!$C$32:$BJ$32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'F-BL'!$C$36:$BJ$36</c:f>
              <c:numCache>
                <c:formatCode>General</c:formatCode>
                <c:ptCount val="60"/>
                <c:pt idx="0">
                  <c:v>-0.48480230678097375</c:v>
                </c:pt>
                <c:pt idx="1">
                  <c:v>-0.3158321935875244</c:v>
                </c:pt>
                <c:pt idx="2">
                  <c:v>-0.19623517864039899</c:v>
                </c:pt>
                <c:pt idx="3">
                  <c:v>-0.11223706424432298</c:v>
                </c:pt>
                <c:pt idx="4">
                  <c:v>-5.3808084333691934E-2</c:v>
                </c:pt>
                <c:pt idx="5">
                  <c:v>-1.3665356558349199E-2</c:v>
                </c:pt>
                <c:pt idx="6">
                  <c:v>1.3463575041461388E-2</c:v>
                </c:pt>
                <c:pt idx="7">
                  <c:v>3.1383329644652798E-2</c:v>
                </c:pt>
                <c:pt idx="8">
                  <c:v>4.2829598134713404E-2</c:v>
                </c:pt>
                <c:pt idx="9">
                  <c:v>4.9761770940519527E-2</c:v>
                </c:pt>
                <c:pt idx="10">
                  <c:v>5.3577106377162655E-2</c:v>
                </c:pt>
                <c:pt idx="11">
                  <c:v>5.5267096512783102E-2</c:v>
                </c:pt>
                <c:pt idx="12">
                  <c:v>5.55313392902834E-2</c:v>
                </c:pt>
                <c:pt idx="13">
                  <c:v>5.4860240106131906E-2</c:v>
                </c:pt>
                <c:pt idx="14">
                  <c:v>5.35949014707379E-2</c:v>
                </c:pt>
                <c:pt idx="15">
                  <c:v>5.1970358307912745E-2</c:v>
                </c:pt>
                <c:pt idx="16">
                  <c:v>5.0146685350920504E-2</c:v>
                </c:pt>
                <c:pt idx="17">
                  <c:v>4.8231296710918803E-2</c:v>
                </c:pt>
                <c:pt idx="18">
                  <c:v>4.6294867216931712E-2</c:v>
                </c:pt>
                <c:pt idx="19">
                  <c:v>4.4382649183292114E-2</c:v>
                </c:pt>
                <c:pt idx="20">
                  <c:v>4.2522476108231538E-2</c:v>
                </c:pt>
                <c:pt idx="21">
                  <c:v>4.0730391185086534E-2</c:v>
                </c:pt>
                <c:pt idx="22">
                  <c:v>3.90145797520157E-2</c:v>
                </c:pt>
                <c:pt idx="23">
                  <c:v>3.7378095926111216E-2</c:v>
                </c:pt>
                <c:pt idx="24">
                  <c:v>3.5820736146046098E-2</c:v>
                </c:pt>
                <c:pt idx="25">
                  <c:v>3.434031248964798E-2</c:v>
                </c:pt>
                <c:pt idx="26">
                  <c:v>3.2933506332497003E-2</c:v>
                </c:pt>
                <c:pt idx="27">
                  <c:v>3.1596430727001197E-2</c:v>
                </c:pt>
                <c:pt idx="28">
                  <c:v>3.0324992337663E-2</c:v>
                </c:pt>
                <c:pt idx="29">
                  <c:v>2.9115116856018301E-2</c:v>
                </c:pt>
                <c:pt idx="30">
                  <c:v>2.7962882602890302E-2</c:v>
                </c:pt>
                <c:pt idx="31">
                  <c:v>2.6864593364490701E-2</c:v>
                </c:pt>
                <c:pt idx="32">
                  <c:v>2.5816811843281398E-2</c:v>
                </c:pt>
                <c:pt idx="33">
                  <c:v>2.48163683025686E-2</c:v>
                </c:pt>
                <c:pt idx="34">
                  <c:v>2.38603542262729E-2</c:v>
                </c:pt>
                <c:pt idx="35">
                  <c:v>2.2946107510987652E-2</c:v>
                </c:pt>
                <c:pt idx="36">
                  <c:v>2.2071193431157356E-2</c:v>
                </c:pt>
                <c:pt idx="37">
                  <c:v>2.1233384065261696E-2</c:v>
                </c:pt>
                <c:pt idx="38">
                  <c:v>2.0430637823858056E-2</c:v>
                </c:pt>
                <c:pt idx="39">
                  <c:v>1.9661080024576501E-2</c:v>
                </c:pt>
                <c:pt idx="40">
                  <c:v>1.8922985005507879E-2</c:v>
                </c:pt>
                <c:pt idx="41">
                  <c:v>1.8214759979808801E-2</c:v>
                </c:pt>
                <c:pt idx="42">
                  <c:v>1.7534930657178101E-2</c:v>
                </c:pt>
                <c:pt idx="43">
                  <c:v>1.6882128554648212E-2</c:v>
                </c:pt>
                <c:pt idx="44">
                  <c:v>1.6255079864319514E-2</c:v>
                </c:pt>
                <c:pt idx="45">
                  <c:v>1.5652595721594598E-2</c:v>
                </c:pt>
                <c:pt idx="46">
                  <c:v>1.50735637123737E-2</c:v>
                </c:pt>
                <c:pt idx="47">
                  <c:v>1.4516940463690415E-2</c:v>
                </c:pt>
                <c:pt idx="48">
                  <c:v>1.3981745174257721E-2</c:v>
                </c:pt>
                <c:pt idx="49">
                  <c:v>1.3467053956063001E-2</c:v>
                </c:pt>
                <c:pt idx="50">
                  <c:v>1.2971994873547698E-2</c:v>
                </c:pt>
                <c:pt idx="51">
                  <c:v>1.2495743581758196E-2</c:v>
                </c:pt>
                <c:pt idx="52">
                  <c:v>1.20375194786085E-2</c:v>
                </c:pt>
                <c:pt idx="53">
                  <c:v>1.15965822986947E-2</c:v>
                </c:pt>
                <c:pt idx="54">
                  <c:v>1.11722290868963E-2</c:v>
                </c:pt>
                <c:pt idx="55">
                  <c:v>1.0763791499330462E-2</c:v>
                </c:pt>
                <c:pt idx="56">
                  <c:v>1.03706333871988E-2</c:v>
                </c:pt>
                <c:pt idx="57">
                  <c:v>9.9921486258433747E-3</c:v>
                </c:pt>
                <c:pt idx="58">
                  <c:v>9.6277591570207207E-3</c:v>
                </c:pt>
                <c:pt idx="59">
                  <c:v>9.2769132172328805E-3</c:v>
                </c:pt>
              </c:numCache>
            </c:numRef>
          </c:val>
        </c:ser>
        <c:ser>
          <c:idx val="4"/>
          <c:order val="4"/>
          <c:tx>
            <c:strRef>
              <c:f>'F-BL'!$B$37</c:f>
              <c:strCache>
                <c:ptCount val="1"/>
                <c:pt idx="0">
                  <c:v>z</c:v>
                </c:pt>
              </c:strCache>
            </c:strRef>
          </c:tx>
          <c:spPr>
            <a:ln w="12700"/>
          </c:spPr>
          <c:marker>
            <c:symbol val="circle"/>
            <c:size val="3"/>
          </c:marker>
          <c:cat>
            <c:numRef>
              <c:f>'F-BL'!$C$32:$BJ$32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'F-BL'!$C$37:$BJ$37</c:f>
              <c:numCache>
                <c:formatCode>General</c:formatCode>
                <c:ptCount val="60"/>
                <c:pt idx="0">
                  <c:v>-7.5864963366587601E-2</c:v>
                </c:pt>
                <c:pt idx="1">
                  <c:v>-0.17813534218543636</c:v>
                </c:pt>
                <c:pt idx="2">
                  <c:v>-0.26124980091299999</c:v>
                </c:pt>
                <c:pt idx="3">
                  <c:v>-0.32821978884930125</c:v>
                </c:pt>
                <c:pt idx="4">
                  <c:v>-0.38161339122184645</c:v>
                </c:pt>
                <c:pt idx="5">
                  <c:v>-0.42361320393103102</c:v>
                </c:pt>
                <c:pt idx="6">
                  <c:v>-0.45606923521088238</c:v>
                </c:pt>
                <c:pt idx="7">
                  <c:v>-0.48054628412992667</c:v>
                </c:pt>
                <c:pt idx="8">
                  <c:v>-0.49836573650771698</c:v>
                </c:pt>
                <c:pt idx="9">
                  <c:v>-0.51064201536714804</c:v>
                </c:pt>
                <c:pt idx="10">
                  <c:v>-0.51831408863687101</c:v>
                </c:pt>
                <c:pt idx="11">
                  <c:v>-0.52217251584117497</c:v>
                </c:pt>
                <c:pt idx="12">
                  <c:v>-0.52288253886098257</c:v>
                </c:pt>
                <c:pt idx="13">
                  <c:v>-0.52100371078704799</c:v>
                </c:pt>
                <c:pt idx="14">
                  <c:v>-0.51700652584823625</c:v>
                </c:pt>
                <c:pt idx="15">
                  <c:v>-0.51128647200408195</c:v>
                </c:pt>
                <c:pt idx="16">
                  <c:v>-0.50417588230143295</c:v>
                </c:pt>
                <c:pt idx="17">
                  <c:v>-0.49595391544549938</c:v>
                </c:pt>
                <c:pt idx="18">
                  <c:v>-0.48685495257676498</c:v>
                </c:pt>
                <c:pt idx="19">
                  <c:v>-0.47707565726717138</c:v>
                </c:pt>
                <c:pt idx="20">
                  <c:v>-0.46678090983863763</c:v>
                </c:pt>
                <c:pt idx="21">
                  <c:v>-0.456108795410336</c:v>
                </c:pt>
                <c:pt idx="22">
                  <c:v>-0.44517479746958138</c:v>
                </c:pt>
                <c:pt idx="23">
                  <c:v>-0.43407532495135998</c:v>
                </c:pt>
                <c:pt idx="24">
                  <c:v>-0.42289068044458838</c:v>
                </c:pt>
                <c:pt idx="25">
                  <c:v>-0.41168755982906402</c:v>
                </c:pt>
                <c:pt idx="26">
                  <c:v>-0.40052115900384638</c:v>
                </c:pt>
                <c:pt idx="27">
                  <c:v>-0.38943695103121367</c:v>
                </c:pt>
                <c:pt idx="28">
                  <c:v>-0.37847218666009796</c:v>
                </c:pt>
                <c:pt idx="29">
                  <c:v>-0.367657162514133</c:v>
                </c:pt>
                <c:pt idx="30">
                  <c:v>-0.35701629397129592</c:v>
                </c:pt>
                <c:pt idx="31">
                  <c:v>-0.34656902370143999</c:v>
                </c:pt>
                <c:pt idx="32">
                  <c:v>-0.33633059177165325</c:v>
                </c:pt>
                <c:pt idx="33">
                  <c:v>-0.32631268901175198</c:v>
                </c:pt>
                <c:pt idx="34">
                  <c:v>-0.31652401181777939</c:v>
                </c:pt>
                <c:pt idx="35">
                  <c:v>-0.30697073363908439</c:v>
                </c:pt>
                <c:pt idx="36">
                  <c:v>-0.29765690595053257</c:v>
                </c:pt>
                <c:pt idx="37">
                  <c:v>-0.28858479947096444</c:v>
                </c:pt>
                <c:pt idx="38">
                  <c:v>-0.27975519468514393</c:v>
                </c:pt>
                <c:pt idx="39">
                  <c:v>-0.27116762930274763</c:v>
                </c:pt>
                <c:pt idx="40">
                  <c:v>-0.26282060909571692</c:v>
                </c:pt>
                <c:pt idx="41">
                  <c:v>-0.25471178755798501</c:v>
                </c:pt>
                <c:pt idx="42">
                  <c:v>-0.24683811899370101</c:v>
                </c:pt>
                <c:pt idx="43">
                  <c:v>-0.23919598893734356</c:v>
                </c:pt>
                <c:pt idx="44">
                  <c:v>-0.23178132521790801</c:v>
                </c:pt>
                <c:pt idx="45">
                  <c:v>-0.22458969248126656</c:v>
                </c:pt>
                <c:pt idx="46">
                  <c:v>-0.21761637256474628</c:v>
                </c:pt>
                <c:pt idx="47">
                  <c:v>-0.21085643276354701</c:v>
                </c:pt>
                <c:pt idx="48">
                  <c:v>-0.20430478372823099</c:v>
                </c:pt>
                <c:pt idx="49">
                  <c:v>-0.197956228478532</c:v>
                </c:pt>
                <c:pt idx="50">
                  <c:v>-0.19180550380307088</c:v>
                </c:pt>
                <c:pt idx="51">
                  <c:v>-0.18584731513131325</c:v>
                </c:pt>
                <c:pt idx="52">
                  <c:v>-0.18007636580828301</c:v>
                </c:pt>
                <c:pt idx="53">
                  <c:v>-0.1744873815699107</c:v>
                </c:pt>
                <c:pt idx="54">
                  <c:v>-0.16907513090330401</c:v>
                </c:pt>
                <c:pt idx="55">
                  <c:v>-0.16383444188009538</c:v>
                </c:pt>
                <c:pt idx="56">
                  <c:v>-0.15876021596758799</c:v>
                </c:pt>
                <c:pt idx="57">
                  <c:v>-0.15384743925242228</c:v>
                </c:pt>
                <c:pt idx="58">
                  <c:v>-0.14909119145003807</c:v>
                </c:pt>
                <c:pt idx="59">
                  <c:v>-0.14448665302189556</c:v>
                </c:pt>
              </c:numCache>
            </c:numRef>
          </c:val>
        </c:ser>
        <c:ser>
          <c:idx val="5"/>
          <c:order val="5"/>
          <c:tx>
            <c:strRef>
              <c:f>'F-BL'!$B$38</c:f>
              <c:strCache>
                <c:ptCount val="1"/>
                <c:pt idx="0">
                  <c:v>tot  </c:v>
                </c:pt>
              </c:strCache>
            </c:strRef>
          </c:tx>
          <c:spPr>
            <a:ln w="15875">
              <a:solidFill>
                <a:schemeClr val="tx1"/>
              </a:solidFill>
              <a:prstDash val="sysDash"/>
            </a:ln>
          </c:spPr>
          <c:marker>
            <c:symbol val="none"/>
          </c:marker>
          <c:cat>
            <c:numRef>
              <c:f>'F-BL'!$C$32:$BJ$32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'F-BL'!$C$38:$BJ$38</c:f>
              <c:numCache>
                <c:formatCode>General</c:formatCode>
                <c:ptCount val="60"/>
                <c:pt idx="0">
                  <c:v>1</c:v>
                </c:pt>
                <c:pt idx="1">
                  <c:v>0.96316000000000002</c:v>
                </c:pt>
                <c:pt idx="2">
                  <c:v>0.92767718560000001</c:v>
                </c:pt>
                <c:pt idx="3">
                  <c:v>0.89350155808249598</c:v>
                </c:pt>
                <c:pt idx="4">
                  <c:v>0.86058496068273649</c:v>
                </c:pt>
                <c:pt idx="5">
                  <c:v>0.8288810107311998</c:v>
                </c:pt>
                <c:pt idx="6">
                  <c:v>0.79834503429586134</c:v>
                </c:pt>
                <c:pt idx="7">
                  <c:v>0.76893400323240368</c:v>
                </c:pt>
                <c:pt idx="8">
                  <c:v>0.74060647455332662</c:v>
                </c:pt>
                <c:pt idx="9">
                  <c:v>0.71332253203076401</c:v>
                </c:pt>
                <c:pt idx="10">
                  <c:v>0.68704372995075058</c:v>
                </c:pt>
                <c:pt idx="11">
                  <c:v>0.66173303893936564</c:v>
                </c:pt>
                <c:pt idx="12">
                  <c:v>0.63735479378483895</c:v>
                </c:pt>
                <c:pt idx="13">
                  <c:v>0.61387464318182283</c:v>
                </c:pt>
                <c:pt idx="14">
                  <c:v>0.59125950132698757</c:v>
                </c:pt>
                <c:pt idx="15">
                  <c:v>0.56947750129810204</c:v>
                </c:pt>
                <c:pt idx="16">
                  <c:v>0.54849795015028002</c:v>
                </c:pt>
                <c:pt idx="17">
                  <c:v>0.52829128566674299</c:v>
                </c:pt>
                <c:pt idx="18">
                  <c:v>0.50882903470278062</c:v>
                </c:pt>
                <c:pt idx="19">
                  <c:v>0.49008377306433998</c:v>
                </c:pt>
                <c:pt idx="20">
                  <c:v>0.47202908686465328</c:v>
                </c:pt>
                <c:pt idx="21">
                  <c:v>0.45463953530454698</c:v>
                </c:pt>
                <c:pt idx="22">
                  <c:v>0.43789061482392738</c:v>
                </c:pt>
                <c:pt idx="23">
                  <c:v>0.42175872457381408</c:v>
                </c:pt>
                <c:pt idx="24">
                  <c:v>0.406221133160515</c:v>
                </c:pt>
                <c:pt idx="25">
                  <c:v>0.39125594661488688</c:v>
                </c:pt>
                <c:pt idx="26">
                  <c:v>0.37684207754158938</c:v>
                </c:pt>
                <c:pt idx="27">
                  <c:v>0.36295921540496373</c:v>
                </c:pt>
                <c:pt idx="28">
                  <c:v>0.34958779790945477</c:v>
                </c:pt>
                <c:pt idx="29">
                  <c:v>0.33670898343447175</c:v>
                </c:pt>
                <c:pt idx="30">
                  <c:v>0.32430462448473663</c:v>
                </c:pt>
                <c:pt idx="31">
                  <c:v>0.31235724211871202</c:v>
                </c:pt>
                <c:pt idx="32">
                  <c:v>0.30085000131907236</c:v>
                </c:pt>
                <c:pt idx="33">
                  <c:v>0.2897666872704765</c:v>
                </c:pt>
                <c:pt idx="34">
                  <c:v>0.27909168251142003</c:v>
                </c:pt>
                <c:pt idx="35">
                  <c:v>0.26880994492770038</c:v>
                </c:pt>
                <c:pt idx="36">
                  <c:v>0.25890698655656302</c:v>
                </c:pt>
                <c:pt idx="37">
                  <c:v>0.24936885317182431</c:v>
                </c:pt>
                <c:pt idx="38">
                  <c:v>0.24018210462097001</c:v>
                </c:pt>
                <c:pt idx="39">
                  <c:v>0.23133379588673444</c:v>
                </c:pt>
                <c:pt idx="40">
                  <c:v>0.22281145884627088</c:v>
                </c:pt>
                <c:pt idx="41">
                  <c:v>0.21460308470237424</c:v>
                </c:pt>
                <c:pt idx="42">
                  <c:v>0.20669710706193725</c:v>
                </c:pt>
                <c:pt idx="43">
                  <c:v>0.19908238563777444</c:v>
                </c:pt>
                <c:pt idx="44">
                  <c:v>0.19174819055088224</c:v>
                </c:pt>
                <c:pt idx="45">
                  <c:v>0.18468418721098301</c:v>
                </c:pt>
                <c:pt idx="46">
                  <c:v>0.17788042175412999</c:v>
                </c:pt>
                <c:pt idx="47">
                  <c:v>0.17132730701670801</c:v>
                </c:pt>
                <c:pt idx="48">
                  <c:v>0.16501560902621201</c:v>
                </c:pt>
                <c:pt idx="49">
                  <c:v>0.15893643398969184</c:v>
                </c:pt>
                <c:pt idx="50">
                  <c:v>0.15308121576150699</c:v>
                </c:pt>
                <c:pt idx="51">
                  <c:v>0.14744170377285687</c:v>
                </c:pt>
                <c:pt idx="52">
                  <c:v>0.14200995140586456</c:v>
                </c:pt>
                <c:pt idx="53">
                  <c:v>0.13677830479607242</c:v>
                </c:pt>
                <c:pt idx="54">
                  <c:v>0.13173939204738738</c:v>
                </c:pt>
                <c:pt idx="55">
                  <c:v>0.126886112844356</c:v>
                </c:pt>
                <c:pt idx="56">
                  <c:v>0.12221162844717263</c:v>
                </c:pt>
                <c:pt idx="57">
                  <c:v>0.11770935205517602</c:v>
                </c:pt>
                <c:pt idx="58">
                  <c:v>0.11337293952546385</c:v>
                </c:pt>
                <c:pt idx="59">
                  <c:v>0.10919628043334932</c:v>
                </c:pt>
              </c:numCache>
            </c:numRef>
          </c:val>
        </c:ser>
        <c:dLbls/>
        <c:marker val="1"/>
        <c:axId val="143128448"/>
        <c:axId val="143129984"/>
      </c:lineChart>
      <c:catAx>
        <c:axId val="143128448"/>
        <c:scaling>
          <c:orientation val="minMax"/>
        </c:scaling>
        <c:axPos val="b"/>
        <c:numFmt formatCode="General" sourceLinked="1"/>
        <c:tickLblPos val="nextTo"/>
        <c:txPr>
          <a:bodyPr/>
          <a:lstStyle/>
          <a:p>
            <a:pPr>
              <a:defRPr b="0"/>
            </a:pPr>
            <a:endParaRPr lang="en-US"/>
          </a:p>
        </c:txPr>
        <c:crossAx val="143129984"/>
        <c:crossesAt val="-3"/>
        <c:auto val="1"/>
        <c:lblAlgn val="ctr"/>
        <c:lblOffset val="100"/>
        <c:tickLblSkip val="4"/>
      </c:catAx>
      <c:valAx>
        <c:axId val="143129984"/>
        <c:scaling>
          <c:orientation val="minMax"/>
          <c:max val="2"/>
        </c:scaling>
        <c:axPos val="l"/>
        <c:numFmt formatCode="General" sourceLinked="1"/>
        <c:tickLblPos val="nextTo"/>
        <c:crossAx val="143128448"/>
        <c:crosses val="autoZero"/>
        <c:crossBetween val="midCat"/>
      </c:valAx>
    </c:plotArea>
    <c:legend>
      <c:legendPos val="t"/>
      <c:layout>
        <c:manualLayout>
          <c:xMode val="edge"/>
          <c:yMode val="edge"/>
          <c:x val="0.48910205224034181"/>
          <c:y val="0.12053662783677491"/>
          <c:w val="0.41125000514507037"/>
          <c:h val="0.15508685956110432"/>
        </c:manualLayout>
      </c:layout>
      <c:txPr>
        <a:bodyPr/>
        <a:lstStyle/>
        <a:p>
          <a:pPr>
            <a:defRPr i="1"/>
          </a:pPr>
          <a:endParaRPr lang="en-US"/>
        </a:p>
      </c:txPr>
    </c:legend>
    <c:plotVisOnly val="1"/>
    <c:dispBlanksAs val="gap"/>
  </c:chart>
  <c:spPr>
    <a:ln>
      <a:noFill/>
    </a:ln>
  </c:spPr>
  <c:txPr>
    <a:bodyPr/>
    <a:lstStyle/>
    <a:p>
      <a:pPr>
        <a:defRPr b="1"/>
      </a:pPr>
      <a:endParaRPr lang="en-US"/>
    </a:p>
  </c:txPr>
  <c:externalData r:id="rId1"/>
  <c:userShapes r:id="rId2"/>
</c:chartSpace>
</file>

<file path=word/charts/chart17.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209014929858379"/>
          <c:y val="3.7153141571589277E-2"/>
          <c:w val="0.84843254593175454"/>
          <c:h val="0.79685004834921958"/>
        </c:manualLayout>
      </c:layout>
      <c:lineChart>
        <c:grouping val="standard"/>
        <c:ser>
          <c:idx val="0"/>
          <c:order val="0"/>
          <c:tx>
            <c:strRef>
              <c:f>'F-BL'!$B$4</c:f>
              <c:strCache>
                <c:ptCount val="1"/>
                <c:pt idx="0">
                  <c:v>h               </c:v>
                </c:pt>
              </c:strCache>
            </c:strRef>
          </c:tx>
          <c:spPr>
            <a:ln w="12700"/>
          </c:spPr>
          <c:marker>
            <c:symbol val="diamond"/>
            <c:size val="3"/>
          </c:marker>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'F-BL'!$C$4:$BJ$4</c:f>
              <c:numCache>
                <c:formatCode>General</c:formatCode>
                <c:ptCount val="60"/>
                <c:pt idx="0">
                  <c:v>-0.13255458125033301</c:v>
                </c:pt>
                <c:pt idx="1">
                  <c:v>-0.24652998513477356</c:v>
                </c:pt>
                <c:pt idx="2">
                  <c:v>-0.34305417570108598</c:v>
                </c:pt>
                <c:pt idx="3">
                  <c:v>-0.42355798092650898</c:v>
                </c:pt>
                <c:pt idx="4">
                  <c:v>-0.48961024823062832</c:v>
                </c:pt>
                <c:pt idx="5">
                  <c:v>-0.54280679712383995</c:v>
                </c:pt>
                <c:pt idx="6">
                  <c:v>-0.58469820670480765</c:v>
                </c:pt>
                <c:pt idx="7">
                  <c:v>-0.61674531619465855</c:v>
                </c:pt>
                <c:pt idx="8">
                  <c:v>-0.64029421997307456</c:v>
                </c:pt>
                <c:pt idx="9">
                  <c:v>-0.65656472496629759</c:v>
                </c:pt>
                <c:pt idx="10">
                  <c:v>-0.66664787787199065</c:v>
                </c:pt>
                <c:pt idx="11">
                  <c:v>-0.67150939364782025</c:v>
                </c:pt>
                <c:pt idx="12">
                  <c:v>-0.67199672561739088</c:v>
                </c:pt>
                <c:pt idx="13">
                  <c:v>-0.66884818858931683</c:v>
                </c:pt>
                <c:pt idx="14">
                  <c:v>-0.66270303847364642</c:v>
                </c:pt>
                <c:pt idx="15">
                  <c:v>-0.65411176989877162</c:v>
                </c:pt>
                <c:pt idx="16">
                  <c:v>-0.64354615137343163</c:v>
                </c:pt>
                <c:pt idx="17">
                  <c:v>-0.63140870140537164</c:v>
                </c:pt>
                <c:pt idx="18">
                  <c:v>-0.61804143814823442</c:v>
                </c:pt>
                <c:pt idx="19">
                  <c:v>-0.60373382422630495</c:v>
                </c:pt>
                <c:pt idx="20">
                  <c:v>-0.58872988833456963</c:v>
                </c:pt>
                <c:pt idx="21">
                  <c:v>-0.57323454418036657</c:v>
                </c:pt>
                <c:pt idx="22">
                  <c:v>-0.5574191513728125</c:v>
                </c:pt>
                <c:pt idx="23">
                  <c:v>-0.54142637642521496</c:v>
                </c:pt>
                <c:pt idx="24">
                  <c:v>-0.52537441837820464</c:v>
                </c:pt>
                <c:pt idx="25">
                  <c:v>-0.50936066504128863</c:v>
                </c:pt>
                <c:pt idx="26">
                  <c:v>-0.49346484419143932</c:v>
                </c:pt>
                <c:pt idx="27">
                  <c:v>-0.47775173046864799</c:v>
                </c:pt>
                <c:pt idx="28">
                  <c:v>-0.46227346402011893</c:v>
                </c:pt>
                <c:pt idx="29">
                  <c:v>-0.44707153174730202</c:v>
                </c:pt>
                <c:pt idx="30">
                  <c:v>-0.43217845669866656</c:v>
                </c:pt>
                <c:pt idx="31">
                  <c:v>-0.41761923597634698</c:v>
                </c:pt>
                <c:pt idx="32">
                  <c:v>-0.40341256264436265</c:v>
                </c:pt>
                <c:pt idx="33">
                  <c:v>-0.38957186262562776</c:v>
                </c:pt>
                <c:pt idx="34">
                  <c:v>-0.37610617349645048</c:v>
                </c:pt>
                <c:pt idx="35">
                  <c:v>-0.36302088843670338</c:v>
                </c:pt>
                <c:pt idx="36">
                  <c:v>-0.35031838536232546</c:v>
                </c:pt>
                <c:pt idx="37">
                  <c:v>-0.33799855842755538</c:v>
                </c:pt>
                <c:pt idx="38">
                  <c:v>-0.32605926660874984</c:v>
                </c:pt>
                <c:pt idx="39">
                  <c:v>-0.31449671193218715</c:v>
                </c:pt>
                <c:pt idx="40">
                  <c:v>-0.30330575805441667</c:v>
                </c:pt>
                <c:pt idx="41">
                  <c:v>-0.29248019830708133</c:v>
                </c:pt>
                <c:pt idx="42">
                  <c:v>-0.28201298095031962</c:v>
                </c:pt>
                <c:pt idx="43">
                  <c:v>-0.27189639820916556</c:v>
                </c:pt>
                <c:pt idx="44">
                  <c:v>-0.26212224466889</c:v>
                </c:pt>
                <c:pt idx="45">
                  <c:v>-0.25268194975591302</c:v>
                </c:pt>
                <c:pt idx="46">
                  <c:v>-0.24356668830803899</c:v>
                </c:pt>
                <c:pt idx="47">
                  <c:v>-0.23476747262476699</c:v>
                </c:pt>
                <c:pt idx="48">
                  <c:v>-0.22627522886793441</c:v>
                </c:pt>
                <c:pt idx="49">
                  <c:v>-0.21808086024230799</c:v>
                </c:pt>
                <c:pt idx="50">
                  <c:v>-0.21017529901237139</c:v>
                </c:pt>
                <c:pt idx="51">
                  <c:v>-0.20254954909557399</c:v>
                </c:pt>
                <c:pt idx="52">
                  <c:v>-0.19519472070505767</c:v>
                </c:pt>
                <c:pt idx="53">
                  <c:v>-0.18810205828854787</c:v>
                </c:pt>
                <c:pt idx="54">
                  <c:v>-0.18126296281899876</c:v>
                </c:pt>
                <c:pt idx="55">
                  <c:v>-0.17466900933059901</c:v>
                </c:pt>
                <c:pt idx="56">
                  <c:v>-0.16831196045702806</c:v>
                </c:pt>
                <c:pt idx="57">
                  <c:v>-0.16218377661279687</c:v>
                </c:pt>
                <c:pt idx="58">
                  <c:v>-0.15627662336084988</c:v>
                </c:pt>
                <c:pt idx="59">
                  <c:v>-0.15058287642622817</c:v>
                </c:pt>
              </c:numCache>
            </c:numRef>
          </c:val>
        </c:ser>
        <c:ser>
          <c:idx val="1"/>
          <c:order val="1"/>
          <c:tx>
            <c:strRef>
              <c:f>'F-BL'!$B$5</c:f>
              <c:strCache>
                <c:ptCount val="1"/>
                <c:pt idx="0">
                  <c:v>y               </c:v>
                </c:pt>
              </c:strCache>
            </c:strRef>
          </c:tx>
          <c:spPr>
            <a:ln w="12700"/>
          </c:spPr>
          <c:marker>
            <c:symbol val="square"/>
            <c:size val="3"/>
          </c:marker>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'F-BL'!$C$5:$BJ$5</c:f>
              <c:numCache>
                <c:formatCode>General</c:formatCode>
                <c:ptCount val="60"/>
                <c:pt idx="0">
                  <c:v>-0.11684440865770095</c:v>
                </c:pt>
                <c:pt idx="1">
                  <c:v>-0.22002533174321201</c:v>
                </c:pt>
                <c:pt idx="2">
                  <c:v>-0.30707452150739167</c:v>
                </c:pt>
                <c:pt idx="3">
                  <c:v>-0.37943452187517163</c:v>
                </c:pt>
                <c:pt idx="4">
                  <c:v>-0.43862737056067713</c:v>
                </c:pt>
                <c:pt idx="5">
                  <c:v>-0.48616621089226492</c:v>
                </c:pt>
                <c:pt idx="6">
                  <c:v>-0.5234990703904121</c:v>
                </c:pt>
                <c:pt idx="7">
                  <c:v>-0.55197543272360716</c:v>
                </c:pt>
                <c:pt idx="8">
                  <c:v>-0.57282870427466104</c:v>
                </c:pt>
                <c:pt idx="9">
                  <c:v>-0.58716953440873199</c:v>
                </c:pt>
                <c:pt idx="10">
                  <c:v>-0.59598633734111051</c:v>
                </c:pt>
                <c:pt idx="11">
                  <c:v>-0.60015039669520964</c:v>
                </c:pt>
                <c:pt idx="12">
                  <c:v>-0.60042369831000664</c:v>
                </c:pt>
                <c:pt idx="13">
                  <c:v>-0.59746819899304426</c:v>
                </c:pt>
                <c:pt idx="14">
                  <c:v>-0.59185564929748202</c:v>
                </c:pt>
                <c:pt idx="15">
                  <c:v>-0.58407738545460608</c:v>
                </c:pt>
                <c:pt idx="16">
                  <c:v>-0.57455371841921798</c:v>
                </c:pt>
                <c:pt idx="17">
                  <c:v>-0.56364269854723803</c:v>
                </c:pt>
                <c:pt idx="18">
                  <c:v>-0.55164813925202905</c:v>
                </c:pt>
                <c:pt idx="19">
                  <c:v>-0.53882685445174161</c:v>
                </c:pt>
                <c:pt idx="20">
                  <c:v>-0.52539511196640798</c:v>
                </c:pt>
                <c:pt idx="21">
                  <c:v>-0.51153433510446356</c:v>
                </c:pt>
                <c:pt idx="22">
                  <c:v>-0.49739610255975591</c:v>
                </c:pt>
                <c:pt idx="23">
                  <c:v>-0.48310650613757139</c:v>
                </c:pt>
                <c:pt idx="24">
                  <c:v>-0.46876992944968432</c:v>
                </c:pt>
                <c:pt idx="25">
                  <c:v>-0.45447231051888598</c:v>
                </c:pt>
                <c:pt idx="26">
                  <c:v>-0.44028394861198383</c:v>
                </c:pt>
                <c:pt idx="27">
                  <c:v>-0.4262619115626769</c:v>
                </c:pt>
                <c:pt idx="28">
                  <c:v>-0.41245209503714975</c:v>
                </c:pt>
                <c:pt idx="29">
                  <c:v>-0.39889098010247626</c:v>
                </c:pt>
                <c:pt idx="30">
                  <c:v>-0.385607130386176</c:v>
                </c:pt>
                <c:pt idx="31">
                  <c:v>-0.37262246526174636</c:v>
                </c:pt>
                <c:pt idx="32">
                  <c:v>-0.35995334097089532</c:v>
                </c:pt>
                <c:pt idx="33">
                  <c:v>-0.34761146746223498</c:v>
                </c:pt>
                <c:pt idx="34">
                  <c:v>-0.33560468500525226</c:v>
                </c:pt>
                <c:pt idx="35">
                  <c:v>-0.32393762133017467</c:v>
                </c:pt>
                <c:pt idx="36">
                  <c:v>-0.31261224712659802</c:v>
                </c:pt>
                <c:pt idx="37">
                  <c:v>-0.30162834518081316</c:v>
                </c:pt>
                <c:pt idx="38">
                  <c:v>-0.29098390621245745</c:v>
                </c:pt>
                <c:pt idx="39">
                  <c:v>-0.28067546255029802</c:v>
                </c:pt>
                <c:pt idx="40">
                  <c:v>-0.27069836913193901</c:v>
                </c:pt>
                <c:pt idx="41">
                  <c:v>-0.26104703989170303</c:v>
                </c:pt>
                <c:pt idx="42">
                  <c:v>-0.25171514638509379</c:v>
                </c:pt>
                <c:pt idx="43">
                  <c:v>-0.24269578445952941</c:v>
                </c:pt>
                <c:pt idx="44">
                  <c:v>-0.23398161389655101</c:v>
                </c:pt>
                <c:pt idx="45">
                  <c:v>-0.22556497519812899</c:v>
                </c:pt>
                <c:pt idx="46">
                  <c:v>-0.21743798705052791</c:v>
                </c:pt>
                <c:pt idx="47">
                  <c:v>-0.20959262745689441</c:v>
                </c:pt>
                <c:pt idx="48">
                  <c:v>-0.20202080107038201</c:v>
                </c:pt>
                <c:pt idx="49">
                  <c:v>-0.1947143948700317</c:v>
                </c:pt>
                <c:pt idx="50">
                  <c:v>-0.18766532399258801</c:v>
                </c:pt>
                <c:pt idx="51">
                  <c:v>-0.18086556925453987</c:v>
                </c:pt>
                <c:pt idx="52">
                  <c:v>-0.17430720766270599</c:v>
                </c:pt>
                <c:pt idx="53">
                  <c:v>-0.16798243701271401</c:v>
                </c:pt>
                <c:pt idx="54">
                  <c:v>-0.161883595505703</c:v>
                </c:pt>
                <c:pt idx="55">
                  <c:v>-0.15600317717127193</c:v>
                </c:pt>
                <c:pt idx="56">
                  <c:v>-0.15033384376373901</c:v>
                </c:pt>
                <c:pt idx="57">
                  <c:v>-0.14486843369718097</c:v>
                </c:pt>
                <c:pt idx="58">
                  <c:v>-0.13959996849774844</c:v>
                </c:pt>
                <c:pt idx="59">
                  <c:v>-0.13452165717932699</c:v>
                </c:pt>
              </c:numCache>
            </c:numRef>
          </c:val>
        </c:ser>
        <c:ser>
          <c:idx val="2"/>
          <c:order val="2"/>
          <c:tx>
            <c:strRef>
              <c:f>figs2!#REF!</c:f>
              <c:strCache>
                <c:ptCount val="1"/>
                <c:pt idx="0">
                  <c:v>#REF!</c:v>
                </c:pt>
              </c:strCache>
            </c:strRef>
          </c:tx>
          <c:marker>
            <c:symbol val="triangle"/>
            <c:size val="3"/>
          </c:marker>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3"/>
          <c:order val="3"/>
          <c:tx>
            <c:strRef>
              <c:f>figs2!#REF!</c:f>
              <c:strCache>
                <c:ptCount val="1"/>
                <c:pt idx="0">
                  <c:v>#REF!</c:v>
                </c:pt>
              </c:strCache>
            </c:strRef>
          </c:tx>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4"/>
          <c:order val="4"/>
          <c:tx>
            <c:strRef>
              <c:f>'F-BL'!$B$6</c:f>
              <c:strCache>
                <c:ptCount val="1"/>
                <c:pt idx="0">
                  <c:v>inv             </c:v>
                </c:pt>
              </c:strCache>
            </c:strRef>
          </c:tx>
          <c:spPr>
            <a:ln w="12700">
              <a:solidFill>
                <a:schemeClr val="accent6"/>
              </a:solidFill>
            </a:ln>
          </c:spPr>
          <c:marker>
            <c:symbol val="triangle"/>
            <c:size val="3"/>
            <c:spPr>
              <a:solidFill>
                <a:schemeClr val="accent6"/>
              </a:solidFill>
            </c:spPr>
          </c:marker>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'F-BL'!$C$6:$BJ$6</c:f>
              <c:numCache>
                <c:formatCode>General</c:formatCode>
                <c:ptCount val="60"/>
                <c:pt idx="0">
                  <c:v>-1.2616930158329223</c:v>
                </c:pt>
                <c:pt idx="1">
                  <c:v>-1.0489688966548498</c:v>
                </c:pt>
                <c:pt idx="2">
                  <c:v>-0.89659710846021057</c:v>
                </c:pt>
                <c:pt idx="3">
                  <c:v>-0.78823065735279563</c:v>
                </c:pt>
                <c:pt idx="4">
                  <c:v>-0.71160901578599933</c:v>
                </c:pt>
                <c:pt idx="5">
                  <c:v>-0.65759837375264696</c:v>
                </c:pt>
                <c:pt idx="6">
                  <c:v>-0.61944558817049789</c:v>
                </c:pt>
                <c:pt idx="7">
                  <c:v>-0.59220077573217156</c:v>
                </c:pt>
                <c:pt idx="8">
                  <c:v>-0.57227237272505849</c:v>
                </c:pt>
                <c:pt idx="9">
                  <c:v>-0.55708578470972958</c:v>
                </c:pt>
                <c:pt idx="10">
                  <c:v>-0.54482269821204099</c:v>
                </c:pt>
                <c:pt idx="11">
                  <c:v>-0.53422293925235653</c:v>
                </c:pt>
                <c:pt idx="12">
                  <c:v>-0.52443463129085899</c:v>
                </c:pt>
                <c:pt idx="13">
                  <c:v>-0.51490149543742303</c:v>
                </c:pt>
                <c:pt idx="14">
                  <c:v>-0.50527859186398749</c:v>
                </c:pt>
                <c:pt idx="15">
                  <c:v>-0.49536974400506945</c:v>
                </c:pt>
                <c:pt idx="16">
                  <c:v>-0.48508141679983136</c:v>
                </c:pt>
                <c:pt idx="17">
                  <c:v>-0.47438901963691432</c:v>
                </c:pt>
                <c:pt idx="18">
                  <c:v>-0.46331254133993427</c:v>
                </c:pt>
                <c:pt idx="19">
                  <c:v>-0.45189915319102075</c:v>
                </c:pt>
                <c:pt idx="20">
                  <c:v>-0.44021098067733799</c:v>
                </c:pt>
                <c:pt idx="21">
                  <c:v>-0.42831668061115508</c:v>
                </c:pt>
                <c:pt idx="22">
                  <c:v>-0.41628579558989165</c:v>
                </c:pt>
                <c:pt idx="23">
                  <c:v>-0.40418511466972801</c:v>
                </c:pt>
                <c:pt idx="24">
                  <c:v>-0.39207646517927902</c:v>
                </c:pt>
                <c:pt idx="25">
                  <c:v>-0.38001550959058888</c:v>
                </c:pt>
                <c:pt idx="26">
                  <c:v>-0.36805123409317275</c:v>
                </c:pt>
                <c:pt idx="27">
                  <c:v>-0.35622590040181601</c:v>
                </c:pt>
                <c:pt idx="28">
                  <c:v>-0.34457529592175573</c:v>
                </c:pt>
                <c:pt idx="29">
                  <c:v>-0.33312916475958765</c:v>
                </c:pt>
                <c:pt idx="30">
                  <c:v>-0.32191173712250998</c:v>
                </c:pt>
                <c:pt idx="31">
                  <c:v>-0.31094230039933263</c:v>
                </c:pt>
                <c:pt idx="32">
                  <c:v>-0.30023577397216938</c:v>
                </c:pt>
                <c:pt idx="33">
                  <c:v>-0.28980326332904266</c:v>
                </c:pt>
                <c:pt idx="34">
                  <c:v>-0.27965257867490084</c:v>
                </c:pt>
                <c:pt idx="35">
                  <c:v>-0.26978870998817811</c:v>
                </c:pt>
                <c:pt idx="36">
                  <c:v>-0.26021425510639179</c:v>
                </c:pt>
                <c:pt idx="37">
                  <c:v>-0.25092980052569602</c:v>
                </c:pt>
                <c:pt idx="38">
                  <c:v>-0.24193425659275036</c:v>
                </c:pt>
                <c:pt idx="39">
                  <c:v>-0.23322514997476501</c:v>
                </c:pt>
                <c:pt idx="40">
                  <c:v>-0.22479887694955583</c:v>
                </c:pt>
                <c:pt idx="41">
                  <c:v>-0.21665092133512301</c:v>
                </c:pt>
                <c:pt idx="42">
                  <c:v>-0.20877604090395388</c:v>
                </c:pt>
                <c:pt idx="43">
                  <c:v>-0.201168425990259</c:v>
                </c:pt>
                <c:pt idx="44">
                  <c:v>-0.19382183376353088</c:v>
                </c:pt>
                <c:pt idx="45">
                  <c:v>-0.186729701354058</c:v>
                </c:pt>
                <c:pt idx="46">
                  <c:v>-0.17988524070572756</c:v>
                </c:pt>
                <c:pt idx="47">
                  <c:v>-0.173281517719411</c:v>
                </c:pt>
                <c:pt idx="48">
                  <c:v>-0.16691151794955567</c:v>
                </c:pt>
                <c:pt idx="49">
                  <c:v>-0.16076820083491214</c:v>
                </c:pt>
                <c:pt idx="50">
                  <c:v>-0.1548445441864707</c:v>
                </c:pt>
                <c:pt idx="51">
                  <c:v>-0.14913358042276925</c:v>
                </c:pt>
                <c:pt idx="52">
                  <c:v>-0.14362842583537241</c:v>
                </c:pt>
                <c:pt idx="53">
                  <c:v>-0.138322303984211</c:v>
                </c:pt>
                <c:pt idx="54">
                  <c:v>-0.13320856416246657</c:v>
                </c:pt>
                <c:pt idx="55">
                  <c:v>-0.12828069573122899</c:v>
                </c:pt>
                <c:pt idx="56">
                  <c:v>-0.12353233900395702</c:v>
                </c:pt>
                <c:pt idx="57">
                  <c:v>-0.118957293256801</c:v>
                </c:pt>
                <c:pt idx="58">
                  <c:v>-0.114549522352359</c:v>
                </c:pt>
                <c:pt idx="59">
                  <c:v>-0.11030315838823899</c:v>
                </c:pt>
              </c:numCache>
            </c:numRef>
          </c:val>
        </c:ser>
        <c:ser>
          <c:idx val="5"/>
          <c:order val="5"/>
          <c:tx>
            <c:strRef>
              <c:f>'F-BL'!$B$7</c:f>
              <c:strCache>
                <c:ptCount val="1"/>
                <c:pt idx="0">
                  <c:v>tby             </c:v>
                </c:pt>
              </c:strCache>
            </c:strRef>
          </c:tx>
          <c:spPr>
            <a:ln w="12700">
              <a:solidFill>
                <a:schemeClr val="accent6">
                  <a:lumMod val="75000"/>
                </a:schemeClr>
              </a:solidFill>
            </a:ln>
          </c:spPr>
          <c:marker>
            <c:symbol val="circle"/>
            <c:size val="3"/>
            <c:spPr>
              <a:solidFill>
                <a:schemeClr val="accent6"/>
              </a:solidFill>
            </c:spPr>
          </c:marker>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'F-BL'!$C$7:$BJ$7</c:f>
              <c:numCache>
                <c:formatCode>General</c:formatCode>
                <c:ptCount val="60"/>
                <c:pt idx="0">
                  <c:v>0.37954957655311</c:v>
                </c:pt>
                <c:pt idx="1">
                  <c:v>0.30317271523733524</c:v>
                </c:pt>
                <c:pt idx="2">
                  <c:v>0.23995125433796527</c:v>
                </c:pt>
                <c:pt idx="3">
                  <c:v>0.18778299181815214</c:v>
                </c:pt>
                <c:pt idx="4">
                  <c:v>0.14485998539524741</c:v>
                </c:pt>
                <c:pt idx="5">
                  <c:v>0.10964144051296019</c:v>
                </c:pt>
                <c:pt idx="6">
                  <c:v>8.0823734054914984E-2</c:v>
                </c:pt>
                <c:pt idx="7">
                  <c:v>5.7310345453384301E-2</c:v>
                </c:pt>
                <c:pt idx="8">
                  <c:v>3.8183326902220004E-2</c:v>
                </c:pt>
                <c:pt idx="9">
                  <c:v>2.2677188040357642E-2</c:v>
                </c:pt>
                <c:pt idx="10">
                  <c:v>1.0155579858968488E-2</c:v>
                </c:pt>
                <c:pt idx="11" formatCode="0.00E+00">
                  <c:v>9.0854225110299048E-5</c:v>
                </c:pt>
                <c:pt idx="12">
                  <c:v>-7.9536094819835732E-3</c:v>
                </c:pt>
                <c:pt idx="13">
                  <c:v>-1.4338521691929123E-2</c:v>
                </c:pt>
                <c:pt idx="14">
                  <c:v>-1.9361503783185657E-2</c:v>
                </c:pt>
                <c:pt idx="15">
                  <c:v>-2.32678875599974E-2</c:v>
                </c:pt>
                <c:pt idx="16">
                  <c:v>-2.6259761455450212E-2</c:v>
                </c:pt>
                <c:pt idx="17">
                  <c:v>-2.8503513878578801E-2</c:v>
                </c:pt>
                <c:pt idx="18">
                  <c:v>-3.0136100186884052E-2</c:v>
                </c:pt>
                <c:pt idx="19">
                  <c:v>-3.1270233626465256E-2</c:v>
                </c:pt>
                <c:pt idx="20">
                  <c:v>-3.1998674561943698E-2</c:v>
                </c:pt>
                <c:pt idx="21">
                  <c:v>-3.2397767769286011E-2</c:v>
                </c:pt>
                <c:pt idx="22">
                  <c:v>-3.2530355197738198E-2</c:v>
                </c:pt>
                <c:pt idx="23">
                  <c:v>-3.2448171720485815E-2</c:v>
                </c:pt>
                <c:pt idx="24">
                  <c:v>-3.2193814027056296E-2</c:v>
                </c:pt>
                <c:pt idx="25">
                  <c:v>-3.1802357851195256E-2</c:v>
                </c:pt>
                <c:pt idx="26">
                  <c:v>-3.1302685979577999E-2</c:v>
                </c:pt>
                <c:pt idx="27">
                  <c:v>-3.0718578715093099E-2</c:v>
                </c:pt>
                <c:pt idx="28">
                  <c:v>-3.0069609429835012E-2</c:v>
                </c:pt>
                <c:pt idx="29">
                  <c:v>-2.9371880301359898E-2</c:v>
                </c:pt>
                <c:pt idx="30">
                  <c:v>-2.8638627062489756E-2</c:v>
                </c:pt>
                <c:pt idx="31">
                  <c:v>-2.7880716413317685E-2</c:v>
                </c:pt>
                <c:pt idx="32">
                  <c:v>-2.710705547086591E-2</c:v>
                </c:pt>
                <c:pt idx="33">
                  <c:v>-2.63249291170581E-2</c:v>
                </c:pt>
                <c:pt idx="34">
                  <c:v>-2.5540278220793612E-2</c:v>
                </c:pt>
                <c:pt idx="35">
                  <c:v>-2.4757929346228467E-2</c:v>
                </c:pt>
                <c:pt idx="36">
                  <c:v>-2.3981784625315552E-2</c:v>
                </c:pt>
                <c:pt idx="37">
                  <c:v>-2.3214978891727311E-2</c:v>
                </c:pt>
                <c:pt idx="38">
                  <c:v>-2.24600098821389E-2</c:v>
                </c:pt>
                <c:pt idx="39">
                  <c:v>-2.1718846256726002E-2</c:v>
                </c:pt>
                <c:pt idx="40">
                  <c:v>-2.0993017330471299E-2</c:v>
                </c:pt>
                <c:pt idx="41">
                  <c:v>-2.0283687704801406E-2</c:v>
                </c:pt>
                <c:pt idx="42">
                  <c:v>-1.9591719416034031E-2</c:v>
                </c:pt>
                <c:pt idx="43">
                  <c:v>-1.8917723749240705E-2</c:v>
                </c:pt>
                <c:pt idx="44">
                  <c:v>-1.8262104483948341E-2</c:v>
                </c:pt>
                <c:pt idx="45">
                  <c:v>-1.7625094025661099E-2</c:v>
                </c:pt>
                <c:pt idx="46">
                  <c:v>-1.7006783621656699E-2</c:v>
                </c:pt>
                <c:pt idx="47">
                  <c:v>-1.6407148650218781E-2</c:v>
                </c:pt>
                <c:pt idx="48">
                  <c:v>-1.5826069800963023E-2</c:v>
                </c:pt>
                <c:pt idx="49">
                  <c:v>-1.5263350823160021E-2</c:v>
                </c:pt>
                <c:pt idx="50">
                  <c:v>-1.4718733403311798E-2</c:v>
                </c:pt>
                <c:pt idx="51">
                  <c:v>-1.4191909638099E-2</c:v>
                </c:pt>
                <c:pt idx="52">
                  <c:v>-1.3682532490422613E-2</c:v>
                </c:pt>
                <c:pt idx="53">
                  <c:v>-1.31902245515855E-2</c:v>
                </c:pt>
                <c:pt idx="54">
                  <c:v>-1.2714585379211905E-2</c:v>
                </c:pt>
                <c:pt idx="55">
                  <c:v>-1.2255197636241199E-2</c:v>
                </c:pt>
                <c:pt idx="56">
                  <c:v>-1.1811632219676307E-2</c:v>
                </c:pt>
                <c:pt idx="57">
                  <c:v>-1.1383452537279201E-2</c:v>
                </c:pt>
                <c:pt idx="58">
                  <c:v>-1.09702180650816E-2</c:v>
                </c:pt>
                <c:pt idx="59">
                  <c:v>-1.0571487297451401E-2</c:v>
                </c:pt>
              </c:numCache>
            </c:numRef>
          </c:val>
        </c:ser>
        <c:ser>
          <c:idx val="6"/>
          <c:order val="6"/>
          <c:tx>
            <c:strRef>
              <c:f>figs2!#REF!</c:f>
              <c:strCache>
                <c:ptCount val="1"/>
                <c:pt idx="0">
                  <c:v>#REF!</c:v>
                </c:pt>
              </c:strCache>
            </c:strRef>
          </c:tx>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7"/>
          <c:order val="7"/>
          <c:tx>
            <c:strRef>
              <c:f>figs2!#REF!</c:f>
              <c:strCache>
                <c:ptCount val="1"/>
                <c:pt idx="0">
                  <c:v>#REF!</c:v>
                </c:pt>
              </c:strCache>
            </c:strRef>
          </c:tx>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8"/>
          <c:order val="8"/>
          <c:tx>
            <c:strRef>
              <c:f>figs2!#REF!</c:f>
              <c:strCache>
                <c:ptCount val="1"/>
                <c:pt idx="0">
                  <c:v>#REF!</c:v>
                </c:pt>
              </c:strCache>
            </c:strRef>
          </c:tx>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9"/>
          <c:order val="9"/>
          <c:tx>
            <c:strRef>
              <c:f>figs2!#REF!</c:f>
              <c:strCache>
                <c:ptCount val="1"/>
                <c:pt idx="0">
                  <c:v>#REF!</c:v>
                </c:pt>
              </c:strCache>
            </c:strRef>
          </c:tx>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10"/>
          <c:order val="10"/>
          <c:tx>
            <c:strRef>
              <c:f>figs2!#REF!</c:f>
              <c:strCache>
                <c:ptCount val="1"/>
                <c:pt idx="0">
                  <c:v>#REF!</c:v>
                </c:pt>
              </c:strCache>
            </c:strRef>
          </c:tx>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11"/>
          <c:order val="11"/>
          <c:tx>
            <c:strRef>
              <c:f>figs2!#REF!</c:f>
              <c:strCache>
                <c:ptCount val="1"/>
                <c:pt idx="0">
                  <c:v>#REF!</c:v>
                </c:pt>
              </c:strCache>
            </c:strRef>
          </c:tx>
          <c:dPt>
            <c:idx val="0"/>
            <c:marker>
              <c:symbol val="none"/>
            </c:marker>
          </c:dPt>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figs2!#REF!</c:f>
              <c:numCache>
                <c:formatCode>General</c:formatCode>
                <c:ptCount val="1"/>
                <c:pt idx="0">
                  <c:v>1</c:v>
                </c:pt>
              </c:numCache>
            </c:numRef>
          </c:val>
        </c:ser>
        <c:ser>
          <c:idx val="12"/>
          <c:order val="12"/>
          <c:tx>
            <c:strRef>
              <c:f>'F-BL'!$B$8</c:f>
              <c:strCache>
                <c:ptCount val="1"/>
                <c:pt idx="0">
                  <c:v>z</c:v>
                </c:pt>
              </c:strCache>
            </c:strRef>
          </c:tx>
          <c:spPr>
            <a:ln w="12700">
              <a:solidFill>
                <a:schemeClr val="accent1"/>
              </a:solidFill>
            </a:ln>
          </c:spPr>
          <c:marker>
            <c:symbol val="circle"/>
            <c:size val="3"/>
            <c:spPr>
              <a:solidFill>
                <a:srgbClr val="7030A0"/>
              </a:solidFill>
            </c:spPr>
          </c:marker>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'F-BL'!$C$8:$BJ$8</c:f>
              <c:numCache>
                <c:formatCode>General</c:formatCode>
                <c:ptCount val="60"/>
                <c:pt idx="0">
                  <c:v>-0.28831964277717198</c:v>
                </c:pt>
                <c:pt idx="1">
                  <c:v>-0.38043737066535038</c:v>
                </c:pt>
                <c:pt idx="2">
                  <c:v>-0.45227914098507599</c:v>
                </c:pt>
                <c:pt idx="3">
                  <c:v>-0.50747579782663965</c:v>
                </c:pt>
                <c:pt idx="4">
                  <c:v>-0.54901560130979288</c:v>
                </c:pt>
                <c:pt idx="5">
                  <c:v>-0.57936001398899695</c:v>
                </c:pt>
                <c:pt idx="6">
                  <c:v>-0.60053823432865505</c:v>
                </c:pt>
                <c:pt idx="7">
                  <c:v>-0.61422442781631004</c:v>
                </c:pt>
                <c:pt idx="8">
                  <c:v>-0.62180086817590063</c:v>
                </c:pt>
                <c:pt idx="9">
                  <c:v>-0.62440960045515226</c:v>
                </c:pt>
                <c:pt idx="10">
                  <c:v>-0.62299474927500065</c:v>
                </c:pt>
                <c:pt idx="11">
                  <c:v>-0.61833719851170998</c:v>
                </c:pt>
                <c:pt idx="12">
                  <c:v>-0.61108304614453313</c:v>
                </c:pt>
                <c:pt idx="13">
                  <c:v>-0.60176697604234597</c:v>
                </c:pt>
                <c:pt idx="14">
                  <c:v>-0.59083147573653549</c:v>
                </c:pt>
                <c:pt idx="15">
                  <c:v>-0.57864265648546276</c:v>
                </c:pt>
                <c:pt idx="16">
                  <c:v>-0.56550329165268498</c:v>
                </c:pt>
                <c:pt idx="17">
                  <c:v>-0.55166357547473099</c:v>
                </c:pt>
                <c:pt idx="18">
                  <c:v>-0.53733001171360051</c:v>
                </c:pt>
                <c:pt idx="19">
                  <c:v>-0.52267276644277305</c:v>
                </c:pt>
                <c:pt idx="20">
                  <c:v>-0.507831758025168</c:v>
                </c:pt>
                <c:pt idx="21">
                  <c:v>-0.49292170755837067</c:v>
                </c:pt>
                <c:pt idx="22">
                  <c:v>-0.47803633253258593</c:v>
                </c:pt>
                <c:pt idx="23">
                  <c:v>-0.46325183342859061</c:v>
                </c:pt>
                <c:pt idx="24">
                  <c:v>-0.44862979606283432</c:v>
                </c:pt>
                <c:pt idx="25">
                  <c:v>-0.43421961052143099</c:v>
                </c:pt>
                <c:pt idx="26">
                  <c:v>-0.42006048958542808</c:v>
                </c:pt>
                <c:pt idx="27">
                  <c:v>-0.40618315488456902</c:v>
                </c:pt>
                <c:pt idx="28">
                  <c:v>-0.39261124701722105</c:v>
                </c:pt>
                <c:pt idx="29">
                  <c:v>-0.37936250604344818</c:v>
                </c:pt>
                <c:pt idx="30">
                  <c:v>-0.36644976069783924</c:v>
                </c:pt>
                <c:pt idx="31">
                  <c:v>-0.35388175804979438</c:v>
                </c:pt>
                <c:pt idx="32">
                  <c:v>-0.34166385989918502</c:v>
                </c:pt>
                <c:pt idx="33">
                  <c:v>-0.32979862771796892</c:v>
                </c:pt>
                <c:pt idx="34">
                  <c:v>-0.31828631425897363</c:v>
                </c:pt>
                <c:pt idx="35">
                  <c:v>-0.30712527690886188</c:v>
                </c:pt>
                <c:pt idx="36">
                  <c:v>-0.2963123253468874</c:v>
                </c:pt>
                <c:pt idx="37">
                  <c:v>-0.28584301399046796</c:v>
                </c:pt>
                <c:pt idx="38">
                  <c:v>-0.27571188798441937</c:v>
                </c:pt>
                <c:pt idx="39">
                  <c:v>-0.26591269006035168</c:v>
                </c:pt>
                <c:pt idx="40">
                  <c:v>-0.256438534404755</c:v>
                </c:pt>
                <c:pt idx="41">
                  <c:v>-0.24728205268531844</c:v>
                </c:pt>
                <c:pt idx="42">
                  <c:v>-0.23843551656158399</c:v>
                </c:pt>
                <c:pt idx="43">
                  <c:v>-0.22989094031877788</c:v>
                </c:pt>
                <c:pt idx="44">
                  <c:v>-0.221640166689339</c:v>
                </c:pt>
                <c:pt idx="45">
                  <c:v>-0.21367493844631499</c:v>
                </c:pt>
                <c:pt idx="46">
                  <c:v>-0.20598695795020144</c:v>
                </c:pt>
                <c:pt idx="47">
                  <c:v>-0.19856793649301099</c:v>
                </c:pt>
                <c:pt idx="48">
                  <c:v>-0.191409634999576</c:v>
                </c:pt>
                <c:pt idx="49">
                  <c:v>-0.18450389740731488</c:v>
                </c:pt>
                <c:pt idx="50">
                  <c:v>-0.17784267784451388</c:v>
                </c:pt>
                <c:pt idx="51">
                  <c:v>-0.17141806255762565</c:v>
                </c:pt>
                <c:pt idx="52">
                  <c:v>-0.16522228739447067</c:v>
                </c:pt>
                <c:pt idx="53">
                  <c:v>-0.15924775152954257</c:v>
                </c:pt>
                <c:pt idx="54">
                  <c:v>-0.15348702801444244</c:v>
                </c:pt>
                <c:pt idx="55">
                  <c:v>-0.14793287165001401</c:v>
                </c:pt>
                <c:pt idx="56">
                  <c:v>-0.14257822460260897</c:v>
                </c:pt>
                <c:pt idx="57">
                  <c:v>-0.13741622012447047</c:v>
                </c:pt>
                <c:pt idx="58">
                  <c:v>-0.13244018468476709</c:v>
                </c:pt>
                <c:pt idx="59">
                  <c:v>-0.12764363877262999</c:v>
                </c:pt>
              </c:numCache>
            </c:numRef>
          </c:val>
        </c:ser>
        <c:ser>
          <c:idx val="14"/>
          <c:order val="13"/>
          <c:tx>
            <c:strRef>
              <c:f>'F-BL'!$B$9</c:f>
              <c:strCache>
                <c:ptCount val="1"/>
                <c:pt idx="0">
                  <c:v>tot </c:v>
                </c:pt>
              </c:strCache>
            </c:strRef>
          </c:tx>
          <c:spPr>
            <a:ln w="15875">
              <a:solidFill>
                <a:schemeClr val="tx1"/>
              </a:solidFill>
              <a:prstDash val="sysDash"/>
            </a:ln>
          </c:spPr>
          <c:marker>
            <c:symbol val="none"/>
          </c:marker>
          <c:dPt>
            <c:idx val="0"/>
            <c:spPr>
              <a:ln w="15875">
                <a:solidFill>
                  <a:schemeClr val="tx1"/>
                </a:solidFill>
              </a:ln>
            </c:spPr>
          </c:dPt>
          <c:cat>
            <c:numRef>
              <c:f>'F-BL'!$C$3:$BJ$3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'F-BL'!$C$9:$BJ$9</c:f>
              <c:numCache>
                <c:formatCode>General</c:formatCode>
                <c:ptCount val="60"/>
                <c:pt idx="0">
                  <c:v>1</c:v>
                </c:pt>
                <c:pt idx="1">
                  <c:v>0.96316000000000002</c:v>
                </c:pt>
                <c:pt idx="2">
                  <c:v>0.92767718560000001</c:v>
                </c:pt>
                <c:pt idx="3">
                  <c:v>0.89350155808249598</c:v>
                </c:pt>
                <c:pt idx="4">
                  <c:v>0.86058496068273649</c:v>
                </c:pt>
                <c:pt idx="5">
                  <c:v>0.8288810107311998</c:v>
                </c:pt>
                <c:pt idx="6">
                  <c:v>0.79834503429586134</c:v>
                </c:pt>
                <c:pt idx="7">
                  <c:v>0.76893400323240368</c:v>
                </c:pt>
                <c:pt idx="8">
                  <c:v>0.74060647455332662</c:v>
                </c:pt>
                <c:pt idx="9">
                  <c:v>0.71332253203076401</c:v>
                </c:pt>
                <c:pt idx="10">
                  <c:v>0.68704372995075058</c:v>
                </c:pt>
                <c:pt idx="11">
                  <c:v>0.66173303893936564</c:v>
                </c:pt>
                <c:pt idx="12">
                  <c:v>0.63735479378483895</c:v>
                </c:pt>
                <c:pt idx="13">
                  <c:v>0.61387464318182283</c:v>
                </c:pt>
                <c:pt idx="14">
                  <c:v>0.59125950132698757</c:v>
                </c:pt>
                <c:pt idx="15">
                  <c:v>0.56947750129810204</c:v>
                </c:pt>
                <c:pt idx="16">
                  <c:v>0.54849795015028002</c:v>
                </c:pt>
                <c:pt idx="17">
                  <c:v>0.52829128566674299</c:v>
                </c:pt>
                <c:pt idx="18">
                  <c:v>0.50882903470278062</c:v>
                </c:pt>
                <c:pt idx="19">
                  <c:v>0.49008377306433998</c:v>
                </c:pt>
                <c:pt idx="20">
                  <c:v>0.47202908686465328</c:v>
                </c:pt>
                <c:pt idx="21">
                  <c:v>0.45463953530454698</c:v>
                </c:pt>
                <c:pt idx="22">
                  <c:v>0.43789061482392738</c:v>
                </c:pt>
                <c:pt idx="23">
                  <c:v>0.42175872457381408</c:v>
                </c:pt>
                <c:pt idx="24">
                  <c:v>0.406221133160515</c:v>
                </c:pt>
                <c:pt idx="25">
                  <c:v>0.39125594661488688</c:v>
                </c:pt>
                <c:pt idx="26">
                  <c:v>0.37684207754158938</c:v>
                </c:pt>
                <c:pt idx="27">
                  <c:v>0.36295921540496373</c:v>
                </c:pt>
                <c:pt idx="28">
                  <c:v>0.34958779790945477</c:v>
                </c:pt>
                <c:pt idx="29">
                  <c:v>0.33670898343447175</c:v>
                </c:pt>
                <c:pt idx="30">
                  <c:v>0.32430462448473663</c:v>
                </c:pt>
                <c:pt idx="31">
                  <c:v>0.31235724211871202</c:v>
                </c:pt>
                <c:pt idx="32">
                  <c:v>0.30085000131907236</c:v>
                </c:pt>
                <c:pt idx="33">
                  <c:v>0.2897666872704765</c:v>
                </c:pt>
                <c:pt idx="34">
                  <c:v>0.27909168251142003</c:v>
                </c:pt>
                <c:pt idx="35">
                  <c:v>0.26880994492770038</c:v>
                </c:pt>
                <c:pt idx="36">
                  <c:v>0.25890698655656302</c:v>
                </c:pt>
                <c:pt idx="37">
                  <c:v>0.24936885317182431</c:v>
                </c:pt>
                <c:pt idx="38">
                  <c:v>0.24018210462097001</c:v>
                </c:pt>
                <c:pt idx="39">
                  <c:v>0.23133379588673444</c:v>
                </c:pt>
                <c:pt idx="40">
                  <c:v>0.22281145884627088</c:v>
                </c:pt>
                <c:pt idx="41">
                  <c:v>0.21460308470237424</c:v>
                </c:pt>
                <c:pt idx="42">
                  <c:v>0.20669710706193725</c:v>
                </c:pt>
                <c:pt idx="43">
                  <c:v>0.19908238563777444</c:v>
                </c:pt>
                <c:pt idx="44">
                  <c:v>0.19174819055088224</c:v>
                </c:pt>
                <c:pt idx="45">
                  <c:v>0.18468418721098301</c:v>
                </c:pt>
                <c:pt idx="46">
                  <c:v>0.17788042175412999</c:v>
                </c:pt>
                <c:pt idx="47">
                  <c:v>0.17132730701670801</c:v>
                </c:pt>
                <c:pt idx="48">
                  <c:v>0.16501560902621201</c:v>
                </c:pt>
                <c:pt idx="49">
                  <c:v>0.15893643398969184</c:v>
                </c:pt>
                <c:pt idx="50">
                  <c:v>0.15308121576150699</c:v>
                </c:pt>
                <c:pt idx="51">
                  <c:v>0.14744170377285687</c:v>
                </c:pt>
                <c:pt idx="52">
                  <c:v>0.14200995140586456</c:v>
                </c:pt>
                <c:pt idx="53">
                  <c:v>0.13677830479607242</c:v>
                </c:pt>
                <c:pt idx="54">
                  <c:v>0.13173939204738738</c:v>
                </c:pt>
                <c:pt idx="55">
                  <c:v>0.126886112844356</c:v>
                </c:pt>
                <c:pt idx="56">
                  <c:v>0.12221162844717263</c:v>
                </c:pt>
                <c:pt idx="57">
                  <c:v>0.11770935205517602</c:v>
                </c:pt>
                <c:pt idx="58">
                  <c:v>0.11337293952546385</c:v>
                </c:pt>
                <c:pt idx="59">
                  <c:v>0.10919628043334932</c:v>
                </c:pt>
              </c:numCache>
            </c:numRef>
          </c:val>
        </c:ser>
        <c:dLbls/>
        <c:marker val="1"/>
        <c:axId val="143346688"/>
        <c:axId val="143364864"/>
      </c:lineChart>
      <c:catAx>
        <c:axId val="143346688"/>
        <c:scaling>
          <c:orientation val="minMax"/>
        </c:scaling>
        <c:axPos val="b"/>
        <c:numFmt formatCode="General" sourceLinked="1"/>
        <c:tickLblPos val="nextTo"/>
        <c:crossAx val="143364864"/>
        <c:crossesAt val="-1.5"/>
        <c:auto val="1"/>
        <c:lblAlgn val="ctr"/>
        <c:lblOffset val="100"/>
        <c:tickLblSkip val="4"/>
      </c:catAx>
      <c:valAx>
        <c:axId val="143364864"/>
        <c:scaling>
          <c:orientation val="minMax"/>
          <c:max val="1"/>
          <c:min val="-1.5"/>
        </c:scaling>
        <c:axPos val="l"/>
        <c:numFmt formatCode="General" sourceLinked="1"/>
        <c:tickLblPos val="nextTo"/>
        <c:crossAx val="143346688"/>
        <c:crosses val="autoZero"/>
        <c:crossBetween val="midCat"/>
      </c:valAx>
      <c:spPr>
        <a:noFill/>
        <a:ln w="25400">
          <a:noFill/>
        </a:ln>
      </c:spPr>
    </c:plotArea>
    <c:legend>
      <c:legendPos val="t"/>
      <c:legendEntry>
        <c:idx val="2"/>
        <c:delete val="1"/>
      </c:legendEntry>
      <c:legendEntry>
        <c:idx val="3"/>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ayout>
        <c:manualLayout>
          <c:xMode val="edge"/>
          <c:yMode val="edge"/>
          <c:x val="0.51518020247469065"/>
          <c:y val="1.7257014760814849E-6"/>
          <c:w val="0.483159205099363"/>
          <c:h val="0.21769430291801761"/>
        </c:manualLayout>
      </c:layout>
      <c:txPr>
        <a:bodyPr/>
        <a:lstStyle/>
        <a:p>
          <a:pPr>
            <a:defRPr sz="1000" b="1" i="1">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18.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3512648467579688"/>
          <c:y val="3.0028334526366052E-2"/>
          <c:w val="0.82552978543051769"/>
          <c:h val="0.79560434638502964"/>
        </c:manualLayout>
      </c:layout>
      <c:lineChart>
        <c:grouping val="standard"/>
        <c:ser>
          <c:idx val="0"/>
          <c:order val="0"/>
          <c:tx>
            <c:strRef>
              <c:f>'F-BL'!$B$24</c:f>
              <c:strCache>
                <c:ptCount val="1"/>
                <c:pt idx="0">
                  <c:v>h               </c:v>
                </c:pt>
              </c:strCache>
            </c:strRef>
          </c:tx>
          <c:spPr>
            <a:ln w="12700"/>
          </c:spPr>
          <c:marker>
            <c:symbol val="diamond"/>
            <c:size val="3"/>
          </c:marker>
          <c:cat>
            <c:numRef>
              <c:f>'F-BL'!$C$23:$BJ$23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'F-BL'!$C$24:$BJ$24</c:f>
              <c:numCache>
                <c:formatCode>General</c:formatCode>
                <c:ptCount val="60"/>
                <c:pt idx="0">
                  <c:v>-0.14666354936950288</c:v>
                </c:pt>
                <c:pt idx="1">
                  <c:v>-0.27381105197085065</c:v>
                </c:pt>
                <c:pt idx="2">
                  <c:v>-0.38267809630848376</c:v>
                </c:pt>
                <c:pt idx="3">
                  <c:v>-0.47484970884966876</c:v>
                </c:pt>
                <c:pt idx="4">
                  <c:v>-0.552053191509153</c:v>
                </c:pt>
                <c:pt idx="5">
                  <c:v>-0.61602485573684562</c:v>
                </c:pt>
                <c:pt idx="6">
                  <c:v>-0.66842806205534389</c:v>
                </c:pt>
                <c:pt idx="7">
                  <c:v>-0.71080639160372505</c:v>
                </c:pt>
                <c:pt idx="8">
                  <c:v>-0.74456044573894353</c:v>
                </c:pt>
                <c:pt idx="9">
                  <c:v>-0.77094015472034205</c:v>
                </c:pt>
                <c:pt idx="10">
                  <c:v>-0.79104691987488163</c:v>
                </c:pt>
                <c:pt idx="11">
                  <c:v>-0.80584166860202755</c:v>
                </c:pt>
                <c:pt idx="12">
                  <c:v>-0.81615615473989989</c:v>
                </c:pt>
                <c:pt idx="13">
                  <c:v>-0.82270572545039777</c:v>
                </c:pt>
                <c:pt idx="14">
                  <c:v>-0.82610240063899265</c:v>
                </c:pt>
                <c:pt idx="15">
                  <c:v>-0.82686754577649457</c:v>
                </c:pt>
                <c:pt idx="16">
                  <c:v>-0.82544371769030334</c:v>
                </c:pt>
                <c:pt idx="17">
                  <c:v>-0.82220546464796196</c:v>
                </c:pt>
                <c:pt idx="18">
                  <c:v>-0.81746899529182149</c:v>
                </c:pt>
                <c:pt idx="19">
                  <c:v>-0.81150071623419306</c:v>
                </c:pt>
                <c:pt idx="20">
                  <c:v>-0.80452469014621697</c:v>
                </c:pt>
                <c:pt idx="21">
                  <c:v>-0.79672909551600424</c:v>
                </c:pt>
                <c:pt idx="22">
                  <c:v>-0.788271783400044</c:v>
                </c:pt>
                <c:pt idx="23">
                  <c:v>-0.77928503072213495</c:v>
                </c:pt>
                <c:pt idx="24">
                  <c:v>-0.76987958765632525</c:v>
                </c:pt>
                <c:pt idx="25">
                  <c:v>-0.76014811090280165</c:v>
                </c:pt>
                <c:pt idx="26">
                  <c:v>-0.75016806693870863</c:v>
                </c:pt>
                <c:pt idx="27">
                  <c:v>-0.74000418074029251</c:v>
                </c:pt>
                <c:pt idx="28">
                  <c:v>-0.72971049676283795</c:v>
                </c:pt>
                <c:pt idx="29">
                  <c:v>-0.71933211058101498</c:v>
                </c:pt>
                <c:pt idx="30">
                  <c:v>-0.70890662179715458</c:v>
                </c:pt>
                <c:pt idx="31">
                  <c:v>-0.69846535174863456</c:v>
                </c:pt>
                <c:pt idx="32">
                  <c:v>-0.68803436323496758</c:v>
                </c:pt>
                <c:pt idx="33">
                  <c:v>-0.67763531393263265</c:v>
                </c:pt>
                <c:pt idx="34">
                  <c:v>-0.66728617033198401</c:v>
                </c:pt>
                <c:pt idx="35">
                  <c:v>-0.65700180485716264</c:v>
                </c:pt>
                <c:pt idx="36">
                  <c:v>-0.64679449525205734</c:v>
                </c:pt>
                <c:pt idx="37">
                  <c:v>-0.63667434226451292</c:v>
                </c:pt>
                <c:pt idx="38">
                  <c:v>-0.62664961907193284</c:v>
                </c:pt>
                <c:pt idx="39">
                  <c:v>-0.61672706370251063</c:v>
                </c:pt>
                <c:pt idx="40">
                  <c:v>-0.6069121238615105</c:v>
                </c:pt>
                <c:pt idx="41">
                  <c:v>-0.59720916202190621</c:v>
                </c:pt>
                <c:pt idx="42">
                  <c:v>-0.58762162733874546</c:v>
                </c:pt>
                <c:pt idx="43">
                  <c:v>-0.57815219985763378</c:v>
                </c:pt>
                <c:pt idx="44">
                  <c:v>-0.56880291157976004</c:v>
                </c:pt>
                <c:pt idx="45">
                  <c:v>-0.55957524818429105</c:v>
                </c:pt>
                <c:pt idx="46">
                  <c:v>-0.55047023457893263</c:v>
                </c:pt>
                <c:pt idx="47">
                  <c:v>-0.54148850691908901</c:v>
                </c:pt>
                <c:pt idx="48">
                  <c:v>-0.53263037329860863</c:v>
                </c:pt>
                <c:pt idx="49">
                  <c:v>-0.52389586494853724</c:v>
                </c:pt>
                <c:pt idx="50">
                  <c:v>-0.51528477947610896</c:v>
                </c:pt>
                <c:pt idx="51">
                  <c:v>-0.50679671742319288</c:v>
                </c:pt>
                <c:pt idx="52">
                  <c:v>-0.49843111321167932</c:v>
                </c:pt>
                <c:pt idx="53">
                  <c:v>-0.49018726136947083</c:v>
                </c:pt>
                <c:pt idx="54">
                  <c:v>-0.48206433878236432</c:v>
                </c:pt>
                <c:pt idx="55">
                  <c:v>-0.47406142359796338</c:v>
                </c:pt>
                <c:pt idx="56">
                  <c:v>-0.46617751130393698</c:v>
                </c:pt>
                <c:pt idx="57">
                  <c:v>-0.45841152842028099</c:v>
                </c:pt>
                <c:pt idx="58">
                  <c:v>-0.45076234417350575</c:v>
                </c:pt>
                <c:pt idx="59">
                  <c:v>-0.44322878046233399</c:v>
                </c:pt>
              </c:numCache>
            </c:numRef>
          </c:val>
        </c:ser>
        <c:ser>
          <c:idx val="1"/>
          <c:order val="1"/>
          <c:tx>
            <c:strRef>
              <c:f>'F-BL'!$B$25</c:f>
              <c:strCache>
                <c:ptCount val="1"/>
                <c:pt idx="0">
                  <c:v>y               </c:v>
                </c:pt>
              </c:strCache>
            </c:strRef>
          </c:tx>
          <c:spPr>
            <a:ln w="12700"/>
          </c:spPr>
          <c:marker>
            <c:symbol val="square"/>
            <c:size val="3"/>
          </c:marker>
          <c:cat>
            <c:numRef>
              <c:f>'F-BL'!$C$23:$BJ$23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'F-BL'!$C$25:$BJ$25</c:f>
              <c:numCache>
                <c:formatCode>General</c:formatCode>
                <c:ptCount val="60"/>
                <c:pt idx="0">
                  <c:v>-0.12928120277756244</c:v>
                </c:pt>
                <c:pt idx="1">
                  <c:v>-0.24741555055942055</c:v>
                </c:pt>
                <c:pt idx="2">
                  <c:v>-0.34791455182058767</c:v>
                </c:pt>
                <c:pt idx="3">
                  <c:v>-0.43257945374902163</c:v>
                </c:pt>
                <c:pt idx="4">
                  <c:v>-0.50322983763947426</c:v>
                </c:pt>
                <c:pt idx="5">
                  <c:v>-0.561614101021501</c:v>
                </c:pt>
                <c:pt idx="6">
                  <c:v>-0.60935796291617494</c:v>
                </c:pt>
                <c:pt idx="7">
                  <c:v>-0.64793857184120296</c:v>
                </c:pt>
                <c:pt idx="8">
                  <c:v>-0.67867544788603984</c:v>
                </c:pt>
                <c:pt idx="9">
                  <c:v>-0.70273212627024451</c:v>
                </c:pt>
                <c:pt idx="10">
                  <c:v>-0.72112426340200964</c:v>
                </c:pt>
                <c:pt idx="11">
                  <c:v>-0.73473131884654963</c:v>
                </c:pt>
                <c:pt idx="12">
                  <c:v>-0.744309885848919</c:v>
                </c:pt>
                <c:pt idx="13">
                  <c:v>-0.75050741778395402</c:v>
                </c:pt>
                <c:pt idx="14">
                  <c:v>-0.75387556768146846</c:v>
                </c:pt>
                <c:pt idx="15">
                  <c:v>-0.75488268087493959</c:v>
                </c:pt>
                <c:pt idx="16">
                  <c:v>-0.75392519912020062</c:v>
                </c:pt>
                <c:pt idx="17">
                  <c:v>-0.75133787888147363</c:v>
                </c:pt>
                <c:pt idx="18">
                  <c:v>-0.74740281903033501</c:v>
                </c:pt>
                <c:pt idx="19">
                  <c:v>-0.74235734985927559</c:v>
                </c:pt>
                <c:pt idx="20">
                  <c:v>-0.73640086745586064</c:v>
                </c:pt>
                <c:pt idx="21">
                  <c:v>-0.72970071318932939</c:v>
                </c:pt>
                <c:pt idx="22">
                  <c:v>-0.72239720302003263</c:v>
                </c:pt>
                <c:pt idx="23">
                  <c:v>-0.71460790952090003</c:v>
                </c:pt>
                <c:pt idx="24">
                  <c:v>-0.70643129363122803</c:v>
                </c:pt>
                <c:pt idx="25">
                  <c:v>-0.69794977510452572</c:v>
                </c:pt>
                <c:pt idx="26">
                  <c:v>-0.6892323215894165</c:v>
                </c:pt>
                <c:pt idx="27">
                  <c:v>-0.68033662709767051</c:v>
                </c:pt>
                <c:pt idx="28">
                  <c:v>-0.6713109417504205</c:v>
                </c:pt>
                <c:pt idx="29">
                  <c:v>-0.66219560644389386</c:v>
                </c:pt>
                <c:pt idx="30">
                  <c:v>-0.65302433857754039</c:v>
                </c:pt>
                <c:pt idx="31">
                  <c:v>-0.64382530829895734</c:v>
                </c:pt>
                <c:pt idx="32">
                  <c:v>-0.63462203882941526</c:v>
                </c:pt>
                <c:pt idx="33">
                  <c:v>-0.625434159308211</c:v>
                </c:pt>
                <c:pt idx="34">
                  <c:v>-0.61627803416536264</c:v>
                </c:pt>
                <c:pt idx="35">
                  <c:v>-0.60716728923630059</c:v>
                </c:pt>
                <c:pt idx="36">
                  <c:v>-0.59811325159627149</c:v>
                </c:pt>
                <c:pt idx="37">
                  <c:v>-0.58912531734504903</c:v>
                </c:pt>
                <c:pt idx="38">
                  <c:v>-0.58021125925148698</c:v>
                </c:pt>
                <c:pt idx="39">
                  <c:v>-0.57137748421131596</c:v>
                </c:pt>
                <c:pt idx="40">
                  <c:v>-0.56262924882816234</c:v>
                </c:pt>
                <c:pt idx="41">
                  <c:v>-0.55397084004988884</c:v>
                </c:pt>
                <c:pt idx="42">
                  <c:v>-0.54540572663970865</c:v>
                </c:pt>
                <c:pt idx="43">
                  <c:v>-0.53693668629803704</c:v>
                </c:pt>
                <c:pt idx="44">
                  <c:v>-0.52856591244749762</c:v>
                </c:pt>
                <c:pt idx="45">
                  <c:v>-0.52029510402365897</c:v>
                </c:pt>
                <c:pt idx="46">
                  <c:v>-0.51212554105604757</c:v>
                </c:pt>
                <c:pt idx="47">
                  <c:v>-0.50405814835943696</c:v>
                </c:pt>
                <c:pt idx="48">
                  <c:v>-0.49609354926909138</c:v>
                </c:pt>
                <c:pt idx="49">
                  <c:v>-0.488232111032116</c:v>
                </c:pt>
                <c:pt idx="50">
                  <c:v>-0.48047398319970519</c:v>
                </c:pt>
                <c:pt idx="51">
                  <c:v>-0.47281913014255161</c:v>
                </c:pt>
                <c:pt idx="52">
                  <c:v>-0.46526735862704399</c:v>
                </c:pt>
                <c:pt idx="53">
                  <c:v>-0.45781834123528992</c:v>
                </c:pt>
                <c:pt idx="54">
                  <c:v>-0.45047163628442038</c:v>
                </c:pt>
                <c:pt idx="55">
                  <c:v>-0.44322670479380832</c:v>
                </c:pt>
                <c:pt idx="56">
                  <c:v>-0.43608292495949408</c:v>
                </c:pt>
                <c:pt idx="57">
                  <c:v>-0.42903960452145301</c:v>
                </c:pt>
                <c:pt idx="58">
                  <c:v>-0.42209599134746828</c:v>
                </c:pt>
                <c:pt idx="59">
                  <c:v>-0.41525128250500593</c:v>
                </c:pt>
              </c:numCache>
            </c:numRef>
          </c:val>
        </c:ser>
        <c:ser>
          <c:idx val="2"/>
          <c:order val="2"/>
          <c:tx>
            <c:strRef>
              <c:f>'F-BL'!$B$26</c:f>
              <c:strCache>
                <c:ptCount val="1"/>
                <c:pt idx="0">
                  <c:v>inv             </c:v>
                </c:pt>
              </c:strCache>
            </c:strRef>
          </c:tx>
          <c:spPr>
            <a:ln w="12700"/>
          </c:spPr>
          <c:marker>
            <c:symbol val="triangle"/>
            <c:size val="3"/>
          </c:marker>
          <c:cat>
            <c:numRef>
              <c:f>'F-BL'!$C$23:$BJ$23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'F-BL'!$C$26:$BJ$26</c:f>
              <c:numCache>
                <c:formatCode>General</c:formatCode>
                <c:ptCount val="60"/>
                <c:pt idx="0">
                  <c:v>-2.6842316433750191</c:v>
                </c:pt>
                <c:pt idx="1">
                  <c:v>-2.1604995945561001</c:v>
                </c:pt>
                <c:pt idx="2">
                  <c:v>-1.7896016391254232</c:v>
                </c:pt>
                <c:pt idx="3">
                  <c:v>-1.5281650435297001</c:v>
                </c:pt>
                <c:pt idx="4">
                  <c:v>-1.3446283172662898</c:v>
                </c:pt>
                <c:pt idx="5">
                  <c:v>-1.21611348815001</c:v>
                </c:pt>
                <c:pt idx="6">
                  <c:v>-1.12611105235356</c:v>
                </c:pt>
                <c:pt idx="7">
                  <c:v>-1.0627692717096562</c:v>
                </c:pt>
                <c:pt idx="8">
                  <c:v>-1.0176323637776898</c:v>
                </c:pt>
                <c:pt idx="9">
                  <c:v>-0.98471168688900601</c:v>
                </c:pt>
                <c:pt idx="10">
                  <c:v>-0.95980359616429634</c:v>
                </c:pt>
                <c:pt idx="11">
                  <c:v>-0.93998974044530004</c:v>
                </c:pt>
                <c:pt idx="12">
                  <c:v>-0.92327206298043796</c:v>
                </c:pt>
                <c:pt idx="13">
                  <c:v>-0.90830707002825151</c:v>
                </c:pt>
                <c:pt idx="14">
                  <c:v>-0.89421309817447203</c:v>
                </c:pt>
                <c:pt idx="15">
                  <c:v>-0.8804311351484565</c:v>
                </c:pt>
                <c:pt idx="16">
                  <c:v>-0.86662482352616843</c:v>
                </c:pt>
                <c:pt idx="17">
                  <c:v>-0.85260904599675003</c:v>
                </c:pt>
                <c:pt idx="18">
                  <c:v>-0.83829928705263501</c:v>
                </c:pt>
                <c:pt idx="19">
                  <c:v>-0.82367603737742534</c:v>
                </c:pt>
                <c:pt idx="20">
                  <c:v>-0.80876003937154095</c:v>
                </c:pt>
                <c:pt idx="21">
                  <c:v>-0.79359530364175701</c:v>
                </c:pt>
                <c:pt idx="22">
                  <c:v>-0.77823766016523999</c:v>
                </c:pt>
                <c:pt idx="23">
                  <c:v>-0.76274722117508587</c:v>
                </c:pt>
                <c:pt idx="24">
                  <c:v>-0.74718358288442199</c:v>
                </c:pt>
                <c:pt idx="25">
                  <c:v>-0.73160292257090065</c:v>
                </c:pt>
                <c:pt idx="26">
                  <c:v>-0.71605638791929749</c:v>
                </c:pt>
                <c:pt idx="27">
                  <c:v>-0.70058935034285796</c:v>
                </c:pt>
                <c:pt idx="28">
                  <c:v>-0.68524122065756365</c:v>
                </c:pt>
                <c:pt idx="29">
                  <c:v>-0.67004561683386266</c:v>
                </c:pt>
                <c:pt idx="30">
                  <c:v>-0.65503073909326803</c:v>
                </c:pt>
                <c:pt idx="31">
                  <c:v>-0.64021985435676965</c:v>
                </c:pt>
                <c:pt idx="32">
                  <c:v>-0.62563182513456683</c:v>
                </c:pt>
                <c:pt idx="33">
                  <c:v>-0.61128164115929595</c:v>
                </c:pt>
                <c:pt idx="34">
                  <c:v>-0.59718092816751756</c:v>
                </c:pt>
                <c:pt idx="35">
                  <c:v>-0.58333841925204888</c:v>
                </c:pt>
                <c:pt idx="36">
                  <c:v>-0.56976038161002596</c:v>
                </c:pt>
                <c:pt idx="37">
                  <c:v>-0.556450996360768</c:v>
                </c:pt>
                <c:pt idx="38">
                  <c:v>-0.54341269217684496</c:v>
                </c:pt>
                <c:pt idx="39">
                  <c:v>-0.53064643530919853</c:v>
                </c:pt>
                <c:pt idx="40">
                  <c:v>-0.51815197959018677</c:v>
                </c:pt>
                <c:pt idx="41">
                  <c:v>-0.50592808044468562</c:v>
                </c:pt>
                <c:pt idx="42">
                  <c:v>-0.4939726770245525</c:v>
                </c:pt>
                <c:pt idx="43">
                  <c:v>-0.48228304644464598</c:v>
                </c:pt>
                <c:pt idx="44">
                  <c:v>-0.47085593383099511</c:v>
                </c:pt>
                <c:pt idx="45">
                  <c:v>-0.45968766155600038</c:v>
                </c:pt>
                <c:pt idx="46">
                  <c:v>-0.44877422067717399</c:v>
                </c:pt>
                <c:pt idx="47">
                  <c:v>-0.43811134723599032</c:v>
                </c:pt>
                <c:pt idx="48">
                  <c:v>-0.42769458573317198</c:v>
                </c:pt>
                <c:pt idx="49">
                  <c:v>-0.41751934178151201</c:v>
                </c:pt>
                <c:pt idx="50">
                  <c:v>-0.40758092565348691</c:v>
                </c:pt>
                <c:pt idx="51">
                  <c:v>-0.3978745881886035</c:v>
                </c:pt>
                <c:pt idx="52">
                  <c:v>-0.38839555030449385</c:v>
                </c:pt>
                <c:pt idx="53">
                  <c:v>-0.37913902716365294</c:v>
                </c:pt>
                <c:pt idx="54">
                  <c:v>-0.37010024788246476</c:v>
                </c:pt>
                <c:pt idx="55">
                  <c:v>-0.36127447152788134</c:v>
                </c:pt>
                <c:pt idx="56">
                  <c:v>-0.35265700002665101</c:v>
                </c:pt>
                <c:pt idx="57">
                  <c:v>-0.34424318851011626</c:v>
                </c:pt>
                <c:pt idx="58">
                  <c:v>-0.33602845353137761</c:v>
                </c:pt>
                <c:pt idx="59">
                  <c:v>-0.32800827951945644</c:v>
                </c:pt>
              </c:numCache>
            </c:numRef>
          </c:val>
        </c:ser>
        <c:ser>
          <c:idx val="3"/>
          <c:order val="3"/>
          <c:tx>
            <c:strRef>
              <c:f>'F-BL'!$B$27</c:f>
              <c:strCache>
                <c:ptCount val="1"/>
                <c:pt idx="0">
                  <c:v>tby             </c:v>
                </c:pt>
              </c:strCache>
            </c:strRef>
          </c:tx>
          <c:spPr>
            <a:ln w="12700">
              <a:solidFill>
                <a:schemeClr val="accent6">
                  <a:lumMod val="75000"/>
                </a:schemeClr>
              </a:solidFill>
            </a:ln>
          </c:spPr>
          <c:marker>
            <c:symbol val="circle"/>
            <c:size val="3"/>
            <c:spPr>
              <a:solidFill>
                <a:schemeClr val="accent6">
                  <a:lumMod val="75000"/>
                </a:schemeClr>
              </a:solidFill>
            </c:spPr>
          </c:marker>
          <c:cat>
            <c:numRef>
              <c:f>'F-BL'!$C$23:$BJ$23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'F-BL'!$C$27:$BJ$27</c:f>
              <c:numCache>
                <c:formatCode>General</c:formatCode>
                <c:ptCount val="60"/>
                <c:pt idx="0">
                  <c:v>0.67584466681205113</c:v>
                </c:pt>
                <c:pt idx="1">
                  <c:v>0.51305037198249659</c:v>
                </c:pt>
                <c:pt idx="2">
                  <c:v>0.38764321988152001</c:v>
                </c:pt>
                <c:pt idx="3">
                  <c:v>0.29091271549941639</c:v>
                </c:pt>
                <c:pt idx="4">
                  <c:v>0.216205079188654</c:v>
                </c:pt>
                <c:pt idx="5">
                  <c:v>0.15843312260677594</c:v>
                </c:pt>
                <c:pt idx="6">
                  <c:v>0.11370363392727822</c:v>
                </c:pt>
                <c:pt idx="7">
                  <c:v>7.9033989903226687E-2</c:v>
                </c:pt>
                <c:pt idx="8">
                  <c:v>5.2136535228409032E-2</c:v>
                </c:pt>
                <c:pt idx="9">
                  <c:v>3.1254444564280802E-2</c:v>
                </c:pt>
                <c:pt idx="10">
                  <c:v>1.5036707773936999E-2</c:v>
                </c:pt>
                <c:pt idx="11">
                  <c:v>2.4428563225495901E-3</c:v>
                </c:pt>
                <c:pt idx="12">
                  <c:v>-7.3296925105664004E-3</c:v>
                </c:pt>
                <c:pt idx="13">
                  <c:v>-1.4901083334447621E-2</c:v>
                </c:pt>
                <c:pt idx="14">
                  <c:v>-2.0751371721784012E-2</c:v>
                </c:pt>
                <c:pt idx="15">
                  <c:v>-2.525289734586561E-2</c:v>
                </c:pt>
                <c:pt idx="16">
                  <c:v>-2.8695054875905901E-2</c:v>
                </c:pt>
                <c:pt idx="17">
                  <c:v>-3.1303267696205492E-2</c:v>
                </c:pt>
                <c:pt idx="18">
                  <c:v>-3.325353770713E-2</c:v>
                </c:pt>
                <c:pt idx="19">
                  <c:v>-3.4683616468238219E-2</c:v>
                </c:pt>
                <c:pt idx="20">
                  <c:v>-3.5701593720494411E-2</c:v>
                </c:pt>
                <c:pt idx="21">
                  <c:v>-3.6392509888905897E-2</c:v>
                </c:pt>
                <c:pt idx="22">
                  <c:v>-3.6823455118547899E-2</c:v>
                </c:pt>
                <c:pt idx="23">
                  <c:v>-3.7047507812519004E-2</c:v>
                </c:pt>
                <c:pt idx="24">
                  <c:v>-3.7106782232918398E-2</c:v>
                </c:pt>
                <c:pt idx="25">
                  <c:v>-3.7034791207595306E-2</c:v>
                </c:pt>
                <c:pt idx="26">
                  <c:v>-3.6858281584046811E-2</c:v>
                </c:pt>
                <c:pt idx="27">
                  <c:v>-3.6598663165270141E-2</c:v>
                </c:pt>
                <c:pt idx="28">
                  <c:v>-3.6273123699916872E-2</c:v>
                </c:pt>
                <c:pt idx="29">
                  <c:v>-3.5895500992010151E-2</c:v>
                </c:pt>
                <c:pt idx="30">
                  <c:v>-3.5476966756554616E-2</c:v>
                </c:pt>
                <c:pt idx="31">
                  <c:v>-3.50265642703083E-2</c:v>
                </c:pt>
                <c:pt idx="32">
                  <c:v>-3.4551632234741898E-2</c:v>
                </c:pt>
                <c:pt idx="33">
                  <c:v>-3.4058139882883601E-2</c:v>
                </c:pt>
                <c:pt idx="34">
                  <c:v>-3.3550952692514097E-2</c:v>
                </c:pt>
                <c:pt idx="35">
                  <c:v>-3.303404371050081E-2</c:v>
                </c:pt>
                <c:pt idx="36">
                  <c:v>-3.2510662138915999E-2</c:v>
                </c:pt>
                <c:pt idx="37">
                  <c:v>-3.1983468247945797E-2</c:v>
                </c:pt>
                <c:pt idx="38">
                  <c:v>-3.1454641684228811E-2</c:v>
                </c:pt>
                <c:pt idx="39">
                  <c:v>-3.0925968699207402E-2</c:v>
                </c:pt>
                <c:pt idx="40">
                  <c:v>-3.0398912625706084E-2</c:v>
                </c:pt>
                <c:pt idx="41">
                  <c:v>-2.9874671002171602E-2</c:v>
                </c:pt>
                <c:pt idx="42">
                  <c:v>-2.9354222021538798E-2</c:v>
                </c:pt>
                <c:pt idx="43">
                  <c:v>-2.8838362418415763E-2</c:v>
                </c:pt>
                <c:pt idx="44">
                  <c:v>-2.8327738468253212E-2</c:v>
                </c:pt>
                <c:pt idx="45">
                  <c:v>-2.7822871427515026E-2</c:v>
                </c:pt>
                <c:pt idx="46">
                  <c:v>-2.7324178473240052E-2</c:v>
                </c:pt>
                <c:pt idx="47">
                  <c:v>-2.683198998751711E-2</c:v>
                </c:pt>
                <c:pt idx="48">
                  <c:v>-2.6346563864204111E-2</c:v>
                </c:pt>
                <c:pt idx="49">
                  <c:v>-2.5868097382355352E-2</c:v>
                </c:pt>
                <c:pt idx="50">
                  <c:v>-2.5396737085167299E-2</c:v>
                </c:pt>
                <c:pt idx="51">
                  <c:v>-2.4932587019365411E-2</c:v>
                </c:pt>
                <c:pt idx="52">
                  <c:v>-2.4475715622859634E-2</c:v>
                </c:pt>
                <c:pt idx="53">
                  <c:v>-2.4026161494866798E-2</c:v>
                </c:pt>
                <c:pt idx="54">
                  <c:v>-2.3583938239634093E-2</c:v>
                </c:pt>
                <c:pt idx="55">
                  <c:v>-2.3149038540152302E-2</c:v>
                </c:pt>
                <c:pt idx="56">
                  <c:v>-2.2721437590304802E-2</c:v>
                </c:pt>
                <c:pt idx="57">
                  <c:v>-2.2301095991130001E-2</c:v>
                </c:pt>
                <c:pt idx="58">
                  <c:v>-2.1887962198472801E-2</c:v>
                </c:pt>
                <c:pt idx="59">
                  <c:v>-2.1481974594241816E-2</c:v>
                </c:pt>
              </c:numCache>
            </c:numRef>
          </c:val>
        </c:ser>
        <c:ser>
          <c:idx val="4"/>
          <c:order val="4"/>
          <c:tx>
            <c:strRef>
              <c:f>'F-BL'!$B$28</c:f>
              <c:strCache>
                <c:ptCount val="1"/>
                <c:pt idx="0">
                  <c:v>z</c:v>
                </c:pt>
              </c:strCache>
            </c:strRef>
          </c:tx>
          <c:spPr>
            <a:ln w="12700"/>
          </c:spPr>
          <c:marker>
            <c:symbol val="star"/>
            <c:size val="3"/>
          </c:marker>
          <c:cat>
            <c:numRef>
              <c:f>'F-BL'!$C$23:$BJ$23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'F-BL'!$C$28:$BJ$28</c:f>
              <c:numCache>
                <c:formatCode>General</c:formatCode>
                <c:ptCount val="60"/>
                <c:pt idx="0">
                  <c:v>-0.29308021569942838</c:v>
                </c:pt>
                <c:pt idx="1">
                  <c:v>-0.37900712261261532</c:v>
                </c:pt>
                <c:pt idx="2">
                  <c:v>-0.44837491306974547</c:v>
                </c:pt>
                <c:pt idx="3">
                  <c:v>-0.50423007930993158</c:v>
                </c:pt>
                <c:pt idx="4">
                  <c:v>-0.549034659057001</c:v>
                </c:pt>
                <c:pt idx="5">
                  <c:v>-0.584782833597005</c:v>
                </c:pt>
                <c:pt idx="6">
                  <c:v>-0.61309346052017888</c:v>
                </c:pt>
                <c:pt idx="7">
                  <c:v>-0.63528365789872165</c:v>
                </c:pt>
                <c:pt idx="8">
                  <c:v>-0.65242744030542388</c:v>
                </c:pt>
                <c:pt idx="9">
                  <c:v>-0.66540253972052699</c:v>
                </c:pt>
                <c:pt idx="10">
                  <c:v>-0.67492786944396299</c:v>
                </c:pt>
                <c:pt idx="11">
                  <c:v>-0.681593563093703</c:v>
                </c:pt>
                <c:pt idx="12">
                  <c:v>-0.68588511011253805</c:v>
                </c:pt>
                <c:pt idx="13">
                  <c:v>-0.68820278807390856</c:v>
                </c:pt>
                <c:pt idx="14">
                  <c:v>-0.68887734052590599</c:v>
                </c:pt>
                <c:pt idx="15">
                  <c:v>-0.68818265171480097</c:v>
                </c:pt>
                <c:pt idx="16">
                  <c:v>-0.68634601435195997</c:v>
                </c:pt>
                <c:pt idx="17">
                  <c:v>-0.68355646437738149</c:v>
                </c:pt>
                <c:pt idx="18">
                  <c:v>-0.67997156024862326</c:v>
                </c:pt>
                <c:pt idx="19">
                  <c:v>-0.67572290806291302</c:v>
                </c:pt>
                <c:pt idx="20">
                  <c:v>-0.67092067345712592</c:v>
                </c:pt>
                <c:pt idx="21">
                  <c:v>-0.6656572733336974</c:v>
                </c:pt>
                <c:pt idx="22">
                  <c:v>-0.66001040238731934</c:v>
                </c:pt>
                <c:pt idx="23">
                  <c:v>-0.65404551908051956</c:v>
                </c:pt>
                <c:pt idx="24">
                  <c:v>-0.64781789151820535</c:v>
                </c:pt>
                <c:pt idx="25">
                  <c:v>-0.64137428432502863</c:v>
                </c:pt>
                <c:pt idx="26">
                  <c:v>-0.63475435213196663</c:v>
                </c:pt>
                <c:pt idx="27">
                  <c:v>-0.62799179284311391</c:v>
                </c:pt>
                <c:pt idx="28">
                  <c:v>-0.62111530385503699</c:v>
                </c:pt>
                <c:pt idx="29">
                  <c:v>-0.61414937634755595</c:v>
                </c:pt>
                <c:pt idx="30">
                  <c:v>-0.60711495626436562</c:v>
                </c:pt>
                <c:pt idx="31">
                  <c:v>-0.60002999534990065</c:v>
                </c:pt>
                <c:pt idx="32">
                  <c:v>-0.59290991135078264</c:v>
                </c:pt>
                <c:pt idx="33">
                  <c:v>-0.585767973039798</c:v>
                </c:pt>
                <c:pt idx="34">
                  <c:v>-0.57861562291205004</c:v>
                </c:pt>
                <c:pt idx="35">
                  <c:v>-0.57146274811927056</c:v>
                </c:pt>
                <c:pt idx="36">
                  <c:v>-0.56431790834363249</c:v>
                </c:pt>
                <c:pt idx="37">
                  <c:v>-0.55718852778993011</c:v>
                </c:pt>
                <c:pt idx="38">
                  <c:v>-0.55008105722863465</c:v>
                </c:pt>
                <c:pt idx="39">
                  <c:v>-0.54300111100021298</c:v>
                </c:pt>
                <c:pt idx="40">
                  <c:v>-0.53595358305264795</c:v>
                </c:pt>
                <c:pt idx="41">
                  <c:v>-0.52894274539314001</c:v>
                </c:pt>
                <c:pt idx="42">
                  <c:v>-0.52197233176655156</c:v>
                </c:pt>
                <c:pt idx="43">
                  <c:v>-0.51504560890438711</c:v>
                </c:pt>
                <c:pt idx="44">
                  <c:v>-0.50816543729904395</c:v>
                </c:pt>
                <c:pt idx="45">
                  <c:v>-0.50133432313817805</c:v>
                </c:pt>
                <c:pt idx="46">
                  <c:v>-0.49455446276650061</c:v>
                </c:pt>
                <c:pt idx="47">
                  <c:v>-0.48782778082217076</c:v>
                </c:pt>
                <c:pt idx="48">
                  <c:v>-0.48115596301030239</c:v>
                </c:pt>
                <c:pt idx="49">
                  <c:v>-0.47454048432308832</c:v>
                </c:pt>
                <c:pt idx="50">
                  <c:v>-0.46798263338810892</c:v>
                </c:pt>
                <c:pt idx="51">
                  <c:v>-0.46148353351949845</c:v>
                </c:pt>
                <c:pt idx="52">
                  <c:v>-0.45504416095745787</c:v>
                </c:pt>
                <c:pt idx="53">
                  <c:v>-0.44866536070616075</c:v>
                </c:pt>
                <c:pt idx="54">
                  <c:v>-0.44234786031785517</c:v>
                </c:pt>
                <c:pt idx="55">
                  <c:v>-0.43609228191733523</c:v>
                </c:pt>
                <c:pt idx="56">
                  <c:v>-0.42989915271741402</c:v>
                </c:pt>
                <c:pt idx="57">
                  <c:v>-0.42376891423749663</c:v>
                </c:pt>
                <c:pt idx="58">
                  <c:v>-0.41770193040645393</c:v>
                </c:pt>
                <c:pt idx="59">
                  <c:v>-0.411698494704133</c:v>
                </c:pt>
              </c:numCache>
            </c:numRef>
          </c:val>
        </c:ser>
        <c:ser>
          <c:idx val="5"/>
          <c:order val="5"/>
          <c:tx>
            <c:strRef>
              <c:f>'F-BL'!$B$29</c:f>
              <c:strCache>
                <c:ptCount val="1"/>
                <c:pt idx="0">
                  <c:v>tot</c:v>
                </c:pt>
              </c:strCache>
            </c:strRef>
          </c:tx>
          <c:spPr>
            <a:ln w="15875">
              <a:solidFill>
                <a:schemeClr val="tx1"/>
              </a:solidFill>
              <a:prstDash val="sysDash"/>
            </a:ln>
          </c:spPr>
          <c:marker>
            <c:symbol val="none"/>
          </c:marker>
          <c:cat>
            <c:numRef>
              <c:f>'F-BL'!$C$23:$BJ$23</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'F-BL'!$C$29:$BJ$29</c:f>
              <c:numCache>
                <c:formatCode>General</c:formatCode>
                <c:ptCount val="60"/>
                <c:pt idx="0">
                  <c:v>1</c:v>
                </c:pt>
                <c:pt idx="1">
                  <c:v>0.98</c:v>
                </c:pt>
                <c:pt idx="2">
                  <c:v>0.96040000000000003</c:v>
                </c:pt>
                <c:pt idx="3">
                  <c:v>0.94119200000000003</c:v>
                </c:pt>
                <c:pt idx="4">
                  <c:v>0.92236815999999056</c:v>
                </c:pt>
                <c:pt idx="5">
                  <c:v>0.90392079680000004</c:v>
                </c:pt>
                <c:pt idx="6">
                  <c:v>0.88584238086399958</c:v>
                </c:pt>
                <c:pt idx="7">
                  <c:v>0.86812553324673525</c:v>
                </c:pt>
                <c:pt idx="8">
                  <c:v>0.85076302258180025</c:v>
                </c:pt>
                <c:pt idx="9">
                  <c:v>0.83374776213016266</c:v>
                </c:pt>
                <c:pt idx="10">
                  <c:v>0.81707280688754702</c:v>
                </c:pt>
                <c:pt idx="11">
                  <c:v>0.80073135074979662</c:v>
                </c:pt>
                <c:pt idx="12">
                  <c:v>0.7847167237347995</c:v>
                </c:pt>
                <c:pt idx="13">
                  <c:v>0.76902238926010402</c:v>
                </c:pt>
                <c:pt idx="14">
                  <c:v>0.75364194147491725</c:v>
                </c:pt>
                <c:pt idx="15">
                  <c:v>0.73856910264540465</c:v>
                </c:pt>
                <c:pt idx="16">
                  <c:v>0.7237977205925108</c:v>
                </c:pt>
                <c:pt idx="17">
                  <c:v>0.70932176618064602</c:v>
                </c:pt>
                <c:pt idx="18">
                  <c:v>0.6951353308570325</c:v>
                </c:pt>
                <c:pt idx="19">
                  <c:v>0.68123262423989195</c:v>
                </c:pt>
                <c:pt idx="20">
                  <c:v>0.66760797175510733</c:v>
                </c:pt>
                <c:pt idx="21">
                  <c:v>0.65425581232002306</c:v>
                </c:pt>
                <c:pt idx="22">
                  <c:v>0.64117069607361799</c:v>
                </c:pt>
                <c:pt idx="23">
                  <c:v>0.62834728215212265</c:v>
                </c:pt>
                <c:pt idx="24">
                  <c:v>0.61578033650910491</c:v>
                </c:pt>
                <c:pt idx="25">
                  <c:v>0.60346472977889698</c:v>
                </c:pt>
                <c:pt idx="26">
                  <c:v>0.59139543518331905</c:v>
                </c:pt>
                <c:pt idx="27">
                  <c:v>0.57956752647965148</c:v>
                </c:pt>
                <c:pt idx="28">
                  <c:v>0.56797617595005856</c:v>
                </c:pt>
                <c:pt idx="29">
                  <c:v>0.55661665243105862</c:v>
                </c:pt>
                <c:pt idx="30">
                  <c:v>0.54548431938243658</c:v>
                </c:pt>
                <c:pt idx="31">
                  <c:v>0.53457463299480179</c:v>
                </c:pt>
                <c:pt idx="32">
                  <c:v>0.52388314033489203</c:v>
                </c:pt>
                <c:pt idx="33">
                  <c:v>0.51340547752820065</c:v>
                </c:pt>
                <c:pt idx="34">
                  <c:v>0.50313736797760589</c:v>
                </c:pt>
                <c:pt idx="35">
                  <c:v>0.49307462061807888</c:v>
                </c:pt>
                <c:pt idx="36">
                  <c:v>0.48321312820571599</c:v>
                </c:pt>
                <c:pt idx="37">
                  <c:v>0.47354886564161092</c:v>
                </c:pt>
                <c:pt idx="38">
                  <c:v>0.46407788832877628</c:v>
                </c:pt>
                <c:pt idx="39">
                  <c:v>0.45479633056218804</c:v>
                </c:pt>
                <c:pt idx="40">
                  <c:v>0.44570040395095761</c:v>
                </c:pt>
                <c:pt idx="41">
                  <c:v>0.43678639587193963</c:v>
                </c:pt>
                <c:pt idx="42">
                  <c:v>0.42805066795450747</c:v>
                </c:pt>
                <c:pt idx="43">
                  <c:v>0.41948965459540338</c:v>
                </c:pt>
                <c:pt idx="44">
                  <c:v>0.41109986150349498</c:v>
                </c:pt>
                <c:pt idx="45">
                  <c:v>0.40287786427343392</c:v>
                </c:pt>
                <c:pt idx="46">
                  <c:v>0.39482030698797477</c:v>
                </c:pt>
                <c:pt idx="47">
                  <c:v>0.38692390084820727</c:v>
                </c:pt>
                <c:pt idx="48">
                  <c:v>0.37918542283123402</c:v>
                </c:pt>
                <c:pt idx="49">
                  <c:v>0.37160171437461825</c:v>
                </c:pt>
                <c:pt idx="50">
                  <c:v>0.36416968008711698</c:v>
                </c:pt>
                <c:pt idx="51">
                  <c:v>0.35688628648538101</c:v>
                </c:pt>
                <c:pt idx="52">
                  <c:v>0.3497485607556739</c:v>
                </c:pt>
                <c:pt idx="53">
                  <c:v>0.34275358954055402</c:v>
                </c:pt>
                <c:pt idx="54">
                  <c:v>0.33589851774975976</c:v>
                </c:pt>
                <c:pt idx="55">
                  <c:v>0.32918054739476577</c:v>
                </c:pt>
                <c:pt idx="56">
                  <c:v>0.32259693644685788</c:v>
                </c:pt>
                <c:pt idx="57">
                  <c:v>0.31614499771792637</c:v>
                </c:pt>
                <c:pt idx="58">
                  <c:v>0.30982209776357039</c:v>
                </c:pt>
                <c:pt idx="59">
                  <c:v>0.30362565580828632</c:v>
                </c:pt>
              </c:numCache>
            </c:numRef>
          </c:val>
        </c:ser>
        <c:dLbls/>
        <c:marker val="1"/>
        <c:axId val="143451648"/>
        <c:axId val="143453184"/>
      </c:lineChart>
      <c:catAx>
        <c:axId val="143451648"/>
        <c:scaling>
          <c:orientation val="minMax"/>
        </c:scaling>
        <c:axPos val="b"/>
        <c:numFmt formatCode="General" sourceLinked="1"/>
        <c:tickLblPos val="nextTo"/>
        <c:crossAx val="143453184"/>
        <c:crossesAt val="-3"/>
        <c:auto val="1"/>
        <c:lblAlgn val="ctr"/>
        <c:lblOffset val="100"/>
        <c:tickLblSkip val="4"/>
      </c:catAx>
      <c:valAx>
        <c:axId val="143453184"/>
        <c:scaling>
          <c:orientation val="minMax"/>
          <c:max val="1"/>
        </c:scaling>
        <c:axPos val="l"/>
        <c:numFmt formatCode="General" sourceLinked="1"/>
        <c:tickLblPos val="nextTo"/>
        <c:crossAx val="143451648"/>
        <c:crosses val="autoZero"/>
        <c:crossBetween val="midCat"/>
      </c:valAx>
    </c:plotArea>
    <c:legend>
      <c:legendPos val="t"/>
      <c:layout>
        <c:manualLayout>
          <c:xMode val="edge"/>
          <c:yMode val="edge"/>
          <c:x val="0.59449757828780059"/>
          <c:y val="0.4702411771907351"/>
          <c:w val="0.38915127213799638"/>
          <c:h val="0.14283022856419494"/>
        </c:manualLayout>
      </c:layout>
      <c:txPr>
        <a:bodyPr/>
        <a:lstStyle/>
        <a:p>
          <a:pPr>
            <a:defRPr sz="1000" b="1" i="1">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19.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5414176984585334"/>
          <c:y val="3.3898876974849182E-2"/>
          <c:w val="0.80895769066433787"/>
          <c:h val="0.83405146029101362"/>
        </c:manualLayout>
      </c:layout>
      <c:lineChart>
        <c:grouping val="standard"/>
        <c:ser>
          <c:idx val="0"/>
          <c:order val="0"/>
          <c:tx>
            <c:strRef>
              <c:f>'F-BL'!$B$13</c:f>
              <c:strCache>
                <c:ptCount val="1"/>
                <c:pt idx="0">
                  <c:v>h               </c:v>
                </c:pt>
              </c:strCache>
            </c:strRef>
          </c:tx>
          <c:spPr>
            <a:ln w="12700"/>
          </c:spPr>
          <c:marker>
            <c:symbol val="diamond"/>
            <c:size val="3"/>
          </c:marker>
          <c:cat>
            <c:numRef>
              <c:f>'F-BL'!$C$12:$BJ$12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'F-BL'!$C$13:$BJ$13</c:f>
              <c:numCache>
                <c:formatCode>General</c:formatCode>
                <c:ptCount val="60"/>
                <c:pt idx="0">
                  <c:v>-9.9173113361947687E-2</c:v>
                </c:pt>
                <c:pt idx="1">
                  <c:v>-0.17880640176792814</c:v>
                </c:pt>
                <c:pt idx="2">
                  <c:v>-0.24169042190830101</c:v>
                </c:pt>
                <c:pt idx="3">
                  <c:v>-0.29016210507086415</c:v>
                </c:pt>
                <c:pt idx="4">
                  <c:v>-0.32623844880159703</c:v>
                </c:pt>
                <c:pt idx="5">
                  <c:v>-0.35169572617692374</c:v>
                </c:pt>
                <c:pt idx="6">
                  <c:v>-0.36811583108750434</c:v>
                </c:pt>
                <c:pt idx="7">
                  <c:v>-0.37691354668504734</c:v>
                </c:pt>
                <c:pt idx="8">
                  <c:v>-0.37935331769933606</c:v>
                </c:pt>
                <c:pt idx="9">
                  <c:v>-0.37656069576445783</c:v>
                </c:pt>
                <c:pt idx="10">
                  <c:v>-0.36953143153426632</c:v>
                </c:pt>
                <c:pt idx="11">
                  <c:v>-0.35913980720722088</c:v>
                </c:pt>
                <c:pt idx="12">
                  <c:v>-0.34614696217609808</c:v>
                </c:pt>
                <c:pt idx="13">
                  <c:v>-0.331209474546519</c:v>
                </c:pt>
                <c:pt idx="14">
                  <c:v>-0.31488819494320658</c:v>
                </c:pt>
                <c:pt idx="15">
                  <c:v>-0.29765720132385304</c:v>
                </c:pt>
                <c:pt idx="16">
                  <c:v>-0.27991269846048838</c:v>
                </c:pt>
                <c:pt idx="17">
                  <c:v>-0.26198168712842568</c:v>
                </c:pt>
                <c:pt idx="18">
                  <c:v>-0.24413025300490701</c:v>
                </c:pt>
                <c:pt idx="19">
                  <c:v>-0.22657135984930801</c:v>
                </c:pt>
                <c:pt idx="20">
                  <c:v>-0.20947206756413397</c:v>
                </c:pt>
                <c:pt idx="21">
                  <c:v>-0.19296012881874797</c:v>
                </c:pt>
                <c:pt idx="22">
                  <c:v>-0.177129945993039</c:v>
                </c:pt>
                <c:pt idx="23">
                  <c:v>-0.16204789262093044</c:v>
                </c:pt>
                <c:pt idx="24">
                  <c:v>-0.14775702044361697</c:v>
                </c:pt>
                <c:pt idx="25">
                  <c:v>-0.13428118519767418</c:v>
                </c:pt>
                <c:pt idx="26">
                  <c:v>-0.12162863211968609</c:v>
                </c:pt>
                <c:pt idx="27">
                  <c:v>-0.10979508663575722</c:v>
                </c:pt>
                <c:pt idx="28">
                  <c:v>-9.876639756309577E-2</c:v>
                </c:pt>
                <c:pt idx="29">
                  <c:v>-8.8520780038557206E-2</c:v>
                </c:pt>
                <c:pt idx="30">
                  <c:v>-7.9030703859183177E-2</c:v>
                </c:pt>
                <c:pt idx="31">
                  <c:v>-7.0264470425632511E-2</c:v>
                </c:pt>
                <c:pt idx="32">
                  <c:v>-6.2187518380367603E-2</c:v>
                </c:pt>
                <c:pt idx="33">
                  <c:v>-5.4763494603952245E-2</c:v>
                </c:pt>
                <c:pt idx="34">
                  <c:v>-4.7955123683115095E-2</c:v>
                </c:pt>
                <c:pt idx="35">
                  <c:v>-4.1724905442151995E-2</c:v>
                </c:pt>
                <c:pt idx="36">
                  <c:v>-3.6035666739276252E-2</c:v>
                </c:pt>
                <c:pt idx="37">
                  <c:v>-3.0850990540047099E-2</c:v>
                </c:pt>
                <c:pt idx="38">
                  <c:v>-2.6135542331520802E-2</c:v>
                </c:pt>
                <c:pt idx="39">
                  <c:v>-2.1855311254060105E-2</c:v>
                </c:pt>
                <c:pt idx="40">
                  <c:v>-1.7977780908144596E-2</c:v>
                </c:pt>
                <c:pt idx="41">
                  <c:v>-1.4472042636183E-2</c:v>
                </c:pt>
                <c:pt idx="42">
                  <c:v>-1.13088621722152E-2</c:v>
                </c:pt>
                <c:pt idx="43">
                  <c:v>-8.4607088791965566E-3</c:v>
                </c:pt>
                <c:pt idx="44">
                  <c:v>-5.9017553352142668E-3</c:v>
                </c:pt>
                <c:pt idx="45">
                  <c:v>-3.6078537666604828E-3</c:v>
                </c:pt>
                <c:pt idx="46">
                  <c:v>-1.55649473794254E-3</c:v>
                </c:pt>
                <c:pt idx="47">
                  <c:v>2.7324742565321825E-4</c:v>
                </c:pt>
                <c:pt idx="48">
                  <c:v>1.9007788011527593E-3</c:v>
                </c:pt>
                <c:pt idx="49">
                  <c:v>3.3440566120716952E-3</c:v>
                </c:pt>
                <c:pt idx="50">
                  <c:v>4.6196641196602434E-3</c:v>
                </c:pt>
                <c:pt idx="51">
                  <c:v>5.7428877078914324E-3</c:v>
                </c:pt>
                <c:pt idx="52">
                  <c:v>6.7277946114499797E-3</c:v>
                </c:pt>
                <c:pt idx="53">
                  <c:v>7.5873100716281104E-3</c:v>
                </c:pt>
                <c:pt idx="54">
                  <c:v>8.3332929835276248E-3</c:v>
                </c:pt>
                <c:pt idx="55">
                  <c:v>8.9766093278277736E-3</c:v>
                </c:pt>
                <c:pt idx="56">
                  <c:v>9.5272028690248228E-3</c:v>
                </c:pt>
                <c:pt idx="57">
                  <c:v>9.9941627559140527E-3</c:v>
                </c:pt>
                <c:pt idx="58">
                  <c:v>1.0385787784650003E-2</c:v>
                </c:pt>
                <c:pt idx="59">
                  <c:v>1.07096471848077E-2</c:v>
                </c:pt>
              </c:numCache>
            </c:numRef>
          </c:val>
        </c:ser>
        <c:ser>
          <c:idx val="1"/>
          <c:order val="1"/>
          <c:tx>
            <c:strRef>
              <c:f>'F-BL'!$B$14</c:f>
              <c:strCache>
                <c:ptCount val="1"/>
                <c:pt idx="0">
                  <c:v>y               </c:v>
                </c:pt>
              </c:strCache>
            </c:strRef>
          </c:tx>
          <c:spPr>
            <a:ln w="12700"/>
          </c:spPr>
          <c:marker>
            <c:symbol val="square"/>
            <c:size val="3"/>
          </c:marker>
          <c:cat>
            <c:numRef>
              <c:f>'F-BL'!$C$12:$BJ$12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'F-BL'!$C$14:$BJ$14</c:f>
              <c:numCache>
                <c:formatCode>General</c:formatCode>
                <c:ptCount val="60"/>
                <c:pt idx="0">
                  <c:v>-8.7419262889420493E-2</c:v>
                </c:pt>
                <c:pt idx="1">
                  <c:v>-0.15133809864153541</c:v>
                </c:pt>
                <c:pt idx="2">
                  <c:v>-0.20287515315682741</c:v>
                </c:pt>
                <c:pt idx="3">
                  <c:v>-0.24331726538854501</c:v>
                </c:pt>
                <c:pt idx="4">
                  <c:v>-0.27390460675720812</c:v>
                </c:pt>
                <c:pt idx="5">
                  <c:v>-0.29583157432503498</c:v>
                </c:pt>
                <c:pt idx="6">
                  <c:v>-0.31023836985778508</c:v>
                </c:pt>
                <c:pt idx="7">
                  <c:v>-0.318199924525574</c:v>
                </c:pt>
                <c:pt idx="8">
                  <c:v>-0.32071575081988801</c:v>
                </c:pt>
                <c:pt idx="9">
                  <c:v>-0.31870239687527924</c:v>
                </c:pt>
                <c:pt idx="10">
                  <c:v>-0.31298904392257604</c:v>
                </c:pt>
                <c:pt idx="11">
                  <c:v>-0.30431615247089638</c:v>
                </c:pt>
                <c:pt idx="12">
                  <c:v>-0.29333674308706942</c:v>
                </c:pt>
                <c:pt idx="13">
                  <c:v>-0.28061977073423588</c:v>
                </c:pt>
                <c:pt idx="14">
                  <c:v>-0.26665503711648375</c:v>
                </c:pt>
                <c:pt idx="15">
                  <c:v>-0.25185913160816975</c:v>
                </c:pt>
                <c:pt idx="16">
                  <c:v>-0.23658196570748899</c:v>
                </c:pt>
                <c:pt idx="17">
                  <c:v>-0.22111354896490887</c:v>
                </c:pt>
                <c:pt idx="18">
                  <c:v>-0.20569073482111241</c:v>
                </c:pt>
                <c:pt idx="19" formatCode="0.00E+00">
                  <c:v>-0.19050373694235101</c:v>
                </c:pt>
                <c:pt idx="20" formatCode="0.00E+00">
                  <c:v>-0.175702278003735</c:v>
                </c:pt>
                <c:pt idx="21" formatCode="0.00E+00">
                  <c:v>-0.16140128297788423</c:v>
                </c:pt>
                <c:pt idx="22" formatCode="0.00E+00">
                  <c:v>-0.14768606848938101</c:v>
                </c:pt>
                <c:pt idx="23" formatCode="0.00E+00">
                  <c:v>-0.13461700990311087</c:v>
                </c:pt>
                <c:pt idx="24" formatCode="0.00E+00">
                  <c:v>-0.12223368994614504</c:v>
                </c:pt>
                <c:pt idx="25" formatCode="0.00E+00">
                  <c:v>-0.110558548245288</c:v>
                </c:pt>
                <c:pt idx="26" formatCode="0.00E+00">
                  <c:v>-9.9600061516648991E-2</c:v>
                </c:pt>
                <c:pt idx="27" formatCode="0.00E+00">
                  <c:v>-8.9355490432273602E-2</c:v>
                </c:pt>
                <c:pt idx="28" formatCode="0.00E+00">
                  <c:v>-7.9813232398692924E-2</c:v>
                </c:pt>
                <c:pt idx="29" formatCode="0.00E+00">
                  <c:v>-7.0954820425080709E-2</c:v>
                </c:pt>
                <c:pt idx="30" formatCode="0.00E+00">
                  <c:v>-6.2756607589677132E-2</c:v>
                </c:pt>
                <c:pt idx="31" formatCode="0.00E+00">
                  <c:v>-5.5191174846662014E-2</c:v>
                </c:pt>
                <c:pt idx="32" formatCode="0.00E+00">
                  <c:v>-4.8228497449268722E-2</c:v>
                </c:pt>
                <c:pt idx="33" formatCode="0.00E+00">
                  <c:v>-4.1836902398078198E-2</c:v>
                </c:pt>
                <c:pt idx="34" formatCode="0.00E+00">
                  <c:v>-3.5983846277318952E-2</c:v>
                </c:pt>
                <c:pt idx="35" formatCode="0.00E+00">
                  <c:v>-3.0636539774509856E-2</c:v>
                </c:pt>
                <c:pt idx="36" formatCode="0.00E+00">
                  <c:v>-2.5762442199487583E-2</c:v>
                </c:pt>
                <c:pt idx="37" formatCode="0.00E+00">
                  <c:v>-2.1329646499557889E-2</c:v>
                </c:pt>
                <c:pt idx="38" formatCode="0.00E+00">
                  <c:v>-1.73071726518749E-2</c:v>
                </c:pt>
                <c:pt idx="39" formatCode="0.00E+00">
                  <c:v>-1.3665184925068685E-2</c:v>
                </c:pt>
                <c:pt idx="40" formatCode="0.00E+00">
                  <c:v>-1.03751463474614E-2</c:v>
                </c:pt>
                <c:pt idx="41" formatCode="0.00E+00">
                  <c:v>-7.4099217963954278E-3</c:v>
                </c:pt>
                <c:pt idx="42" formatCode="0.00E+00">
                  <c:v>-4.7438394225782924E-3</c:v>
                </c:pt>
                <c:pt idx="43" formatCode="0.00E+00">
                  <c:v>-2.3527186309923501E-3</c:v>
                </c:pt>
                <c:pt idx="44" formatCode="0.00E+00">
                  <c:v>-2.1387153916374905E-4</c:v>
                </c:pt>
                <c:pt idx="45" formatCode="0.00E+00">
                  <c:v>1.69391629312943E-3</c:v>
                </c:pt>
                <c:pt idx="46" formatCode="0.00E+00">
                  <c:v>3.39042103922782E-3</c:v>
                </c:pt>
                <c:pt idx="47" formatCode="0.00E+00">
                  <c:v>4.8940276943239824E-3</c:v>
                </c:pt>
                <c:pt idx="48" formatCode="0.00E+00">
                  <c:v>6.2217857952003488E-3</c:v>
                </c:pt>
                <c:pt idx="49" formatCode="0.00E+00">
                  <c:v>7.3894710907757765E-3</c:v>
                </c:pt>
                <c:pt idx="50" formatCode="0.00E+00">
                  <c:v>8.4116509921344697E-3</c:v>
                </c:pt>
                <c:pt idx="51" formatCode="0.00E+00">
                  <c:v>9.3017520588195568E-3</c:v>
                </c:pt>
                <c:pt idx="52" formatCode="0.00E+00">
                  <c:v>1.00721281367294E-2</c:v>
                </c:pt>
                <c:pt idx="53" formatCode="0.00E+00">
                  <c:v>1.0734128061880493E-2</c:v>
                </c:pt>
                <c:pt idx="54" formatCode="0.00E+00">
                  <c:v>1.1298162092277001E-2</c:v>
                </c:pt>
                <c:pt idx="55" formatCode="0.00E+00">
                  <c:v>1.17737664348427E-2</c:v>
                </c:pt>
                <c:pt idx="56" formatCode="0.00E+00">
                  <c:v>1.2169665402341498E-2</c:v>
                </c:pt>
                <c:pt idx="57" formatCode="0.00E+00">
                  <c:v>1.2493830872275699E-2</c:v>
                </c:pt>
                <c:pt idx="58" formatCode="0.00E+00">
                  <c:v>1.2753538830719101E-2</c:v>
                </c:pt>
                <c:pt idx="59" formatCode="0.00E+00">
                  <c:v>1.29554228732274E-2</c:v>
                </c:pt>
              </c:numCache>
            </c:numRef>
          </c:val>
        </c:ser>
        <c:ser>
          <c:idx val="2"/>
          <c:order val="2"/>
          <c:tx>
            <c:strRef>
              <c:f>'F-BL'!$B$15</c:f>
              <c:strCache>
                <c:ptCount val="1"/>
                <c:pt idx="0">
                  <c:v>inv             </c:v>
                </c:pt>
              </c:strCache>
            </c:strRef>
          </c:tx>
          <c:spPr>
            <a:ln w="12700">
              <a:solidFill>
                <a:schemeClr val="accent6"/>
              </a:solidFill>
            </a:ln>
          </c:spPr>
          <c:marker>
            <c:symbol val="triangle"/>
            <c:size val="3"/>
          </c:marker>
          <c:cat>
            <c:numRef>
              <c:f>'F-BL'!$C$12:$BJ$12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'F-BL'!$C$15:$BJ$15</c:f>
              <c:numCache>
                <c:formatCode>General</c:formatCode>
                <c:ptCount val="60"/>
                <c:pt idx="0">
                  <c:v>2.5604510301590677</c:v>
                </c:pt>
                <c:pt idx="1">
                  <c:v>1.4914620174230475</c:v>
                </c:pt>
                <c:pt idx="2">
                  <c:v>0.76101592516114602</c:v>
                </c:pt>
                <c:pt idx="3">
                  <c:v>0.26853841958012176</c:v>
                </c:pt>
                <c:pt idx="4">
                  <c:v>-5.7419025487658801E-2</c:v>
                </c:pt>
                <c:pt idx="5">
                  <c:v>-0.26747192608047998</c:v>
                </c:pt>
                <c:pt idx="6">
                  <c:v>-0.39736875749884021</c:v>
                </c:pt>
                <c:pt idx="7">
                  <c:v>-0.47227429649779001</c:v>
                </c:pt>
                <c:pt idx="8">
                  <c:v>-0.50983833747453433</c:v>
                </c:pt>
                <c:pt idx="9">
                  <c:v>-0.52238925554880888</c:v>
                </c:pt>
                <c:pt idx="10">
                  <c:v>-0.51849825937094296</c:v>
                </c:pt>
                <c:pt idx="11">
                  <c:v>-0.50409206461264056</c:v>
                </c:pt>
                <c:pt idx="12">
                  <c:v>-0.48324224398723897</c:v>
                </c:pt>
                <c:pt idx="13">
                  <c:v>-0.45872362823199275</c:v>
                </c:pt>
                <c:pt idx="14">
                  <c:v>-0.43240815299377638</c:v>
                </c:pt>
                <c:pt idx="15">
                  <c:v>-0.40554176956820198</c:v>
                </c:pt>
                <c:pt idx="16">
                  <c:v>-0.37893849154494808</c:v>
                </c:pt>
                <c:pt idx="17">
                  <c:v>-0.35311589673152499</c:v>
                </c:pt>
                <c:pt idx="18">
                  <c:v>-0.32838939695695568</c:v>
                </c:pt>
                <c:pt idx="19">
                  <c:v>-0.30493756576396142</c:v>
                </c:pt>
                <c:pt idx="20">
                  <c:v>-0.28284722241106774</c:v>
                </c:pt>
                <c:pt idx="21">
                  <c:v>-0.26214440895215002</c:v>
                </c:pt>
                <c:pt idx="22">
                  <c:v>-0.242815575159915</c:v>
                </c:pt>
                <c:pt idx="23">
                  <c:v>-0.224821993994924</c:v>
                </c:pt>
                <c:pt idx="24">
                  <c:v>-0.20810951698491667</c:v>
                </c:pt>
                <c:pt idx="25">
                  <c:v>-0.19261513547475101</c:v>
                </c:pt>
                <c:pt idx="26">
                  <c:v>-0.17827136213191441</c:v>
                </c:pt>
                <c:pt idx="27">
                  <c:v>-0.16500913141366141</c:v>
                </c:pt>
                <c:pt idx="28">
                  <c:v>-0.15275969796779773</c:v>
                </c:pt>
                <c:pt idx="29">
                  <c:v>-0.14145585969412144</c:v>
                </c:pt>
                <c:pt idx="30">
                  <c:v>-0.131032727231401</c:v>
                </c:pt>
                <c:pt idx="31">
                  <c:v>-0.12142818965446001</c:v>
                </c:pt>
                <c:pt idx="32">
                  <c:v>-0.11258317708344202</c:v>
                </c:pt>
                <c:pt idx="33">
                  <c:v>-0.104441787638337</c:v>
                </c:pt>
                <c:pt idx="34">
                  <c:v>-9.6951323762854258E-2</c:v>
                </c:pt>
                <c:pt idx="35">
                  <c:v>-9.0062267944011801E-2</c:v>
                </c:pt>
                <c:pt idx="36">
                  <c:v>-8.3728217879930802E-2</c:v>
                </c:pt>
                <c:pt idx="37">
                  <c:v>-7.7905794554092911E-2</c:v>
                </c:pt>
                <c:pt idx="38">
                  <c:v>-7.2554532336271113E-2</c:v>
                </c:pt>
                <c:pt idx="39">
                  <c:v>-6.7636757384177904E-2</c:v>
                </c:pt>
                <c:pt idx="40">
                  <c:v>-6.3117458752153993E-2</c:v>
                </c:pt>
                <c:pt idx="41">
                  <c:v>-5.8964155380374646E-2</c:v>
                </c:pt>
                <c:pt idx="42">
                  <c:v>-5.5146761313582704E-2</c:v>
                </c:pt>
                <c:pt idx="43">
                  <c:v>-5.1637450934281834E-2</c:v>
                </c:pt>
                <c:pt idx="44">
                  <c:v>-4.8410525596384577E-2</c:v>
                </c:pt>
                <c:pt idx="45">
                  <c:v>-4.5442282751050896E-2</c:v>
                </c:pt>
                <c:pt idx="46">
                  <c:v>-4.2710888429249902E-2</c:v>
                </c:pt>
                <c:pt idx="47">
                  <c:v>-4.0196253762392095E-2</c:v>
                </c:pt>
                <c:pt idx="48">
                  <c:v>-3.7879916069420816E-2</c:v>
                </c:pt>
                <c:pt idx="49">
                  <c:v>-3.5744924907942399E-2</c:v>
                </c:pt>
                <c:pt idx="50">
                  <c:v>-3.3775733373664012E-2</c:v>
                </c:pt>
                <c:pt idx="51">
                  <c:v>-3.1958094833717199E-2</c:v>
                </c:pt>
                <c:pt idx="52">
                  <c:v>-3.0278965194011812E-2</c:v>
                </c:pt>
                <c:pt idx="53">
                  <c:v>-2.87264107270742E-2</c:v>
                </c:pt>
                <c:pt idx="54">
                  <c:v>-2.7289521424324524E-2</c:v>
                </c:pt>
                <c:pt idx="55">
                  <c:v>-2.5958329784384799E-2</c:v>
                </c:pt>
                <c:pt idx="56">
                  <c:v>-2.4723734906109688E-2</c:v>
                </c:pt>
                <c:pt idx="57">
                  <c:v>-2.3577431720587797E-2</c:v>
                </c:pt>
                <c:pt idx="58">
                  <c:v>-2.2511845169746459E-2</c:v>
                </c:pt>
                <c:pt idx="59">
                  <c:v>-2.1520069119256798E-2</c:v>
                </c:pt>
              </c:numCache>
            </c:numRef>
          </c:val>
        </c:ser>
        <c:ser>
          <c:idx val="3"/>
          <c:order val="3"/>
          <c:tx>
            <c:strRef>
              <c:f>'F-BL'!$B$16</c:f>
              <c:strCache>
                <c:ptCount val="1"/>
                <c:pt idx="0">
                  <c:v>tby             </c:v>
                </c:pt>
              </c:strCache>
            </c:strRef>
          </c:tx>
          <c:spPr>
            <a:ln w="12700">
              <a:solidFill>
                <a:schemeClr val="accent6">
                  <a:lumMod val="75000"/>
                </a:schemeClr>
              </a:solidFill>
            </a:ln>
          </c:spPr>
          <c:marker>
            <c:symbol val="circle"/>
            <c:size val="3"/>
            <c:spPr>
              <a:solidFill>
                <a:srgbClr val="F79646"/>
              </a:solidFill>
            </c:spPr>
          </c:marker>
          <c:cat>
            <c:numRef>
              <c:f>'F-BL'!$C$12:$BJ$12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'F-BL'!$C$16:$BJ$16</c:f>
              <c:numCache>
                <c:formatCode>General</c:formatCode>
                <c:ptCount val="60"/>
                <c:pt idx="0">
                  <c:v>-0.53253771553932749</c:v>
                </c:pt>
                <c:pt idx="1">
                  <c:v>-0.28448849764631734</c:v>
                </c:pt>
                <c:pt idx="2">
                  <c:v>-0.119486157852042</c:v>
                </c:pt>
                <c:pt idx="3">
                  <c:v>-1.2843623036299101E-2</c:v>
                </c:pt>
                <c:pt idx="4">
                  <c:v>5.3199611191612033E-2</c:v>
                </c:pt>
                <c:pt idx="5">
                  <c:v>9.1358781135293596E-2</c:v>
                </c:pt>
                <c:pt idx="6">
                  <c:v>0.110684402705757</c:v>
                </c:pt>
                <c:pt idx="7">
                  <c:v>0.11757354638025622</c:v>
                </c:pt>
                <c:pt idx="8">
                  <c:v>0.116509137525415</c:v>
                </c:pt>
                <c:pt idx="9">
                  <c:v>0.11059921731092701</c:v>
                </c:pt>
                <c:pt idx="10">
                  <c:v>0.1019692943113</c:v>
                </c:pt>
                <c:pt idx="11">
                  <c:v>9.2046984947038099E-2</c:v>
                </c:pt>
                <c:pt idx="12">
                  <c:v>8.1767827992615047E-2</c:v>
                </c:pt>
                <c:pt idx="13">
                  <c:v>7.1723531259853132E-2</c:v>
                </c:pt>
                <c:pt idx="14">
                  <c:v>6.2268273243024912E-2</c:v>
                </c:pt>
                <c:pt idx="15">
                  <c:v>5.3594523179170614E-2</c:v>
                </c:pt>
                <c:pt idx="16">
                  <c:v>4.5786776512658903E-2</c:v>
                </c:pt>
                <c:pt idx="17">
                  <c:v>3.885934477840506E-2</c:v>
                </c:pt>
                <c:pt idx="18">
                  <c:v>3.2782678496636151E-2</c:v>
                </c:pt>
                <c:pt idx="19">
                  <c:v>2.7501482458277347E-2</c:v>
                </c:pt>
                <c:pt idx="20">
                  <c:v>2.2946988983014612E-2</c:v>
                </c:pt>
                <c:pt idx="21">
                  <c:v>1.9045100668472009E-2</c:v>
                </c:pt>
                <c:pt idx="22">
                  <c:v>1.57216364709237E-2</c:v>
                </c:pt>
                <c:pt idx="23">
                  <c:v>1.2905566876967221E-2</c:v>
                </c:pt>
                <c:pt idx="24">
                  <c:v>1.0530870918738834E-2</c:v>
                </c:pt>
                <c:pt idx="25">
                  <c:v>8.5374644091773168E-3</c:v>
                </c:pt>
                <c:pt idx="26">
                  <c:v>6.8715162990272997E-3</c:v>
                </c:pt>
                <c:pt idx="27">
                  <c:v>5.4853747150024803E-3</c:v>
                </c:pt>
                <c:pt idx="28">
                  <c:v>4.3372559214824424E-3</c:v>
                </c:pt>
                <c:pt idx="29">
                  <c:v>3.3908007484267284E-3</c:v>
                </c:pt>
                <c:pt idx="30">
                  <c:v>2.6145685261244412E-3</c:v>
                </c:pt>
                <c:pt idx="31">
                  <c:v>1.9815143054053301E-3</c:v>
                </c:pt>
                <c:pt idx="32">
                  <c:v>1.4684782363972421E-3</c:v>
                </c:pt>
                <c:pt idx="33">
                  <c:v>1.0557043339465501E-3</c:v>
                </c:pt>
                <c:pt idx="34">
                  <c:v>7.2639795413239814E-4</c:v>
                </c:pt>
                <c:pt idx="35">
                  <c:v>4.6632604614444534E-4</c:v>
                </c:pt>
                <c:pt idx="36">
                  <c:v>2.6346083675236897E-4</c:v>
                </c:pt>
                <c:pt idx="37">
                  <c:v>1.0766548396967684E-4</c:v>
                </c:pt>
                <c:pt idx="38" formatCode="0.00E+00">
                  <c:v>-9.5810020454819736E-6</c:v>
                </c:pt>
                <c:pt idx="39" formatCode="0.00E+00">
                  <c:v>-9.5422916148018297E-5</c:v>
                </c:pt>
                <c:pt idx="40">
                  <c:v>-1.5583468891608568E-4</c:v>
                </c:pt>
                <c:pt idx="41">
                  <c:v>-1.957989846344774E-4</c:v>
                </c:pt>
                <c:pt idx="42">
                  <c:v>-2.1945950411692407E-4</c:v>
                </c:pt>
                <c:pt idx="43">
                  <c:v>-2.3025168596360452E-4</c:v>
                </c:pt>
                <c:pt idx="44">
                  <c:v>-2.3101421269264901E-4</c:v>
                </c:pt>
                <c:pt idx="45">
                  <c:v>-2.2408392705405535E-4</c:v>
                </c:pt>
                <c:pt idx="46">
                  <c:v>-2.1137646722540069E-4</c:v>
                </c:pt>
                <c:pt idx="47">
                  <c:v>-1.9445464861687114E-4</c:v>
                </c:pt>
                <c:pt idx="48">
                  <c:v>-1.7458636079093298E-4</c:v>
                </c:pt>
                <c:pt idx="49">
                  <c:v>-1.527935133156771E-4</c:v>
                </c:pt>
                <c:pt idx="50">
                  <c:v>-1.2989335484706103E-4</c:v>
                </c:pt>
                <c:pt idx="51">
                  <c:v>-1.0653330465881801E-4</c:v>
                </c:pt>
                <c:pt idx="52" formatCode="0.00E+00">
                  <c:v>-8.3220273702324564E-5</c:v>
                </c:pt>
                <c:pt idx="53" formatCode="0.00E+00">
                  <c:v>-6.0345311162862504E-5</c:v>
                </c:pt>
                <c:pt idx="54" formatCode="0.00E+00">
                  <c:v>-3.8204290292282605E-5</c:v>
                </c:pt>
                <c:pt idx="55" formatCode="0.00E+00">
                  <c:v>-1.70152419426534E-5</c:v>
                </c:pt>
                <c:pt idx="56" formatCode="0.00E+00">
                  <c:v>3.0671463135566862E-6</c:v>
                </c:pt>
                <c:pt idx="57" formatCode="0.00E+00">
                  <c:v>2.1939425185832212E-5</c:v>
                </c:pt>
                <c:pt idx="58" formatCode="0.00E+00">
                  <c:v>3.9539298853857292E-5</c:v>
                </c:pt>
                <c:pt idx="59" formatCode="0.00E+00">
                  <c:v>5.5837243045433572E-5</c:v>
                </c:pt>
              </c:numCache>
            </c:numRef>
          </c:val>
        </c:ser>
        <c:ser>
          <c:idx val="4"/>
          <c:order val="4"/>
          <c:tx>
            <c:strRef>
              <c:f>'F-BL'!$B$17</c:f>
              <c:strCache>
                <c:ptCount val="1"/>
                <c:pt idx="0">
                  <c:v>z</c:v>
                </c:pt>
              </c:strCache>
            </c:strRef>
          </c:tx>
          <c:spPr>
            <a:ln w="12700">
              <a:solidFill>
                <a:schemeClr val="accent1"/>
              </a:solidFill>
            </a:ln>
          </c:spPr>
          <c:marker>
            <c:symbol val="star"/>
            <c:size val="3"/>
          </c:marker>
          <c:cat>
            <c:numRef>
              <c:f>'F-BL'!$C$12:$BJ$12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'F-BL'!$C$17:$BJ$17</c:f>
              <c:numCache>
                <c:formatCode>General</c:formatCode>
                <c:ptCount val="60"/>
                <c:pt idx="0">
                  <c:v>-0.13231600743848401</c:v>
                </c:pt>
                <c:pt idx="1">
                  <c:v>-0.23789208481154497</c:v>
                </c:pt>
                <c:pt idx="2">
                  <c:v>-0.31430635338328744</c:v>
                </c:pt>
                <c:pt idx="3">
                  <c:v>-0.36719496946987468</c:v>
                </c:pt>
                <c:pt idx="4">
                  <c:v>-0.40126194661188475</c:v>
                </c:pt>
                <c:pt idx="5">
                  <c:v>-0.4204126031704622</c:v>
                </c:pt>
                <c:pt idx="6">
                  <c:v>-0.42787268101015158</c:v>
                </c:pt>
                <c:pt idx="7">
                  <c:v>-0.42629315107271099</c:v>
                </c:pt>
                <c:pt idx="8">
                  <c:v>-0.41784139200007397</c:v>
                </c:pt>
                <c:pt idx="9">
                  <c:v>-0.404279800539526</c:v>
                </c:pt>
                <c:pt idx="10">
                  <c:v>-0.38703306745270338</c:v>
                </c:pt>
                <c:pt idx="11">
                  <c:v>-0.36724539999051797</c:v>
                </c:pt>
                <c:pt idx="12">
                  <c:v>-0.34582894000749292</c:v>
                </c:pt>
                <c:pt idx="13">
                  <c:v>-0.32350454842239401</c:v>
                </c:pt>
                <c:pt idx="14">
                  <c:v>-0.30083602408882032</c:v>
                </c:pt>
                <c:pt idx="15">
                  <c:v>-0.27825871271104802</c:v>
                </c:pt>
                <c:pt idx="16">
                  <c:v>-0.25610334843949373</c:v>
                </c:pt>
                <c:pt idx="17">
                  <c:v>-0.23461586278655988</c:v>
                </c:pt>
                <c:pt idx="18">
                  <c:v>-0.21397379564769797</c:v>
                </c:pt>
                <c:pt idx="19">
                  <c:v>-0.19429985299145541</c:v>
                </c:pt>
                <c:pt idx="20">
                  <c:v>-0.17567307564144788</c:v>
                </c:pt>
                <c:pt idx="21">
                  <c:v>-0.15813801330065788</c:v>
                </c:pt>
                <c:pt idx="22">
                  <c:v>-0.14171223696799831</c:v>
                </c:pt>
                <c:pt idx="23">
                  <c:v>-0.12639247036787199</c:v>
                </c:pt>
                <c:pt idx="24">
                  <c:v>-0.112159576071821</c:v>
                </c:pt>
                <c:pt idx="25">
                  <c:v>-9.8982593743517394E-2</c:v>
                </c:pt>
                <c:pt idx="26">
                  <c:v>-8.6821995530426924E-2</c:v>
                </c:pt>
                <c:pt idx="27">
                  <c:v>-7.5632296264116924E-2</c:v>
                </c:pt>
                <c:pt idx="28">
                  <c:v>-6.5364133102080724E-2</c:v>
                </c:pt>
                <c:pt idx="29">
                  <c:v>-5.5965909910064997E-2</c:v>
                </c:pt>
                <c:pt idx="30">
                  <c:v>-4.73850854885359E-2</c:v>
                </c:pt>
                <c:pt idx="31">
                  <c:v>-3.9569171205426114E-2</c:v>
                </c:pt>
                <c:pt idx="32">
                  <c:v>-3.2466492293663302E-2</c:v>
                </c:pt>
                <c:pt idx="33">
                  <c:v>-2.6026757649571401E-2</c:v>
                </c:pt>
                <c:pt idx="34">
                  <c:v>-2.0201475124037211E-2</c:v>
                </c:pt>
                <c:pt idx="35">
                  <c:v>-1.4944242775529686E-2</c:v>
                </c:pt>
                <c:pt idx="36">
                  <c:v>-1.0210941135879592E-2</c:v>
                </c:pt>
                <c:pt idx="37">
                  <c:v>-5.9598470437112637E-3</c:v>
                </c:pt>
                <c:pt idx="38">
                  <c:v>-2.1516858734163999E-3</c:v>
                </c:pt>
                <c:pt idx="39">
                  <c:v>1.25036409886864E-3</c:v>
                </c:pt>
                <c:pt idx="40">
                  <c:v>4.2807040040002114E-3</c:v>
                </c:pt>
                <c:pt idx="41">
                  <c:v>6.9713742846907742E-3</c:v>
                </c:pt>
                <c:pt idx="42">
                  <c:v>9.352134859003788E-3</c:v>
                </c:pt>
                <c:pt idx="43">
                  <c:v>1.1450559639887612E-2</c:v>
                </c:pt>
                <c:pt idx="44">
                  <c:v>1.3292140688911123E-2</c:v>
                </c:pt>
                <c:pt idx="45">
                  <c:v>1.4900398252269183E-2</c:v>
                </c:pt>
                <c:pt idx="46">
                  <c:v>1.6296993722231097E-2</c:v>
                </c:pt>
                <c:pt idx="47">
                  <c:v>1.7501843217533678E-2</c:v>
                </c:pt>
                <c:pt idx="48">
                  <c:v>1.8533230006625802E-2</c:v>
                </c:pt>
                <c:pt idx="49">
                  <c:v>1.9407914429004202E-2</c:v>
                </c:pt>
                <c:pt idx="50">
                  <c:v>2.0141240319238311E-2</c:v>
                </c:pt>
                <c:pt idx="51">
                  <c:v>2.0747237220108811E-2</c:v>
                </c:pt>
                <c:pt idx="52">
                  <c:v>2.1238717897351492E-2</c:v>
                </c:pt>
                <c:pt idx="53">
                  <c:v>2.1627370848756652E-2</c:v>
                </c:pt>
                <c:pt idx="54">
                  <c:v>2.1923847642982299E-2</c:v>
                </c:pt>
                <c:pt idx="55">
                  <c:v>2.2137845035168496E-2</c:v>
                </c:pt>
                <c:pt idx="56">
                  <c:v>2.2278181892983199E-2</c:v>
                </c:pt>
                <c:pt idx="57">
                  <c:v>2.23528710326764E-2</c:v>
                </c:pt>
                <c:pt idx="58">
                  <c:v>2.2369186113978701E-2</c:v>
                </c:pt>
                <c:pt idx="59">
                  <c:v>2.2333723778439812E-2</c:v>
                </c:pt>
              </c:numCache>
            </c:numRef>
          </c:val>
        </c:ser>
        <c:ser>
          <c:idx val="5"/>
          <c:order val="5"/>
          <c:tx>
            <c:strRef>
              <c:f>'F-BL'!$B$18</c:f>
              <c:strCache>
                <c:ptCount val="1"/>
                <c:pt idx="0">
                  <c:v>tot </c:v>
                </c:pt>
              </c:strCache>
            </c:strRef>
          </c:tx>
          <c:spPr>
            <a:ln w="15875">
              <a:solidFill>
                <a:schemeClr val="tx1"/>
              </a:solidFill>
              <a:prstDash val="sysDash"/>
            </a:ln>
          </c:spPr>
          <c:marker>
            <c:symbol val="none"/>
          </c:marker>
          <c:cat>
            <c:numRef>
              <c:f>'F-BL'!$C$12:$BJ$12</c:f>
              <c:numCache>
                <c:formatCode>General</c:formatCode>
                <c:ptCount val="60"/>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numCache>
            </c:numRef>
          </c:cat>
          <c:val>
            <c:numRef>
              <c:f>'F-BL'!$C$18:$BJ$18</c:f>
              <c:numCache>
                <c:formatCode>General</c:formatCode>
                <c:ptCount val="60"/>
                <c:pt idx="0">
                  <c:v>1</c:v>
                </c:pt>
                <c:pt idx="1">
                  <c:v>0.9</c:v>
                </c:pt>
                <c:pt idx="2">
                  <c:v>0.81</c:v>
                </c:pt>
                <c:pt idx="3">
                  <c:v>0.72900000000000065</c:v>
                </c:pt>
                <c:pt idx="4">
                  <c:v>0.65610000000001256</c:v>
                </c:pt>
                <c:pt idx="5">
                  <c:v>0.59048999999998619</c:v>
                </c:pt>
                <c:pt idx="6">
                  <c:v>0.53144100000000005</c:v>
                </c:pt>
                <c:pt idx="7">
                  <c:v>0.47829690000000002</c:v>
                </c:pt>
                <c:pt idx="8">
                  <c:v>0.43046721000000032</c:v>
                </c:pt>
                <c:pt idx="9">
                  <c:v>0.38742048900001347</c:v>
                </c:pt>
                <c:pt idx="10">
                  <c:v>0.34867844010000032</c:v>
                </c:pt>
                <c:pt idx="11">
                  <c:v>0.31381059609001144</c:v>
                </c:pt>
                <c:pt idx="12">
                  <c:v>0.282429536481</c:v>
                </c:pt>
                <c:pt idx="13">
                  <c:v>0.25418658283290724</c:v>
                </c:pt>
                <c:pt idx="14">
                  <c:v>0.22876792454961001</c:v>
                </c:pt>
                <c:pt idx="15">
                  <c:v>0.20589113209464899</c:v>
                </c:pt>
                <c:pt idx="16">
                  <c:v>0.18530201888518399</c:v>
                </c:pt>
                <c:pt idx="17">
                  <c:v>0.16677181699666588</c:v>
                </c:pt>
                <c:pt idx="18">
                  <c:v>0.15009463529700293</c:v>
                </c:pt>
                <c:pt idx="19">
                  <c:v>0.13508517176730231</c:v>
                </c:pt>
                <c:pt idx="20">
                  <c:v>0.12157665459056922</c:v>
                </c:pt>
                <c:pt idx="21">
                  <c:v>0.109418989131512</c:v>
                </c:pt>
                <c:pt idx="22">
                  <c:v>9.8477090218361193E-2</c:v>
                </c:pt>
                <c:pt idx="23">
                  <c:v>8.8629381196525248E-2</c:v>
                </c:pt>
                <c:pt idx="24">
                  <c:v>7.9766443076872834E-2</c:v>
                </c:pt>
                <c:pt idx="25">
                  <c:v>7.1789798769185301E-2</c:v>
                </c:pt>
                <c:pt idx="26">
                  <c:v>6.4610818892266803E-2</c:v>
                </c:pt>
                <c:pt idx="27">
                  <c:v>5.8149737003040103E-2</c:v>
                </c:pt>
                <c:pt idx="28">
                  <c:v>5.2334763302737133E-2</c:v>
                </c:pt>
                <c:pt idx="29">
                  <c:v>4.7101286972462499E-2</c:v>
                </c:pt>
                <c:pt idx="30">
                  <c:v>4.2391158275216202E-2</c:v>
                </c:pt>
                <c:pt idx="31">
                  <c:v>3.8152042447694601E-2</c:v>
                </c:pt>
                <c:pt idx="32">
                  <c:v>3.4336838202925206E-2</c:v>
                </c:pt>
                <c:pt idx="33">
                  <c:v>3.0903154382632598E-2</c:v>
                </c:pt>
                <c:pt idx="34">
                  <c:v>2.7812838944370012E-2</c:v>
                </c:pt>
                <c:pt idx="35">
                  <c:v>2.5031555049932399E-2</c:v>
                </c:pt>
                <c:pt idx="36">
                  <c:v>2.2528399544939199E-2</c:v>
                </c:pt>
                <c:pt idx="37">
                  <c:v>2.0275559590445299E-2</c:v>
                </c:pt>
                <c:pt idx="38">
                  <c:v>1.8248003631400805E-2</c:v>
                </c:pt>
                <c:pt idx="39">
                  <c:v>1.6423203268261109E-2</c:v>
                </c:pt>
                <c:pt idx="40">
                  <c:v>1.4780882941434601E-2</c:v>
                </c:pt>
                <c:pt idx="41">
                  <c:v>1.3302794647291121E-2</c:v>
                </c:pt>
                <c:pt idx="42">
                  <c:v>1.1972515182562404E-2</c:v>
                </c:pt>
                <c:pt idx="43">
                  <c:v>1.07752636643058E-2</c:v>
                </c:pt>
                <c:pt idx="44">
                  <c:v>9.6977372978753768E-3</c:v>
                </c:pt>
                <c:pt idx="45">
                  <c:v>8.7279635680877193E-3</c:v>
                </c:pt>
                <c:pt idx="46">
                  <c:v>7.8551672112789506E-3</c:v>
                </c:pt>
                <c:pt idx="47">
                  <c:v>7.0696504901512792E-3</c:v>
                </c:pt>
                <c:pt idx="48">
                  <c:v>6.3626854411359445E-3</c:v>
                </c:pt>
                <c:pt idx="49">
                  <c:v>5.7264168970223598E-3</c:v>
                </c:pt>
                <c:pt idx="50">
                  <c:v>5.1537752073201196E-3</c:v>
                </c:pt>
                <c:pt idx="51">
                  <c:v>4.6383976865881534E-3</c:v>
                </c:pt>
                <c:pt idx="52">
                  <c:v>4.1745579179292775E-3</c:v>
                </c:pt>
                <c:pt idx="53">
                  <c:v>3.7571021261364585E-3</c:v>
                </c:pt>
                <c:pt idx="54">
                  <c:v>3.3813919135227692E-3</c:v>
                </c:pt>
                <c:pt idx="55">
                  <c:v>3.0432527221705297E-3</c:v>
                </c:pt>
                <c:pt idx="56">
                  <c:v>2.738927449953485E-3</c:v>
                </c:pt>
                <c:pt idx="57">
                  <c:v>2.4650347049581267E-3</c:v>
                </c:pt>
                <c:pt idx="58">
                  <c:v>2.2185312344623581E-3</c:v>
                </c:pt>
                <c:pt idx="59">
                  <c:v>1.9966781110161043E-3</c:v>
                </c:pt>
              </c:numCache>
            </c:numRef>
          </c:val>
        </c:ser>
        <c:dLbls/>
        <c:marker val="1"/>
        <c:axId val="143512320"/>
        <c:axId val="143513856"/>
      </c:lineChart>
      <c:catAx>
        <c:axId val="143512320"/>
        <c:scaling>
          <c:orientation val="minMax"/>
        </c:scaling>
        <c:axPos val="b"/>
        <c:numFmt formatCode="General" sourceLinked="1"/>
        <c:tickLblPos val="nextTo"/>
        <c:crossAx val="143513856"/>
        <c:crossesAt val="-1.5"/>
        <c:auto val="1"/>
        <c:lblAlgn val="ctr"/>
        <c:lblOffset val="100"/>
        <c:tickLblSkip val="4"/>
      </c:catAx>
      <c:valAx>
        <c:axId val="143513856"/>
        <c:scaling>
          <c:orientation val="minMax"/>
          <c:max val="2.5"/>
        </c:scaling>
        <c:axPos val="l"/>
        <c:numFmt formatCode="General" sourceLinked="1"/>
        <c:tickLblPos val="nextTo"/>
        <c:crossAx val="143512320"/>
        <c:crosses val="autoZero"/>
        <c:crossBetween val="midCat"/>
      </c:valAx>
    </c:plotArea>
    <c:legend>
      <c:legendPos val="t"/>
      <c:layout>
        <c:manualLayout>
          <c:xMode val="edge"/>
          <c:yMode val="edge"/>
          <c:x val="0.55370556006016369"/>
          <c:y val="0.20098417731913204"/>
          <c:w val="0.4162037037037038"/>
          <c:h val="0.15420593534980223"/>
        </c:manualLayout>
      </c:layout>
      <c:txPr>
        <a:bodyPr/>
        <a:lstStyle/>
        <a:p>
          <a:pPr>
            <a:defRPr sz="1000" b="1" i="1">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20.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5630147331155989"/>
          <c:y val="2.0801220879377892E-2"/>
          <c:w val="0.80560772298087269"/>
          <c:h val="0.82112323678838683"/>
        </c:manualLayout>
      </c:layout>
      <c:lineChart>
        <c:grouping val="standard"/>
        <c:ser>
          <c:idx val="0"/>
          <c:order val="0"/>
          <c:tx>
            <c:strRef>
              <c:f>IRF_RDF!$B$15</c:f>
              <c:strCache>
                <c:ptCount val="1"/>
                <c:pt idx="0">
                  <c:v>Without BSF</c:v>
                </c:pt>
              </c:strCache>
            </c:strRef>
          </c:tx>
          <c:spPr>
            <a:ln w="25400">
              <a:solidFill>
                <a:schemeClr val="tx1"/>
              </a:solidFill>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IRF_RDF!$C$15:$GT$15</c:f>
              <c:numCache>
                <c:formatCode>0.00</c:formatCode>
                <c:ptCount val="61"/>
                <c:pt idx="0">
                  <c:v>1.0842713471530698</c:v>
                </c:pt>
                <c:pt idx="1">
                  <c:v>1.2741735608211142</c:v>
                </c:pt>
                <c:pt idx="2" formatCode="General">
                  <c:v>1.3933296798894157</c:v>
                </c:pt>
                <c:pt idx="3" formatCode="General">
                  <c:v>1.4694350222035799</c:v>
                </c:pt>
                <c:pt idx="4" formatCode="General">
                  <c:v>1.5180579833421401</c:v>
                </c:pt>
                <c:pt idx="5" formatCode="General">
                  <c:v>1.54803307786772</c:v>
                </c:pt>
                <c:pt idx="6" formatCode="General">
                  <c:v>1.56454801316951</c:v>
                </c:pt>
                <c:pt idx="7" formatCode="General">
                  <c:v>1.5708457315904401</c:v>
                </c:pt>
                <c:pt idx="8" formatCode="General">
                  <c:v>1.5691293963535498</c:v>
                </c:pt>
                <c:pt idx="9" formatCode="General">
                  <c:v>1.56102720323126</c:v>
                </c:pt>
                <c:pt idx="10" formatCode="General">
                  <c:v>1.5478241534232398</c:v>
                </c:pt>
                <c:pt idx="11" formatCode="General">
                  <c:v>1.5305759401210501</c:v>
                </c:pt>
                <c:pt idx="12" formatCode="General">
                  <c:v>1.5101661609982737</c:v>
                </c:pt>
                <c:pt idx="13" formatCode="General">
                  <c:v>1.4873378021203099</c:v>
                </c:pt>
                <c:pt idx="14" formatCode="General">
                  <c:v>1.4627137129861298</c:v>
                </c:pt>
                <c:pt idx="15" formatCode="General">
                  <c:v>1.4368125295932073</c:v>
                </c:pt>
                <c:pt idx="16" formatCode="General">
                  <c:v>1.4100625539713501</c:v>
                </c:pt>
                <c:pt idx="17" formatCode="General">
                  <c:v>1.38281437173565</c:v>
                </c:pt>
                <c:pt idx="18" formatCode="General">
                  <c:v>1.3553523367787366</c:v>
                </c:pt>
                <c:pt idx="19" formatCode="General">
                  <c:v>1.3279048760703998</c:v>
                </c:pt>
                <c:pt idx="20" formatCode="General">
                  <c:v>1.3006535739276401</c:v>
                </c:pt>
                <c:pt idx="21" formatCode="General">
                  <c:v>1.2737410512104257</c:v>
                </c:pt>
                <c:pt idx="22" formatCode="General">
                  <c:v>1.2472777081086699</c:v>
                </c:pt>
                <c:pt idx="23" formatCode="General">
                  <c:v>1.2213474340464801</c:v>
                </c:pt>
                <c:pt idx="24" formatCode="General">
                  <c:v>1.1960124045065412</c:v>
                </c:pt>
                <c:pt idx="25" formatCode="General">
                  <c:v>1.1713170869319447</c:v>
                </c:pt>
                <c:pt idx="26" formatCode="General">
                  <c:v>1.1472915714594498</c:v>
                </c:pt>
                <c:pt idx="27" formatCode="General">
                  <c:v>1.1239543312106099</c:v>
                </c:pt>
                <c:pt idx="28" formatCode="General">
                  <c:v>1.1013145040541399</c:v>
                </c:pt>
                <c:pt idx="29" formatCode="General">
                  <c:v>1.07937377488794</c:v>
                </c:pt>
                <c:pt idx="30" formatCode="General">
                  <c:v>1.0581279255110947</c:v>
                </c:pt>
                <c:pt idx="31" formatCode="General">
                  <c:v>1.0375681084897199</c:v>
                </c:pt>
                <c:pt idx="32" formatCode="General">
                  <c:v>1.0176818921786657</c:v>
                </c:pt>
                <c:pt idx="33" formatCode="General">
                  <c:v>0.99845411619309765</c:v>
                </c:pt>
                <c:pt idx="34" formatCode="General">
                  <c:v>0.97986758999807699</c:v>
                </c:pt>
                <c:pt idx="35" formatCode="General">
                  <c:v>0.96190366174264186</c:v>
                </c:pt>
                <c:pt idx="36" formatCode="General">
                  <c:v>0.9445426798475085</c:v>
                </c:pt>
                <c:pt idx="37" formatCode="General">
                  <c:v>0.92776436601804502</c:v>
                </c:pt>
                <c:pt idx="38" formatCode="General">
                  <c:v>0.91154811516735657</c:v>
                </c:pt>
                <c:pt idx="39" formatCode="General">
                  <c:v>0.89587323508950112</c:v>
                </c:pt>
                <c:pt idx="40" formatCode="General">
                  <c:v>0.88071913652803713</c:v>
                </c:pt>
                <c:pt idx="41" formatCode="General">
                  <c:v>0.86606548246356885</c:v>
                </c:pt>
                <c:pt idx="42" formatCode="General">
                  <c:v>0.85189230393186199</c:v>
                </c:pt>
                <c:pt idx="43" formatCode="General">
                  <c:v>0.83818008842910963</c:v>
                </c:pt>
                <c:pt idx="44" formatCode="General">
                  <c:v>0.82490984591879613</c:v>
                </c:pt>
                <c:pt idx="45" formatCode="General">
                  <c:v>0.81206315658968364</c:v>
                </c:pt>
                <c:pt idx="46" formatCode="General">
                  <c:v>0.7996222037962335</c:v>
                </c:pt>
                <c:pt idx="47" formatCode="General">
                  <c:v>0.78756979501669211</c:v>
                </c:pt>
                <c:pt idx="48" formatCode="General">
                  <c:v>0.77588937316942719</c:v>
                </c:pt>
                <c:pt idx="49" formatCode="General">
                  <c:v>0.76456502021751704</c:v>
                </c:pt>
                <c:pt idx="50" formatCode="General">
                  <c:v>0.75358145465126303</c:v>
                </c:pt>
                <c:pt idx="51" formatCode="General">
                  <c:v>0.74292402415568748</c:v>
                </c:pt>
                <c:pt idx="52" formatCode="General">
                  <c:v>0.73257869453630464</c:v>
                </c:pt>
                <c:pt idx="53" formatCode="General">
                  <c:v>0.72253203578234926</c:v>
                </c:pt>
                <c:pt idx="54" formatCode="General">
                  <c:v>0.71277120598609311</c:v>
                </c:pt>
                <c:pt idx="55" formatCode="General">
                  <c:v>0.70328393370398101</c:v>
                </c:pt>
                <c:pt idx="56" formatCode="General">
                  <c:v>0.69405849923547336</c:v>
                </c:pt>
                <c:pt idx="57" formatCode="General">
                  <c:v>0.68508371520443401</c:v>
                </c:pt>
                <c:pt idx="58" formatCode="General">
                  <c:v>0.67634890675318027</c:v>
                </c:pt>
                <c:pt idx="59" formatCode="General">
                  <c:v>0.66784389159716484</c:v>
                </c:pt>
                <c:pt idx="60" formatCode="General">
                  <c:v>0.65955896013761151</c:v>
                </c:pt>
              </c:numCache>
            </c:numRef>
          </c:val>
        </c:ser>
        <c:ser>
          <c:idx val="1"/>
          <c:order val="1"/>
          <c:tx>
            <c:strRef>
              <c:f>IRF_RDF!$B$36</c:f>
              <c:strCache>
                <c:ptCount val="1"/>
                <c:pt idx="0">
                  <c:v>With BSF</c:v>
                </c:pt>
              </c:strCache>
            </c:strRef>
          </c:tx>
          <c:spPr>
            <a:ln w="38100">
              <a:solidFill>
                <a:schemeClr val="tx1"/>
              </a:solidFill>
              <a:prstDash val="sysDot"/>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IRF_RDF!$C$36:$GT$36</c:f>
              <c:numCache>
                <c:formatCode>General</c:formatCode>
                <c:ptCount val="61"/>
                <c:pt idx="0">
                  <c:v>0.48325728129282042</c:v>
                </c:pt>
                <c:pt idx="1">
                  <c:v>1.0493657621084698</c:v>
                </c:pt>
                <c:pt idx="2">
                  <c:v>1.3516088171697698</c:v>
                </c:pt>
                <c:pt idx="3">
                  <c:v>1.5171929568791698</c:v>
                </c:pt>
                <c:pt idx="4">
                  <c:v>1.6059434876595498</c:v>
                </c:pt>
                <c:pt idx="5">
                  <c:v>1.6494177817311901</c:v>
                </c:pt>
                <c:pt idx="6">
                  <c:v>1.6653504643572754</c:v>
                </c:pt>
                <c:pt idx="7">
                  <c:v>1.6640906740030901</c:v>
                </c:pt>
                <c:pt idx="8">
                  <c:v>1.6518544718438801</c:v>
                </c:pt>
                <c:pt idx="9">
                  <c:v>1.63248167268805</c:v>
                </c:pt>
                <c:pt idx="10">
                  <c:v>1.6084167806426899</c:v>
                </c:pt>
                <c:pt idx="11">
                  <c:v>1.5812669549294598</c:v>
                </c:pt>
                <c:pt idx="12">
                  <c:v>1.5521239239421001</c:v>
                </c:pt>
                <c:pt idx="13">
                  <c:v>1.5217524985241562</c:v>
                </c:pt>
                <c:pt idx="14">
                  <c:v>1.4907029987860601</c:v>
                </c:pt>
                <c:pt idx="15">
                  <c:v>1.4593798677306298</c:v>
                </c:pt>
                <c:pt idx="16">
                  <c:v>1.42808475178688</c:v>
                </c:pt>
                <c:pt idx="17">
                  <c:v>1.3970444639015642</c:v>
                </c:pt>
                <c:pt idx="18">
                  <c:v>1.3664298082311799</c:v>
                </c:pt>
                <c:pt idx="19">
                  <c:v>1.3363687335708001</c:v>
                </c:pt>
                <c:pt idx="20">
                  <c:v>1.30695585405018</c:v>
                </c:pt>
                <c:pt idx="21">
                  <c:v>1.2782595580903799</c:v>
                </c:pt>
                <c:pt idx="22">
                  <c:v>1.2503274546904599</c:v>
                </c:pt>
                <c:pt idx="23">
                  <c:v>1.2231906303892062</c:v>
                </c:pt>
                <c:pt idx="24">
                  <c:v>1.1968670264862384</c:v>
                </c:pt>
                <c:pt idx="25">
                  <c:v>1.17136414671781</c:v>
                </c:pt>
                <c:pt idx="26">
                  <c:v>1.14668124359506</c:v>
                </c:pt>
                <c:pt idx="27">
                  <c:v>1.1228110916697001</c:v>
                </c:pt>
                <c:pt idx="28">
                  <c:v>1.09974142929931</c:v>
                </c:pt>
                <c:pt idx="29">
                  <c:v>1.0774561319535156</c:v>
                </c:pt>
                <c:pt idx="30">
                  <c:v>1.05593616675611</c:v>
                </c:pt>
                <c:pt idx="31">
                  <c:v>1.0351603680226398</c:v>
                </c:pt>
                <c:pt idx="32">
                  <c:v>1.01510606594724</c:v>
                </c:pt>
                <c:pt idx="33">
                  <c:v>0.99574959463931512</c:v>
                </c:pt>
                <c:pt idx="34">
                  <c:v>0.97706670097225068</c:v>
                </c:pt>
                <c:pt idx="35">
                  <c:v>0.95903287188626141</c:v>
                </c:pt>
                <c:pt idx="36">
                  <c:v>0.94162359468170664</c:v>
                </c:pt>
                <c:pt idx="37">
                  <c:v>0.92481456229728898</c:v>
                </c:pt>
                <c:pt idx="38">
                  <c:v>0.90858183347855448</c:v>
                </c:pt>
                <c:pt idx="39">
                  <c:v>0.89290195602014488</c:v>
                </c:pt>
                <c:pt idx="40">
                  <c:v>0.87775205984333604</c:v>
                </c:pt>
                <c:pt idx="41">
                  <c:v>0.86310992549424703</c:v>
                </c:pt>
                <c:pt idx="42">
                  <c:v>0.84895403267494285</c:v>
                </c:pt>
                <c:pt idx="43">
                  <c:v>0.83526359261372463</c:v>
                </c:pt>
                <c:pt idx="44">
                  <c:v>0.82201856741358537</c:v>
                </c:pt>
                <c:pt idx="45">
                  <c:v>0.80919967896481348</c:v>
                </c:pt>
                <c:pt idx="46">
                  <c:v>0.7967884095501736</c:v>
                </c:pt>
                <c:pt idx="47">
                  <c:v>0.78476699589175725</c:v>
                </c:pt>
                <c:pt idx="48">
                  <c:v>0.77311841807497483</c:v>
                </c:pt>
                <c:pt idx="49">
                  <c:v>0.76182638452520701</c:v>
                </c:pt>
                <c:pt idx="50">
                  <c:v>0.75087531399823149</c:v>
                </c:pt>
                <c:pt idx="51">
                  <c:v>0.74025031536742703</c:v>
                </c:pt>
                <c:pt idx="52">
                  <c:v>0.72993716584454249</c:v>
                </c:pt>
                <c:pt idx="53">
                  <c:v>0.71992228814927395</c:v>
                </c:pt>
                <c:pt idx="54">
                  <c:v>0.71019272704324499</c:v>
                </c:pt>
                <c:pt idx="55">
                  <c:v>0.70073612556147802</c:v>
                </c:pt>
                <c:pt idx="56">
                  <c:v>0.6915407012067335</c:v>
                </c:pt>
                <c:pt idx="57">
                  <c:v>0.68259522231633762</c:v>
                </c:pt>
                <c:pt idx="58">
                  <c:v>0.67388898476540304</c:v>
                </c:pt>
                <c:pt idx="59">
                  <c:v>0.66541178913290111</c:v>
                </c:pt>
                <c:pt idx="60">
                  <c:v>0.65715391842637261</c:v>
                </c:pt>
              </c:numCache>
            </c:numRef>
          </c:val>
        </c:ser>
        <c:dLbls/>
        <c:marker val="1"/>
        <c:axId val="143543680"/>
        <c:axId val="143582336"/>
      </c:lineChart>
      <c:catAx>
        <c:axId val="143543680"/>
        <c:scaling>
          <c:orientation val="minMax"/>
        </c:scaling>
        <c:axPos val="b"/>
        <c:numFmt formatCode="General" sourceLinked="1"/>
        <c:tickLblPos val="nextTo"/>
        <c:txPr>
          <a:bodyPr/>
          <a:lstStyle/>
          <a:p>
            <a:pPr>
              <a:defRPr>
                <a:latin typeface="Times New Roman" pitchFamily="18" charset="0"/>
                <a:cs typeface="Times New Roman" pitchFamily="18" charset="0"/>
              </a:defRPr>
            </a:pPr>
            <a:endParaRPr lang="en-US"/>
          </a:p>
        </c:txPr>
        <c:crossAx val="143582336"/>
        <c:crosses val="autoZero"/>
        <c:auto val="1"/>
        <c:lblAlgn val="ctr"/>
        <c:lblOffset val="100"/>
        <c:tickLblSkip val="4"/>
        <c:tickMarkSkip val="10"/>
      </c:catAx>
      <c:valAx>
        <c:axId val="143582336"/>
        <c:scaling>
          <c:orientation val="minMax"/>
          <c:min val="0.4"/>
        </c:scaling>
        <c:axPos val="l"/>
        <c:numFmt formatCode="0.00" sourceLinked="1"/>
        <c:tickLblPos val="nextTo"/>
        <c:txPr>
          <a:bodyPr/>
          <a:lstStyle/>
          <a:p>
            <a:pPr>
              <a:defRPr>
                <a:latin typeface="Times New Roman" pitchFamily="18" charset="0"/>
                <a:cs typeface="Times New Roman" pitchFamily="18" charset="0"/>
              </a:defRPr>
            </a:pPr>
            <a:endParaRPr lang="en-US"/>
          </a:p>
        </c:txPr>
        <c:crossAx val="143543680"/>
        <c:crosses val="autoZero"/>
        <c:crossBetween val="midCat"/>
      </c:valAx>
    </c:plotArea>
    <c:legend>
      <c:legendPos val="r"/>
      <c:layout>
        <c:manualLayout>
          <c:xMode val="edge"/>
          <c:yMode val="edge"/>
          <c:x val="0.7151902276185057"/>
          <c:y val="0.12382781794524407"/>
          <c:w val="0.23405504265097571"/>
          <c:h val="0.12944221914447654"/>
        </c:manualLayout>
      </c:layout>
      <c:txPr>
        <a:bodyPr/>
        <a:lstStyle/>
        <a:p>
          <a:pPr>
            <a:defRPr sz="10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21.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5067635062315138"/>
          <c:y val="3.4535992279315607E-2"/>
          <c:w val="0.82064794364208149"/>
          <c:h val="0.79578187843426063"/>
        </c:manualLayout>
      </c:layout>
      <c:lineChart>
        <c:grouping val="standard"/>
        <c:ser>
          <c:idx val="0"/>
          <c:order val="0"/>
          <c:tx>
            <c:strRef>
              <c:f>IRF_RDF!$B$16</c:f>
              <c:strCache>
                <c:ptCount val="1"/>
                <c:pt idx="0">
                  <c:v>Without BSF</c:v>
                </c:pt>
              </c:strCache>
            </c:strRef>
          </c:tx>
          <c:spPr>
            <a:ln w="25400">
              <a:solidFill>
                <a:schemeClr val="tx1"/>
              </a:solidFill>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IRF_RDF!$C$16:$GT$16</c:f>
              <c:numCache>
                <c:formatCode>0.00</c:formatCode>
                <c:ptCount val="61"/>
                <c:pt idx="0" formatCode="General">
                  <c:v>1.09089716274997</c:v>
                </c:pt>
                <c:pt idx="1">
                  <c:v>1.2873140586870957</c:v>
                </c:pt>
                <c:pt idx="2">
                  <c:v>1.4104154246481901</c:v>
                </c:pt>
                <c:pt idx="3" formatCode="General">
                  <c:v>1.4874632528642033</c:v>
                </c:pt>
                <c:pt idx="4" formatCode="General">
                  <c:v>1.5348252908919098</c:v>
                </c:pt>
                <c:pt idx="5" formatCode="General">
                  <c:v>1.5623333776491657</c:v>
                </c:pt>
                <c:pt idx="6" formatCode="General">
                  <c:v>1.5759684456914598</c:v>
                </c:pt>
                <c:pt idx="7" formatCode="General">
                  <c:v>1.5794752957923757</c:v>
                </c:pt>
                <c:pt idx="8" formatCode="General">
                  <c:v>1.5753105264176901</c:v>
                </c:pt>
                <c:pt idx="9" formatCode="General">
                  <c:v>1.56518563363587</c:v>
                </c:pt>
                <c:pt idx="10" formatCode="General">
                  <c:v>1.5503708705807837</c:v>
                </c:pt>
                <c:pt idx="11" formatCode="General">
                  <c:v>1.5318617309831362</c:v>
                </c:pt>
                <c:pt idx="12" formatCode="General">
                  <c:v>1.5104690023242398</c:v>
                </c:pt>
                <c:pt idx="13" formatCode="General">
                  <c:v>1.4868677755947699</c:v>
                </c:pt>
                <c:pt idx="14" formatCode="General">
                  <c:v>1.4616252746766198</c:v>
                </c:pt>
                <c:pt idx="15" formatCode="General">
                  <c:v>1.4352182157983362</c:v>
                </c:pt>
                <c:pt idx="16" formatCode="General">
                  <c:v>1.4080451885387701</c:v>
                </c:pt>
                <c:pt idx="17" formatCode="General">
                  <c:v>1.38043668964975</c:v>
                </c:pt>
                <c:pt idx="18" formatCode="General">
                  <c:v>1.35266395066531</c:v>
                </c:pt>
                <c:pt idx="19" formatCode="General">
                  <c:v>1.3249469764498101</c:v>
                </c:pt>
                <c:pt idx="20" formatCode="General">
                  <c:v>1.2974618973863452</c:v>
                </c:pt>
                <c:pt idx="21" formatCode="General">
                  <c:v>1.2703476286428601</c:v>
                </c:pt>
                <c:pt idx="22" formatCode="General">
                  <c:v>1.2437118139214698</c:v>
                </c:pt>
                <c:pt idx="23" formatCode="General">
                  <c:v>1.2176360501931145</c:v>
                </c:pt>
                <c:pt idx="24" formatCode="General">
                  <c:v>1.1921804163133247</c:v>
                </c:pt>
                <c:pt idx="25" formatCode="General">
                  <c:v>1.16738735051896</c:v>
                </c:pt>
                <c:pt idx="26" formatCode="General">
                  <c:v>1.143284936188564</c:v>
                </c:pt>
                <c:pt idx="27" formatCode="General">
                  <c:v>1.1198896621733998</c:v>
                </c:pt>
                <c:pt idx="28" formatCode="General">
                  <c:v>1.0972087250987501</c:v>
                </c:pt>
                <c:pt idx="29" formatCode="General">
                  <c:v>1.0752419381457601</c:v>
                </c:pt>
                <c:pt idx="30" formatCode="General">
                  <c:v>1.0539833055650798</c:v>
                </c:pt>
                <c:pt idx="31" formatCode="General">
                  <c:v>1.0334223157611462</c:v>
                </c:pt>
                <c:pt idx="32" formatCode="General">
                  <c:v>1.0135449990609462</c:v>
                </c:pt>
                <c:pt idx="33" formatCode="General">
                  <c:v>0.99433478977302925</c:v>
                </c:pt>
                <c:pt idx="34" formatCode="General">
                  <c:v>0.9757732261489066</c:v>
                </c:pt>
                <c:pt idx="35" formatCode="General">
                  <c:v>0.95784051651955626</c:v>
                </c:pt>
                <c:pt idx="36" formatCode="General">
                  <c:v>0.94051599523255058</c:v>
                </c:pt>
                <c:pt idx="37" formatCode="General">
                  <c:v>0.92377848803620999</c:v>
                </c:pt>
                <c:pt idx="38" formatCode="General">
                  <c:v>0.90760660319071895</c:v>
                </c:pt>
                <c:pt idx="39" formatCode="General">
                  <c:v>0.89197896176232416</c:v>
                </c:pt>
                <c:pt idx="40" formatCode="General">
                  <c:v>0.87687437820211889</c:v>
                </c:pt>
                <c:pt idx="41" formatCode="General">
                  <c:v>0.86227200035624596</c:v>
                </c:pt>
                <c:pt idx="42" formatCode="General">
                  <c:v>0.84815141643660086</c:v>
                </c:pt>
                <c:pt idx="43" formatCode="General">
                  <c:v>0.83449273514421696</c:v>
                </c:pt>
                <c:pt idx="44" formatCode="General">
                  <c:v>0.82127664403514899</c:v>
                </c:pt>
                <c:pt idx="45" formatCode="General">
                  <c:v>0.80848445030920801</c:v>
                </c:pt>
                <c:pt idx="46" formatCode="General">
                  <c:v>0.79609810745317577</c:v>
                </c:pt>
                <c:pt idx="47" formatCode="General">
                  <c:v>0.78410023055284594</c:v>
                </c:pt>
                <c:pt idx="48" formatCode="General">
                  <c:v>0.77247410258020688</c:v>
                </c:pt>
                <c:pt idx="49" formatCode="General">
                  <c:v>0.76120367354337537</c:v>
                </c:pt>
                <c:pt idx="50" formatCode="General">
                  <c:v>0.75027355404258111</c:v>
                </c:pt>
                <c:pt idx="51" formatCode="General">
                  <c:v>0.73966900449162465</c:v>
                </c:pt>
                <c:pt idx="52" formatCode="General">
                  <c:v>0.72937592103083604</c:v>
                </c:pt>
                <c:pt idx="53" formatCode="General">
                  <c:v>0.71938081896555095</c:v>
                </c:pt>
                <c:pt idx="54" formatCode="General">
                  <c:v>0.70967081440611424</c:v>
                </c:pt>
                <c:pt idx="55" formatCode="General">
                  <c:v>0.70023360465560103</c:v>
                </c:pt>
                <c:pt idx="56" formatCode="General">
                  <c:v>0.6910574477849355</c:v>
                </c:pt>
                <c:pt idx="57" formatCode="General">
                  <c:v>0.68213114174735456</c:v>
                </c:pt>
                <c:pt idx="58" formatCode="General">
                  <c:v>0.67344400331275212</c:v>
                </c:pt>
                <c:pt idx="59" formatCode="General">
                  <c:v>0.66498584704337527</c:v>
                </c:pt>
                <c:pt idx="60" formatCode="General">
                  <c:v>0.65674696448463665</c:v>
                </c:pt>
              </c:numCache>
            </c:numRef>
          </c:val>
        </c:ser>
        <c:ser>
          <c:idx val="1"/>
          <c:order val="1"/>
          <c:tx>
            <c:strRef>
              <c:f>IRF_RDF!$B$37</c:f>
              <c:strCache>
                <c:ptCount val="1"/>
                <c:pt idx="0">
                  <c:v>With BSF</c:v>
                </c:pt>
              </c:strCache>
            </c:strRef>
          </c:tx>
          <c:spPr>
            <a:ln w="38100">
              <a:solidFill>
                <a:schemeClr val="tx1"/>
              </a:solidFill>
              <a:prstDash val="sysDot"/>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IRF_RDF!$C$37:$GT$37</c:f>
              <c:numCache>
                <c:formatCode>0.00</c:formatCode>
                <c:ptCount val="61"/>
                <c:pt idx="0">
                  <c:v>1.03254334492038</c:v>
                </c:pt>
                <c:pt idx="1">
                  <c:v>1.2224054862350799</c:v>
                </c:pt>
                <c:pt idx="2" formatCode="General">
                  <c:v>1.3583883822323799</c:v>
                </c:pt>
                <c:pt idx="3" formatCode="General">
                  <c:v>1.4531783718191762</c:v>
                </c:pt>
                <c:pt idx="4" formatCode="General">
                  <c:v>1.5169962067039662</c:v>
                </c:pt>
                <c:pt idx="5" formatCode="General">
                  <c:v>1.5575110970514252</c:v>
                </c:pt>
                <c:pt idx="6" formatCode="General">
                  <c:v>1.5803993035408899</c:v>
                </c:pt>
                <c:pt idx="7" formatCode="General">
                  <c:v>1.5898853103784898</c:v>
                </c:pt>
                <c:pt idx="8" formatCode="General">
                  <c:v>1.5891501734631601</c:v>
                </c:pt>
                <c:pt idx="9" formatCode="General">
                  <c:v>1.5806198565923699</c:v>
                </c:pt>
                <c:pt idx="10" formatCode="General">
                  <c:v>1.5661659583535601</c:v>
                </c:pt>
                <c:pt idx="11" formatCode="General">
                  <c:v>1.5472462885373557</c:v>
                </c:pt>
                <c:pt idx="12" formatCode="General">
                  <c:v>1.52500476684105</c:v>
                </c:pt>
                <c:pt idx="13" formatCode="General">
                  <c:v>1.5003437094215237</c:v>
                </c:pt>
                <c:pt idx="14" formatCode="General">
                  <c:v>1.4739771332678699</c:v>
                </c:pt>
                <c:pt idx="15" formatCode="General">
                  <c:v>1.4464707848701399</c:v>
                </c:pt>
                <c:pt idx="16" formatCode="General">
                  <c:v>1.41827270270138</c:v>
                </c:pt>
                <c:pt idx="17" formatCode="General">
                  <c:v>1.3897368936143262</c:v>
                </c:pt>
                <c:pt idx="18" formatCode="General">
                  <c:v>1.3611419014659001</c:v>
                </c:pt>
                <c:pt idx="19" formatCode="General">
                  <c:v>1.3327055176777001</c:v>
                </c:pt>
                <c:pt idx="20" formatCode="General">
                  <c:v>1.3045965299647142</c:v>
                </c:pt>
                <c:pt idx="21" formatCode="General">
                  <c:v>1.2769441650986399</c:v>
                </c:pt>
                <c:pt idx="22" formatCode="General">
                  <c:v>1.2498457150288298</c:v>
                </c:pt>
                <c:pt idx="23" formatCode="General">
                  <c:v>1.2233727179542857</c:v>
                </c:pt>
                <c:pt idx="24" formatCode="General">
                  <c:v>1.1975759809968247</c:v>
                </c:pt>
                <c:pt idx="25" formatCode="General">
                  <c:v>1.1724896685919237</c:v>
                </c:pt>
                <c:pt idx="26" formatCode="General">
                  <c:v>1.14813463379925</c:v>
                </c:pt>
                <c:pt idx="27" formatCode="General">
                  <c:v>1.1245211339276799</c:v>
                </c:pt>
                <c:pt idx="28" formatCode="General">
                  <c:v>1.1016510441259399</c:v>
                </c:pt>
                <c:pt idx="29" formatCode="General">
                  <c:v>1.0795196608166</c:v>
                </c:pt>
                <c:pt idx="30" formatCode="General">
                  <c:v>1.0581171695815312</c:v>
                </c:pt>
                <c:pt idx="31" formatCode="General">
                  <c:v>1.0374298382902598</c:v>
                </c:pt>
                <c:pt idx="32" formatCode="General">
                  <c:v>1.0174409851338699</c:v>
                </c:pt>
                <c:pt idx="33" formatCode="General">
                  <c:v>0.99813176221291056</c:v>
                </c:pt>
                <c:pt idx="34" formatCode="General">
                  <c:v>0.97948178799819863</c:v>
                </c:pt>
                <c:pt idx="35" formatCode="General">
                  <c:v>0.96146965600251988</c:v>
                </c:pt>
                <c:pt idx="36" formatCode="General">
                  <c:v>0.94407334210972904</c:v>
                </c:pt>
                <c:pt idx="37" formatCode="General">
                  <c:v>0.92727052900009799</c:v>
                </c:pt>
                <c:pt idx="38" formatCode="General">
                  <c:v>0.91103886282206259</c:v>
                </c:pt>
                <c:pt idx="39" formatCode="General">
                  <c:v>0.89535615455958095</c:v>
                </c:pt>
                <c:pt idx="40" formatCode="General">
                  <c:v>0.88020053632411765</c:v>
                </c:pt>
                <c:pt idx="41" formatCode="General">
                  <c:v>0.86555058097450399</c:v>
                </c:pt>
                <c:pt idx="42" formatCode="General">
                  <c:v>0.85138539196582996</c:v>
                </c:pt>
                <c:pt idx="43" formatCode="General">
                  <c:v>0.83768466909255401</c:v>
                </c:pt>
                <c:pt idx="44" formatCode="General">
                  <c:v>0.82442875477382205</c:v>
                </c:pt>
                <c:pt idx="45" formatCode="General">
                  <c:v>0.81159866469190201</c:v>
                </c:pt>
                <c:pt idx="46" formatCode="General">
                  <c:v>0.79917610590571486</c:v>
                </c:pt>
                <c:pt idx="47" formatCode="General">
                  <c:v>0.78714348499463949</c:v>
                </c:pt>
                <c:pt idx="48" formatCode="General">
                  <c:v>0.77548390832136549</c:v>
                </c:pt>
                <c:pt idx="49" formatCode="General">
                  <c:v>0.76418117611911385</c:v>
                </c:pt>
                <c:pt idx="50" formatCode="General">
                  <c:v>0.753219771793047</c:v>
                </c:pt>
                <c:pt idx="51" formatCode="General">
                  <c:v>0.742584847566641</c:v>
                </c:pt>
                <c:pt idx="52" formatCode="General">
                  <c:v>0.73226220739065251</c:v>
                </c:pt>
                <c:pt idx="53" formatCode="General">
                  <c:v>0.72223828785767796</c:v>
                </c:pt>
                <c:pt idx="54" formatCode="General">
                  <c:v>0.71250013772165011</c:v>
                </c:pt>
                <c:pt idx="55" formatCode="General">
                  <c:v>0.70303539650408731</c:v>
                </c:pt>
                <c:pt idx="56" formatCode="General">
                  <c:v>0.69383227257243962</c:v>
                </c:pt>
                <c:pt idx="57" formatCode="General">
                  <c:v>0.68487952099715799</c:v>
                </c:pt>
                <c:pt idx="58" formatCode="General">
                  <c:v>0.67616642142939865</c:v>
                </c:pt>
                <c:pt idx="59" formatCode="General">
                  <c:v>0.66768275618889927</c:v>
                </c:pt>
                <c:pt idx="60" formatCode="General">
                  <c:v>0.65941878870849502</c:v>
                </c:pt>
              </c:numCache>
            </c:numRef>
          </c:val>
        </c:ser>
        <c:dLbls/>
        <c:marker val="1"/>
        <c:axId val="143619968"/>
        <c:axId val="143621504"/>
      </c:lineChart>
      <c:catAx>
        <c:axId val="143619968"/>
        <c:scaling>
          <c:orientation val="minMax"/>
        </c:scaling>
        <c:axPos val="b"/>
        <c:numFmt formatCode="General" sourceLinked="1"/>
        <c:tickLblPos val="nextTo"/>
        <c:txPr>
          <a:bodyPr/>
          <a:lstStyle/>
          <a:p>
            <a:pPr>
              <a:defRPr sz="1000">
                <a:latin typeface="Times New Roman" pitchFamily="18" charset="0"/>
                <a:cs typeface="Times New Roman" pitchFamily="18" charset="0"/>
              </a:defRPr>
            </a:pPr>
            <a:endParaRPr lang="en-US"/>
          </a:p>
        </c:txPr>
        <c:crossAx val="143621504"/>
        <c:crosses val="autoZero"/>
        <c:auto val="1"/>
        <c:lblAlgn val="ctr"/>
        <c:lblOffset val="100"/>
        <c:tickLblSkip val="4"/>
        <c:tickMarkSkip val="4"/>
      </c:catAx>
      <c:valAx>
        <c:axId val="143621504"/>
        <c:scaling>
          <c:orientation val="minMax"/>
          <c:max val="1.6"/>
          <c:min val="0.60000000000000064"/>
        </c:scaling>
        <c:axPos val="l"/>
        <c:numFmt formatCode="General" sourceLinked="1"/>
        <c:tickLblPos val="nextTo"/>
        <c:txPr>
          <a:bodyPr/>
          <a:lstStyle/>
          <a:p>
            <a:pPr>
              <a:defRPr sz="1000">
                <a:latin typeface="Times New Roman" pitchFamily="18" charset="0"/>
                <a:cs typeface="Times New Roman" pitchFamily="18" charset="0"/>
              </a:defRPr>
            </a:pPr>
            <a:endParaRPr lang="en-US"/>
          </a:p>
        </c:txPr>
        <c:crossAx val="143619968"/>
        <c:crosses val="autoZero"/>
        <c:crossBetween val="midCat"/>
      </c:valAx>
    </c:plotArea>
    <c:legend>
      <c:legendPos val="r"/>
      <c:layout>
        <c:manualLayout>
          <c:xMode val="edge"/>
          <c:yMode val="edge"/>
          <c:x val="0.56850731794118969"/>
          <c:y val="0.11404496456291589"/>
          <c:w val="0.26652099737532953"/>
          <c:h val="0.15986927835508596"/>
        </c:manualLayout>
      </c:layout>
      <c:txPr>
        <a:bodyPr/>
        <a:lstStyle/>
        <a:p>
          <a:pPr>
            <a:defRPr sz="10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22.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251361843242649"/>
          <c:y val="3.7691592898713898E-2"/>
          <c:w val="0.8455890319099334"/>
          <c:h val="0.79595996152654835"/>
        </c:manualLayout>
      </c:layout>
      <c:lineChart>
        <c:grouping val="standard"/>
        <c:ser>
          <c:idx val="0"/>
          <c:order val="0"/>
          <c:tx>
            <c:strRef>
              <c:f>IRF_RDF!$B$10</c:f>
              <c:strCache>
                <c:ptCount val="1"/>
                <c:pt idx="0">
                  <c:v>Without BSF</c:v>
                </c:pt>
              </c:strCache>
            </c:strRef>
          </c:tx>
          <c:spPr>
            <a:ln w="25400">
              <a:solidFill>
                <a:schemeClr val="tx1"/>
              </a:solidFill>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IRF_RDF!$C$10:$GT$10</c:f>
              <c:numCache>
                <c:formatCode>0.00</c:formatCode>
                <c:ptCount val="61"/>
                <c:pt idx="0">
                  <c:v>1.3204320570078798</c:v>
                </c:pt>
                <c:pt idx="1">
                  <c:v>1.4847794862931198</c:v>
                </c:pt>
                <c:pt idx="2" formatCode="General">
                  <c:v>1.57696209339375</c:v>
                </c:pt>
                <c:pt idx="3" formatCode="General">
                  <c:v>1.6279961023051457</c:v>
                </c:pt>
                <c:pt idx="4" formatCode="General">
                  <c:v>1.6546754936356001</c:v>
                </c:pt>
                <c:pt idx="5" formatCode="General">
                  <c:v>1.6660277347451637</c:v>
                </c:pt>
                <c:pt idx="6" formatCode="General">
                  <c:v>1.6669799408861101</c:v>
                </c:pt>
                <c:pt idx="7" formatCode="General">
                  <c:v>1.6603581185635456</c:v>
                </c:pt>
                <c:pt idx="8" formatCode="General">
                  <c:v>1.6479327707550999</c:v>
                </c:pt>
                <c:pt idx="9" formatCode="General">
                  <c:v>1.63094184138815</c:v>
                </c:pt>
                <c:pt idx="10" formatCode="General">
                  <c:v>1.61033994299205</c:v>
                </c:pt>
                <c:pt idx="11" formatCode="General">
                  <c:v>1.5869114747844799</c:v>
                </c:pt>
                <c:pt idx="12" formatCode="General">
                  <c:v>1.56132022475782</c:v>
                </c:pt>
                <c:pt idx="13" formatCode="General">
                  <c:v>1.5341317395207501</c:v>
                </c:pt>
                <c:pt idx="14" formatCode="General">
                  <c:v>1.5058253928911935</c:v>
                </c:pt>
                <c:pt idx="15" formatCode="General">
                  <c:v>1.4768033085241552</c:v>
                </c:pt>
                <c:pt idx="16" formatCode="General">
                  <c:v>1.4473986801840324</c:v>
                </c:pt>
                <c:pt idx="17" formatCode="General">
                  <c:v>1.4178840640696362</c:v>
                </c:pt>
                <c:pt idx="18" formatCode="General">
                  <c:v>1.38847951464936</c:v>
                </c:pt>
                <c:pt idx="19" formatCode="General">
                  <c:v>1.3593602848075399</c:v>
                </c:pt>
                <c:pt idx="20" formatCode="General">
                  <c:v>1.3306638646909701</c:v>
                </c:pt>
                <c:pt idx="21" formatCode="General">
                  <c:v>1.3024962358911498</c:v>
                </c:pt>
                <c:pt idx="22" formatCode="General">
                  <c:v>1.2749373083679798</c:v>
                </c:pt>
                <c:pt idx="23" formatCode="General">
                  <c:v>1.2480455704138247</c:v>
                </c:pt>
                <c:pt idx="24" formatCode="General">
                  <c:v>1.2218620182174824</c:v>
                </c:pt>
                <c:pt idx="25" formatCode="General">
                  <c:v>1.1964134478805037</c:v>
                </c:pt>
                <c:pt idx="26" formatCode="General">
                  <c:v>1.17171519601228</c:v>
                </c:pt>
                <c:pt idx="27" formatCode="General">
                  <c:v>1.14777341078853</c:v>
                </c:pt>
                <c:pt idx="28" formatCode="General">
                  <c:v>1.1245869273974201</c:v>
                </c:pt>
                <c:pt idx="29" formatCode="General">
                  <c:v>1.1021488125007801</c:v>
                </c:pt>
                <c:pt idx="30" formatCode="General">
                  <c:v>1.0804476330614901</c:v>
                </c:pt>
                <c:pt idx="31" formatCode="General">
                  <c:v>1.0594684963233598</c:v>
                </c:pt>
                <c:pt idx="32" formatCode="General">
                  <c:v>1.0391939001624462</c:v>
                </c:pt>
                <c:pt idx="33" formatCode="General">
                  <c:v>1.0196044265171862</c:v>
                </c:pt>
                <c:pt idx="34" formatCode="General">
                  <c:v>1.0006793050911198</c:v>
                </c:pt>
                <c:pt idx="35" formatCode="General">
                  <c:v>0.98239686989986541</c:v>
                </c:pt>
                <c:pt idx="36" formatCode="General">
                  <c:v>0.96473492737957023</c:v>
                </c:pt>
                <c:pt idx="37" formatCode="General">
                  <c:v>0.94767105157150977</c:v>
                </c:pt>
                <c:pt idx="38" formatCode="General">
                  <c:v>0.93118281923984703</c:v>
                </c:pt>
                <c:pt idx="39" formatCode="General">
                  <c:v>0.91524799557515202</c:v>
                </c:pt>
                <c:pt idx="40" formatCode="General">
                  <c:v>0.89984467930873713</c:v>
                </c:pt>
                <c:pt idx="41" formatCode="General">
                  <c:v>0.88495141454704063</c:v>
                </c:pt>
                <c:pt idx="42" formatCode="General">
                  <c:v>0.87054727537782395</c:v>
                </c:pt>
                <c:pt idx="43" formatCode="General">
                  <c:v>0.85661192825668064</c:v>
                </c:pt>
                <c:pt idx="44" formatCode="General">
                  <c:v>0.84312567631670365</c:v>
                </c:pt>
                <c:pt idx="45" formatCode="General">
                  <c:v>0.83006948902571998</c:v>
                </c:pt>
                <c:pt idx="46" formatCode="General">
                  <c:v>0.81742502001942963</c:v>
                </c:pt>
                <c:pt idx="47" formatCode="General">
                  <c:v>0.80517461544401048</c:v>
                </c:pt>
                <c:pt idx="48" formatCode="General">
                  <c:v>0.79330131473162058</c:v>
                </c:pt>
                <c:pt idx="49" formatCode="General">
                  <c:v>0.78178884539178495</c:v>
                </c:pt>
                <c:pt idx="50" formatCode="General">
                  <c:v>0.77062161311949973</c:v>
                </c:pt>
                <c:pt idx="51" formatCode="General">
                  <c:v>0.75978468828713464</c:v>
                </c:pt>
                <c:pt idx="52" formatCode="General">
                  <c:v>0.749263789693559</c:v>
                </c:pt>
                <c:pt idx="53" formatCode="General">
                  <c:v>0.73904526628329337</c:v>
                </c:pt>
                <c:pt idx="54" formatCode="General">
                  <c:v>0.72911607741616802</c:v>
                </c:pt>
                <c:pt idx="55" formatCode="General">
                  <c:v>0.71946377215806201</c:v>
                </c:pt>
                <c:pt idx="56" formatCode="General">
                  <c:v>0.71007646797261659</c:v>
                </c:pt>
                <c:pt idx="57" formatCode="General">
                  <c:v>0.70094282911925798</c:v>
                </c:pt>
                <c:pt idx="58" formatCode="General">
                  <c:v>0.69205204500102557</c:v>
                </c:pt>
                <c:pt idx="59" formatCode="General">
                  <c:v>0.68339380865505095</c:v>
                </c:pt>
                <c:pt idx="60" formatCode="General">
                  <c:v>0.67495829553679143</c:v>
                </c:pt>
              </c:numCache>
            </c:numRef>
          </c:val>
        </c:ser>
        <c:ser>
          <c:idx val="1"/>
          <c:order val="1"/>
          <c:tx>
            <c:strRef>
              <c:f>IRF_RDF!$B$31</c:f>
              <c:strCache>
                <c:ptCount val="1"/>
                <c:pt idx="0">
                  <c:v>With BSF</c:v>
                </c:pt>
              </c:strCache>
            </c:strRef>
          </c:tx>
          <c:spPr>
            <a:ln w="38100">
              <a:solidFill>
                <a:schemeClr val="tx1"/>
              </a:solidFill>
              <a:prstDash val="sysDot"/>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IRF_RDF!$C$31:$GT$31</c:f>
              <c:numCache>
                <c:formatCode>General</c:formatCode>
                <c:ptCount val="61"/>
                <c:pt idx="0">
                  <c:v>1.2788313703495962</c:v>
                </c:pt>
                <c:pt idx="1">
                  <c:v>1.4421431857639899</c:v>
                </c:pt>
                <c:pt idx="2">
                  <c:v>1.54704694237553</c:v>
                </c:pt>
                <c:pt idx="3">
                  <c:v>1.6126698126523498</c:v>
                </c:pt>
                <c:pt idx="4">
                  <c:v>1.6513007327706299</c:v>
                </c:pt>
                <c:pt idx="5">
                  <c:v>1.6709017913779498</c:v>
                </c:pt>
                <c:pt idx="6">
                  <c:v>1.6767691601693699</c:v>
                </c:pt>
                <c:pt idx="7">
                  <c:v>1.6725438031217557</c:v>
                </c:pt>
                <c:pt idx="8">
                  <c:v>1.6608146068145699</c:v>
                </c:pt>
                <c:pt idx="9">
                  <c:v>1.6434800549477437</c:v>
                </c:pt>
                <c:pt idx="10">
                  <c:v>1.6219689492927001</c:v>
                </c:pt>
                <c:pt idx="11">
                  <c:v>1.5973786582382299</c:v>
                </c:pt>
                <c:pt idx="12">
                  <c:v>1.5705645466674898</c:v>
                </c:pt>
                <c:pt idx="13">
                  <c:v>1.5421999645756201</c:v>
                </c:pt>
                <c:pt idx="14">
                  <c:v>1.5128180307707537</c:v>
                </c:pt>
                <c:pt idx="15">
                  <c:v>1.4828418072208098</c:v>
                </c:pt>
                <c:pt idx="16">
                  <c:v>1.4526068034650499</c:v>
                </c:pt>
                <c:pt idx="17">
                  <c:v>1.4223782188061198</c:v>
                </c:pt>
                <c:pt idx="18">
                  <c:v>1.3923644367657537</c:v>
                </c:pt>
                <c:pt idx="19">
                  <c:v>1.3627277571991947</c:v>
                </c:pt>
                <c:pt idx="20">
                  <c:v>1.3335930314944762</c:v>
                </c:pt>
                <c:pt idx="21">
                  <c:v>1.3050546675974162</c:v>
                </c:pt>
                <c:pt idx="22">
                  <c:v>1.2771823442368337</c:v>
                </c:pt>
                <c:pt idx="23">
                  <c:v>1.2500256890772599</c:v>
                </c:pt>
                <c:pt idx="24">
                  <c:v>1.2236181170920062</c:v>
                </c:pt>
                <c:pt idx="25">
                  <c:v>1.1979799835821898</c:v>
                </c:pt>
                <c:pt idx="26">
                  <c:v>1.1731211752383699</c:v>
                </c:pt>
                <c:pt idx="27">
                  <c:v>1.14904323897536</c:v>
                </c:pt>
                <c:pt idx="28">
                  <c:v>1.1257411297976401</c:v>
                </c:pt>
                <c:pt idx="29">
                  <c:v>1.1032046442769199</c:v>
                </c:pt>
                <c:pt idx="30">
                  <c:v>1.08141959440974</c:v>
                </c:pt>
                <c:pt idx="31">
                  <c:v>1.0603687670242399</c:v>
                </c:pt>
                <c:pt idx="32">
                  <c:v>1.0400327060530601</c:v>
                </c:pt>
                <c:pt idx="33">
                  <c:v>1.0203903485377899</c:v>
                </c:pt>
                <c:pt idx="34">
                  <c:v>1.0014195399108501</c:v>
                </c:pt>
                <c:pt idx="35">
                  <c:v>0.98309744970742441</c:v>
                </c:pt>
                <c:pt idx="36">
                  <c:v>0.96540090522392297</c:v>
                </c:pt>
                <c:pt idx="37">
                  <c:v>0.94830665762975863</c:v>
                </c:pt>
                <c:pt idx="38">
                  <c:v>0.93179159254416177</c:v>
                </c:pt>
                <c:pt idx="39">
                  <c:v>0.91583289502214149</c:v>
                </c:pt>
                <c:pt idx="40">
                  <c:v>0.90040817717921851</c:v>
                </c:pt>
                <c:pt idx="41">
                  <c:v>0.88549557526272249</c:v>
                </c:pt>
                <c:pt idx="42">
                  <c:v>0.87107382179876602</c:v>
                </c:pt>
                <c:pt idx="43">
                  <c:v>0.85712229746633894</c:v>
                </c:pt>
                <c:pt idx="44">
                  <c:v>0.84362106653962943</c:v>
                </c:pt>
                <c:pt idx="45">
                  <c:v>0.83055089906776558</c:v>
                </c:pt>
                <c:pt idx="46">
                  <c:v>0.81789328240453985</c:v>
                </c:pt>
                <c:pt idx="47">
                  <c:v>0.80563042423903064</c:v>
                </c:pt>
                <c:pt idx="48">
                  <c:v>0.79374524889624098</c:v>
                </c:pt>
                <c:pt idx="49">
                  <c:v>0.78222138836002597</c:v>
                </c:pt>
                <c:pt idx="50">
                  <c:v>0.77104316920892502</c:v>
                </c:pt>
                <c:pt idx="51">
                  <c:v>0.76019559643860724</c:v>
                </c:pt>
                <c:pt idx="52">
                  <c:v>0.74966433496546503</c:v>
                </c:pt>
                <c:pt idx="53">
                  <c:v>0.73943568945785199</c:v>
                </c:pt>
                <c:pt idx="54">
                  <c:v>0.72949658301894249</c:v>
                </c:pt>
                <c:pt idx="55">
                  <c:v>0.71983453514450313</c:v>
                </c:pt>
                <c:pt idx="56">
                  <c:v>0.71043763929545001</c:v>
                </c:pt>
                <c:pt idx="57">
                  <c:v>0.70129454035670202</c:v>
                </c:pt>
                <c:pt idx="58">
                  <c:v>0.69239441219731912</c:v>
                </c:pt>
                <c:pt idx="59">
                  <c:v>0.68372693550080665</c:v>
                </c:pt>
                <c:pt idx="60">
                  <c:v>0.67528227599643698</c:v>
                </c:pt>
              </c:numCache>
            </c:numRef>
          </c:val>
        </c:ser>
        <c:dLbls/>
        <c:marker val="1"/>
        <c:axId val="143663488"/>
        <c:axId val="143665024"/>
      </c:lineChart>
      <c:catAx>
        <c:axId val="143663488"/>
        <c:scaling>
          <c:orientation val="minMax"/>
        </c:scaling>
        <c:axPos val="b"/>
        <c:numFmt formatCode="General" sourceLinked="1"/>
        <c:tickLblPos val="nextTo"/>
        <c:txPr>
          <a:bodyPr/>
          <a:lstStyle/>
          <a:p>
            <a:pPr>
              <a:defRPr>
                <a:latin typeface="Times New Roman" pitchFamily="18" charset="0"/>
                <a:ea typeface="Tahoma" pitchFamily="34" charset="0"/>
                <a:cs typeface="Times New Roman" pitchFamily="18" charset="0"/>
              </a:defRPr>
            </a:pPr>
            <a:endParaRPr lang="en-US"/>
          </a:p>
        </c:txPr>
        <c:crossAx val="143665024"/>
        <c:crosses val="autoZero"/>
        <c:auto val="1"/>
        <c:lblAlgn val="ctr"/>
        <c:lblOffset val="100"/>
        <c:tickLblSkip val="4"/>
        <c:tickMarkSkip val="10"/>
      </c:catAx>
      <c:valAx>
        <c:axId val="143665024"/>
        <c:scaling>
          <c:orientation val="minMax"/>
          <c:min val="0.60000000000000064"/>
        </c:scaling>
        <c:axPos val="l"/>
        <c:numFmt formatCode="0.00" sourceLinked="1"/>
        <c:tickLblPos val="nextTo"/>
        <c:txPr>
          <a:bodyPr/>
          <a:lstStyle/>
          <a:p>
            <a:pPr>
              <a:defRPr>
                <a:latin typeface="Times New Roman" pitchFamily="18" charset="0"/>
                <a:cs typeface="Times New Roman" pitchFamily="18" charset="0"/>
              </a:defRPr>
            </a:pPr>
            <a:endParaRPr lang="en-US"/>
          </a:p>
        </c:txPr>
        <c:crossAx val="143663488"/>
        <c:crosses val="autoZero"/>
        <c:crossBetween val="midCat"/>
      </c:valAx>
    </c:plotArea>
    <c:legend>
      <c:legendPos val="r"/>
      <c:layout>
        <c:manualLayout>
          <c:xMode val="edge"/>
          <c:yMode val="edge"/>
          <c:x val="0.64239038982402652"/>
          <c:y val="0.15489809868288967"/>
          <c:w val="0.27500971034384702"/>
          <c:h val="0.14894614910528886"/>
        </c:manualLayout>
      </c:layout>
      <c:txPr>
        <a:bodyPr/>
        <a:lstStyle/>
        <a:p>
          <a:pPr>
            <a:defRPr sz="1200"/>
          </a:pPr>
          <a:endParaRPr lang="en-US"/>
        </a:p>
      </c:txPr>
    </c:legend>
    <c:plotVisOnly val="1"/>
    <c:dispBlanksAs val="gap"/>
  </c:chart>
  <c:spPr>
    <a:ln>
      <a:noFill/>
    </a:ln>
  </c:spPr>
  <c:externalData r:id="rId1"/>
  <c:userShapes r:id="rId2"/>
</c:chartSpace>
</file>

<file path=word/charts/chart23.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4829128568433803"/>
          <c:y val="1.6194095141092442E-2"/>
          <c:w val="0.82344924600274683"/>
          <c:h val="0.77963647067481456"/>
        </c:manualLayout>
      </c:layout>
      <c:lineChart>
        <c:grouping val="standard"/>
        <c:ser>
          <c:idx val="0"/>
          <c:order val="0"/>
          <c:tx>
            <c:strRef>
              <c:f>IRF_RDF!$B$6</c:f>
              <c:strCache>
                <c:ptCount val="1"/>
                <c:pt idx="0">
                  <c:v>Without BSF</c:v>
                </c:pt>
              </c:strCache>
            </c:strRef>
          </c:tx>
          <c:spPr>
            <a:ln w="25400">
              <a:solidFill>
                <a:schemeClr val="tx1"/>
              </a:solidFill>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IRF_RDF!$C$6:$GT$6</c:f>
              <c:numCache>
                <c:formatCode>0.00</c:formatCode>
                <c:ptCount val="61"/>
                <c:pt idx="0" formatCode="General">
                  <c:v>0.37271637951367642</c:v>
                </c:pt>
                <c:pt idx="1">
                  <c:v>0.64909892028413585</c:v>
                </c:pt>
                <c:pt idx="2">
                  <c:v>0.85564405298079527</c:v>
                </c:pt>
                <c:pt idx="3" formatCode="General">
                  <c:v>1.0104944712192698</c:v>
                </c:pt>
                <c:pt idx="4" formatCode="General">
                  <c:v>1.1262743684543399</c:v>
                </c:pt>
                <c:pt idx="5" formatCode="General">
                  <c:v>1.2119616783056715</c:v>
                </c:pt>
                <c:pt idx="6" formatCode="General">
                  <c:v>1.2741070607125142</c:v>
                </c:pt>
                <c:pt idx="7" formatCode="General">
                  <c:v>1.3176203343076298</c:v>
                </c:pt>
                <c:pt idx="8" formatCode="General">
                  <c:v>1.3462762023578698</c:v>
                </c:pt>
                <c:pt idx="9" formatCode="General">
                  <c:v>1.3630407872773198</c:v>
                </c:pt>
                <c:pt idx="10" formatCode="General">
                  <c:v>1.3702851919008654</c:v>
                </c:pt>
                <c:pt idx="11" formatCode="General">
                  <c:v>1.3699283623185499</c:v>
                </c:pt>
                <c:pt idx="12" formatCode="General">
                  <c:v>1.3635357372646657</c:v>
                </c:pt>
                <c:pt idx="13" formatCode="General">
                  <c:v>1.35239001371391</c:v>
                </c:pt>
                <c:pt idx="14" formatCode="General">
                  <c:v>1.3375439747070701</c:v>
                </c:pt>
                <c:pt idx="15" formatCode="General">
                  <c:v>1.3198613972010631</c:v>
                </c:pt>
                <c:pt idx="16" formatCode="General">
                  <c:v>1.3000496876564198</c:v>
                </c:pt>
                <c:pt idx="17" formatCode="General">
                  <c:v>1.27868648800578</c:v>
                </c:pt>
                <c:pt idx="18" formatCode="General">
                  <c:v>1.2562416731927799</c:v>
                </c:pt>
                <c:pt idx="19" formatCode="General">
                  <c:v>1.2330956847135899</c:v>
                </c:pt>
                <c:pt idx="20" formatCode="General">
                  <c:v>1.2095548666882401</c:v>
                </c:pt>
                <c:pt idx="21" formatCode="General">
                  <c:v>1.1858643052176352</c:v>
                </c:pt>
                <c:pt idx="22" formatCode="General">
                  <c:v>1.1622185680110375</c:v>
                </c:pt>
                <c:pt idx="23" formatCode="General">
                  <c:v>1.13877067137344</c:v>
                </c:pt>
                <c:pt idx="24" formatCode="General">
                  <c:v>1.1156395503669898</c:v>
                </c:pt>
                <c:pt idx="25" formatCode="General">
                  <c:v>1.0929162673279698</c:v>
                </c:pt>
                <c:pt idx="26" formatCode="General">
                  <c:v>1.0706691599201599</c:v>
                </c:pt>
                <c:pt idx="27" formatCode="General">
                  <c:v>1.04894810058264</c:v>
                </c:pt>
                <c:pt idx="28" formatCode="General">
                  <c:v>1.0277880136421198</c:v>
                </c:pt>
                <c:pt idx="29" formatCode="General">
                  <c:v>1.00721177401328</c:v>
                </c:pt>
                <c:pt idx="30" formatCode="General">
                  <c:v>0.98723259198885016</c:v>
                </c:pt>
                <c:pt idx="31" formatCode="General">
                  <c:v>0.96785597186253902</c:v>
                </c:pt>
                <c:pt idx="32" formatCode="General">
                  <c:v>0.94908131777649463</c:v>
                </c:pt>
                <c:pt idx="33" formatCode="General">
                  <c:v>0.93090324798405599</c:v>
                </c:pt>
                <c:pt idx="34" formatCode="General">
                  <c:v>0.91331266841050951</c:v>
                </c:pt>
                <c:pt idx="35" formatCode="General">
                  <c:v>0.89629764773319165</c:v>
                </c:pt>
                <c:pt idx="36" formatCode="General">
                  <c:v>0.87984412895608688</c:v>
                </c:pt>
                <c:pt idx="37" formatCode="General">
                  <c:v>0.86393650641335062</c:v>
                </c:pt>
                <c:pt idx="38" formatCode="General">
                  <c:v>0.84855809211422495</c:v>
                </c:pt>
                <c:pt idx="39" formatCode="General">
                  <c:v>0.83369149117571684</c:v>
                </c:pt>
                <c:pt idx="40" formatCode="General">
                  <c:v>0.81931890263878349</c:v>
                </c:pt>
                <c:pt idx="41" formatCode="General">
                  <c:v>0.80542235910916149</c:v>
                </c:pt>
                <c:pt idx="42" formatCode="General">
                  <c:v>0.791983916304282</c:v>
                </c:pt>
                <c:pt idx="43" formatCode="General">
                  <c:v>0.7789858016386022</c:v>
                </c:pt>
                <c:pt idx="44" formatCode="General">
                  <c:v>0.76641052937020149</c:v>
                </c:pt>
                <c:pt idx="45" formatCode="General">
                  <c:v>0.754240988502905</c:v>
                </c:pt>
                <c:pt idx="46" formatCode="General">
                  <c:v>0.74246050854171097</c:v>
                </c:pt>
                <c:pt idx="47" formatCode="General">
                  <c:v>0.731052907294791</c:v>
                </c:pt>
                <c:pt idx="48" formatCode="General">
                  <c:v>0.72000252416880095</c:v>
                </c:pt>
                <c:pt idx="49" formatCode="General">
                  <c:v>0.70929424178878364</c:v>
                </c:pt>
                <c:pt idx="50" formatCode="General">
                  <c:v>0.69891349826606497</c:v>
                </c:pt>
                <c:pt idx="51" formatCode="General">
                  <c:v>0.68884629201912684</c:v>
                </c:pt>
                <c:pt idx="52" formatCode="General">
                  <c:v>0.679079180707166</c:v>
                </c:pt>
                <c:pt idx="53" formatCode="General">
                  <c:v>0.66959927555184984</c:v>
                </c:pt>
                <c:pt idx="54" formatCode="General">
                  <c:v>0.66039423208828385</c:v>
                </c:pt>
                <c:pt idx="55" formatCode="General">
                  <c:v>0.65145223819355336</c:v>
                </c:pt>
                <c:pt idx="56" formatCode="General">
                  <c:v>0.64276200008217665</c:v>
                </c:pt>
                <c:pt idx="57" formatCode="General">
                  <c:v>0.63431272682729456</c:v>
                </c:pt>
                <c:pt idx="58" formatCode="General">
                  <c:v>0.62609411385906488</c:v>
                </c:pt>
                <c:pt idx="59" formatCode="General">
                  <c:v>0.618096325803422</c:v>
                </c:pt>
                <c:pt idx="60" formatCode="General">
                  <c:v>0.61030997895212302</c:v>
                </c:pt>
              </c:numCache>
            </c:numRef>
          </c:val>
        </c:ser>
        <c:ser>
          <c:idx val="2"/>
          <c:order val="1"/>
          <c:tx>
            <c:strRef>
              <c:f>IRF_RDF!$B$27</c:f>
              <c:strCache>
                <c:ptCount val="1"/>
                <c:pt idx="0">
                  <c:v>With BSF</c:v>
                </c:pt>
              </c:strCache>
            </c:strRef>
          </c:tx>
          <c:spPr>
            <a:ln w="38100">
              <a:solidFill>
                <a:schemeClr val="tx1"/>
              </a:solidFill>
              <a:prstDash val="sysDot"/>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IRF_RDF!$C$27:$GT$27</c:f>
              <c:numCache>
                <c:formatCode>General</c:formatCode>
                <c:ptCount val="61"/>
                <c:pt idx="0">
                  <c:v>0.33669395501032601</c:v>
                </c:pt>
                <c:pt idx="1">
                  <c:v>0.60562507786175712</c:v>
                </c:pt>
                <c:pt idx="2">
                  <c:v>0.816316511529393</c:v>
                </c:pt>
                <c:pt idx="3">
                  <c:v>0.97925709965821195</c:v>
                </c:pt>
                <c:pt idx="4">
                  <c:v>1.1035879173915037</c:v>
                </c:pt>
                <c:pt idx="5">
                  <c:v>1.1968225069603937</c:v>
                </c:pt>
                <c:pt idx="6">
                  <c:v>1.2650434008384099</c:v>
                </c:pt>
                <c:pt idx="7">
                  <c:v>1.3131637737053499</c:v>
                </c:pt>
                <c:pt idx="8">
                  <c:v>1.3451580295629901</c:v>
                </c:pt>
                <c:pt idx="9">
                  <c:v>1.3642478161751801</c:v>
                </c:pt>
                <c:pt idx="10">
                  <c:v>1.37304906844062</c:v>
                </c:pt>
                <c:pt idx="11">
                  <c:v>1.37368824720677</c:v>
                </c:pt>
                <c:pt idx="12">
                  <c:v>1.3678947684035698</c:v>
                </c:pt>
                <c:pt idx="13">
                  <c:v>1.3570750024585501</c:v>
                </c:pt>
                <c:pt idx="14">
                  <c:v>1.34237188413921</c:v>
                </c:pt>
                <c:pt idx="15">
                  <c:v>1.3247131748122647</c:v>
                </c:pt>
                <c:pt idx="16">
                  <c:v>1.3048506937546498</c:v>
                </c:pt>
                <c:pt idx="17">
                  <c:v>1.2833923065109298</c:v>
                </c:pt>
                <c:pt idx="18">
                  <c:v>1.26082806793689</c:v>
                </c:pt>
                <c:pt idx="19">
                  <c:v>1.2375516246078899</c:v>
                </c:pt>
                <c:pt idx="20">
                  <c:v>1.2138777578036657</c:v>
                </c:pt>
                <c:pt idx="21">
                  <c:v>1.1900567752782447</c:v>
                </c:pt>
                <c:pt idx="22">
                  <c:v>1.1662863243573347</c:v>
                </c:pt>
                <c:pt idx="23">
                  <c:v>1.1427210913694652</c:v>
                </c:pt>
                <c:pt idx="24">
                  <c:v>1.11948076642715</c:v>
                </c:pt>
                <c:pt idx="25">
                  <c:v>1.0966565833319437</c:v>
                </c:pt>
                <c:pt idx="26">
                  <c:v>1.0743166883108899</c:v>
                </c:pt>
                <c:pt idx="27">
                  <c:v>1.0525105456994099</c:v>
                </c:pt>
                <c:pt idx="28">
                  <c:v>1.0312725514872101</c:v>
                </c:pt>
                <c:pt idx="29">
                  <c:v>1.0106249952174924</c:v>
                </c:pt>
                <c:pt idx="30">
                  <c:v>0.99058048579376068</c:v>
                </c:pt>
                <c:pt idx="31">
                  <c:v>0.97114393628262463</c:v>
                </c:pt>
                <c:pt idx="32">
                  <c:v>0.95231418598586026</c:v>
                </c:pt>
                <c:pt idx="33">
                  <c:v>0.934085324226828</c:v>
                </c:pt>
                <c:pt idx="34">
                  <c:v>0.91644776891865287</c:v>
                </c:pt>
                <c:pt idx="35">
                  <c:v>0.89938914361545497</c:v>
                </c:pt>
                <c:pt idx="36">
                  <c:v>0.882894989034679</c:v>
                </c:pt>
                <c:pt idx="37">
                  <c:v>0.86694933868602331</c:v>
                </c:pt>
                <c:pt idx="38">
                  <c:v>0.85153518300861897</c:v>
                </c:pt>
                <c:pt idx="39">
                  <c:v>0.83663484210640349</c:v>
                </c:pt>
                <c:pt idx="40">
                  <c:v>0.82223026361858631</c:v>
                </c:pt>
                <c:pt idx="41">
                  <c:v>0.80830325933492397</c:v>
                </c:pt>
                <c:pt idx="42">
                  <c:v>0.79483569175320501</c:v>
                </c:pt>
                <c:pt idx="43">
                  <c:v>0.78180961978894503</c:v>
                </c:pt>
                <c:pt idx="44">
                  <c:v>0.76920741120991964</c:v>
                </c:pt>
                <c:pt idx="45">
                  <c:v>0.75701182801901712</c:v>
                </c:pt>
                <c:pt idx="46">
                  <c:v>0.74520608989771986</c:v>
                </c:pt>
                <c:pt idx="47">
                  <c:v>0.73377391990727403</c:v>
                </c:pt>
                <c:pt idx="48">
                  <c:v>0.72269957589067413</c:v>
                </c:pt>
                <c:pt idx="49">
                  <c:v>0.71196787039822262</c:v>
                </c:pt>
                <c:pt idx="50">
                  <c:v>0.70156418144825816</c:v>
                </c:pt>
                <c:pt idx="51">
                  <c:v>0.69147445601429336</c:v>
                </c:pt>
                <c:pt idx="52">
                  <c:v>0.68168520778376762</c:v>
                </c:pt>
                <c:pt idx="53">
                  <c:v>0.67218351044920288</c:v>
                </c:pt>
                <c:pt idx="54">
                  <c:v>0.66295698755832588</c:v>
                </c:pt>
                <c:pt idx="55">
                  <c:v>0.65399379975773997</c:v>
                </c:pt>
                <c:pt idx="56">
                  <c:v>0.6452826301065796</c:v>
                </c:pt>
                <c:pt idx="57">
                  <c:v>0.63681266800701197</c:v>
                </c:pt>
                <c:pt idx="58">
                  <c:v>0.62857359219216602</c:v>
                </c:pt>
                <c:pt idx="59">
                  <c:v>0.62055555312470612</c:v>
                </c:pt>
                <c:pt idx="60">
                  <c:v>0.61274915508809524</c:v>
                </c:pt>
              </c:numCache>
            </c:numRef>
          </c:val>
        </c:ser>
        <c:dLbls/>
        <c:marker val="1"/>
        <c:axId val="143682176"/>
        <c:axId val="143704448"/>
      </c:lineChart>
      <c:catAx>
        <c:axId val="143682176"/>
        <c:scaling>
          <c:orientation val="minMax"/>
        </c:scaling>
        <c:axPos val="b"/>
        <c:numFmt formatCode="General" sourceLinked="1"/>
        <c:tickLblPos val="nextTo"/>
        <c:txPr>
          <a:bodyPr/>
          <a:lstStyle/>
          <a:p>
            <a:pPr>
              <a:defRPr sz="1000" b="0">
                <a:latin typeface="Times New Roman" pitchFamily="18" charset="0"/>
                <a:cs typeface="Times New Roman" pitchFamily="18" charset="0"/>
              </a:defRPr>
            </a:pPr>
            <a:endParaRPr lang="en-US"/>
          </a:p>
        </c:txPr>
        <c:crossAx val="143704448"/>
        <c:crosses val="autoZero"/>
        <c:auto val="1"/>
        <c:lblAlgn val="ctr"/>
        <c:lblOffset val="100"/>
        <c:tickLblSkip val="4"/>
        <c:tickMarkSkip val="4"/>
      </c:catAx>
      <c:valAx>
        <c:axId val="143704448"/>
        <c:scaling>
          <c:orientation val="minMax"/>
          <c:min val="0.30000000000000032"/>
        </c:scaling>
        <c:axPos val="l"/>
        <c:numFmt formatCode="General" sourceLinked="1"/>
        <c:tickLblPos val="nextTo"/>
        <c:txPr>
          <a:bodyPr/>
          <a:lstStyle/>
          <a:p>
            <a:pPr>
              <a:defRPr sz="1000" b="0">
                <a:latin typeface="Times New Roman" pitchFamily="18" charset="0"/>
                <a:cs typeface="Times New Roman" pitchFamily="18" charset="0"/>
              </a:defRPr>
            </a:pPr>
            <a:endParaRPr lang="en-US"/>
          </a:p>
        </c:txPr>
        <c:crossAx val="143682176"/>
        <c:crosses val="autoZero"/>
        <c:crossBetween val="midCat"/>
      </c:valAx>
    </c:plotArea>
    <c:legend>
      <c:legendPos val="r"/>
      <c:layout>
        <c:manualLayout>
          <c:xMode val="edge"/>
          <c:yMode val="edge"/>
          <c:x val="0.63261268641998014"/>
          <c:y val="0.14154030746156798"/>
          <c:w val="0.21393844908994497"/>
          <c:h val="0.11230558680164979"/>
        </c:manualLayout>
      </c:layout>
      <c:txPr>
        <a:bodyPr/>
        <a:lstStyle/>
        <a:p>
          <a:pPr>
            <a:defRPr sz="800"/>
          </a:pPr>
          <a:endParaRPr lang="en-US"/>
        </a:p>
      </c:txPr>
    </c:legend>
    <c:plotVisOnly val="1"/>
    <c:dispBlanksAs val="gap"/>
  </c:chart>
  <c:spPr>
    <a:ln>
      <a:noFill/>
    </a:ln>
  </c:spPr>
  <c:externalData r:id="rId1"/>
  <c:userShapes r:id="rId2"/>
</c:chartSpace>
</file>

<file path=word/charts/chart24.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7086485570150056"/>
          <c:y val="2.3291189547678781E-2"/>
          <c:w val="0.79646996241282753"/>
          <c:h val="0.73870654180845696"/>
        </c:manualLayout>
      </c:layout>
      <c:lineChart>
        <c:grouping val="standard"/>
        <c:ser>
          <c:idx val="1"/>
          <c:order val="0"/>
          <c:tx>
            <c:strRef>
              <c:f>IRF_RDF!$B$7</c:f>
              <c:strCache>
                <c:ptCount val="1"/>
                <c:pt idx="0">
                  <c:v>Without BSF</c:v>
                </c:pt>
              </c:strCache>
            </c:strRef>
          </c:tx>
          <c:spPr>
            <a:ln w="25400">
              <a:solidFill>
                <a:schemeClr val="tx1"/>
              </a:solidFill>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IRF_RDF!$C$7:$GT$7</c:f>
              <c:numCache>
                <c:formatCode>0.00</c:formatCode>
                <c:ptCount val="61"/>
                <c:pt idx="0" formatCode="General">
                  <c:v>0.49310677796062213</c:v>
                </c:pt>
                <c:pt idx="1">
                  <c:v>0.79168633368375763</c:v>
                </c:pt>
                <c:pt idx="2">
                  <c:v>0.97460029597598963</c:v>
                </c:pt>
                <c:pt idx="3" formatCode="General">
                  <c:v>1.0886645704405</c:v>
                </c:pt>
                <c:pt idx="4" formatCode="General">
                  <c:v>1.1611758269915184</c:v>
                </c:pt>
                <c:pt idx="5" formatCode="General">
                  <c:v>1.2078286345723159</c:v>
                </c:pt>
                <c:pt idx="6" formatCode="General">
                  <c:v>1.2375905750048957</c:v>
                </c:pt>
                <c:pt idx="7" formatCode="General">
                  <c:v>1.2556257389296257</c:v>
                </c:pt>
                <c:pt idx="8" formatCode="General">
                  <c:v>1.2649996552221314</c:v>
                </c:pt>
                <c:pt idx="9" formatCode="General">
                  <c:v>1.2676438348197001</c:v>
                </c:pt>
                <c:pt idx="10" formatCode="General">
                  <c:v>1.2648832059490598</c:v>
                </c:pt>
                <c:pt idx="11" formatCode="General">
                  <c:v>1.2577135401569</c:v>
                </c:pt>
                <c:pt idx="12" formatCode="General">
                  <c:v>1.2469410361026798</c:v>
                </c:pt>
                <c:pt idx="13" formatCode="General">
                  <c:v>1.2332492381470557</c:v>
                </c:pt>
                <c:pt idx="14" formatCode="General">
                  <c:v>1.2172298240346198</c:v>
                </c:pt>
                <c:pt idx="15" formatCode="General">
                  <c:v>1.19939685659387</c:v>
                </c:pt>
                <c:pt idx="16" formatCode="General">
                  <c:v>1.18019441194482</c:v>
                </c:pt>
                <c:pt idx="17" formatCode="General">
                  <c:v>1.1600021841953156</c:v>
                </c:pt>
                <c:pt idx="18" formatCode="General">
                  <c:v>1.1391409024720001</c:v>
                </c:pt>
                <c:pt idx="19" formatCode="General">
                  <c:v>1.11787806360287</c:v>
                </c:pt>
                <c:pt idx="20" formatCode="General">
                  <c:v>1.09643391870542</c:v>
                </c:pt>
                <c:pt idx="21" formatCode="General">
                  <c:v>1.0749874726792401</c:v>
                </c:pt>
                <c:pt idx="22" formatCode="General">
                  <c:v>1.0536822516997699</c:v>
                </c:pt>
                <c:pt idx="23" formatCode="General">
                  <c:v>1.0326316553119357</c:v>
                </c:pt>
                <c:pt idx="24" formatCode="General">
                  <c:v>1.0119237835408057</c:v>
                </c:pt>
                <c:pt idx="25" formatCode="General">
                  <c:v>0.99162569320975913</c:v>
                </c:pt>
                <c:pt idx="26" formatCode="General">
                  <c:v>0.97178708461008112</c:v>
                </c:pt>
                <c:pt idx="27" formatCode="General">
                  <c:v>0.95244345018956311</c:v>
                </c:pt>
                <c:pt idx="28" formatCode="General">
                  <c:v>0.93361873412915264</c:v>
                </c:pt>
                <c:pt idx="29" formatCode="General">
                  <c:v>0.915327559199695</c:v>
                </c:pt>
                <c:pt idx="30" formatCode="General">
                  <c:v>0.89757707837235656</c:v>
                </c:pt>
                <c:pt idx="31" formatCode="General">
                  <c:v>0.88036850582519111</c:v>
                </c:pt>
                <c:pt idx="32" formatCode="General">
                  <c:v>0.8636983770582336</c:v>
                </c:pt>
                <c:pt idx="33" formatCode="General">
                  <c:v>0.84755958201620596</c:v>
                </c:pt>
                <c:pt idx="34" formatCode="General">
                  <c:v>0.83194220918205697</c:v>
                </c:pt>
                <c:pt idx="35" formatCode="General">
                  <c:v>0.81683423298349889</c:v>
                </c:pt>
                <c:pt idx="36" formatCode="General">
                  <c:v>0.80222207177119997</c:v>
                </c:pt>
                <c:pt idx="37" formatCode="General">
                  <c:v>0.78809103916532164</c:v>
                </c:pt>
                <c:pt idx="38" formatCode="General">
                  <c:v>0.77442570773036801</c:v>
                </c:pt>
                <c:pt idx="39" formatCode="General">
                  <c:v>0.76121020068661405</c:v>
                </c:pt>
                <c:pt idx="40" formatCode="General">
                  <c:v>0.74842842463665404</c:v>
                </c:pt>
                <c:pt idx="41" formatCode="General">
                  <c:v>0.73606425401103404</c:v>
                </c:pt>
                <c:pt idx="42" formatCode="General">
                  <c:v>0.72410167604969777</c:v>
                </c:pt>
                <c:pt idx="43" formatCode="General">
                  <c:v>0.71252490357544263</c:v>
                </c:pt>
                <c:pt idx="44" formatCode="General">
                  <c:v>0.70131846152763211</c:v>
                </c:pt>
                <c:pt idx="45" formatCode="General">
                  <c:v>0.69046725216258165</c:v>
                </c:pt>
                <c:pt idx="46" formatCode="General">
                  <c:v>0.67995660295251936</c:v>
                </c:pt>
                <c:pt idx="47" formatCode="General">
                  <c:v>0.66977230049473513</c:v>
                </c:pt>
                <c:pt idx="48" formatCode="General">
                  <c:v>0.65990061314933723</c:v>
                </c:pt>
                <c:pt idx="49" formatCode="General">
                  <c:v>0.65032830463572289</c:v>
                </c:pt>
                <c:pt idx="50" formatCode="General">
                  <c:v>0.64104264041578185</c:v>
                </c:pt>
                <c:pt idx="51" formatCode="General">
                  <c:v>0.63203138836050465</c:v>
                </c:pt>
                <c:pt idx="52" formatCode="General">
                  <c:v>0.62328281492424997</c:v>
                </c:pt>
                <c:pt idx="53" formatCode="General">
                  <c:v>0.61478567782618165</c:v>
                </c:pt>
                <c:pt idx="54" formatCode="General">
                  <c:v>0.60652921605374777</c:v>
                </c:pt>
                <c:pt idx="55" formatCode="General">
                  <c:v>0.59850313785098741</c:v>
                </c:pt>
                <c:pt idx="56" formatCode="General">
                  <c:v>0.59069760722932063</c:v>
                </c:pt>
                <c:pt idx="57" formatCode="General">
                  <c:v>0.58310322943561499</c:v>
                </c:pt>
                <c:pt idx="58" formatCode="General">
                  <c:v>0.57571103572809113</c:v>
                </c:pt>
                <c:pt idx="59" formatCode="General">
                  <c:v>0.5685124677408534</c:v>
                </c:pt>
                <c:pt idx="60" formatCode="General">
                  <c:v>0.56149936166147363</c:v>
                </c:pt>
              </c:numCache>
            </c:numRef>
          </c:val>
        </c:ser>
        <c:ser>
          <c:idx val="3"/>
          <c:order val="1"/>
          <c:tx>
            <c:strRef>
              <c:f>IRF_RDF!$B$28</c:f>
              <c:strCache>
                <c:ptCount val="1"/>
                <c:pt idx="0">
                  <c:v>With BSF</c:v>
                </c:pt>
              </c:strCache>
            </c:strRef>
          </c:tx>
          <c:spPr>
            <a:ln w="38100">
              <a:solidFill>
                <a:schemeClr val="tx1"/>
              </a:solidFill>
              <a:prstDash val="sysDot"/>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IRF_RDF!$C$28:$GT$28</c:f>
              <c:numCache>
                <c:formatCode>General</c:formatCode>
                <c:ptCount val="61"/>
                <c:pt idx="0">
                  <c:v>0.39364145987588894</c:v>
                </c:pt>
                <c:pt idx="1">
                  <c:v>0.68204691829660702</c:v>
                </c:pt>
                <c:pt idx="2">
                  <c:v>0.88770191472676996</c:v>
                </c:pt>
                <c:pt idx="3">
                  <c:v>1.0325633364699498</c:v>
                </c:pt>
                <c:pt idx="4">
                  <c:v>1.1333956057180399</c:v>
                </c:pt>
                <c:pt idx="5">
                  <c:v>1.2022072123382699</c:v>
                </c:pt>
                <c:pt idx="6">
                  <c:v>1.24749287166395</c:v>
                </c:pt>
                <c:pt idx="7">
                  <c:v>1.2753017008645198</c:v>
                </c:pt>
                <c:pt idx="8">
                  <c:v>1.2900026237233437</c:v>
                </c:pt>
                <c:pt idx="9">
                  <c:v>1.2948036046053799</c:v>
                </c:pt>
                <c:pt idx="10">
                  <c:v>1.2920990406420299</c:v>
                </c:pt>
                <c:pt idx="11">
                  <c:v>1.2837029623412701</c:v>
                </c:pt>
                <c:pt idx="12">
                  <c:v>1.27100743338483</c:v>
                </c:pt>
                <c:pt idx="13">
                  <c:v>1.2550919155006457</c:v>
                </c:pt>
                <c:pt idx="14">
                  <c:v>1.2368002137774752</c:v>
                </c:pt>
                <c:pt idx="15">
                  <c:v>1.2167957025682499</c:v>
                </c:pt>
                <c:pt idx="16">
                  <c:v>1.1956017599517301</c:v>
                </c:pt>
                <c:pt idx="17">
                  <c:v>1.17363193974464</c:v>
                </c:pt>
                <c:pt idx="18">
                  <c:v>1.1512128799827765</c:v>
                </c:pt>
                <c:pt idx="19">
                  <c:v>1.1286019646140437</c:v>
                </c:pt>
                <c:pt idx="20">
                  <c:v>1.1060011188482421</c:v>
                </c:pt>
                <c:pt idx="21">
                  <c:v>1.08356770152754</c:v>
                </c:pt>
                <c:pt idx="22">
                  <c:v>1.0614231806003098</c:v>
                </c:pt>
                <c:pt idx="23">
                  <c:v>1.0396600903912199</c:v>
                </c:pt>
                <c:pt idx="24">
                  <c:v>1.01834764037477</c:v>
                </c:pt>
                <c:pt idx="25">
                  <c:v>0.99753625460272899</c:v>
                </c:pt>
                <c:pt idx="26">
                  <c:v>0.97726125604421665</c:v>
                </c:pt>
                <c:pt idx="27">
                  <c:v>0.95754586264232389</c:v>
                </c:pt>
                <c:pt idx="28">
                  <c:v>0.93840362650737663</c:v>
                </c:pt>
                <c:pt idx="29">
                  <c:v>0.91984042080960404</c:v>
                </c:pt>
                <c:pt idx="30">
                  <c:v>0.90185605822409565</c:v>
                </c:pt>
                <c:pt idx="31">
                  <c:v>0.88444560859343413</c:v>
                </c:pt>
                <c:pt idx="32">
                  <c:v>0.86760047067654777</c:v>
                </c:pt>
                <c:pt idx="33">
                  <c:v>0.85130924264202013</c:v>
                </c:pt>
                <c:pt idx="34">
                  <c:v>0.83555842775699196</c:v>
                </c:pt>
                <c:pt idx="35">
                  <c:v>0.82033300508706586</c:v>
                </c:pt>
                <c:pt idx="36">
                  <c:v>0.80561688963320199</c:v>
                </c:pt>
                <c:pt idx="37">
                  <c:v>0.79139330193877999</c:v>
                </c:pt>
                <c:pt idx="38">
                  <c:v>0.77764506361013841</c:v>
                </c:pt>
                <c:pt idx="39">
                  <c:v>0.76435483225401724</c:v>
                </c:pt>
                <c:pt idx="40">
                  <c:v>0.75150528692451013</c:v>
                </c:pt>
                <c:pt idx="41">
                  <c:v>0.73907927319234012</c:v>
                </c:pt>
                <c:pt idx="42">
                  <c:v>0.72705991532276304</c:v>
                </c:pt>
                <c:pt idx="43">
                  <c:v>0.71543070171090439</c:v>
                </c:pt>
                <c:pt idx="44">
                  <c:v>0.704175548623172</c:v>
                </c:pt>
                <c:pt idx="45">
                  <c:v>0.69327884638830783</c:v>
                </c:pt>
                <c:pt idx="46">
                  <c:v>0.68272549143697836</c:v>
                </c:pt>
                <c:pt idx="47">
                  <c:v>0.67250090697573495</c:v>
                </c:pt>
                <c:pt idx="48">
                  <c:v>0.66259105457709189</c:v>
                </c:pt>
                <c:pt idx="49">
                  <c:v>0.65298243855241611</c:v>
                </c:pt>
                <c:pt idx="50">
                  <c:v>0.64366210463319085</c:v>
                </c:pt>
                <c:pt idx="51">
                  <c:v>0.63461763420530548</c:v>
                </c:pt>
                <c:pt idx="52">
                  <c:v>0.62583713511052563</c:v>
                </c:pt>
                <c:pt idx="53">
                  <c:v>0.61730922983948988</c:v>
                </c:pt>
                <c:pt idx="54">
                  <c:v>0.60902304178487165</c:v>
                </c:pt>
                <c:pt idx="55">
                  <c:v>0.60096818009553199</c:v>
                </c:pt>
                <c:pt idx="56">
                  <c:v>0.59313472356748098</c:v>
                </c:pt>
                <c:pt idx="57">
                  <c:v>0.58551320392155426</c:v>
                </c:pt>
                <c:pt idx="58">
                  <c:v>0.57809458874725139</c:v>
                </c:pt>
                <c:pt idx="59">
                  <c:v>0.57087026433453936</c:v>
                </c:pt>
                <c:pt idx="60">
                  <c:v>0.56383201856838261</c:v>
                </c:pt>
              </c:numCache>
            </c:numRef>
          </c:val>
        </c:ser>
        <c:dLbls/>
        <c:marker val="1"/>
        <c:axId val="143754368"/>
        <c:axId val="143755904"/>
      </c:lineChart>
      <c:catAx>
        <c:axId val="143754368"/>
        <c:scaling>
          <c:orientation val="minMax"/>
        </c:scaling>
        <c:axPos val="b"/>
        <c:numFmt formatCode="General" sourceLinked="1"/>
        <c:tickLblPos val="nextTo"/>
        <c:txPr>
          <a:bodyPr/>
          <a:lstStyle/>
          <a:p>
            <a:pPr>
              <a:defRPr sz="1000">
                <a:latin typeface="Times New Roman" pitchFamily="18" charset="0"/>
                <a:cs typeface="Times New Roman" pitchFamily="18" charset="0"/>
              </a:defRPr>
            </a:pPr>
            <a:endParaRPr lang="en-US"/>
          </a:p>
        </c:txPr>
        <c:crossAx val="143755904"/>
        <c:crosses val="autoZero"/>
        <c:auto val="1"/>
        <c:lblAlgn val="ctr"/>
        <c:lblOffset val="100"/>
        <c:tickLblSkip val="4"/>
        <c:tickMarkSkip val="10"/>
      </c:catAx>
      <c:valAx>
        <c:axId val="143755904"/>
        <c:scaling>
          <c:orientation val="minMax"/>
          <c:min val="0.2"/>
        </c:scaling>
        <c:axPos val="l"/>
        <c:numFmt formatCode="General" sourceLinked="1"/>
        <c:tickLblPos val="nextTo"/>
        <c:txPr>
          <a:bodyPr/>
          <a:lstStyle/>
          <a:p>
            <a:pPr>
              <a:defRPr sz="1000">
                <a:latin typeface="Times New Roman" pitchFamily="18" charset="0"/>
                <a:cs typeface="Times New Roman" pitchFamily="18" charset="0"/>
              </a:defRPr>
            </a:pPr>
            <a:endParaRPr lang="en-US"/>
          </a:p>
        </c:txPr>
        <c:crossAx val="143754368"/>
        <c:crosses val="autoZero"/>
        <c:crossBetween val="midCat"/>
      </c:valAx>
    </c:plotArea>
    <c:legend>
      <c:legendPos val="r"/>
      <c:layout>
        <c:manualLayout>
          <c:xMode val="edge"/>
          <c:yMode val="edge"/>
          <c:x val="0.72055696824088522"/>
          <c:y val="0.23077729360544424"/>
          <c:w val="0.26996030841356411"/>
          <c:h val="0.12920738220025341"/>
        </c:manualLayout>
      </c:layout>
      <c:txPr>
        <a:bodyPr/>
        <a:lstStyle/>
        <a:p>
          <a:pPr>
            <a:defRPr sz="10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25.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6902005249343835"/>
          <c:y val="4.7883186288460923E-2"/>
          <c:w val="0.80010268296485643"/>
          <c:h val="0.79469926869750318"/>
        </c:manualLayout>
      </c:layout>
      <c:lineChart>
        <c:grouping val="standard"/>
        <c:ser>
          <c:idx val="0"/>
          <c:order val="0"/>
          <c:tx>
            <c:strRef>
              <c:f>IRF_RDF!$B$14</c:f>
              <c:strCache>
                <c:ptCount val="1"/>
                <c:pt idx="0">
                  <c:v>Without BSF</c:v>
                </c:pt>
              </c:strCache>
            </c:strRef>
          </c:tx>
          <c:spPr>
            <a:ln w="25400">
              <a:solidFill>
                <a:schemeClr val="tx1"/>
              </a:solidFill>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IRF_RDF!$C$14:$GT$14</c:f>
              <c:numCache>
                <c:formatCode>0.00</c:formatCode>
                <c:ptCount val="61"/>
                <c:pt idx="0" formatCode="General">
                  <c:v>5.0034017690746424</c:v>
                </c:pt>
                <c:pt idx="1">
                  <c:v>4.9428545945596003</c:v>
                </c:pt>
                <c:pt idx="2">
                  <c:v>4.7771472972656097</c:v>
                </c:pt>
                <c:pt idx="3" formatCode="General">
                  <c:v>4.5474878748465697</c:v>
                </c:pt>
                <c:pt idx="4" formatCode="General">
                  <c:v>4.2868593737351004</c:v>
                </c:pt>
                <c:pt idx="5" formatCode="General">
                  <c:v>4.0188035742981603</c:v>
                </c:pt>
                <c:pt idx="6" formatCode="General">
                  <c:v>3.7585672620369359</c:v>
                </c:pt>
                <c:pt idx="7" formatCode="General">
                  <c:v>3.5149862716261184</c:v>
                </c:pt>
                <c:pt idx="8" formatCode="General">
                  <c:v>3.2923496155529501</c:v>
                </c:pt>
                <c:pt idx="9" formatCode="General">
                  <c:v>3.0919481055042164</c:v>
                </c:pt>
                <c:pt idx="10" formatCode="General">
                  <c:v>2.9132412835308417</c:v>
                </c:pt>
                <c:pt idx="11" formatCode="General">
                  <c:v>2.7546777731200001</c:v>
                </c:pt>
                <c:pt idx="12" formatCode="General">
                  <c:v>2.6142387816127801</c:v>
                </c:pt>
                <c:pt idx="13" formatCode="General">
                  <c:v>2.4897772150371402</c:v>
                </c:pt>
                <c:pt idx="14" formatCode="General">
                  <c:v>2.3792144913018016</c:v>
                </c:pt>
                <c:pt idx="15" formatCode="General">
                  <c:v>2.28064317018094</c:v>
                </c:pt>
                <c:pt idx="16" formatCode="General">
                  <c:v>2.1923703048698626</c:v>
                </c:pt>
                <c:pt idx="17" formatCode="General">
                  <c:v>2.1129255751450797</c:v>
                </c:pt>
                <c:pt idx="18" formatCode="General">
                  <c:v>2.0410500624842398</c:v>
                </c:pt>
                <c:pt idx="19" formatCode="General">
                  <c:v>1.9756756721951798</c:v>
                </c:pt>
                <c:pt idx="20" formatCode="General">
                  <c:v>1.9159012121770533</c:v>
                </c:pt>
                <c:pt idx="21" formatCode="General">
                  <c:v>1.86096851941033</c:v>
                </c:pt>
                <c:pt idx="22" formatCode="General">
                  <c:v>1.8102403759413501</c:v>
                </c:pt>
                <c:pt idx="23" formatCode="General">
                  <c:v>1.7631809614584601</c:v>
                </c:pt>
                <c:pt idx="24" formatCode="General">
                  <c:v>1.7193390209648798</c:v>
                </c:pt>
                <c:pt idx="25" formatCode="General">
                  <c:v>1.6783336247818954</c:v>
                </c:pt>
                <c:pt idx="26" formatCode="General">
                  <c:v>1.6398422580060399</c:v>
                </c:pt>
                <c:pt idx="27" formatCode="General">
                  <c:v>1.6035909290386101</c:v>
                </c:pt>
                <c:pt idx="28" formatCode="General">
                  <c:v>1.5693459891341499</c:v>
                </c:pt>
                <c:pt idx="29" formatCode="General">
                  <c:v>1.53690738137278</c:v>
                </c:pt>
                <c:pt idx="30" formatCode="General">
                  <c:v>1.5061030732798399</c:v>
                </c:pt>
                <c:pt idx="31" formatCode="General">
                  <c:v>1.4767844644990999</c:v>
                </c:pt>
                <c:pt idx="32" formatCode="General">
                  <c:v>1.4488225955235399</c:v>
                </c:pt>
                <c:pt idx="33" formatCode="General">
                  <c:v>1.42210501387303</c:v>
                </c:pt>
                <c:pt idx="34" formatCode="General">
                  <c:v>1.3965331799038354</c:v>
                </c:pt>
                <c:pt idx="35" formatCode="General">
                  <c:v>1.3720203158917501</c:v>
                </c:pt>
                <c:pt idx="36" formatCode="General">
                  <c:v>1.3484896196598299</c:v>
                </c:pt>
                <c:pt idx="37" formatCode="General">
                  <c:v>1.3258727784081399</c:v>
                </c:pt>
                <c:pt idx="38" formatCode="General">
                  <c:v>1.3041087301048999</c:v>
                </c:pt>
                <c:pt idx="39" formatCode="General">
                  <c:v>1.2831426293088901</c:v>
                </c:pt>
                <c:pt idx="40" formatCode="General">
                  <c:v>1.2629249820280657</c:v>
                </c:pt>
                <c:pt idx="41" formatCode="General">
                  <c:v>1.2434109205203401</c:v>
                </c:pt>
                <c:pt idx="42" formatCode="General">
                  <c:v>1.22455959408582</c:v>
                </c:pt>
                <c:pt idx="43" formatCode="General">
                  <c:v>1.2063336561075562</c:v>
                </c:pt>
                <c:pt idx="44" formatCode="General">
                  <c:v>1.1886988310468647</c:v>
                </c:pt>
                <c:pt idx="45" formatCode="General">
                  <c:v>1.1716235479324562</c:v>
                </c:pt>
                <c:pt idx="46" formatCode="General">
                  <c:v>1.1550786292135542</c:v>
                </c:pt>
                <c:pt idx="47" formatCode="General">
                  <c:v>1.1390370257664801</c:v>
                </c:pt>
                <c:pt idx="48" formatCode="General">
                  <c:v>1.1234735904290098</c:v>
                </c:pt>
                <c:pt idx="49" formatCode="General">
                  <c:v>1.1083648837428999</c:v>
                </c:pt>
                <c:pt idx="50" formatCode="General">
                  <c:v>1.09368900666583</c:v>
                </c:pt>
                <c:pt idx="51" formatCode="General">
                  <c:v>1.07942545590622</c:v>
                </c:pt>
                <c:pt idx="52" formatCode="General">
                  <c:v>1.0655549982727199</c:v>
                </c:pt>
                <c:pt idx="53" formatCode="General">
                  <c:v>1.0520595610408454</c:v>
                </c:pt>
                <c:pt idx="54" formatCode="General">
                  <c:v>1.0389221358446099</c:v>
                </c:pt>
                <c:pt idx="55" formatCode="General">
                  <c:v>1.0261266940194731</c:v>
                </c:pt>
                <c:pt idx="56" formatCode="General">
                  <c:v>1.01365811166901</c:v>
                </c:pt>
                <c:pt idx="57" formatCode="General">
                  <c:v>1.0015021030150599</c:v>
                </c:pt>
                <c:pt idx="58" formatCode="General">
                  <c:v>0.98964516082877263</c:v>
                </c:pt>
                <c:pt idx="59" formatCode="General">
                  <c:v>0.97807450293683795</c:v>
                </c:pt>
                <c:pt idx="60" formatCode="General">
                  <c:v>0.96677802396094004</c:v>
                </c:pt>
              </c:numCache>
            </c:numRef>
          </c:val>
        </c:ser>
        <c:ser>
          <c:idx val="1"/>
          <c:order val="1"/>
          <c:tx>
            <c:strRef>
              <c:f>IRF_RDF!$B$35</c:f>
              <c:strCache>
                <c:ptCount val="1"/>
                <c:pt idx="0">
                  <c:v>With BSF</c:v>
                </c:pt>
              </c:strCache>
            </c:strRef>
          </c:tx>
          <c:spPr>
            <a:ln w="38100">
              <a:solidFill>
                <a:schemeClr val="tx1"/>
              </a:solidFill>
              <a:prstDash val="sysDot"/>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IRF_RDF!$C$35:$GT$35</c:f>
              <c:numCache>
                <c:formatCode>0.00</c:formatCode>
                <c:ptCount val="61"/>
                <c:pt idx="0">
                  <c:v>5.4000555124218099</c:v>
                </c:pt>
                <c:pt idx="1">
                  <c:v>5.2322510591917801</c:v>
                </c:pt>
                <c:pt idx="2" formatCode="General">
                  <c:v>4.9497971915319283</c:v>
                </c:pt>
                <c:pt idx="3" formatCode="General">
                  <c:v>4.628558269750684</c:v>
                </c:pt>
                <c:pt idx="4" formatCode="General">
                  <c:v>4.3064180139217401</c:v>
                </c:pt>
                <c:pt idx="5" formatCode="General">
                  <c:v>4.0019154424091896</c:v>
                </c:pt>
                <c:pt idx="6" formatCode="General">
                  <c:v>3.7232026925290298</c:v>
                </c:pt>
                <c:pt idx="7" formatCode="General">
                  <c:v>3.4727867679896001</c:v>
                </c:pt>
                <c:pt idx="8" formatCode="General">
                  <c:v>3.2501781187672401</c:v>
                </c:pt>
                <c:pt idx="9" formatCode="General">
                  <c:v>3.0534005891375</c:v>
                </c:pt>
                <c:pt idx="10" formatCode="General">
                  <c:v>2.8798496398055637</c:v>
                </c:pt>
                <c:pt idx="11" formatCode="General">
                  <c:v>2.7267692076951899</c:v>
                </c:pt>
                <c:pt idx="12" formatCode="General">
                  <c:v>2.5915045085688702</c:v>
                </c:pt>
                <c:pt idx="13" formatCode="General">
                  <c:v>2.4716242850748826</c:v>
                </c:pt>
                <c:pt idx="14" formatCode="General">
                  <c:v>2.3649684454922677</c:v>
                </c:pt>
                <c:pt idx="15" formatCode="General">
                  <c:v>2.2696544886657799</c:v>
                </c:pt>
                <c:pt idx="16" formatCode="General">
                  <c:v>2.1840624720978599</c:v>
                </c:pt>
                <c:pt idx="17" formatCode="General">
                  <c:v>2.1068100284578199</c:v>
                </c:pt>
                <c:pt idx="18" formatCode="General">
                  <c:v>2.0367239640131016</c:v>
                </c:pt>
                <c:pt idx="19" formatCode="General">
                  <c:v>1.9728120009932868</c:v>
                </c:pt>
                <c:pt idx="20" formatCode="General">
                  <c:v>1.9142364721049199</c:v>
                </c:pt>
                <c:pt idx="21" formatCode="General">
                  <c:v>1.8602907597738401</c:v>
                </c:pt>
                <c:pt idx="22" formatCode="General">
                  <c:v>1.8103787014800101</c:v>
                </c:pt>
                <c:pt idx="23" formatCode="General">
                  <c:v>1.7639968762749352</c:v>
                </c:pt>
                <c:pt idx="24" formatCode="General">
                  <c:v>1.7207195369511401</c:v>
                </c:pt>
                <c:pt idx="25" formatCode="General">
                  <c:v>1.6801858912080354</c:v>
                </c:pt>
                <c:pt idx="26" formatCode="General">
                  <c:v>1.6420894237859642</c:v>
                </c:pt>
                <c:pt idx="27" formatCode="General">
                  <c:v>1.6061689663153842</c:v>
                </c:pt>
                <c:pt idx="28" formatCode="General">
                  <c:v>1.5722012487579398</c:v>
                </c:pt>
                <c:pt idx="29" formatCode="General">
                  <c:v>1.5399946979375603</c:v>
                </c:pt>
                <c:pt idx="30" formatCode="General">
                  <c:v>1.5093842804575162</c:v>
                </c:pt>
                <c:pt idx="31" formatCode="General">
                  <c:v>1.4802272170633857</c:v>
                </c:pt>
                <c:pt idx="32" formatCode="General">
                  <c:v>1.4523994222475498</c:v>
                </c:pt>
                <c:pt idx="33" formatCode="General">
                  <c:v>1.4257925462940162</c:v>
                </c:pt>
                <c:pt idx="34" formatCode="General">
                  <c:v>1.4003115171017999</c:v>
                </c:pt>
                <c:pt idx="35" formatCode="General">
                  <c:v>1.3758724962519899</c:v>
                </c:pt>
                <c:pt idx="36" formatCode="General">
                  <c:v>1.35240117822956</c:v>
                </c:pt>
                <c:pt idx="37" formatCode="General">
                  <c:v>1.3298313738231862</c:v>
                </c:pt>
                <c:pt idx="38" formatCode="General">
                  <c:v>1.3081038288382352</c:v>
                </c:pt>
                <c:pt idx="39" formatCode="General">
                  <c:v>1.2871652376741245</c:v>
                </c:pt>
                <c:pt idx="40" formatCode="General">
                  <c:v>1.26696741830577</c:v>
                </c:pt>
                <c:pt idx="41" formatCode="General">
                  <c:v>1.2474666210007899</c:v>
                </c:pt>
                <c:pt idx="42" formatCode="General">
                  <c:v>1.2286229479017301</c:v>
                </c:pt>
                <c:pt idx="43" formatCode="General">
                  <c:v>1.2103998645684799</c:v>
                </c:pt>
                <c:pt idx="44" formatCode="General">
                  <c:v>1.1927637878564799</c:v>
                </c:pt>
                <c:pt idx="45" formatCode="General">
                  <c:v>1.1756837372157301</c:v>
                </c:pt>
                <c:pt idx="46" formatCode="General">
                  <c:v>1.15913103873393</c:v>
                </c:pt>
                <c:pt idx="47" formatCode="General">
                  <c:v>1.1430790730952001</c:v>
                </c:pt>
                <c:pt idx="48" formatCode="General">
                  <c:v>1.1275030601523999</c:v>
                </c:pt>
                <c:pt idx="49" formatCode="General">
                  <c:v>1.1123798740708037</c:v>
                </c:pt>
                <c:pt idx="50" formatCode="General">
                  <c:v>1.0976878840414801</c:v>
                </c:pt>
                <c:pt idx="51" formatCode="General">
                  <c:v>1.08340681642183</c:v>
                </c:pt>
                <c:pt idx="52" formatCode="General">
                  <c:v>1.0695176348700401</c:v>
                </c:pt>
                <c:pt idx="53" formatCode="General">
                  <c:v>1.0560024356261237</c:v>
                </c:pt>
                <c:pt idx="54" formatCode="General">
                  <c:v>1.0428443555763298</c:v>
                </c:pt>
                <c:pt idx="55" formatCode="General">
                  <c:v>1.0300274911374598</c:v>
                </c:pt>
                <c:pt idx="56" formatCode="General">
                  <c:v>1.0175368263278999</c:v>
                </c:pt>
                <c:pt idx="57" formatCode="General">
                  <c:v>1.0053581686660642</c:v>
                </c:pt>
                <c:pt idx="58" formatCode="General">
                  <c:v>0.9934780917618945</c:v>
                </c:pt>
                <c:pt idx="59" formatCode="General">
                  <c:v>0.98188388365508095</c:v>
                </c:pt>
                <c:pt idx="60" formatCode="General">
                  <c:v>0.97056350010742487</c:v>
                </c:pt>
              </c:numCache>
            </c:numRef>
          </c:val>
        </c:ser>
        <c:dLbls/>
        <c:marker val="1"/>
        <c:axId val="143781248"/>
        <c:axId val="143799424"/>
      </c:lineChart>
      <c:catAx>
        <c:axId val="143781248"/>
        <c:scaling>
          <c:orientation val="minMax"/>
        </c:scaling>
        <c:axPos val="b"/>
        <c:numFmt formatCode="General" sourceLinked="1"/>
        <c:tickLblPos val="nextTo"/>
        <c:txPr>
          <a:bodyPr/>
          <a:lstStyle/>
          <a:p>
            <a:pPr>
              <a:defRPr sz="1000">
                <a:latin typeface="Times New Roman" pitchFamily="18" charset="0"/>
                <a:cs typeface="Times New Roman" pitchFamily="18" charset="0"/>
              </a:defRPr>
            </a:pPr>
            <a:endParaRPr lang="en-US"/>
          </a:p>
        </c:txPr>
        <c:crossAx val="143799424"/>
        <c:crosses val="autoZero"/>
        <c:auto val="1"/>
        <c:lblAlgn val="ctr"/>
        <c:lblOffset val="100"/>
        <c:tickLblSkip val="4"/>
        <c:tickMarkSkip val="10"/>
      </c:catAx>
      <c:valAx>
        <c:axId val="143799424"/>
        <c:scaling>
          <c:orientation val="minMax"/>
        </c:scaling>
        <c:axPos val="l"/>
        <c:numFmt formatCode="General" sourceLinked="1"/>
        <c:tickLblPos val="nextTo"/>
        <c:txPr>
          <a:bodyPr/>
          <a:lstStyle/>
          <a:p>
            <a:pPr>
              <a:defRPr sz="1000">
                <a:latin typeface="Times New Roman" pitchFamily="18" charset="0"/>
                <a:cs typeface="Times New Roman" pitchFamily="18" charset="0"/>
              </a:defRPr>
            </a:pPr>
            <a:endParaRPr lang="en-US"/>
          </a:p>
        </c:txPr>
        <c:crossAx val="143781248"/>
        <c:crosses val="autoZero"/>
        <c:crossBetween val="midCat"/>
      </c:valAx>
      <c:spPr>
        <a:ln>
          <a:noFill/>
        </a:ln>
      </c:spPr>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65831877331123079"/>
          <c:y val="0.17204874643194912"/>
          <c:w val="0.24239664968998673"/>
          <c:h val="0.15523882746979908"/>
        </c:manualLayout>
      </c:layout>
      <c:txPr>
        <a:bodyPr/>
        <a:lstStyle/>
        <a:p>
          <a:pPr>
            <a:defRPr sz="1000">
              <a:latin typeface="Times New Roman" pitchFamily="18" charset="0"/>
              <a:cs typeface="Times New Roman" pitchFamily="18" charset="0"/>
            </a:defRPr>
          </a:pPr>
          <a:endParaRPr lang="en-US"/>
        </a:p>
      </c:txPr>
    </c:legend>
    <c:plotVisOnly val="1"/>
    <c:dispBlanksAs val="gap"/>
  </c:chart>
  <c:spPr>
    <a:ln>
      <a:noFill/>
    </a:ln>
  </c:spPr>
  <c:externalData r:id="rId1"/>
  <c:userShapes r:id="rId2"/>
</c:chartSpace>
</file>

<file path=word/charts/chart26.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0.15557766950946109"/>
          <c:y val="2.6316360454943212E-2"/>
          <c:w val="0.80744823100448682"/>
          <c:h val="0.78426491688538935"/>
        </c:manualLayout>
      </c:layout>
      <c:lineChart>
        <c:grouping val="standard"/>
        <c:ser>
          <c:idx val="0"/>
          <c:order val="0"/>
          <c:tx>
            <c:strRef>
              <c:f>IRF_RDF!$B$9</c:f>
              <c:strCache>
                <c:ptCount val="1"/>
                <c:pt idx="0">
                  <c:v>Without BSF</c:v>
                </c:pt>
              </c:strCache>
            </c:strRef>
          </c:tx>
          <c:spPr>
            <a:ln w="25400">
              <a:solidFill>
                <a:schemeClr val="tx1"/>
              </a:solidFill>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IRF_RDF!$C$9:$GT$9</c:f>
              <c:numCache>
                <c:formatCode>0.00</c:formatCode>
                <c:ptCount val="61"/>
                <c:pt idx="0" formatCode="General">
                  <c:v>1.2205927021733798</c:v>
                </c:pt>
                <c:pt idx="1">
                  <c:v>1.17066588265399</c:v>
                </c:pt>
                <c:pt idx="2">
                  <c:v>1.1036780234687937</c:v>
                </c:pt>
                <c:pt idx="3" formatCode="General">
                  <c:v>1.0297311455319698</c:v>
                </c:pt>
                <c:pt idx="4" formatCode="General">
                  <c:v>0.95544270506333651</c:v>
                </c:pt>
                <c:pt idx="5" formatCode="General">
                  <c:v>0.88477244188469051</c:v>
                </c:pt>
                <c:pt idx="6" formatCode="General">
                  <c:v>0.81980299377184751</c:v>
                </c:pt>
                <c:pt idx="7" formatCode="General">
                  <c:v>0.76137511265642177</c:v>
                </c:pt>
                <c:pt idx="8" formatCode="General">
                  <c:v>0.70956132720160359</c:v>
                </c:pt>
                <c:pt idx="9" formatCode="General">
                  <c:v>0.66399737404168713</c:v>
                </c:pt>
                <c:pt idx="10" formatCode="General">
                  <c:v>0.62410177989440463</c:v>
                </c:pt>
                <c:pt idx="11" formatCode="General">
                  <c:v>0.58921360148211599</c:v>
                </c:pt>
                <c:pt idx="12" formatCode="General">
                  <c:v>0.55867346131210804</c:v>
                </c:pt>
                <c:pt idx="13" formatCode="General">
                  <c:v>0.53186711675138998</c:v>
                </c:pt>
                <c:pt idx="14" formatCode="General">
                  <c:v>0.50824540739431412</c:v>
                </c:pt>
                <c:pt idx="15" formatCode="General">
                  <c:v>0.48733007697439207</c:v>
                </c:pt>
                <c:pt idx="16" formatCode="General">
                  <c:v>0.46871171305021708</c:v>
                </c:pt>
                <c:pt idx="17" formatCode="General">
                  <c:v>0.45204374138237902</c:v>
                </c:pt>
                <c:pt idx="18" formatCode="General">
                  <c:v>0.43703484599603598</c:v>
                </c:pt>
                <c:pt idx="19" formatCode="General">
                  <c:v>0.42344116301972007</c:v>
                </c:pt>
                <c:pt idx="20" formatCode="General">
                  <c:v>0.41105895317682106</c:v>
                </c:pt>
                <c:pt idx="21" formatCode="General">
                  <c:v>0.39971806978855212</c:v>
                </c:pt>
                <c:pt idx="22" formatCode="General">
                  <c:v>0.38927631660610101</c:v>
                </c:pt>
                <c:pt idx="23" formatCode="General">
                  <c:v>0.37961467080044237</c:v>
                </c:pt>
                <c:pt idx="24" formatCode="General">
                  <c:v>0.37063328979867832</c:v>
                </c:pt>
                <c:pt idx="25" formatCode="General">
                  <c:v>0.36224819986353302</c:v>
                </c:pt>
                <c:pt idx="26" formatCode="General">
                  <c:v>0.35438856288613624</c:v>
                </c:pt>
                <c:pt idx="27" formatCode="General">
                  <c:v>0.34699442592218138</c:v>
                </c:pt>
                <c:pt idx="28" formatCode="General">
                  <c:v>0.34001486987717677</c:v>
                </c:pt>
                <c:pt idx="29" formatCode="General">
                  <c:v>0.33340648636690212</c:v>
                </c:pt>
                <c:pt idx="30" formatCode="General">
                  <c:v>0.32713212362114102</c:v>
                </c:pt>
                <c:pt idx="31" formatCode="General">
                  <c:v>0.32115985272299802</c:v>
                </c:pt>
                <c:pt idx="32" formatCode="General">
                  <c:v>0.31546211432133908</c:v>
                </c:pt>
                <c:pt idx="33" formatCode="General">
                  <c:v>0.31001501329559494</c:v>
                </c:pt>
                <c:pt idx="34" formatCode="General">
                  <c:v>0.30479773486689599</c:v>
                </c:pt>
                <c:pt idx="35" formatCode="General">
                  <c:v>0.29979206054205232</c:v>
                </c:pt>
                <c:pt idx="36" formatCode="General">
                  <c:v>0.29498196624345013</c:v>
                </c:pt>
                <c:pt idx="37" formatCode="General">
                  <c:v>0.29035328819186706</c:v>
                </c:pt>
                <c:pt idx="38" formatCode="General">
                  <c:v>0.28589344471575401</c:v>
                </c:pt>
                <c:pt idx="39" formatCode="General">
                  <c:v>0.28159120427867801</c:v>
                </c:pt>
                <c:pt idx="40" formatCode="General">
                  <c:v>0.27743649174216695</c:v>
                </c:pt>
                <c:pt idx="41" formatCode="General">
                  <c:v>0.27342022629030138</c:v>
                </c:pt>
                <c:pt idx="42" formatCode="General">
                  <c:v>0.26953418559606401</c:v>
                </c:pt>
                <c:pt idx="43" formatCode="General">
                  <c:v>0.26577089175589724</c:v>
                </c:pt>
                <c:pt idx="44" formatCode="General">
                  <c:v>0.26212351529696598</c:v>
                </c:pt>
                <c:pt idx="45" formatCode="General">
                  <c:v>0.25858579420213001</c:v>
                </c:pt>
                <c:pt idx="46" formatCode="General">
                  <c:v>0.25515196542553575</c:v>
                </c:pt>
                <c:pt idx="47" formatCode="General">
                  <c:v>0.25181670680743906</c:v>
                </c:pt>
                <c:pt idx="48" formatCode="General">
                  <c:v>0.24857508765651801</c:v>
                </c:pt>
                <c:pt idx="49" formatCode="General">
                  <c:v>0.24542252656518901</c:v>
                </c:pt>
                <c:pt idx="50" formatCode="General">
                  <c:v>0.24235475526901287</c:v>
                </c:pt>
                <c:pt idx="51" formatCode="General">
                  <c:v>0.23936778756449406</c:v>
                </c:pt>
                <c:pt idx="52" formatCode="General">
                  <c:v>0.2364578924674913</c:v>
                </c:pt>
                <c:pt idx="53" formatCode="General">
                  <c:v>0.23362157093348818</c:v>
                </c:pt>
                <c:pt idx="54" formatCode="General">
                  <c:v>0.23085553557595301</c:v>
                </c:pt>
                <c:pt idx="55" formatCode="General">
                  <c:v>0.22815669291416088</c:v>
                </c:pt>
                <c:pt idx="56" formatCode="General">
                  <c:v>0.22552212776071687</c:v>
                </c:pt>
                <c:pt idx="57" formatCode="General">
                  <c:v>0.22294908942416491</c:v>
                </c:pt>
                <c:pt idx="58" formatCode="General">
                  <c:v>0.22043497945614299</c:v>
                </c:pt>
                <c:pt idx="59" formatCode="General">
                  <c:v>0.21797734071731797</c:v>
                </c:pt>
                <c:pt idx="60" formatCode="General">
                  <c:v>0.21557384757339162</c:v>
                </c:pt>
              </c:numCache>
            </c:numRef>
          </c:val>
        </c:ser>
        <c:ser>
          <c:idx val="1"/>
          <c:order val="1"/>
          <c:tx>
            <c:strRef>
              <c:f>IRF_RDF!$B$30</c:f>
              <c:strCache>
                <c:ptCount val="1"/>
                <c:pt idx="0">
                  <c:v>With BSF</c:v>
                </c:pt>
              </c:strCache>
            </c:strRef>
          </c:tx>
          <c:spPr>
            <a:ln w="38100">
              <a:solidFill>
                <a:schemeClr val="tx1"/>
              </a:solidFill>
              <a:prstDash val="sysDot"/>
            </a:ln>
          </c:spPr>
          <c:marker>
            <c:symbol val="none"/>
          </c:marker>
          <c:cat>
            <c:numRef>
              <c:f>IRF_RDF!$C$2:$GT$2</c:f>
              <c:numCache>
                <c:formatCode>General</c:formatCode>
                <c:ptCount val="6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numCache>
            </c:numRef>
          </c:cat>
          <c:val>
            <c:numRef>
              <c:f>IRF_RDF!$C$30:$GT$30</c:f>
              <c:numCache>
                <c:formatCode>General</c:formatCode>
                <c:ptCount val="61"/>
                <c:pt idx="0">
                  <c:v>1.1969573618941742</c:v>
                </c:pt>
                <c:pt idx="1">
                  <c:v>1.16209719341962</c:v>
                </c:pt>
                <c:pt idx="2">
                  <c:v>1.0965654468264401</c:v>
                </c:pt>
                <c:pt idx="3">
                  <c:v>1.0215488753428199</c:v>
                </c:pt>
                <c:pt idx="4">
                  <c:v>0.94666197569497512</c:v>
                </c:pt>
                <c:pt idx="5">
                  <c:v>0.87630488101098303</c:v>
                </c:pt>
                <c:pt idx="6">
                  <c:v>0.81230037796750298</c:v>
                </c:pt>
                <c:pt idx="7">
                  <c:v>0.75514043112760065</c:v>
                </c:pt>
                <c:pt idx="8">
                  <c:v>0.70463420881437588</c:v>
                </c:pt>
                <c:pt idx="9">
                  <c:v>0.66026258021491757</c:v>
                </c:pt>
                <c:pt idx="10">
                  <c:v>0.62137480312858584</c:v>
                </c:pt>
                <c:pt idx="11">
                  <c:v>0.58729598371626568</c:v>
                </c:pt>
                <c:pt idx="12">
                  <c:v>0.55738308207691056</c:v>
                </c:pt>
                <c:pt idx="13">
                  <c:v>0.53105127385540363</c:v>
                </c:pt>
                <c:pt idx="14">
                  <c:v>0.50778352212877964</c:v>
                </c:pt>
                <c:pt idx="15">
                  <c:v>0.48713096843053</c:v>
                </c:pt>
                <c:pt idx="16">
                  <c:v>0.46870861872086994</c:v>
                </c:pt>
                <c:pt idx="17">
                  <c:v>0.45218891698201724</c:v>
                </c:pt>
                <c:pt idx="18">
                  <c:v>0.43729466907175907</c:v>
                </c:pt>
                <c:pt idx="19">
                  <c:v>0.42379210623844832</c:v>
                </c:pt>
                <c:pt idx="20">
                  <c:v>0.41148448172693447</c:v>
                </c:pt>
                <c:pt idx="21">
                  <c:v>0.40020636563935325</c:v>
                </c:pt>
                <c:pt idx="22">
                  <c:v>0.38981867571876083</c:v>
                </c:pt>
                <c:pt idx="23">
                  <c:v>0.38020441415247341</c:v>
                </c:pt>
                <c:pt idx="24">
                  <c:v>0.37126504801100479</c:v>
                </c:pt>
                <c:pt idx="25">
                  <c:v>0.36291745853310903</c:v>
                </c:pt>
                <c:pt idx="26">
                  <c:v>0.35509138313511102</c:v>
                </c:pt>
                <c:pt idx="27">
                  <c:v>0.34772727842950502</c:v>
                </c:pt>
                <c:pt idx="28">
                  <c:v>0.34077453957847798</c:v>
                </c:pt>
                <c:pt idx="29">
                  <c:v>0.33419001922204489</c:v>
                </c:pt>
                <c:pt idx="30">
                  <c:v>0.327936797050908</c:v>
                </c:pt>
                <c:pt idx="31">
                  <c:v>0.32198315835862112</c:v>
                </c:pt>
                <c:pt idx="32">
                  <c:v>0.31630174639749942</c:v>
                </c:pt>
                <c:pt idx="33">
                  <c:v>0.31086885902360412</c:v>
                </c:pt>
                <c:pt idx="34">
                  <c:v>0.30566386497555842</c:v>
                </c:pt>
                <c:pt idx="35">
                  <c:v>0.30066871925760913</c:v>
                </c:pt>
                <c:pt idx="36">
                  <c:v>0.29586756057277724</c:v>
                </c:pt>
                <c:pt idx="37">
                  <c:v>0.29124637666346598</c:v>
                </c:pt>
                <c:pt idx="38">
                  <c:v>0.28679272584581594</c:v>
                </c:pt>
                <c:pt idx="39">
                  <c:v>0.28249550504476406</c:v>
                </c:pt>
                <c:pt idx="40">
                  <c:v>0.27834475631387307</c:v>
                </c:pt>
                <c:pt idx="41">
                  <c:v>0.27433150521381588</c:v>
                </c:pt>
                <c:pt idx="42">
                  <c:v>0.27044762557384094</c:v>
                </c:pt>
                <c:pt idx="43">
                  <c:v>0.26668572611192093</c:v>
                </c:pt>
                <c:pt idx="44">
                  <c:v>0.263039055175605</c:v>
                </c:pt>
                <c:pt idx="45">
                  <c:v>0.25950142051514274</c:v>
                </c:pt>
                <c:pt idx="46">
                  <c:v>0.25606712153695999</c:v>
                </c:pt>
                <c:pt idx="47">
                  <c:v>0.25273089192841802</c:v>
                </c:pt>
                <c:pt idx="48">
                  <c:v>0.24948785091051001</c:v>
                </c:pt>
                <c:pt idx="49">
                  <c:v>0.24633346167695699</c:v>
                </c:pt>
                <c:pt idx="50">
                  <c:v>0.24326349582737045</c:v>
                </c:pt>
                <c:pt idx="51">
                  <c:v>0.24027400280778199</c:v>
                </c:pt>
                <c:pt idx="52">
                  <c:v>0.23736128354175168</c:v>
                </c:pt>
                <c:pt idx="53">
                  <c:v>0.23452186757530699</c:v>
                </c:pt>
                <c:pt idx="54">
                  <c:v>0.2317524931749145</c:v>
                </c:pt>
                <c:pt idx="55">
                  <c:v>0.22905008991314688</c:v>
                </c:pt>
                <c:pt idx="56">
                  <c:v>0.226411763355789</c:v>
                </c:pt>
                <c:pt idx="57">
                  <c:v>0.22383478152931999</c:v>
                </c:pt>
                <c:pt idx="58">
                  <c:v>0.22131656290170787</c:v>
                </c:pt>
                <c:pt idx="59">
                  <c:v>0.218854665653992</c:v>
                </c:pt>
                <c:pt idx="60">
                  <c:v>0.21644677805705356</c:v>
                </c:pt>
              </c:numCache>
            </c:numRef>
          </c:val>
        </c:ser>
        <c:dLbls/>
        <c:marker val="1"/>
        <c:axId val="143825536"/>
        <c:axId val="143856000"/>
      </c:lineChart>
      <c:catAx>
        <c:axId val="143825536"/>
        <c:scaling>
          <c:orientation val="minMax"/>
        </c:scaling>
        <c:axPos val="b"/>
        <c:numFmt formatCode="General" sourceLinked="1"/>
        <c:tickLblPos val="nextTo"/>
        <c:crossAx val="143856000"/>
        <c:crosses val="autoZero"/>
        <c:auto val="1"/>
        <c:lblAlgn val="ctr"/>
        <c:lblOffset val="100"/>
        <c:tickLblSkip val="4"/>
        <c:tickMarkSkip val="10"/>
      </c:catAx>
      <c:valAx>
        <c:axId val="143856000"/>
        <c:scaling>
          <c:orientation val="minMax"/>
        </c:scaling>
        <c:axPos val="l"/>
        <c:numFmt formatCode="General" sourceLinked="1"/>
        <c:tickLblPos val="nextTo"/>
        <c:crossAx val="143825536"/>
        <c:crosses val="autoZero"/>
        <c:crossBetween val="midCat"/>
      </c:valAx>
    </c:plotArea>
    <c:legend>
      <c:legendPos val="r"/>
      <c:layout>
        <c:manualLayout>
          <c:xMode val="edge"/>
          <c:yMode val="edge"/>
          <c:x val="0.63343407074115732"/>
          <c:y val="0.19130393700787401"/>
          <c:w val="0.30301889388528791"/>
          <c:h val="0.14326509186351721"/>
        </c:manualLayout>
      </c:layout>
    </c:legend>
    <c:plotVisOnly val="1"/>
    <c:dispBlanksAs val="gap"/>
  </c:chart>
  <c:spPr>
    <a:ln>
      <a:noFill/>
    </a:ln>
  </c:spPr>
  <c:txPr>
    <a:bodyPr/>
    <a:lstStyle/>
    <a:p>
      <a:pPr>
        <a:defRPr sz="1000">
          <a:latin typeface="Times New Roman" pitchFamily="18" charset="0"/>
          <a:cs typeface="Times New Roman" pitchFamily="18" charset="0"/>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cdr:x>
      <cdr:y>0.00464</cdr:y>
    </cdr:from>
    <cdr:to>
      <cdr:x>0.97312</cdr:x>
      <cdr:y>0.23367</cdr:y>
    </cdr:to>
    <cdr:sp macro="" textlink="">
      <cdr:nvSpPr>
        <cdr:cNvPr id="2" name="TextBox 1"/>
        <cdr:cNvSpPr txBox="1"/>
      </cdr:nvSpPr>
      <cdr:spPr>
        <a:xfrm xmlns:a="http://schemas.openxmlformats.org/drawingml/2006/main">
          <a:off x="0" y="15929"/>
          <a:ext cx="4919560" cy="7863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spcBef>
              <a:spcPts val="0"/>
            </a:spcBef>
            <a:spcAft>
              <a:spcPts val="600"/>
            </a:spcAft>
          </a:pPr>
          <a:endParaRPr lang="en-US" sz="1200" b="1">
            <a:latin typeface="Times New Roman" pitchFamily="18" charset="0"/>
            <a:cs typeface="Times New Roman" pitchFamily="18" charset="0"/>
          </a:endParaRPr>
        </a:p>
      </cdr:txBody>
    </cdr:sp>
  </cdr:relSizeAnchor>
  <cdr:relSizeAnchor xmlns:cdr="http://schemas.openxmlformats.org/drawingml/2006/chartDrawing">
    <cdr:from>
      <cdr:x>0.01133</cdr:x>
      <cdr:y>4.20011E-7</cdr:y>
    </cdr:from>
    <cdr:to>
      <cdr:x>0.07495</cdr:x>
      <cdr:y>0.77174</cdr:y>
    </cdr:to>
    <cdr:sp macro="" textlink="">
      <cdr:nvSpPr>
        <cdr:cNvPr id="3" name="TextBox 2"/>
        <cdr:cNvSpPr txBox="1"/>
      </cdr:nvSpPr>
      <cdr:spPr>
        <a:xfrm xmlns:a="http://schemas.openxmlformats.org/drawingml/2006/main">
          <a:off x="58447" y="1"/>
          <a:ext cx="328190" cy="1837425"/>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Book Antiqua" pitchFamily="18" charset="0"/>
            </a:rPr>
            <a:t>deviation</a:t>
          </a:r>
          <a:r>
            <a:rPr lang="en-US" sz="1000" b="0" baseline="0">
              <a:latin typeface="Book Antiqua" pitchFamily="18" charset="0"/>
            </a:rPr>
            <a:t> from hp trend  (%)</a:t>
          </a:r>
          <a:endParaRPr lang="en-US" sz="1000" b="0">
            <a:latin typeface="Book Antiqua"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0.00348</cdr:y>
    </cdr:from>
    <cdr:to>
      <cdr:x>1</cdr:x>
      <cdr:y>0.24308</cdr:y>
    </cdr:to>
    <cdr:sp macro="" textlink="">
      <cdr:nvSpPr>
        <cdr:cNvPr id="2" name="TextBox 1"/>
        <cdr:cNvSpPr txBox="1"/>
      </cdr:nvSpPr>
      <cdr:spPr>
        <a:xfrm xmlns:a="http://schemas.openxmlformats.org/drawingml/2006/main">
          <a:off x="0" y="11731"/>
          <a:ext cx="5184250" cy="80777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spcAft>
              <a:spcPts val="600"/>
            </a:spcAft>
          </a:pPr>
          <a:endParaRPr lang="en-US" sz="1200" b="1">
            <a:latin typeface="Times New Roman" pitchFamily="18" charset="0"/>
            <a:cs typeface="Times New Roman" pitchFamily="18" charset="0"/>
          </a:endParaRPr>
        </a:p>
      </cdr:txBody>
    </cdr:sp>
  </cdr:relSizeAnchor>
  <cdr:relSizeAnchor xmlns:cdr="http://schemas.openxmlformats.org/drawingml/2006/chartDrawing">
    <cdr:from>
      <cdr:x>1.86072E-7</cdr:x>
      <cdr:y>0</cdr:y>
    </cdr:from>
    <cdr:to>
      <cdr:x>0.07518</cdr:x>
      <cdr:y>0.8155</cdr:y>
    </cdr:to>
    <cdr:sp macro="" textlink="">
      <cdr:nvSpPr>
        <cdr:cNvPr id="3" name="TextBox 2"/>
        <cdr:cNvSpPr txBox="1"/>
      </cdr:nvSpPr>
      <cdr:spPr>
        <a:xfrm xmlns:a="http://schemas.openxmlformats.org/drawingml/2006/main">
          <a:off x="1" y="0"/>
          <a:ext cx="404036" cy="1906438"/>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Book Antiqua" pitchFamily="18" charset="0"/>
            </a:rPr>
            <a:t>deviation</a:t>
          </a:r>
          <a:r>
            <a:rPr lang="en-US" sz="1000" b="0" baseline="0">
              <a:latin typeface="Book Antiqua" pitchFamily="18" charset="0"/>
            </a:rPr>
            <a:t> from hp tren</a:t>
          </a:r>
          <a:r>
            <a:rPr lang="en-US" sz="1000" b="1" baseline="0">
              <a:latin typeface="Book Antiqua" pitchFamily="18" charset="0"/>
            </a:rPr>
            <a:t>d  (%)</a:t>
          </a:r>
          <a:endParaRPr lang="en-US" sz="1000" b="1">
            <a:latin typeface="Book Antiqua"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0.02531</cdr:x>
      <cdr:y>0</cdr:y>
    </cdr:from>
    <cdr:to>
      <cdr:x>0.97303</cdr:x>
      <cdr:y>0.19992</cdr:y>
    </cdr:to>
    <cdr:sp macro="" textlink="">
      <cdr:nvSpPr>
        <cdr:cNvPr id="2" name="TextBox 1"/>
        <cdr:cNvSpPr txBox="1"/>
      </cdr:nvSpPr>
      <cdr:spPr>
        <a:xfrm xmlns:a="http://schemas.openxmlformats.org/drawingml/2006/main">
          <a:off x="133314" y="0"/>
          <a:ext cx="4991949" cy="7159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spcAft>
              <a:spcPts val="600"/>
            </a:spcAft>
          </a:pPr>
          <a:endParaRPr lang="en-US" sz="1200" b="1">
            <a:latin typeface="Times New Roman" pitchFamily="18" charset="0"/>
            <a:cs typeface="Times New Roman" pitchFamily="18" charset="0"/>
          </a:endParaRPr>
        </a:p>
      </cdr:txBody>
    </cdr:sp>
  </cdr:relSizeAnchor>
  <cdr:relSizeAnchor xmlns:cdr="http://schemas.openxmlformats.org/drawingml/2006/chartDrawing">
    <cdr:from>
      <cdr:x>1.87108E-7</cdr:x>
      <cdr:y>0</cdr:y>
    </cdr:from>
    <cdr:to>
      <cdr:x>0.08555</cdr:x>
      <cdr:y>0.86775</cdr:y>
    </cdr:to>
    <cdr:sp macro="" textlink="">
      <cdr:nvSpPr>
        <cdr:cNvPr id="3" name="TextBox 2"/>
        <cdr:cNvSpPr txBox="1"/>
      </cdr:nvSpPr>
      <cdr:spPr>
        <a:xfrm xmlns:a="http://schemas.openxmlformats.org/drawingml/2006/main">
          <a:off x="1" y="0"/>
          <a:ext cx="457200" cy="1983677"/>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Book Antiqua" pitchFamily="18" charset="0"/>
            </a:rPr>
            <a:t>deviation</a:t>
          </a:r>
          <a:r>
            <a:rPr lang="en-US" sz="1000" b="0" baseline="0">
              <a:latin typeface="Book Antiqua" pitchFamily="18" charset="0"/>
            </a:rPr>
            <a:t> from hp trend  </a:t>
          </a:r>
          <a:r>
            <a:rPr lang="en-US" sz="1000" b="1" baseline="0">
              <a:latin typeface="Book Antiqua" pitchFamily="18" charset="0"/>
            </a:rPr>
            <a:t>(%)</a:t>
          </a:r>
          <a:endParaRPr lang="en-US" sz="1000" b="1">
            <a:latin typeface="Book Antiqua"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0.00762</cdr:x>
      <cdr:y>0.00294</cdr:y>
    </cdr:from>
    <cdr:to>
      <cdr:x>0.99121</cdr:x>
      <cdr:y>0.18795</cdr:y>
    </cdr:to>
    <cdr:sp macro="" textlink="">
      <cdr:nvSpPr>
        <cdr:cNvPr id="7" name="TextBox 6"/>
        <cdr:cNvSpPr txBox="1"/>
      </cdr:nvSpPr>
      <cdr:spPr>
        <a:xfrm xmlns:a="http://schemas.openxmlformats.org/drawingml/2006/main">
          <a:off x="39755" y="10525"/>
          <a:ext cx="5131570" cy="6623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0.01538</cdr:x>
      <cdr:y>0</cdr:y>
    </cdr:from>
    <cdr:to>
      <cdr:x>0.15385</cdr:x>
      <cdr:y>1</cdr:y>
    </cdr:to>
    <cdr:sp macro="" textlink="">
      <cdr:nvSpPr>
        <cdr:cNvPr id="8" name="TextBox 7"/>
        <cdr:cNvSpPr txBox="1"/>
      </cdr:nvSpPr>
      <cdr:spPr>
        <a:xfrm xmlns:a="http://schemas.openxmlformats.org/drawingml/2006/main">
          <a:off x="72203" y="0"/>
          <a:ext cx="650054" cy="2681785"/>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Times New Roman" pitchFamily="18" charset="0"/>
              <a:ea typeface="+mn-ea"/>
              <a:cs typeface="Times New Roman" pitchFamily="18" charset="0"/>
            </a:rPr>
            <a:t>Correlation between GDP( t </a:t>
          </a:r>
          <a:r>
            <a:rPr lang="en-US" sz="1000" b="0" baseline="0">
              <a:latin typeface="Times New Roman" pitchFamily="18" charset="0"/>
              <a:ea typeface="+mn-ea"/>
              <a:cs typeface="Times New Roman" pitchFamily="18" charset="0"/>
            </a:rPr>
            <a:t>) &amp;</a:t>
          </a:r>
          <a:endParaRPr lang="en-US" sz="1000" b="0">
            <a:latin typeface="Times New Roman" pitchFamily="18" charset="0"/>
            <a:cs typeface="Times New Roman" pitchFamily="18" charset="0"/>
          </a:endParaRPr>
        </a:p>
        <a:p xmlns:a="http://schemas.openxmlformats.org/drawingml/2006/main">
          <a:pPr algn="ctr"/>
          <a:r>
            <a:rPr lang="en-US" sz="1000" b="0" baseline="0">
              <a:latin typeface="Times New Roman" pitchFamily="18" charset="0"/>
              <a:ea typeface="+mn-ea"/>
              <a:cs typeface="Times New Roman" pitchFamily="18" charset="0"/>
            </a:rPr>
            <a:t> durable spending (t+j)</a:t>
          </a:r>
          <a:endParaRPr lang="en-US" sz="1000" b="0">
            <a:latin typeface="Times New Roman" pitchFamily="18" charset="0"/>
            <a:ea typeface="+mn-ea"/>
            <a:cs typeface="Times New Roman" pitchFamily="18" charset="0"/>
          </a:endParaRPr>
        </a:p>
        <a:p xmlns:a="http://schemas.openxmlformats.org/drawingml/2006/main">
          <a:endParaRPr lang="en-US" sz="1100" b="0"/>
        </a:p>
      </cdr:txBody>
    </cdr:sp>
  </cdr:relSizeAnchor>
  <cdr:relSizeAnchor xmlns:cdr="http://schemas.openxmlformats.org/drawingml/2006/chartDrawing">
    <cdr:from>
      <cdr:x>0.0022</cdr:x>
      <cdr:y>0.89121</cdr:y>
    </cdr:from>
    <cdr:to>
      <cdr:x>0.99951</cdr:x>
      <cdr:y>0.99877</cdr:y>
    </cdr:to>
    <cdr:sp macro="" textlink="">
      <cdr:nvSpPr>
        <cdr:cNvPr id="9" name="TextBox 8"/>
        <cdr:cNvSpPr txBox="1"/>
      </cdr:nvSpPr>
      <cdr:spPr>
        <a:xfrm xmlns:a="http://schemas.openxmlformats.org/drawingml/2006/main">
          <a:off x="12173" y="2762250"/>
          <a:ext cx="5518506" cy="3333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0">
              <a:latin typeface="Times New Roman" pitchFamily="18" charset="0"/>
              <a:ea typeface="+mn-ea"/>
              <a:cs typeface="Times New Roman" pitchFamily="18" charset="0"/>
            </a:rPr>
            <a:t>J (Quarters)     </a:t>
          </a:r>
          <a:endParaRPr lang="en-US" b="0">
            <a:latin typeface="Times New Roman" pitchFamily="18" charset="0"/>
            <a:cs typeface="Times New Roman"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0.01165</cdr:x>
      <cdr:y>0.02046</cdr:y>
    </cdr:from>
    <cdr:to>
      <cdr:x>0.98835</cdr:x>
      <cdr:y>0.19182</cdr:y>
    </cdr:to>
    <cdr:sp macro="" textlink="">
      <cdr:nvSpPr>
        <cdr:cNvPr id="2" name="TextBox 1"/>
        <cdr:cNvSpPr txBox="1"/>
      </cdr:nvSpPr>
      <cdr:spPr>
        <a:xfrm xmlns:a="http://schemas.openxmlformats.org/drawingml/2006/main">
          <a:off x="57151" y="76200"/>
          <a:ext cx="4791074" cy="638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0.02275</cdr:x>
      <cdr:y>0</cdr:y>
    </cdr:from>
    <cdr:to>
      <cdr:x>0.13169</cdr:x>
      <cdr:y>0.85774</cdr:y>
    </cdr:to>
    <cdr:sp macro="" textlink="">
      <cdr:nvSpPr>
        <cdr:cNvPr id="3" name="TextBox 2"/>
        <cdr:cNvSpPr txBox="1"/>
      </cdr:nvSpPr>
      <cdr:spPr>
        <a:xfrm xmlns:a="http://schemas.openxmlformats.org/drawingml/2006/main">
          <a:off x="111579" y="0"/>
          <a:ext cx="534389" cy="31944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cdr:x>
      <cdr:y>0.01594</cdr:y>
    </cdr:from>
    <cdr:to>
      <cdr:x>0.07305</cdr:x>
      <cdr:y>0.86731</cdr:y>
    </cdr:to>
    <cdr:sp macro="" textlink="">
      <cdr:nvSpPr>
        <cdr:cNvPr id="4" name="Rectangle 3"/>
        <cdr:cNvSpPr/>
      </cdr:nvSpPr>
      <cdr:spPr>
        <a:xfrm xmlns:a="http://schemas.openxmlformats.org/drawingml/2006/main">
          <a:off x="0" y="48079"/>
          <a:ext cx="344384" cy="256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solidFill>
                <a:sysClr val="windowText" lastClr="000000"/>
              </a:solidFill>
              <a:latin typeface="Times New Roman" pitchFamily="18" charset="0"/>
              <a:cs typeface="Times New Roman" pitchFamily="18" charset="0"/>
            </a:rPr>
            <a:t>Percent deviation from steady</a:t>
          </a:r>
          <a:r>
            <a:rPr lang="en-US" sz="1000" b="0">
              <a:solidFill>
                <a:sysClr val="windowText" lastClr="000000"/>
              </a:solidFill>
              <a:latin typeface="Book Antiqua" pitchFamily="18" charset="0"/>
            </a:rPr>
            <a:t> </a:t>
          </a:r>
          <a:r>
            <a:rPr lang="en-US" sz="1000" b="0">
              <a:noFill/>
              <a:latin typeface="Book Antiqua" pitchFamily="18" charset="0"/>
            </a:rPr>
            <a:t>state</a:t>
          </a:r>
        </a:p>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endParaRPr lang="en-US" sz="1000" b="0">
            <a:solidFill>
              <a:sysClr val="windowText" lastClr="000000"/>
            </a:solidFill>
            <a:latin typeface="Book Antiqua" pitchFamily="18" charset="0"/>
          </a:endParaRPr>
        </a:p>
        <a:p xmlns:a="http://schemas.openxmlformats.org/drawingml/2006/main">
          <a:endParaRPr lang="en-US" sz="1000" b="0">
            <a:solidFill>
              <a:sysClr val="windowText" lastClr="000000"/>
            </a:solidFill>
          </a:endParaRPr>
        </a:p>
      </cdr:txBody>
    </cdr:sp>
  </cdr:relSizeAnchor>
  <cdr:relSizeAnchor xmlns:cdr="http://schemas.openxmlformats.org/drawingml/2006/chartDrawing">
    <cdr:from>
      <cdr:x>0.0179</cdr:x>
      <cdr:y>0.91457</cdr:y>
    </cdr:from>
    <cdr:to>
      <cdr:x>0.99884</cdr:x>
      <cdr:y>1</cdr:y>
    </cdr:to>
    <cdr:sp macro="" textlink="">
      <cdr:nvSpPr>
        <cdr:cNvPr id="5" name="TextBox 4"/>
        <cdr:cNvSpPr txBox="1"/>
      </cdr:nvSpPr>
      <cdr:spPr>
        <a:xfrm xmlns:a="http://schemas.openxmlformats.org/drawingml/2006/main">
          <a:off x="81557" y="2869325"/>
          <a:ext cx="4469393" cy="2680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latin typeface="Times New Roman" pitchFamily="18" charset="0"/>
            <a:cs typeface="Times New Roman" pitchFamily="18" charset="0"/>
          </a:endParaRPr>
        </a:p>
      </cdr:txBody>
    </cdr:sp>
  </cdr:relSizeAnchor>
  <cdr:relSizeAnchor xmlns:cdr="http://schemas.openxmlformats.org/drawingml/2006/chartDrawing">
    <cdr:from>
      <cdr:x>0</cdr:x>
      <cdr:y>0.92978</cdr:y>
    </cdr:from>
    <cdr:to>
      <cdr:x>0.99879</cdr:x>
      <cdr:y>1</cdr:y>
    </cdr:to>
    <cdr:sp macro="" textlink="">
      <cdr:nvSpPr>
        <cdr:cNvPr id="6" name="TextBox 5"/>
        <cdr:cNvSpPr txBox="1"/>
      </cdr:nvSpPr>
      <cdr:spPr>
        <a:xfrm xmlns:a="http://schemas.openxmlformats.org/drawingml/2006/main">
          <a:off x="0" y="2916620"/>
          <a:ext cx="4550612" cy="2202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Quarters after the shock</a:t>
          </a:r>
        </a:p>
        <a:p xmlns:a="http://schemas.openxmlformats.org/drawingml/2006/main">
          <a:endParaRPr lang="en-US" sz="1000">
            <a:latin typeface="Times New Roman" pitchFamily="18" charset="0"/>
            <a:cs typeface="Times New Roman"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0.86193</cdr:y>
    </cdr:from>
    <cdr:to>
      <cdr:x>0.99823</cdr:x>
      <cdr:y>0.97524</cdr:y>
    </cdr:to>
    <cdr:sp macro="" textlink="">
      <cdr:nvSpPr>
        <cdr:cNvPr id="2" name="TextBox 1"/>
        <cdr:cNvSpPr txBox="1"/>
      </cdr:nvSpPr>
      <cdr:spPr>
        <a:xfrm xmlns:a="http://schemas.openxmlformats.org/drawingml/2006/main">
          <a:off x="0" y="1141172"/>
          <a:ext cx="2328861" cy="1500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spcAft>
              <a:spcPts val="0"/>
            </a:spcAft>
          </a:pPr>
          <a:r>
            <a:rPr lang="en-US" sz="800" b="0">
              <a:latin typeface="Times New Roman" pitchFamily="18" charset="0"/>
              <a:ea typeface="+mn-ea"/>
              <a:cs typeface="Times New Roman" pitchFamily="18" charset="0"/>
            </a:rPr>
            <a:t>Quarters after the shock</a:t>
          </a:r>
        </a:p>
      </cdr:txBody>
    </cdr:sp>
  </cdr:relSizeAnchor>
  <cdr:relSizeAnchor xmlns:cdr="http://schemas.openxmlformats.org/drawingml/2006/chartDrawing">
    <cdr:from>
      <cdr:x>0.00625</cdr:x>
      <cdr:y>7.55301E-7</cdr:y>
    </cdr:from>
    <cdr:to>
      <cdr:x>0.0878</cdr:x>
      <cdr:y>0.92823</cdr:y>
    </cdr:to>
    <cdr:sp macro="" textlink="">
      <cdr:nvSpPr>
        <cdr:cNvPr id="3" name="TextBox 2"/>
        <cdr:cNvSpPr txBox="1"/>
      </cdr:nvSpPr>
      <cdr:spPr>
        <a:xfrm xmlns:a="http://schemas.openxmlformats.org/drawingml/2006/main">
          <a:off x="14584" y="1"/>
          <a:ext cx="190242" cy="1228953"/>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600" b="1">
              <a:latin typeface="Times New Roman" pitchFamily="18" charset="0"/>
              <a:ea typeface="+mn-ea"/>
              <a:cs typeface="Times New Roman" pitchFamily="18" charset="0"/>
            </a:rPr>
            <a:t>Percent deviation from steady stat</a:t>
          </a:r>
        </a:p>
        <a:p xmlns:a="http://schemas.openxmlformats.org/drawingml/2006/main">
          <a:endParaRPr lang="en-US" sz="1100"/>
        </a:p>
      </cdr:txBody>
    </cdr:sp>
  </cdr:relSizeAnchor>
</c:userShapes>
</file>

<file path=word/drawings/drawing7.xml><?xml version="1.0" encoding="utf-8"?>
<c:userShapes xmlns:c="http://schemas.openxmlformats.org/drawingml/2006/chart">
  <cdr:relSizeAnchor xmlns:cdr="http://schemas.openxmlformats.org/drawingml/2006/chartDrawing">
    <cdr:from>
      <cdr:x>3.78741E-7</cdr:x>
      <cdr:y>0.01042</cdr:y>
    </cdr:from>
    <cdr:to>
      <cdr:x>0.06095</cdr:x>
      <cdr:y>0.99962</cdr:y>
    </cdr:to>
    <cdr:sp macro="" textlink="">
      <cdr:nvSpPr>
        <cdr:cNvPr id="3" name="TextBox 2"/>
        <cdr:cNvSpPr txBox="1"/>
      </cdr:nvSpPr>
      <cdr:spPr>
        <a:xfrm xmlns:a="http://schemas.openxmlformats.org/drawingml/2006/main">
          <a:off x="1" y="16230"/>
          <a:ext cx="160934" cy="1540831"/>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eaLnBrk="1" fontAlgn="auto" latinLnBrk="0" hangingPunct="1"/>
          <a:r>
            <a:rPr lang="en-US" sz="600" b="1">
              <a:latin typeface="Times New Roman" pitchFamily="18" charset="0"/>
              <a:ea typeface="+mn-ea"/>
              <a:cs typeface="Times New Roman" pitchFamily="18" charset="0"/>
            </a:rPr>
            <a:t>   </a:t>
          </a:r>
          <a:r>
            <a:rPr lang="en-US" sz="600" b="1" baseline="0">
              <a:latin typeface="Times New Roman" pitchFamily="18" charset="0"/>
              <a:ea typeface="+mn-ea"/>
              <a:cs typeface="Times New Roman" pitchFamily="18" charset="0"/>
            </a:rPr>
            <a:t>     </a:t>
          </a:r>
          <a:r>
            <a:rPr lang="en-US" sz="600" b="1">
              <a:latin typeface="Times New Roman" pitchFamily="18" charset="0"/>
              <a:ea typeface="+mn-ea"/>
              <a:cs typeface="Times New Roman" pitchFamily="18" charset="0"/>
            </a:rPr>
            <a:t>Percent deviation from steady stat</a:t>
          </a:r>
          <a:endParaRPr lang="en-US" sz="600" b="1">
            <a:latin typeface="Times New Roman" pitchFamily="18" charset="0"/>
            <a:cs typeface="Times New Roman" pitchFamily="18" charset="0"/>
          </a:endParaRPr>
        </a:p>
      </cdr:txBody>
    </cdr:sp>
  </cdr:relSizeAnchor>
  <cdr:relSizeAnchor xmlns:cdr="http://schemas.openxmlformats.org/drawingml/2006/chartDrawing">
    <cdr:from>
      <cdr:x>0.26042</cdr:x>
      <cdr:y>0.84375</cdr:y>
    </cdr:from>
    <cdr:to>
      <cdr:x>0.66667</cdr:x>
      <cdr:y>0.98264</cdr:y>
    </cdr:to>
    <cdr:sp macro="" textlink="">
      <cdr:nvSpPr>
        <cdr:cNvPr id="4" name="TextBox 3"/>
        <cdr:cNvSpPr txBox="1"/>
      </cdr:nvSpPr>
      <cdr:spPr>
        <a:xfrm xmlns:a="http://schemas.openxmlformats.org/drawingml/2006/main">
          <a:off x="1190625" y="2314575"/>
          <a:ext cx="1857375"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fontAlgn="base"/>
          <a:endParaRPr lang="en-US" sz="1100" b="0" i="0" baseline="0">
            <a:latin typeface="+mn-lt"/>
            <a:ea typeface="+mn-ea"/>
            <a:cs typeface="+mn-cs"/>
          </a:endParaRPr>
        </a:p>
      </cdr:txBody>
    </cdr:sp>
  </cdr:relSizeAnchor>
  <cdr:relSizeAnchor xmlns:cdr="http://schemas.openxmlformats.org/drawingml/2006/chartDrawing">
    <cdr:from>
      <cdr:x>0</cdr:x>
      <cdr:y>0.83944</cdr:y>
    </cdr:from>
    <cdr:to>
      <cdr:x>1</cdr:x>
      <cdr:y>0.99634</cdr:y>
    </cdr:to>
    <cdr:sp macro="" textlink="">
      <cdr:nvSpPr>
        <cdr:cNvPr id="5" name="TextBox 4"/>
        <cdr:cNvSpPr txBox="1"/>
      </cdr:nvSpPr>
      <cdr:spPr>
        <a:xfrm xmlns:a="http://schemas.openxmlformats.org/drawingml/2006/main">
          <a:off x="0" y="1019175"/>
          <a:ext cx="2419349"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spcAft>
              <a:spcPts val="200"/>
            </a:spcAft>
          </a:pPr>
          <a:r>
            <a:rPr lang="en-US" sz="800" b="0">
              <a:latin typeface="Times New Roman" pitchFamily="18" charset="0"/>
              <a:ea typeface="+mn-ea"/>
              <a:cs typeface="Times New Roman" pitchFamily="18" charset="0"/>
            </a:rPr>
            <a:t>Quarters after the shoc</a:t>
          </a:r>
          <a:r>
            <a:rPr lang="en-US" sz="1000" b="0">
              <a:latin typeface="Times New Roman" pitchFamily="18" charset="0"/>
              <a:ea typeface="+mn-ea"/>
              <a:cs typeface="Times New Roman" pitchFamily="18" charset="0"/>
            </a:rPr>
            <a:t>k</a:t>
          </a:r>
        </a:p>
      </cdr:txBody>
    </cdr:sp>
  </cdr:relSizeAnchor>
</c:userShapes>
</file>

<file path=word/drawings/drawing8.xml><?xml version="1.0" encoding="utf-8"?>
<c:userShapes xmlns:c="http://schemas.openxmlformats.org/drawingml/2006/chart">
  <cdr:relSizeAnchor xmlns:cdr="http://schemas.openxmlformats.org/drawingml/2006/chartDrawing">
    <cdr:from>
      <cdr:x>0</cdr:x>
      <cdr:y>0.01042</cdr:y>
    </cdr:from>
    <cdr:to>
      <cdr:x>0.07935</cdr:x>
      <cdr:y>0.91476</cdr:y>
    </cdr:to>
    <cdr:sp macro="" textlink="">
      <cdr:nvSpPr>
        <cdr:cNvPr id="3" name="TextBox 2"/>
        <cdr:cNvSpPr txBox="1"/>
      </cdr:nvSpPr>
      <cdr:spPr>
        <a:xfrm xmlns:a="http://schemas.openxmlformats.org/drawingml/2006/main">
          <a:off x="0" y="15165"/>
          <a:ext cx="190968" cy="1316201"/>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eaLnBrk="1" fontAlgn="auto" latinLnBrk="0" hangingPunct="1"/>
          <a:r>
            <a:rPr lang="en-US" sz="600" b="1">
              <a:latin typeface="Times New Roman" pitchFamily="18" charset="0"/>
              <a:ea typeface="+mn-ea"/>
              <a:cs typeface="Times New Roman" pitchFamily="18" charset="0"/>
            </a:rPr>
            <a:t> Percent</a:t>
          </a:r>
          <a:r>
            <a:rPr lang="en-US" sz="800" b="1">
              <a:latin typeface="Times New Roman" pitchFamily="18" charset="0"/>
              <a:ea typeface="+mn-ea"/>
              <a:cs typeface="Times New Roman" pitchFamily="18" charset="0"/>
            </a:rPr>
            <a:t> </a:t>
          </a:r>
          <a:r>
            <a:rPr lang="en-US" sz="600" b="1">
              <a:latin typeface="Times New Roman" pitchFamily="18" charset="0"/>
              <a:ea typeface="+mn-ea"/>
              <a:cs typeface="Times New Roman" pitchFamily="18" charset="0"/>
            </a:rPr>
            <a:t>deviation from steady stat</a:t>
          </a:r>
          <a:endParaRPr lang="en-US" sz="600" b="1">
            <a:latin typeface="Times New Roman" pitchFamily="18" charset="0"/>
            <a:cs typeface="Times New Roman" pitchFamily="18" charset="0"/>
          </a:endParaRPr>
        </a:p>
      </cdr:txBody>
    </cdr:sp>
  </cdr:relSizeAnchor>
  <cdr:relSizeAnchor xmlns:cdr="http://schemas.openxmlformats.org/drawingml/2006/chartDrawing">
    <cdr:from>
      <cdr:x>0.26042</cdr:x>
      <cdr:y>0.84375</cdr:y>
    </cdr:from>
    <cdr:to>
      <cdr:x>0.66667</cdr:x>
      <cdr:y>0.98264</cdr:y>
    </cdr:to>
    <cdr:sp macro="" textlink="">
      <cdr:nvSpPr>
        <cdr:cNvPr id="4" name="TextBox 3"/>
        <cdr:cNvSpPr txBox="1"/>
      </cdr:nvSpPr>
      <cdr:spPr>
        <a:xfrm xmlns:a="http://schemas.openxmlformats.org/drawingml/2006/main">
          <a:off x="1190625" y="2314575"/>
          <a:ext cx="1857375"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fontAlgn="base"/>
          <a:endParaRPr lang="en-US" sz="1100" b="0" i="0" baseline="0">
            <a:latin typeface="+mn-lt"/>
            <a:ea typeface="+mn-ea"/>
            <a:cs typeface="+mn-cs"/>
          </a:endParaRPr>
        </a:p>
      </cdr:txBody>
    </cdr:sp>
  </cdr:relSizeAnchor>
  <cdr:relSizeAnchor xmlns:cdr="http://schemas.openxmlformats.org/drawingml/2006/chartDrawing">
    <cdr:from>
      <cdr:x>0</cdr:x>
      <cdr:y>0.86072</cdr:y>
    </cdr:from>
    <cdr:to>
      <cdr:x>0.98071</cdr:x>
      <cdr:y>1</cdr:y>
    </cdr:to>
    <cdr:sp macro="" textlink="">
      <cdr:nvSpPr>
        <cdr:cNvPr id="5" name="TextBox 4"/>
        <cdr:cNvSpPr txBox="1"/>
      </cdr:nvSpPr>
      <cdr:spPr>
        <a:xfrm xmlns:a="http://schemas.openxmlformats.org/drawingml/2006/main">
          <a:off x="0" y="1114425"/>
          <a:ext cx="2324100" cy="1803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spcAft>
              <a:spcPts val="200"/>
            </a:spcAft>
          </a:pPr>
          <a:r>
            <a:rPr lang="en-US" sz="800" b="0">
              <a:latin typeface="Times New Roman" pitchFamily="18" charset="0"/>
              <a:ea typeface="+mn-ea"/>
              <a:cs typeface="Times New Roman" pitchFamily="18" charset="0"/>
            </a:rPr>
            <a:t>Quarters after the shock</a:t>
          </a:r>
        </a:p>
        <a:p xmlns:a="http://schemas.openxmlformats.org/drawingml/2006/main">
          <a:pPr algn="l"/>
          <a:endParaRPr lang="en-US" sz="800" b="0">
            <a:latin typeface="Times New Roman" pitchFamily="18" charset="0"/>
            <a:ea typeface="+mn-ea"/>
            <a:cs typeface="Times New Roman" pitchFamily="18" charset="0"/>
          </a:endParaRPr>
        </a:p>
        <a:p xmlns:a="http://schemas.openxmlformats.org/drawingml/2006/main">
          <a:pPr algn="ctr"/>
          <a:endParaRPr lang="en-US" sz="800" b="0">
            <a:latin typeface="Times New Roman" pitchFamily="18" charset="0"/>
            <a:ea typeface="+mn-ea"/>
            <a:cs typeface="Times New Roman" pitchFamily="18"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cdr:x>
      <cdr:y>0.86193</cdr:y>
    </cdr:from>
    <cdr:to>
      <cdr:x>0.99939</cdr:x>
      <cdr:y>1</cdr:y>
    </cdr:to>
    <cdr:sp macro="" textlink="">
      <cdr:nvSpPr>
        <cdr:cNvPr id="2" name="TextBox 1"/>
        <cdr:cNvSpPr txBox="1"/>
      </cdr:nvSpPr>
      <cdr:spPr>
        <a:xfrm xmlns:a="http://schemas.openxmlformats.org/drawingml/2006/main">
          <a:off x="0" y="1141171"/>
          <a:ext cx="2551143" cy="1828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spcAft>
              <a:spcPts val="200"/>
            </a:spcAft>
          </a:pPr>
          <a:r>
            <a:rPr lang="en-US" sz="800" b="0">
              <a:latin typeface="Times New Roman" pitchFamily="18" charset="0"/>
              <a:ea typeface="+mn-ea"/>
              <a:cs typeface="Times New Roman" pitchFamily="18" charset="0"/>
            </a:rPr>
            <a:t>Quarters after the shock</a:t>
          </a:r>
        </a:p>
        <a:p xmlns:a="http://schemas.openxmlformats.org/drawingml/2006/main">
          <a:pPr algn="ctr"/>
          <a:endParaRPr lang="en-US" sz="800">
            <a:latin typeface="Times New Roman" pitchFamily="18" charset="0"/>
            <a:cs typeface="Times New Roman" pitchFamily="18" charset="0"/>
          </a:endParaRPr>
        </a:p>
      </cdr:txBody>
    </cdr:sp>
  </cdr:relSizeAnchor>
  <cdr:relSizeAnchor xmlns:cdr="http://schemas.openxmlformats.org/drawingml/2006/chartDrawing">
    <cdr:from>
      <cdr:x>0.02165</cdr:x>
      <cdr:y>0.04582</cdr:y>
    </cdr:from>
    <cdr:to>
      <cdr:x>0.10283</cdr:x>
      <cdr:y>0.87958</cdr:y>
    </cdr:to>
    <cdr:sp macro="" textlink="">
      <cdr:nvSpPr>
        <cdr:cNvPr id="3" name="TextBox 2"/>
        <cdr:cNvSpPr txBox="1"/>
      </cdr:nvSpPr>
      <cdr:spPr>
        <a:xfrm xmlns:a="http://schemas.openxmlformats.org/drawingml/2006/main">
          <a:off x="55264" y="66688"/>
          <a:ext cx="207237" cy="1213472"/>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600" b="1">
              <a:latin typeface="Times New Roman" pitchFamily="18" charset="0"/>
              <a:ea typeface="+mn-ea"/>
              <a:cs typeface="Times New Roman" pitchFamily="18" charset="0"/>
            </a:rPr>
            <a:t>Percent deviation from steady stat</a:t>
          </a:r>
        </a:p>
        <a:p xmlns:a="http://schemas.openxmlformats.org/drawingml/2006/main">
          <a:endParaRPr lang="en-US" sz="1100"/>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0.88615</cdr:y>
    </cdr:from>
    <cdr:to>
      <cdr:x>1</cdr:x>
      <cdr:y>1</cdr:y>
    </cdr:to>
    <cdr:sp macro="" textlink="">
      <cdr:nvSpPr>
        <cdr:cNvPr id="2" name="TextBox 1"/>
        <cdr:cNvSpPr txBox="1"/>
      </cdr:nvSpPr>
      <cdr:spPr>
        <a:xfrm xmlns:a="http://schemas.openxmlformats.org/drawingml/2006/main">
          <a:off x="0" y="1521561"/>
          <a:ext cx="2726690" cy="19547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800" b="0">
              <a:latin typeface="Times New Roman" pitchFamily="18" charset="0"/>
              <a:ea typeface="+mn-ea"/>
              <a:cs typeface="Times New Roman" pitchFamily="18" charset="0"/>
            </a:rPr>
            <a:t>Quarters after the shock</a:t>
          </a:r>
        </a:p>
      </cdr:txBody>
    </cdr:sp>
  </cdr:relSizeAnchor>
  <cdr:relSizeAnchor xmlns:cdr="http://schemas.openxmlformats.org/drawingml/2006/chartDrawing">
    <cdr:from>
      <cdr:x>0.00625</cdr:x>
      <cdr:y>0</cdr:y>
    </cdr:from>
    <cdr:to>
      <cdr:x>0.09887</cdr:x>
      <cdr:y>0.81988</cdr:y>
    </cdr:to>
    <cdr:sp macro="" textlink="">
      <cdr:nvSpPr>
        <cdr:cNvPr id="3" name="TextBox 2"/>
        <cdr:cNvSpPr txBox="1"/>
      </cdr:nvSpPr>
      <cdr:spPr>
        <a:xfrm xmlns:a="http://schemas.openxmlformats.org/drawingml/2006/main">
          <a:off x="14263" y="0"/>
          <a:ext cx="211367" cy="1205244"/>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600" b="1">
              <a:latin typeface="Times New Roman" pitchFamily="18" charset="0"/>
              <a:ea typeface="+mn-ea"/>
              <a:cs typeface="Times New Roman" pitchFamily="18" charset="0"/>
            </a:rPr>
            <a:t>Percent deviation from steady stat</a:t>
          </a:r>
        </a:p>
        <a:p xmlns:a="http://schemas.openxmlformats.org/drawingml/2006/main">
          <a:endParaRPr lang="en-US" sz="1100"/>
        </a:p>
      </cdr:txBody>
    </cdr:sp>
  </cdr:relSizeAnchor>
  <cdr:relSizeAnchor xmlns:cdr="http://schemas.openxmlformats.org/drawingml/2006/chartDrawing">
    <cdr:from>
      <cdr:x>0.03333</cdr:x>
      <cdr:y>0.03401</cdr:y>
    </cdr:from>
    <cdr:to>
      <cdr:x>0.98333</cdr:x>
      <cdr:y>0.18707</cdr:y>
    </cdr:to>
    <cdr:sp macro="" textlink="">
      <cdr:nvSpPr>
        <cdr:cNvPr id="4" name="TextBox 3"/>
        <cdr:cNvSpPr txBox="1"/>
      </cdr:nvSpPr>
      <cdr:spPr>
        <a:xfrm xmlns:a="http://schemas.openxmlformats.org/drawingml/2006/main">
          <a:off x="152400" y="95249"/>
          <a:ext cx="4343399" cy="4286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en-US" sz="1100"/>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0.85906</cdr:y>
    </cdr:from>
    <cdr:to>
      <cdr:x>0.98037</cdr:x>
      <cdr:y>1</cdr:y>
    </cdr:to>
    <cdr:sp macro="" textlink="">
      <cdr:nvSpPr>
        <cdr:cNvPr id="2" name="TextBox 1"/>
        <cdr:cNvSpPr txBox="1"/>
      </cdr:nvSpPr>
      <cdr:spPr>
        <a:xfrm xmlns:a="http://schemas.openxmlformats.org/drawingml/2006/main">
          <a:off x="0" y="1219200"/>
          <a:ext cx="231457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800" b="0">
              <a:latin typeface="Times New Roman" pitchFamily="18" charset="0"/>
              <a:ea typeface="+mn-ea"/>
              <a:cs typeface="Times New Roman" pitchFamily="18" charset="0"/>
            </a:rPr>
            <a:t>Quarters after the shock</a:t>
          </a:r>
        </a:p>
      </cdr:txBody>
    </cdr:sp>
  </cdr:relSizeAnchor>
  <cdr:relSizeAnchor xmlns:cdr="http://schemas.openxmlformats.org/drawingml/2006/chartDrawing">
    <cdr:from>
      <cdr:x>0.00625</cdr:x>
      <cdr:y>0.02841</cdr:y>
    </cdr:from>
    <cdr:to>
      <cdr:x>0.0806</cdr:x>
      <cdr:y>0.84659</cdr:y>
    </cdr:to>
    <cdr:sp macro="" textlink="">
      <cdr:nvSpPr>
        <cdr:cNvPr id="3" name="TextBox 2"/>
        <cdr:cNvSpPr txBox="1"/>
      </cdr:nvSpPr>
      <cdr:spPr>
        <a:xfrm xmlns:a="http://schemas.openxmlformats.org/drawingml/2006/main">
          <a:off x="15315" y="43838"/>
          <a:ext cx="182196" cy="1262493"/>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600" b="1">
              <a:latin typeface="Times New Roman" pitchFamily="18" charset="0"/>
              <a:ea typeface="+mn-ea"/>
              <a:cs typeface="Times New Roman" pitchFamily="18" charset="0"/>
            </a:rPr>
            <a:t>Percent deviation from steady stat</a:t>
          </a:r>
        </a:p>
        <a:p xmlns:a="http://schemas.openxmlformats.org/drawingml/2006/main">
          <a:endParaRPr lang="en-US" sz="1100"/>
        </a:p>
      </cdr:txBody>
    </cdr:sp>
  </cdr:relSizeAnchor>
  <cdr:relSizeAnchor xmlns:cdr="http://schemas.openxmlformats.org/drawingml/2006/chartDrawing">
    <cdr:from>
      <cdr:x>0.03333</cdr:x>
      <cdr:y>0.03401</cdr:y>
    </cdr:from>
    <cdr:to>
      <cdr:x>0.98333</cdr:x>
      <cdr:y>0.18707</cdr:y>
    </cdr:to>
    <cdr:sp macro="" textlink="">
      <cdr:nvSpPr>
        <cdr:cNvPr id="4" name="TextBox 3"/>
        <cdr:cNvSpPr txBox="1"/>
      </cdr:nvSpPr>
      <cdr:spPr>
        <a:xfrm xmlns:a="http://schemas.openxmlformats.org/drawingml/2006/main">
          <a:off x="152400" y="95249"/>
          <a:ext cx="4343399" cy="4286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en-US" sz="1100"/>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0.89242</cdr:y>
    </cdr:from>
    <cdr:to>
      <cdr:x>0.99907</cdr:x>
      <cdr:y>0.99728</cdr:y>
    </cdr:to>
    <cdr:sp macro="" textlink="">
      <cdr:nvSpPr>
        <cdr:cNvPr id="2" name="TextBox 1"/>
        <cdr:cNvSpPr txBox="1"/>
      </cdr:nvSpPr>
      <cdr:spPr>
        <a:xfrm xmlns:a="http://schemas.openxmlformats.org/drawingml/2006/main">
          <a:off x="0" y="1521561"/>
          <a:ext cx="2788230" cy="1787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800" b="0">
              <a:latin typeface="Times New Roman" pitchFamily="18" charset="0"/>
              <a:ea typeface="+mn-ea"/>
              <a:cs typeface="Times New Roman" pitchFamily="18" charset="0"/>
            </a:rPr>
            <a:t>Quarters after the shock</a:t>
          </a:r>
        </a:p>
      </cdr:txBody>
    </cdr:sp>
  </cdr:relSizeAnchor>
  <cdr:relSizeAnchor xmlns:cdr="http://schemas.openxmlformats.org/drawingml/2006/chartDrawing">
    <cdr:from>
      <cdr:x>0.00625</cdr:x>
      <cdr:y>0.1875</cdr:y>
    </cdr:from>
    <cdr:to>
      <cdr:x>0.0643</cdr:x>
      <cdr:y>0.76101</cdr:y>
    </cdr:to>
    <cdr:sp macro="" textlink="">
      <cdr:nvSpPr>
        <cdr:cNvPr id="3" name="TextBox 2"/>
        <cdr:cNvSpPr txBox="1"/>
      </cdr:nvSpPr>
      <cdr:spPr>
        <a:xfrm xmlns:a="http://schemas.openxmlformats.org/drawingml/2006/main">
          <a:off x="28159" y="605642"/>
          <a:ext cx="261549" cy="1852489"/>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600" b="1">
              <a:latin typeface="Times New Roman" pitchFamily="18" charset="0"/>
              <a:ea typeface="+mn-ea"/>
              <a:cs typeface="Times New Roman" pitchFamily="18" charset="0"/>
            </a:rPr>
            <a:t>Percent deviation from steady stat</a:t>
          </a:r>
        </a:p>
        <a:p xmlns:a="http://schemas.openxmlformats.org/drawingml/2006/main">
          <a:endParaRPr lang="en-US" sz="600"/>
        </a:p>
      </cdr:txBody>
    </cdr:sp>
  </cdr:relSizeAnchor>
  <cdr:relSizeAnchor xmlns:cdr="http://schemas.openxmlformats.org/drawingml/2006/chartDrawing">
    <cdr:from>
      <cdr:x>0.03333</cdr:x>
      <cdr:y>0.03401</cdr:y>
    </cdr:from>
    <cdr:to>
      <cdr:x>0.98333</cdr:x>
      <cdr:y>0.18707</cdr:y>
    </cdr:to>
    <cdr:sp macro="" textlink="">
      <cdr:nvSpPr>
        <cdr:cNvPr id="4" name="TextBox 3"/>
        <cdr:cNvSpPr txBox="1"/>
      </cdr:nvSpPr>
      <cdr:spPr>
        <a:xfrm xmlns:a="http://schemas.openxmlformats.org/drawingml/2006/main">
          <a:off x="152400" y="95249"/>
          <a:ext cx="4343399" cy="4286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en-US" sz="1100"/>
        </a:p>
      </cdr:txBody>
    </cdr:sp>
  </cdr:relSizeAnchor>
</c:userShapes>
</file>

<file path=word/drawings/drawing13.xml><?xml version="1.0" encoding="utf-8"?>
<c:userShapes xmlns:c="http://schemas.openxmlformats.org/drawingml/2006/chart">
  <cdr:relSizeAnchor xmlns:cdr="http://schemas.openxmlformats.org/drawingml/2006/chartDrawing">
    <cdr:from>
      <cdr:x>1.82269E-7</cdr:x>
      <cdr:y>4.34169E-7</cdr:y>
    </cdr:from>
    <cdr:to>
      <cdr:x>0.06728</cdr:x>
      <cdr:y>0.85724</cdr:y>
    </cdr:to>
    <cdr:sp macro="" textlink="">
      <cdr:nvSpPr>
        <cdr:cNvPr id="3" name="Rectangle 2"/>
        <cdr:cNvSpPr/>
      </cdr:nvSpPr>
      <cdr:spPr>
        <a:xfrm xmlns:a="http://schemas.openxmlformats.org/drawingml/2006/main">
          <a:off x="1" y="1"/>
          <a:ext cx="369138" cy="1974440"/>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vert="vert270"/>
        <a:lstStyle xmlns:a="http://schemas.openxmlformats.org/drawingml/2006/main"/>
        <a:p xmlns:a="http://schemas.openxmlformats.org/drawingml/2006/main">
          <a:pPr algn="ctr"/>
          <a:r>
            <a:rPr lang="en-US" sz="1000" b="0">
              <a:solidFill>
                <a:schemeClr val="dk1"/>
              </a:solidFill>
              <a:latin typeface="Times New Roman" pitchFamily="18" charset="0"/>
              <a:ea typeface="+mn-ea"/>
              <a:cs typeface="Times New Roman" pitchFamily="18" charset="0"/>
            </a:rPr>
            <a:t>deviation</a:t>
          </a:r>
          <a:r>
            <a:rPr lang="en-US" sz="1000" b="0" baseline="0">
              <a:solidFill>
                <a:schemeClr val="dk1"/>
              </a:solidFill>
              <a:latin typeface="Times New Roman" pitchFamily="18" charset="0"/>
              <a:ea typeface="+mn-ea"/>
              <a:cs typeface="Times New Roman" pitchFamily="18" charset="0"/>
            </a:rPr>
            <a:t> from hp trend  (%)</a:t>
          </a:r>
          <a:endParaRPr lang="en-US" sz="1000" b="0">
            <a:solidFill>
              <a:schemeClr val="dk1"/>
            </a:solidFill>
            <a:latin typeface="Times New Roman" pitchFamily="18" charset="0"/>
            <a:ea typeface="+mn-ea"/>
            <a:cs typeface="Times New Roman" pitchFamily="18"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cdr:x>
      <cdr:y>0</cdr:y>
    </cdr:from>
    <cdr:to>
      <cdr:x>0.06046</cdr:x>
      <cdr:y>0.80641</cdr:y>
    </cdr:to>
    <cdr:sp macro="" textlink="">
      <cdr:nvSpPr>
        <cdr:cNvPr id="3" name="Rectangle 2"/>
        <cdr:cNvSpPr/>
      </cdr:nvSpPr>
      <cdr:spPr>
        <a:xfrm xmlns:a="http://schemas.openxmlformats.org/drawingml/2006/main">
          <a:off x="0" y="0"/>
          <a:ext cx="271816" cy="1682151"/>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vert="vert270"/>
        <a:lstStyle xmlns:a="http://schemas.openxmlformats.org/drawingml/2006/main"/>
        <a:p xmlns:a="http://schemas.openxmlformats.org/drawingml/2006/main">
          <a:pPr algn="ctr"/>
          <a:r>
            <a:rPr lang="en-US" sz="1000" b="0">
              <a:solidFill>
                <a:schemeClr val="dk1"/>
              </a:solidFill>
              <a:latin typeface="Times New Roman" pitchFamily="18" charset="0"/>
              <a:ea typeface="+mn-ea"/>
              <a:cs typeface="Times New Roman" pitchFamily="18" charset="0"/>
            </a:rPr>
            <a:t>deviation</a:t>
          </a:r>
          <a:r>
            <a:rPr lang="en-US" sz="1000" b="0" baseline="0">
              <a:solidFill>
                <a:schemeClr val="dk1"/>
              </a:solidFill>
              <a:latin typeface="Times New Roman" pitchFamily="18" charset="0"/>
              <a:ea typeface="+mn-ea"/>
              <a:cs typeface="Times New Roman" pitchFamily="18" charset="0"/>
            </a:rPr>
            <a:t> from hp trend  (%)</a:t>
          </a:r>
          <a:endParaRPr lang="en-US" sz="1000" b="0">
            <a:solidFill>
              <a:schemeClr val="dk1"/>
            </a:solidFill>
            <a:latin typeface="Times New Roman" pitchFamily="18" charset="0"/>
            <a:ea typeface="+mn-ea"/>
            <a:cs typeface="Times New Roman" pitchFamily="18"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0.02074</cdr:x>
      <cdr:y>0</cdr:y>
    </cdr:from>
    <cdr:to>
      <cdr:x>0.08</cdr:x>
      <cdr:y>0.76684</cdr:y>
    </cdr:to>
    <cdr:sp macro="" textlink="">
      <cdr:nvSpPr>
        <cdr:cNvPr id="3" name="Rectangle 2"/>
        <cdr:cNvSpPr/>
      </cdr:nvSpPr>
      <cdr:spPr>
        <a:xfrm xmlns:a="http://schemas.openxmlformats.org/drawingml/2006/main">
          <a:off x="93836" y="0"/>
          <a:ext cx="268114" cy="1599609"/>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vert="vert270"/>
        <a:lstStyle xmlns:a="http://schemas.openxmlformats.org/drawingml/2006/main"/>
        <a:p xmlns:a="http://schemas.openxmlformats.org/drawingml/2006/main">
          <a:pPr algn="ctr"/>
          <a:r>
            <a:rPr lang="en-US" sz="1000" b="0">
              <a:solidFill>
                <a:schemeClr val="dk1"/>
              </a:solidFill>
              <a:latin typeface="Times New Roman" pitchFamily="18" charset="0"/>
              <a:ea typeface="+mn-ea"/>
              <a:cs typeface="Times New Roman" pitchFamily="18" charset="0"/>
            </a:rPr>
            <a:t>deviation</a:t>
          </a:r>
          <a:r>
            <a:rPr lang="en-US" sz="1000" b="0" baseline="0">
              <a:solidFill>
                <a:schemeClr val="dk1"/>
              </a:solidFill>
              <a:latin typeface="Times New Roman" pitchFamily="18" charset="0"/>
              <a:ea typeface="+mn-ea"/>
              <a:cs typeface="Times New Roman" pitchFamily="18" charset="0"/>
            </a:rPr>
            <a:t> from hp trend  (%)</a:t>
          </a:r>
          <a:endParaRPr lang="en-US" sz="1000" b="0">
            <a:solidFill>
              <a:schemeClr val="dk1"/>
            </a:solidFill>
            <a:latin typeface="Times New Roman" pitchFamily="18" charset="0"/>
            <a:ea typeface="+mn-ea"/>
            <a:cs typeface="Times New Roman" pitchFamily="18" charset="0"/>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0.85935</cdr:y>
    </cdr:from>
    <cdr:to>
      <cdr:x>0.99974</cdr:x>
      <cdr:y>1</cdr:y>
    </cdr:to>
    <cdr:sp macro="" textlink="">
      <cdr:nvSpPr>
        <cdr:cNvPr id="2" name="Rectangle 1"/>
        <cdr:cNvSpPr/>
      </cdr:nvSpPr>
      <cdr:spPr>
        <a:xfrm xmlns:a="http://schemas.openxmlformats.org/drawingml/2006/main">
          <a:off x="0" y="3115329"/>
          <a:ext cx="4857750" cy="50988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l">
            <a:spcAft>
              <a:spcPts val="600"/>
            </a:spcAft>
          </a:pPr>
          <a:endParaRPr lang="en-US" sz="1000" b="1" i="0">
            <a:latin typeface="Times New Roman" pitchFamily="18" charset="0"/>
            <a:cs typeface="Times New Roman" pitchFamily="18" charset="0"/>
          </a:endParaRPr>
        </a:p>
      </cdr:txBody>
    </cdr:sp>
  </cdr:relSizeAnchor>
  <cdr:relSizeAnchor xmlns:cdr="http://schemas.openxmlformats.org/drawingml/2006/chartDrawing">
    <cdr:from>
      <cdr:x>2.0591E-7</cdr:x>
      <cdr:y>0.02627</cdr:y>
    </cdr:from>
    <cdr:to>
      <cdr:x>0.06714</cdr:x>
      <cdr:y>0.87363</cdr:y>
    </cdr:to>
    <cdr:sp macro="" textlink="">
      <cdr:nvSpPr>
        <cdr:cNvPr id="3" name="TextBox 2"/>
        <cdr:cNvSpPr txBox="1"/>
      </cdr:nvSpPr>
      <cdr:spPr>
        <a:xfrm xmlns:a="http://schemas.openxmlformats.org/drawingml/2006/main">
          <a:off x="1" y="76418"/>
          <a:ext cx="326063" cy="2464901"/>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Times New Roman" pitchFamily="18" charset="0"/>
              <a:cs typeface="Times New Roman" pitchFamily="18" charset="0"/>
            </a:rPr>
            <a:t>Percent deviation from steady state</a:t>
          </a:r>
        </a:p>
      </cdr:txBody>
    </cdr:sp>
  </cdr:relSizeAnchor>
  <cdr:relSizeAnchor xmlns:cdr="http://schemas.openxmlformats.org/drawingml/2006/chartDrawing">
    <cdr:from>
      <cdr:x>0</cdr:x>
      <cdr:y>0.92665</cdr:y>
    </cdr:from>
    <cdr:to>
      <cdr:x>1</cdr:x>
      <cdr:y>0.99869</cdr:y>
    </cdr:to>
    <cdr:sp macro="" textlink="">
      <cdr:nvSpPr>
        <cdr:cNvPr id="4" name="TextBox 3"/>
        <cdr:cNvSpPr txBox="1"/>
      </cdr:nvSpPr>
      <cdr:spPr>
        <a:xfrm xmlns:a="http://schemas.openxmlformats.org/drawingml/2006/main">
          <a:off x="0" y="2695575"/>
          <a:ext cx="4857749"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b="0">
              <a:latin typeface="Times New Roman" pitchFamily="18" charset="0"/>
              <a:cs typeface="Times New Roman" pitchFamily="18" charset="0"/>
            </a:rPr>
            <a:t>Quarters after the shock</a:t>
          </a:r>
        </a:p>
      </cdr:txBody>
    </cdr:sp>
  </cdr:relSizeAnchor>
</c:userShapes>
</file>

<file path=word/drawings/drawing17.xml><?xml version="1.0" encoding="utf-8"?>
<c:userShapes xmlns:c="http://schemas.openxmlformats.org/drawingml/2006/chart">
  <cdr:relSizeAnchor xmlns:cdr="http://schemas.openxmlformats.org/drawingml/2006/chartDrawing">
    <cdr:from>
      <cdr:x>0</cdr:x>
      <cdr:y>0.91399</cdr:y>
    </cdr:from>
    <cdr:to>
      <cdr:x>1</cdr:x>
      <cdr:y>1</cdr:y>
    </cdr:to>
    <cdr:sp macro="" textlink="">
      <cdr:nvSpPr>
        <cdr:cNvPr id="2" name="Rectangle 1"/>
        <cdr:cNvSpPr/>
      </cdr:nvSpPr>
      <cdr:spPr>
        <a:xfrm xmlns:a="http://schemas.openxmlformats.org/drawingml/2006/main">
          <a:off x="0" y="3157869"/>
          <a:ext cx="4996815" cy="29716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l">
            <a:spcAft>
              <a:spcPts val="600"/>
            </a:spcAft>
          </a:pPr>
          <a:endParaRPr lang="en-US" sz="1000" b="1">
            <a:latin typeface="Times New Roman" pitchFamily="18" charset="0"/>
            <a:cs typeface="Times New Roman" pitchFamily="18" charset="0"/>
          </a:endParaRPr>
        </a:p>
      </cdr:txBody>
    </cdr:sp>
  </cdr:relSizeAnchor>
  <cdr:relSizeAnchor xmlns:cdr="http://schemas.openxmlformats.org/drawingml/2006/chartDrawing">
    <cdr:from>
      <cdr:x>1.99975E-7</cdr:x>
      <cdr:y>0.01529</cdr:y>
    </cdr:from>
    <cdr:to>
      <cdr:x>0.05462</cdr:x>
      <cdr:y>0.85439</cdr:y>
    </cdr:to>
    <cdr:sp macro="" textlink="">
      <cdr:nvSpPr>
        <cdr:cNvPr id="3" name="TextBox 2"/>
        <cdr:cNvSpPr txBox="1"/>
      </cdr:nvSpPr>
      <cdr:spPr>
        <a:xfrm xmlns:a="http://schemas.openxmlformats.org/drawingml/2006/main">
          <a:off x="1" y="49517"/>
          <a:ext cx="273131" cy="2717434"/>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Times New Roman" pitchFamily="18" charset="0"/>
              <a:ea typeface="Tahoma" pitchFamily="34" charset="0"/>
              <a:cs typeface="Times New Roman" pitchFamily="18" charset="0"/>
            </a:rPr>
            <a:t>Percent deviation from </a:t>
          </a:r>
          <a:r>
            <a:rPr lang="en-US" sz="1000" b="0">
              <a:latin typeface="Times New Roman" pitchFamily="18" charset="0"/>
              <a:cs typeface="Times New Roman" pitchFamily="18" charset="0"/>
            </a:rPr>
            <a:t>steady </a:t>
          </a:r>
          <a:r>
            <a:rPr lang="en-US" sz="1000" b="0">
              <a:latin typeface="Book Antiqua" pitchFamily="18" charset="0"/>
            </a:rPr>
            <a:t>state</a:t>
          </a:r>
        </a:p>
      </cdr:txBody>
    </cdr:sp>
  </cdr:relSizeAnchor>
  <cdr:relSizeAnchor xmlns:cdr="http://schemas.openxmlformats.org/drawingml/2006/chartDrawing">
    <cdr:from>
      <cdr:x>0</cdr:x>
      <cdr:y>0.90789</cdr:y>
    </cdr:from>
    <cdr:to>
      <cdr:x>0.99314</cdr:x>
      <cdr:y>1</cdr:y>
    </cdr:to>
    <cdr:sp macro="" textlink="">
      <cdr:nvSpPr>
        <cdr:cNvPr id="4" name="TextBox 3"/>
        <cdr:cNvSpPr txBox="1"/>
      </cdr:nvSpPr>
      <cdr:spPr>
        <a:xfrm xmlns:a="http://schemas.openxmlformats.org/drawingml/2006/main">
          <a:off x="0" y="2628900"/>
          <a:ext cx="4881184"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b="0">
              <a:latin typeface="Times New Roman" pitchFamily="18" charset="0"/>
              <a:cs typeface="Times New Roman" pitchFamily="18" charset="0"/>
            </a:rPr>
            <a:t>Quarters after the shock</a:t>
          </a:r>
        </a:p>
      </cdr:txBody>
    </cdr:sp>
  </cdr:relSizeAnchor>
</c:userShapes>
</file>

<file path=word/drawings/drawing18.xml><?xml version="1.0" encoding="utf-8"?>
<c:userShapes xmlns:c="http://schemas.openxmlformats.org/drawingml/2006/chart">
  <cdr:relSizeAnchor xmlns:cdr="http://schemas.openxmlformats.org/drawingml/2006/chartDrawing">
    <cdr:from>
      <cdr:x>4.08509E-7</cdr:x>
      <cdr:y>0.025</cdr:y>
    </cdr:from>
    <cdr:to>
      <cdr:x>0.06809</cdr:x>
      <cdr:y>0.81813</cdr:y>
    </cdr:to>
    <cdr:sp macro="" textlink="">
      <cdr:nvSpPr>
        <cdr:cNvPr id="3" name="TextBox 2"/>
        <cdr:cNvSpPr txBox="1"/>
      </cdr:nvSpPr>
      <cdr:spPr>
        <a:xfrm xmlns:a="http://schemas.openxmlformats.org/drawingml/2006/main">
          <a:off x="2" y="76201"/>
          <a:ext cx="333374" cy="2417460"/>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Times New Roman" pitchFamily="18" charset="0"/>
              <a:cs typeface="Times New Roman" pitchFamily="18" charset="0"/>
            </a:rPr>
            <a:t>Percent deviation from steady state</a:t>
          </a:r>
        </a:p>
      </cdr:txBody>
    </cdr:sp>
  </cdr:relSizeAnchor>
  <cdr:relSizeAnchor xmlns:cdr="http://schemas.openxmlformats.org/drawingml/2006/chartDrawing">
    <cdr:from>
      <cdr:x>0</cdr:x>
      <cdr:y>0.8959</cdr:y>
    </cdr:from>
    <cdr:to>
      <cdr:x>1</cdr:x>
      <cdr:y>1</cdr:y>
    </cdr:to>
    <cdr:sp macro="" textlink="">
      <cdr:nvSpPr>
        <cdr:cNvPr id="4" name="TextBox 3"/>
        <cdr:cNvSpPr txBox="1"/>
      </cdr:nvSpPr>
      <cdr:spPr>
        <a:xfrm xmlns:a="http://schemas.openxmlformats.org/drawingml/2006/main">
          <a:off x="0" y="3000375"/>
          <a:ext cx="5295900" cy="3486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b="0">
              <a:latin typeface="Times New Roman" pitchFamily="18" charset="0"/>
              <a:cs typeface="Times New Roman" pitchFamily="18" charset="0"/>
            </a:rPr>
            <a:t>Quarters after the shock</a:t>
          </a:r>
        </a:p>
      </cdr:txBody>
    </cdr:sp>
  </cdr:relSizeAnchor>
</c:userShapes>
</file>

<file path=word/drawings/drawing19.xml><?xml version="1.0" encoding="utf-8"?>
<c:userShapes xmlns:c="http://schemas.openxmlformats.org/drawingml/2006/chart">
  <cdr:relSizeAnchor xmlns:cdr="http://schemas.openxmlformats.org/drawingml/2006/chartDrawing">
    <cdr:from>
      <cdr:x>0.02307</cdr:x>
      <cdr:y>3.26046E-7</cdr:y>
    </cdr:from>
    <cdr:to>
      <cdr:x>0.12047</cdr:x>
      <cdr:y>0.88199</cdr:y>
    </cdr:to>
    <cdr:sp macro="" textlink="">
      <cdr:nvSpPr>
        <cdr:cNvPr id="3" name="TextBox 2"/>
        <cdr:cNvSpPr txBox="1"/>
      </cdr:nvSpPr>
      <cdr:spPr>
        <a:xfrm xmlns:a="http://schemas.openxmlformats.org/drawingml/2006/main">
          <a:off x="122829" y="1"/>
          <a:ext cx="518615" cy="2705099"/>
        </a:xfrm>
        <a:prstGeom xmlns:a="http://schemas.openxmlformats.org/drawingml/2006/main" prst="rect">
          <a:avLst/>
        </a:prstGeom>
      </cdr:spPr>
      <cdr:txBody>
        <a:bodyPr xmlns:a="http://schemas.openxmlformats.org/drawingml/2006/main" vertOverflow="clip" vert="vert270" wrap="square" rtlCol="0" anchor="ctr"/>
        <a:lstStyle xmlns:a="http://schemas.openxmlformats.org/drawingml/2006/main"/>
        <a:p xmlns:a="http://schemas.openxmlformats.org/drawingml/2006/main">
          <a:pPr algn="ctr"/>
          <a:r>
            <a:rPr lang="en-US" sz="1000" b="0">
              <a:latin typeface="Times New Roman" pitchFamily="18" charset="0"/>
              <a:cs typeface="Times New Roman" pitchFamily="18" charset="0"/>
            </a:rPr>
            <a:t>Percent deviation from steady state</a:t>
          </a:r>
        </a:p>
      </cdr:txBody>
    </cdr:sp>
  </cdr:relSizeAnchor>
  <cdr:relSizeAnchor xmlns:cdr="http://schemas.openxmlformats.org/drawingml/2006/chartDrawing">
    <cdr:from>
      <cdr:x>0</cdr:x>
      <cdr:y>0.9215</cdr:y>
    </cdr:from>
    <cdr:to>
      <cdr:x>1</cdr:x>
      <cdr:y>1</cdr:y>
    </cdr:to>
    <cdr:sp macro="" textlink="">
      <cdr:nvSpPr>
        <cdr:cNvPr id="4" name="TextBox 3"/>
        <cdr:cNvSpPr txBox="1"/>
      </cdr:nvSpPr>
      <cdr:spPr>
        <a:xfrm xmlns:a="http://schemas.openxmlformats.org/drawingml/2006/main">
          <a:off x="0" y="3086100"/>
          <a:ext cx="5741035" cy="26289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b="0">
              <a:latin typeface="Times New Roman" pitchFamily="18" charset="0"/>
              <a:cs typeface="Times New Roman" pitchFamily="18" charset="0"/>
            </a:rPr>
            <a:t>Quarters after the shock</a:t>
          </a:r>
        </a:p>
      </cdr:txBody>
    </cdr:sp>
  </cdr:relSizeAnchor>
</c:userShapes>
</file>

<file path=word/drawings/drawing20.xml><?xml version="1.0" encoding="utf-8"?>
<c:userShapes xmlns:c="http://schemas.openxmlformats.org/drawingml/2006/chart">
  <cdr:relSizeAnchor xmlns:cdr="http://schemas.openxmlformats.org/drawingml/2006/chartDrawing">
    <cdr:from>
      <cdr:x>0.0229</cdr:x>
      <cdr:y>0.79717</cdr:y>
    </cdr:from>
    <cdr:to>
      <cdr:x>0.98732</cdr:x>
      <cdr:y>0.92268</cdr:y>
    </cdr:to>
    <cdr:sp macro="" textlink="">
      <cdr:nvSpPr>
        <cdr:cNvPr id="2" name="Text Box 1"/>
        <cdr:cNvSpPr txBox="1"/>
      </cdr:nvSpPr>
      <cdr:spPr>
        <a:xfrm xmlns:a="http://schemas.openxmlformats.org/drawingml/2006/main">
          <a:off x="119036" y="2971424"/>
          <a:ext cx="5012522" cy="467812"/>
        </a:xfrm>
        <a:prstGeom xmlns:a="http://schemas.openxmlformats.org/drawingml/2006/main" prst="rect">
          <a:avLst/>
        </a:prstGeom>
      </cdr:spPr>
    </cdr:sp>
  </cdr:relSizeAnchor>
  <cdr:relSizeAnchor xmlns:cdr="http://schemas.openxmlformats.org/drawingml/2006/chartDrawing">
    <cdr:from>
      <cdr:x>0.01576</cdr:x>
      <cdr:y>0.91902</cdr:y>
    </cdr:from>
    <cdr:to>
      <cdr:x>0.99388</cdr:x>
      <cdr:y>1</cdr:y>
    </cdr:to>
    <cdr:sp macro="" textlink="">
      <cdr:nvSpPr>
        <cdr:cNvPr id="4" name="Text Box 3"/>
        <cdr:cNvSpPr txBox="1"/>
      </cdr:nvSpPr>
      <cdr:spPr>
        <a:xfrm xmlns:a="http://schemas.openxmlformats.org/drawingml/2006/main">
          <a:off x="76138" y="2990849"/>
          <a:ext cx="4725376" cy="2635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a:latin typeface="Times New Roman" pitchFamily="18" charset="0"/>
              <a:cs typeface="Times New Roman" pitchFamily="18" charset="0"/>
            </a:rPr>
            <a:t>Quarters After a</a:t>
          </a:r>
          <a:r>
            <a:rPr lang="en-US" sz="1000" baseline="0">
              <a:latin typeface="Times New Roman" pitchFamily="18" charset="0"/>
              <a:cs typeface="Times New Roman" pitchFamily="18" charset="0"/>
            </a:rPr>
            <a:t> technology shock</a:t>
          </a:r>
          <a:endParaRPr lang="en-US" sz="1000">
            <a:latin typeface="Times New Roman" pitchFamily="18" charset="0"/>
            <a:cs typeface="Times New Roman" pitchFamily="18" charset="0"/>
          </a:endParaRPr>
        </a:p>
      </cdr:txBody>
    </cdr:sp>
  </cdr:relSizeAnchor>
  <cdr:relSizeAnchor xmlns:cdr="http://schemas.openxmlformats.org/drawingml/2006/chartDrawing">
    <cdr:from>
      <cdr:x>0.0105</cdr:x>
      <cdr:y>0.0238</cdr:y>
    </cdr:from>
    <cdr:to>
      <cdr:x>0.10503</cdr:x>
      <cdr:y>0.79529</cdr:y>
    </cdr:to>
    <cdr:sp macro="" textlink="">
      <cdr:nvSpPr>
        <cdr:cNvPr id="5" name="Text Box 4"/>
        <cdr:cNvSpPr txBox="1"/>
      </cdr:nvSpPr>
      <cdr:spPr>
        <a:xfrm xmlns:a="http://schemas.openxmlformats.org/drawingml/2006/main">
          <a:off x="50743" y="74535"/>
          <a:ext cx="456683" cy="2416181"/>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Percent deviation from steady state</a:t>
          </a:r>
        </a:p>
      </cdr:txBody>
    </cdr:sp>
  </cdr:relSizeAnchor>
  <cdr:relSizeAnchor xmlns:cdr="http://schemas.openxmlformats.org/drawingml/2006/chartDrawing">
    <cdr:from>
      <cdr:x>0.02187</cdr:x>
      <cdr:y>0.87142</cdr:y>
    </cdr:from>
    <cdr:to>
      <cdr:x>1</cdr:x>
      <cdr:y>0.95563</cdr:y>
    </cdr:to>
    <cdr:sp macro="" textlink="">
      <cdr:nvSpPr>
        <cdr:cNvPr id="6" name="Text Box 1"/>
        <cdr:cNvSpPr txBox="1"/>
      </cdr:nvSpPr>
      <cdr:spPr>
        <a:xfrm xmlns:a="http://schemas.openxmlformats.org/drawingml/2006/main">
          <a:off x="113684" y="3248168"/>
          <a:ext cx="5083791" cy="313898"/>
        </a:xfrm>
        <a:prstGeom xmlns:a="http://schemas.openxmlformats.org/drawingml/2006/main" prst="rect">
          <a:avLst/>
        </a:prstGeom>
      </cdr:spPr>
    </cdr:sp>
  </cdr:relSizeAnchor>
</c:userShapes>
</file>

<file path=word/drawings/drawing21.xml><?xml version="1.0" encoding="utf-8"?>
<c:userShapes xmlns:c="http://schemas.openxmlformats.org/drawingml/2006/chart">
  <cdr:relSizeAnchor xmlns:cdr="http://schemas.openxmlformats.org/drawingml/2006/chartDrawing">
    <cdr:from>
      <cdr:x>0</cdr:x>
      <cdr:y>0.93127</cdr:y>
    </cdr:from>
    <cdr:to>
      <cdr:x>1</cdr:x>
      <cdr:y>1</cdr:y>
    </cdr:to>
    <cdr:sp macro="" textlink="">
      <cdr:nvSpPr>
        <cdr:cNvPr id="3" name="Text Box 2"/>
        <cdr:cNvSpPr txBox="1"/>
      </cdr:nvSpPr>
      <cdr:spPr>
        <a:xfrm xmlns:a="http://schemas.openxmlformats.org/drawingml/2006/main">
          <a:off x="0" y="2581275"/>
          <a:ext cx="4876800" cy="1904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a:latin typeface="Times New Roman" pitchFamily="18" charset="0"/>
              <a:cs typeface="Times New Roman" pitchFamily="18" charset="0"/>
            </a:rPr>
            <a:t>Quarters after a</a:t>
          </a:r>
          <a:r>
            <a:rPr lang="en-US" sz="1000" baseline="0">
              <a:latin typeface="Times New Roman" pitchFamily="18" charset="0"/>
              <a:cs typeface="Times New Roman" pitchFamily="18" charset="0"/>
            </a:rPr>
            <a:t> technology shock</a:t>
          </a:r>
          <a:endParaRPr lang="en-US" sz="1000">
            <a:latin typeface="Times New Roman" pitchFamily="18" charset="0"/>
            <a:cs typeface="Times New Roman" pitchFamily="18" charset="0"/>
          </a:endParaRPr>
        </a:p>
        <a:p xmlns:a="http://schemas.openxmlformats.org/drawingml/2006/main">
          <a:endParaRPr lang="en-US" sz="1100"/>
        </a:p>
      </cdr:txBody>
    </cdr:sp>
  </cdr:relSizeAnchor>
  <cdr:relSizeAnchor xmlns:cdr="http://schemas.openxmlformats.org/drawingml/2006/chartDrawing">
    <cdr:from>
      <cdr:x>0</cdr:x>
      <cdr:y>0.01207</cdr:y>
    </cdr:from>
    <cdr:to>
      <cdr:x>0.09525</cdr:x>
      <cdr:y>0.84559</cdr:y>
    </cdr:to>
    <cdr:sp macro="" textlink="">
      <cdr:nvSpPr>
        <cdr:cNvPr id="4" name="Text Box 3"/>
        <cdr:cNvSpPr txBox="1"/>
      </cdr:nvSpPr>
      <cdr:spPr>
        <a:xfrm xmlns:a="http://schemas.openxmlformats.org/drawingml/2006/main">
          <a:off x="0" y="34090"/>
          <a:ext cx="464024" cy="2354267"/>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Percent deviation from steady state</a:t>
          </a:r>
        </a:p>
        <a:p xmlns:a="http://schemas.openxmlformats.org/drawingml/2006/main">
          <a:endParaRPr lang="en-US" sz="1100" b="0"/>
        </a:p>
      </cdr:txBody>
    </cdr:sp>
  </cdr:relSizeAnchor>
</c:userShapes>
</file>

<file path=word/drawings/drawing22.xml><?xml version="1.0" encoding="utf-8"?>
<c:userShapes xmlns:c="http://schemas.openxmlformats.org/drawingml/2006/chart">
  <cdr:relSizeAnchor xmlns:cdr="http://schemas.openxmlformats.org/drawingml/2006/chartDrawing">
    <cdr:from>
      <cdr:x>2.09387E-7</cdr:x>
      <cdr:y>3.11411E-7</cdr:y>
    </cdr:from>
    <cdr:to>
      <cdr:x>0.08775</cdr:x>
      <cdr:y>0.7979</cdr:y>
    </cdr:to>
    <cdr:sp macro="" textlink="">
      <cdr:nvSpPr>
        <cdr:cNvPr id="2" name="Text Box 1"/>
        <cdr:cNvSpPr txBox="1"/>
      </cdr:nvSpPr>
      <cdr:spPr>
        <a:xfrm xmlns:a="http://schemas.openxmlformats.org/drawingml/2006/main">
          <a:off x="1" y="1"/>
          <a:ext cx="419100" cy="2562224"/>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Percent deviation from steady state</a:t>
          </a:r>
        </a:p>
        <a:p xmlns:a="http://schemas.openxmlformats.org/drawingml/2006/main">
          <a:endParaRPr lang="en-US" sz="1100" b="0"/>
        </a:p>
      </cdr:txBody>
    </cdr:sp>
  </cdr:relSizeAnchor>
  <cdr:relSizeAnchor xmlns:cdr="http://schemas.openxmlformats.org/drawingml/2006/chartDrawing">
    <cdr:from>
      <cdr:x>0</cdr:x>
      <cdr:y>0.91304</cdr:y>
    </cdr:from>
    <cdr:to>
      <cdr:x>0.9992</cdr:x>
      <cdr:y>1</cdr:y>
    </cdr:to>
    <cdr:sp macro="" textlink="">
      <cdr:nvSpPr>
        <cdr:cNvPr id="3" name="Text Box 2"/>
        <cdr:cNvSpPr txBox="1"/>
      </cdr:nvSpPr>
      <cdr:spPr>
        <a:xfrm xmlns:a="http://schemas.openxmlformats.org/drawingml/2006/main">
          <a:off x="0" y="2800350"/>
          <a:ext cx="4768207"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a:latin typeface="Times New Roman" pitchFamily="18" charset="0"/>
              <a:cs typeface="Times New Roman" pitchFamily="18" charset="0"/>
            </a:rPr>
            <a:t>Quarters after a</a:t>
          </a:r>
          <a:r>
            <a:rPr lang="en-US" sz="1000" baseline="0">
              <a:latin typeface="Times New Roman" pitchFamily="18" charset="0"/>
              <a:cs typeface="Times New Roman" pitchFamily="18" charset="0"/>
            </a:rPr>
            <a:t> technology shock</a:t>
          </a:r>
          <a:endParaRPr lang="en-US" sz="1000">
            <a:latin typeface="Times New Roman" pitchFamily="18" charset="0"/>
            <a:cs typeface="Times New Roman" pitchFamily="18" charset="0"/>
          </a:endParaRPr>
        </a:p>
        <a:p xmlns:a="http://schemas.openxmlformats.org/drawingml/2006/main">
          <a:endParaRPr lang="en-US" sz="1100"/>
        </a:p>
      </cdr:txBody>
    </cdr:sp>
  </cdr:relSizeAnchor>
</c:userShapes>
</file>

<file path=word/drawings/drawing23.xml><?xml version="1.0" encoding="utf-8"?>
<c:userShapes xmlns:c="http://schemas.openxmlformats.org/drawingml/2006/chart">
  <cdr:relSizeAnchor xmlns:cdr="http://schemas.openxmlformats.org/drawingml/2006/chartDrawing">
    <cdr:from>
      <cdr:x>0.03083</cdr:x>
      <cdr:y>0.03483</cdr:y>
    </cdr:from>
    <cdr:to>
      <cdr:x>0.11753</cdr:x>
      <cdr:y>0.84577</cdr:y>
    </cdr:to>
    <cdr:sp macro="" textlink="">
      <cdr:nvSpPr>
        <cdr:cNvPr id="3" name="Text Box 2"/>
        <cdr:cNvSpPr txBox="1"/>
      </cdr:nvSpPr>
      <cdr:spPr>
        <a:xfrm xmlns:a="http://schemas.openxmlformats.org/drawingml/2006/main">
          <a:off x="152400" y="133350"/>
          <a:ext cx="428625" cy="3105150"/>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Percent deviation from steady state</a:t>
          </a:r>
        </a:p>
        <a:p xmlns:a="http://schemas.openxmlformats.org/drawingml/2006/main">
          <a:endParaRPr lang="en-US" sz="1100" b="0"/>
        </a:p>
      </cdr:txBody>
    </cdr:sp>
  </cdr:relSizeAnchor>
  <cdr:relSizeAnchor xmlns:cdr="http://schemas.openxmlformats.org/drawingml/2006/chartDrawing">
    <cdr:from>
      <cdr:x>0.00771</cdr:x>
      <cdr:y>0.87227</cdr:y>
    </cdr:from>
    <cdr:to>
      <cdr:x>1</cdr:x>
      <cdr:y>1</cdr:y>
    </cdr:to>
    <cdr:sp macro="" textlink="">
      <cdr:nvSpPr>
        <cdr:cNvPr id="5" name="Text Box 4"/>
        <cdr:cNvSpPr txBox="1"/>
      </cdr:nvSpPr>
      <cdr:spPr>
        <a:xfrm xmlns:a="http://schemas.openxmlformats.org/drawingml/2006/main">
          <a:off x="38100" y="2667000"/>
          <a:ext cx="4905375" cy="3905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a:latin typeface="Times New Roman" pitchFamily="18" charset="0"/>
              <a:cs typeface="Times New Roman" pitchFamily="18" charset="0"/>
            </a:rPr>
            <a:t>Quarters after a</a:t>
          </a:r>
          <a:r>
            <a:rPr lang="en-US" sz="1000" baseline="0">
              <a:latin typeface="Times New Roman" pitchFamily="18" charset="0"/>
              <a:cs typeface="Times New Roman" pitchFamily="18" charset="0"/>
            </a:rPr>
            <a:t> technology shock</a:t>
          </a:r>
          <a:endParaRPr lang="en-US" sz="1000">
            <a:latin typeface="Times New Roman" pitchFamily="18" charset="0"/>
            <a:cs typeface="Times New Roman" pitchFamily="18" charset="0"/>
          </a:endParaRPr>
        </a:p>
        <a:p xmlns:a="http://schemas.openxmlformats.org/drawingml/2006/main">
          <a:endParaRPr lang="en-US" sz="1100"/>
        </a:p>
      </cdr:txBody>
    </cdr:sp>
  </cdr:relSizeAnchor>
</c:userShapes>
</file>

<file path=word/drawings/drawing24.xml><?xml version="1.0" encoding="utf-8"?>
<c:userShapes xmlns:c="http://schemas.openxmlformats.org/drawingml/2006/chart">
  <cdr:relSizeAnchor xmlns:cdr="http://schemas.openxmlformats.org/drawingml/2006/chartDrawing">
    <cdr:from>
      <cdr:x>0.01559</cdr:x>
      <cdr:y>0.00315</cdr:y>
    </cdr:from>
    <cdr:to>
      <cdr:x>0.1069</cdr:x>
      <cdr:y>0.77287</cdr:y>
    </cdr:to>
    <cdr:sp macro="" textlink="">
      <cdr:nvSpPr>
        <cdr:cNvPr id="2" name="Text Box 1"/>
        <cdr:cNvSpPr txBox="1"/>
      </cdr:nvSpPr>
      <cdr:spPr>
        <a:xfrm xmlns:a="http://schemas.openxmlformats.org/drawingml/2006/main">
          <a:off x="66674" y="9512"/>
          <a:ext cx="390508" cy="2324114"/>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Percent deviation from steady state</a:t>
          </a:r>
        </a:p>
        <a:p xmlns:a="http://schemas.openxmlformats.org/drawingml/2006/main">
          <a:endParaRPr lang="en-US" sz="1000" b="0"/>
        </a:p>
      </cdr:txBody>
    </cdr:sp>
  </cdr:relSizeAnchor>
  <cdr:relSizeAnchor xmlns:cdr="http://schemas.openxmlformats.org/drawingml/2006/chartDrawing">
    <cdr:from>
      <cdr:x>0</cdr:x>
      <cdr:y>0.8959</cdr:y>
    </cdr:from>
    <cdr:to>
      <cdr:x>1</cdr:x>
      <cdr:y>1</cdr:y>
    </cdr:to>
    <cdr:sp macro="" textlink="">
      <cdr:nvSpPr>
        <cdr:cNvPr id="3" name="Text Box 2"/>
        <cdr:cNvSpPr txBox="1"/>
      </cdr:nvSpPr>
      <cdr:spPr>
        <a:xfrm xmlns:a="http://schemas.openxmlformats.org/drawingml/2006/main">
          <a:off x="0" y="2705099"/>
          <a:ext cx="4276725" cy="3143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a:latin typeface="Times New Roman" pitchFamily="18" charset="0"/>
              <a:cs typeface="Times New Roman" pitchFamily="18" charset="0"/>
            </a:rPr>
            <a:t>Quarters after a</a:t>
          </a:r>
          <a:r>
            <a:rPr lang="en-US" sz="1000" baseline="0">
              <a:latin typeface="Times New Roman" pitchFamily="18" charset="0"/>
              <a:cs typeface="Times New Roman" pitchFamily="18" charset="0"/>
            </a:rPr>
            <a:t> technology shock</a:t>
          </a:r>
          <a:endParaRPr lang="en-US" sz="1000">
            <a:latin typeface="Times New Roman" pitchFamily="18" charset="0"/>
            <a:cs typeface="Times New Roman" pitchFamily="18" charset="0"/>
          </a:endParaRPr>
        </a:p>
        <a:p xmlns:a="http://schemas.openxmlformats.org/drawingml/2006/main">
          <a:endParaRPr lang="en-US" sz="1100"/>
        </a:p>
      </cdr:txBody>
    </cdr:sp>
  </cdr:relSizeAnchor>
</c:userShapes>
</file>

<file path=word/drawings/drawing25.xml><?xml version="1.0" encoding="utf-8"?>
<c:userShapes xmlns:c="http://schemas.openxmlformats.org/drawingml/2006/chart">
  <cdr:relSizeAnchor xmlns:cdr="http://schemas.openxmlformats.org/drawingml/2006/chartDrawing">
    <cdr:from>
      <cdr:x>0.01263</cdr:x>
      <cdr:y>0</cdr:y>
    </cdr:from>
    <cdr:to>
      <cdr:x>0.13684</cdr:x>
      <cdr:y>0.85522</cdr:y>
    </cdr:to>
    <cdr:sp macro="" textlink="">
      <cdr:nvSpPr>
        <cdr:cNvPr id="2" name="Text Box 1"/>
        <cdr:cNvSpPr txBox="1"/>
      </cdr:nvSpPr>
      <cdr:spPr>
        <a:xfrm xmlns:a="http://schemas.openxmlformats.org/drawingml/2006/main">
          <a:off x="57150" y="0"/>
          <a:ext cx="561975" cy="2419350"/>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Percent deviation from steady state</a:t>
          </a:r>
        </a:p>
        <a:p xmlns:a="http://schemas.openxmlformats.org/drawingml/2006/main">
          <a:endParaRPr lang="en-US" sz="1100" b="0"/>
        </a:p>
      </cdr:txBody>
    </cdr:sp>
  </cdr:relSizeAnchor>
  <cdr:relSizeAnchor xmlns:cdr="http://schemas.openxmlformats.org/drawingml/2006/chartDrawing">
    <cdr:from>
      <cdr:x>0</cdr:x>
      <cdr:y>0.89226</cdr:y>
    </cdr:from>
    <cdr:to>
      <cdr:x>1</cdr:x>
      <cdr:y>1</cdr:y>
    </cdr:to>
    <cdr:sp macro="" textlink="">
      <cdr:nvSpPr>
        <cdr:cNvPr id="3" name="Text Box 2"/>
        <cdr:cNvSpPr txBox="1"/>
      </cdr:nvSpPr>
      <cdr:spPr>
        <a:xfrm xmlns:a="http://schemas.openxmlformats.org/drawingml/2006/main">
          <a:off x="0" y="2524125"/>
          <a:ext cx="452437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a:latin typeface="Times New Roman" pitchFamily="18" charset="0"/>
              <a:cs typeface="Times New Roman" pitchFamily="18" charset="0"/>
            </a:rPr>
            <a:t>Quarters after a</a:t>
          </a:r>
          <a:r>
            <a:rPr lang="en-US" sz="1000" baseline="0">
              <a:latin typeface="Times New Roman" pitchFamily="18" charset="0"/>
              <a:cs typeface="Times New Roman" pitchFamily="18" charset="0"/>
            </a:rPr>
            <a:t> technology shock</a:t>
          </a:r>
          <a:endParaRPr lang="en-US" sz="1000">
            <a:latin typeface="Times New Roman" pitchFamily="18" charset="0"/>
            <a:cs typeface="Times New Roman" pitchFamily="18" charset="0"/>
          </a:endParaRPr>
        </a:p>
        <a:p xmlns:a="http://schemas.openxmlformats.org/drawingml/2006/main">
          <a:endParaRPr lang="en-US" sz="1100"/>
        </a:p>
      </cdr:txBody>
    </cdr:sp>
  </cdr:relSizeAnchor>
</c:userShapes>
</file>

<file path=word/drawings/drawing26.xml><?xml version="1.0" encoding="utf-8"?>
<c:userShapes xmlns:c="http://schemas.openxmlformats.org/drawingml/2006/chart">
  <cdr:relSizeAnchor xmlns:cdr="http://schemas.openxmlformats.org/drawingml/2006/chartDrawing">
    <cdr:from>
      <cdr:x>0.01906</cdr:x>
      <cdr:y>0.01667</cdr:y>
    </cdr:from>
    <cdr:to>
      <cdr:x>0.12391</cdr:x>
      <cdr:y>0.84</cdr:y>
    </cdr:to>
    <cdr:sp macro="" textlink="">
      <cdr:nvSpPr>
        <cdr:cNvPr id="2" name="Text Box 1"/>
        <cdr:cNvSpPr txBox="1"/>
      </cdr:nvSpPr>
      <cdr:spPr>
        <a:xfrm xmlns:a="http://schemas.openxmlformats.org/drawingml/2006/main">
          <a:off x="76200" y="47625"/>
          <a:ext cx="419100" cy="2352675"/>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b="0">
              <a:latin typeface="Times New Roman" pitchFamily="18" charset="0"/>
              <a:cs typeface="Times New Roman" pitchFamily="18" charset="0"/>
            </a:rPr>
            <a:t>Percent deviation from steady state</a:t>
          </a:r>
        </a:p>
        <a:p xmlns:a="http://schemas.openxmlformats.org/drawingml/2006/main">
          <a:endParaRPr lang="en-US" sz="1100" b="0"/>
        </a:p>
      </cdr:txBody>
    </cdr:sp>
  </cdr:relSizeAnchor>
  <cdr:relSizeAnchor xmlns:cdr="http://schemas.openxmlformats.org/drawingml/2006/chartDrawing">
    <cdr:from>
      <cdr:x>0</cdr:x>
      <cdr:y>0.90823</cdr:y>
    </cdr:from>
    <cdr:to>
      <cdr:x>1</cdr:x>
      <cdr:y>1</cdr:y>
    </cdr:to>
    <cdr:sp macro="" textlink="">
      <cdr:nvSpPr>
        <cdr:cNvPr id="3" name="Text Box 2"/>
        <cdr:cNvSpPr txBox="1"/>
      </cdr:nvSpPr>
      <cdr:spPr>
        <a:xfrm xmlns:a="http://schemas.openxmlformats.org/drawingml/2006/main">
          <a:off x="0" y="2733675"/>
          <a:ext cx="41148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ctr" defTabSz="914400" eaLnBrk="1" fontAlgn="auto" latinLnBrk="0" hangingPunct="1">
            <a:lnSpc>
              <a:spcPct val="100000"/>
            </a:lnSpc>
            <a:spcBef>
              <a:spcPts val="0"/>
            </a:spcBef>
            <a:spcAft>
              <a:spcPts val="0"/>
            </a:spcAft>
            <a:buClrTx/>
            <a:buSzTx/>
            <a:buFontTx/>
            <a:buNone/>
            <a:tabLst/>
            <a:defRPr/>
          </a:pPr>
          <a:r>
            <a:rPr lang="en-US" sz="1000">
              <a:latin typeface="Times New Roman" pitchFamily="18" charset="0"/>
              <a:cs typeface="Times New Roman" pitchFamily="18" charset="0"/>
            </a:rPr>
            <a:t>Quarters after a</a:t>
          </a:r>
          <a:r>
            <a:rPr lang="en-US" sz="1000" baseline="0">
              <a:latin typeface="Times New Roman" pitchFamily="18" charset="0"/>
              <a:cs typeface="Times New Roman" pitchFamily="18" charset="0"/>
            </a:rPr>
            <a:t> technology shock</a:t>
          </a:r>
          <a:endParaRPr lang="en-US" sz="1000">
            <a:latin typeface="Times New Roman" pitchFamily="18" charset="0"/>
            <a:cs typeface="Times New Roman" pitchFamily="18" charset="0"/>
          </a:endParaRPr>
        </a:p>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92E9A-B209-4CBB-BE57-B5C340A5D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155</Pages>
  <Words>30095</Words>
  <Characters>171542</Characters>
  <Application>Microsoft Office Word</Application>
  <DocSecurity>0</DocSecurity>
  <Lines>1429</Lines>
  <Paragraphs>402</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
      <vt:lpstr/>
      <vt:lpstr/>
      <vt:lpstr/>
      <vt:lpstr>1. Durable Goods, Interest Rates and the Small Open Economy Business Cycle </vt:lpstr>
      <vt:lpstr>    Introduction</vt:lpstr>
      <vt:lpstr>    Consumer Durables: Empirics</vt:lpstr>
      <vt:lpstr>    The Model</vt:lpstr>
      <vt:lpstr>    Calibration </vt:lpstr>
      <vt:lpstr>    The Model Fit With the Canadian Data</vt:lpstr>
      <vt:lpstr>    Durables and the Interest Rates</vt:lpstr>
      <vt:lpstr>    Habits and Variable Utilization</vt:lpstr>
      <vt:lpstr>    Conclusion</vt:lpstr>
      <vt:lpstr>    Data Sources</vt:lpstr>
      <vt:lpstr>    </vt:lpstr>
      <vt:lpstr/>
      <vt:lpstr/>
      <vt:lpstr/>
      <vt:lpstr>2. Terms of Trade, Durability, and Small Open Economies Business Cycles</vt:lpstr>
      <vt:lpstr>    </vt:lpstr>
      <vt:lpstr>    </vt:lpstr>
      <vt:lpstr>    Introduction</vt:lpstr>
      <vt:lpstr>    Empirical Regularities</vt:lpstr>
      <vt:lpstr>    The Model</vt:lpstr>
      <vt:lpstr>    Calibration</vt:lpstr>
      <vt:lpstr>    The Model Fit With the Canadian Economy</vt:lpstr>
      <vt:lpstr>    How Important Are the ToT Shocks? </vt:lpstr>
      <vt:lpstr>    The Role of Durability </vt:lpstr>
      <vt:lpstr>    The Role of Interest Rates</vt:lpstr>
    </vt:vector>
  </TitlesOfParts>
  <Company>University of Tennessee</Company>
  <LinksUpToDate>false</LinksUpToDate>
  <CharactersWithSpaces>201235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Al-Nadi, Ali Mohammad</dc:creator>
  <cp:lastModifiedBy>aalnadi</cp:lastModifiedBy>
  <cp:revision>40</cp:revision>
  <cp:lastPrinted>2011-02-15T02:16:00Z</cp:lastPrinted>
  <dcterms:created xsi:type="dcterms:W3CDTF">2011-02-06T11:32:00Z</dcterms:created>
  <dcterms:modified xsi:type="dcterms:W3CDTF">2011-02-15T13:58:00Z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